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__________________________________________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__________________________________________</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14, 2026</w:t>
      </w:r>
    </w:p>
    <w:p>
      <w:pPr>
        <w:spacing w:after="0" w:line="31"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__________________________________________</w:t>
      </w:r>
    </w:p>
    <w:p>
      <w:pPr>
        <w:spacing w:after="0" w:line="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PLIANT THERAPEUTICS,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__________________________________________</w:t>
      </w:r>
    </w:p>
    <w:p>
      <w:pPr>
        <w:spacing w:after="0" w:line="127" w:lineRule="exact"/>
        <w:rPr>
          <w:sz w:val="24"/>
          <w:szCs w:val="24"/>
          <w:color w:val="auto"/>
        </w:rPr>
      </w:pPr>
    </w:p>
    <w:tbl>
      <w:tblPr>
        <w:tblLayout w:type="fixed"/>
        <w:tblInd w:w="490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jc w:val="right"/>
              <w:ind w:right="223"/>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43"/>
        </w:trPr>
        <w:tc>
          <w:tcPr>
            <w:tcW w:w="26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Delaware  001-39303  4272481</w:t>
            </w:r>
          </w:p>
        </w:tc>
        <w:tc>
          <w:tcPr>
            <w:tcW w:w="0" w:type="dxa"/>
            <w:vAlign w:val="bottom"/>
          </w:tcPr>
          <w:p>
            <w:pPr>
              <w:spacing w:after="0"/>
              <w:rPr>
                <w:sz w:val="1"/>
                <w:szCs w:val="1"/>
                <w:color w:val="auto"/>
              </w:rPr>
            </w:pPr>
          </w:p>
        </w:tc>
      </w:tr>
      <w:tr>
        <w:trPr>
          <w:trHeight w:val="178"/>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8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(IRS</w:t>
            </w:r>
          </w:p>
        </w:tc>
        <w:tc>
          <w:tcPr>
            <w:tcW w:w="0" w:type="dxa"/>
            <w:vAlign w:val="bottom"/>
          </w:tcPr>
          <w:p>
            <w:pPr>
              <w:spacing w:after="0"/>
              <w:rPr>
                <w:sz w:val="1"/>
                <w:szCs w:val="1"/>
                <w:color w:val="auto"/>
              </w:rPr>
            </w:pPr>
          </w:p>
        </w:tc>
      </w:tr>
      <w:tr>
        <w:trPr>
          <w:trHeight w:val="175"/>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8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Employer</w:t>
            </w:r>
          </w:p>
        </w:tc>
        <w:tc>
          <w:tcPr>
            <w:tcW w:w="0" w:type="dxa"/>
            <w:vAlign w:val="bottom"/>
          </w:tcPr>
          <w:p>
            <w:pPr>
              <w:spacing w:after="0"/>
              <w:rPr>
                <w:sz w:val="1"/>
                <w:szCs w:val="1"/>
                <w:color w:val="auto"/>
              </w:rPr>
            </w:pPr>
          </w:p>
        </w:tc>
      </w:tr>
      <w:tr>
        <w:trPr>
          <w:trHeight w:val="187"/>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0" w:type="dxa"/>
            <w:vAlign w:val="bottom"/>
          </w:tcPr>
          <w:p>
            <w:pPr>
              <w:spacing w:after="0"/>
              <w:rPr>
                <w:sz w:val="1"/>
                <w:szCs w:val="1"/>
                <w:color w:val="auto"/>
              </w:rPr>
            </w:pPr>
          </w:p>
        </w:tc>
      </w:tr>
      <w:tr>
        <w:trPr>
          <w:trHeight w:val="193"/>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331 Oyster</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Point Blvd.,</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South San</w:t>
            </w: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Francisco,</w:t>
            </w:r>
          </w:p>
        </w:tc>
        <w:tc>
          <w:tcPr>
            <w:tcW w:w="880" w:type="dxa"/>
            <w:vAlign w:val="bottom"/>
          </w:tcPr>
          <w:p>
            <w:pPr>
              <w:spacing w:after="0"/>
              <w:rPr>
                <w:sz w:val="17"/>
                <w:szCs w:val="17"/>
                <w:color w:val="auto"/>
              </w:rPr>
            </w:pPr>
          </w:p>
        </w:tc>
        <w:tc>
          <w:tcPr>
            <w:tcW w:w="860" w:type="dxa"/>
            <w:vAlign w:val="bottom"/>
            <w:vMerge w:val="restart"/>
          </w:tcPr>
          <w:p>
            <w:pPr>
              <w:jc w:val="right"/>
              <w:ind w:right="123"/>
              <w:spacing w:after="0"/>
              <w:rPr>
                <w:sz w:val="20"/>
                <w:szCs w:val="20"/>
                <w:color w:val="auto"/>
              </w:rPr>
            </w:pPr>
            <w:r>
              <w:rPr>
                <w:rFonts w:ascii="Times New Roman" w:cs="Times New Roman" w:eastAsia="Times New Roman" w:hAnsi="Times New Roman"/>
                <w:sz w:val="18"/>
                <w:szCs w:val="18"/>
                <w:b w:val="1"/>
                <w:bCs w:val="1"/>
                <w:color w:val="auto"/>
              </w:rPr>
              <w:t>94080</w:t>
            </w:r>
          </w:p>
        </w:tc>
        <w:tc>
          <w:tcPr>
            <w:tcW w:w="0" w:type="dxa"/>
            <w:vAlign w:val="bottom"/>
          </w:tcPr>
          <w:p>
            <w:pPr>
              <w:spacing w:after="0"/>
              <w:rPr>
                <w:sz w:val="1"/>
                <w:szCs w:val="1"/>
                <w:color w:val="auto"/>
              </w:rPr>
            </w:pPr>
          </w:p>
        </w:tc>
      </w:tr>
      <w:tr>
        <w:trPr>
          <w:trHeight w:val="221"/>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w:t>
            </w:r>
          </w:p>
        </w:tc>
        <w:tc>
          <w:tcPr>
            <w:tcW w:w="8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(Address of</w:t>
            </w: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8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90"/>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offices)</w:t>
            </w:r>
          </w:p>
        </w:tc>
        <w:tc>
          <w:tcPr>
            <w:tcW w:w="8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481-6770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__________________________________________</w:t>
      </w:r>
    </w:p>
    <w:p>
      <w:pPr>
        <w:spacing w:after="0" w:line="101"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760" w:type="dxa"/>
            <w:vAlign w:val="bottom"/>
            <w:tcBorders>
              <w:top w:val="single" w:sz="8" w:color="auto"/>
              <w:left w:val="single" w:sz="8" w:color="auto"/>
              <w:right w:val="single" w:sz="8" w:color="auto"/>
            </w:tcBorders>
          </w:tcPr>
          <w:p>
            <w:pPr>
              <w:spacing w:after="0"/>
              <w:rPr>
                <w:sz w:val="16"/>
                <w:szCs w:val="16"/>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740" w:type="dxa"/>
            <w:vAlign w:val="bottom"/>
            <w:tcBorders>
              <w:top w:val="single" w:sz="8" w:color="auto"/>
              <w:right w:val="single" w:sz="8" w:color="auto"/>
            </w:tcBorders>
          </w:tcPr>
          <w:p>
            <w:pPr>
              <w:spacing w:after="0"/>
              <w:rPr>
                <w:sz w:val="16"/>
                <w:szCs w:val="16"/>
                <w:color w:val="auto"/>
              </w:rPr>
            </w:pPr>
          </w:p>
        </w:tc>
      </w:tr>
      <w:tr>
        <w:trPr>
          <w:trHeight w:val="204"/>
        </w:trPr>
        <w:tc>
          <w:tcPr>
            <w:tcW w:w="4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07"/>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PLRX</w:t>
            </w:r>
          </w:p>
        </w:tc>
        <w:tc>
          <w:tcPr>
            <w:tcW w:w="4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Series A Junior Participating Preferred Purchase Rights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4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4"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ind w:left="64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p>
      <w:pPr>
        <w:spacing w:after="0" w:line="207" w:lineRule="exact"/>
        <w:tabs>
          <w:tab w:leader="none" w:pos="1002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1" w:name="page2"/>
    <w:bookmarkEnd w:id="1"/>
    <w:p>
      <w:pPr>
        <w:spacing w:after="0" w:line="239"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 Departure of Directors</w:t>
      </w:r>
    </w:p>
    <w:p>
      <w:pPr>
        <w:spacing w:after="0" w:line="11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On April 14, 2026, David E.I. Pyott, a Class I director on the Board of Directors (the “Board”) of Pliant Therapeutics, Inc. (the “Company”) and a member of the Audit Committee and the Nominating and Corporate Governance Committee of the Board, notified the Chief Executive Officer of the Company, Chairman of the Board, and Chair of the Nominating and Corporate Governance Committee of his retirement from the Board and all committees thereof, effective as of the Company’s 2026 Annual Meeting of Stockholders (the “Annual Meeting”). Mr. Pyott’s decision to retire from the Board was not the result of any disagreement with the Company or the Board on any matter relating to the Company’s operations, policies, or practices.</w:t>
      </w:r>
    </w:p>
    <w:p>
      <w:pPr>
        <w:spacing w:after="0" w:line="79"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On April 16, 2026, Katharine Knobil, M.D., a Class II director on the Board and the Chair of the Research and Development Committee and a member of the Nominating and Corporate Governance Committee of the Board, notified the Chief Executive Officer of the Company, Chairman of the Board, and Chair of the Nominating and Corporate Governance Committee of her retirement from the Board and all committees thereof, effective as of the Annual Meeting. Dr. Knobil’s decision to retire from the Board was not the result of any disagreement with the Company or the Board on any matter relating to the Company’s operations, policies, or practices.</w:t>
      </w:r>
    </w:p>
    <w:p>
      <w:pPr>
        <w:spacing w:after="0" w:line="75"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On April 16, 2026, Suzanne Bruhn, Ph.D., a Class III director on the Board and a member of the Compensation Committee and the Nominating and Corporate Governance Committee of the Board, notified the Chief Executive Officer of the Company, Chairman of the Board, and Chair of the Nominating and Corporate Governance Committee of her intention not to stand for reelection at the Annual Meeting and her retirement from the Board and all committees thereof, effective as of the Annual Meeting. Dr. Bruhn’s decision not to stand for reelection and to retire from the Board was not the result of any disagreement with the Company or the Board on any matter relating to the Company’s operations, policies, or practices.</w:t>
      </w:r>
    </w:p>
    <w:p>
      <w:pPr>
        <w:spacing w:after="0" w:line="75" w:lineRule="exact"/>
        <w:rPr>
          <w:sz w:val="20"/>
          <w:szCs w:val="20"/>
          <w:color w:val="auto"/>
        </w:rPr>
      </w:pPr>
    </w:p>
    <w:p>
      <w:pPr>
        <w:ind w:left="420" w:right="1460"/>
        <w:spacing w:after="0" w:line="375" w:lineRule="auto"/>
        <w:rPr>
          <w:sz w:val="20"/>
          <w:szCs w:val="20"/>
          <w:color w:val="auto"/>
        </w:rPr>
      </w:pPr>
      <w:r>
        <w:rPr>
          <w:rFonts w:ascii="Times New Roman" w:cs="Times New Roman" w:eastAsia="Times New Roman" w:hAnsi="Times New Roman"/>
          <w:sz w:val="18"/>
          <w:szCs w:val="18"/>
          <w:color w:val="auto"/>
        </w:rPr>
        <w:t xml:space="preserve">The Board thanks each of Mr. Pyott, Dr. Knobil, and Dr. Bruhn for their years of service to the Company and its stockholders. </w:t>
      </w:r>
      <w:r>
        <w:rPr>
          <w:rFonts w:ascii="Times New Roman" w:cs="Times New Roman" w:eastAsia="Times New Roman" w:hAnsi="Times New Roman"/>
          <w:sz w:val="18"/>
          <w:szCs w:val="18"/>
          <w:i w:val="1"/>
          <w:iCs w:val="1"/>
          <w:color w:val="auto"/>
        </w:rPr>
        <w:t>(e) Repricing of Underwater Stock Options</w:t>
      </w:r>
    </w:p>
    <w:p>
      <w:pPr>
        <w:spacing w:after="0" w:line="1"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On April 15, 2026, upon the recommendation of its Compensation Committee, the Board approved an option repricing (the “Repricing”), effective as of April 17, 2026 (the “Effective Date”). The Repricing was undertaken in accordance with, and as permitted by, the Company’s 2015 Equity Incentive Plan, as amended (the “2015 Plan”), 2020 Stock Option and Incentive Plan, as amended (the “2020 Plan”), and 2022 Inducement Plan, as amended (the “2022 Plan”). Pursuant to the Repricing, effective as of the Effective Date, all options granted on or before March 1, 2025 pursuant to the 2015 Plan, the 2020 Plan, or the 2022 Plan that are held by employees as of the Effective Date, including the Company’s executive officers, namely, Bernard Coulie, M.D., Ph.D., the Company’s President and Chief Executive Officer, Keith Cummings, M.D., MBA, the Company’s Chief Financial Officer, Lily Cheung, the Company’s Chief Human Resources Officer, and Minnie Kuo, the Company’s Chief Operating Officer (individually an “Eligible Participant” and together the “Eligible Participants”) were repriced to $1.33 per share, the closing price per share of the Company’s common stock, par value $0.0001 per share, on The Nasdaq Global Select Market on the Effective Date.</w:t>
      </w:r>
    </w:p>
    <w:p>
      <w:pPr>
        <w:spacing w:after="0" w:line="80" w:lineRule="exact"/>
        <w:rPr>
          <w:sz w:val="20"/>
          <w:szCs w:val="20"/>
          <w:color w:val="auto"/>
        </w:rPr>
      </w:pPr>
    </w:p>
    <w:p>
      <w:pPr>
        <w:ind w:right="460" w:firstLine="405"/>
        <w:spacing w:after="0" w:line="253" w:lineRule="auto"/>
        <w:rPr>
          <w:sz w:val="20"/>
          <w:szCs w:val="20"/>
          <w:color w:val="auto"/>
        </w:rPr>
      </w:pPr>
      <w:r>
        <w:rPr>
          <w:rFonts w:ascii="Times New Roman" w:cs="Times New Roman" w:eastAsia="Times New Roman" w:hAnsi="Times New Roman"/>
          <w:sz w:val="18"/>
          <w:szCs w:val="18"/>
          <w:color w:val="auto"/>
        </w:rPr>
        <w:t>In order to exercise the repriced options at the $1.33 per share exercise price, Eligible Participants are required to remain in service with the Company through the Retention Period, as defined herein. The “Retention Period” begins on the Effective Date and ends on the earliest of the following: (i) either the 18-month anniversary following the Effective Date if the Eligible Participant is a member of the Company’s executive leadership team, which consists of Dr. Coulie, Dr. Cummings, Ms. Cheung, Ms. Kuo, Delphine Imbert, Ph.D., the Company’s Chief Technical Officer, and Tim Machajewski, Ph.D., the the Company’s Senior Vice President, Head of Research, or the 12-month anniversary following the Effective Date for all other Eligible Participants; (ii) the consummation of a Corporate Transaction (as defined by the 2015 Plan); (iii) the consummation of a Sale Event (as defined by the 2020 Plan and 2022 Plan); and (iv) the Eligible Participant’s (a) termination by the Company without cause (as defined in the Eligible Participant’s applicable severance plan) or due to a reduction in force, (b) death or termination due to disability, or (c) if the Eligible Participant is a Vice President or above, resignation from service for good reason (as defined in the Eligible Participant’s applicable severance plan).</w:t>
      </w:r>
    </w:p>
    <w:p>
      <w:pPr>
        <w:spacing w:after="0" w:line="86" w:lineRule="exact"/>
        <w:rPr>
          <w:sz w:val="20"/>
          <w:szCs w:val="20"/>
          <w:color w:val="auto"/>
        </w:rPr>
      </w:pPr>
    </w:p>
    <w:p>
      <w:pPr>
        <w:jc w:val="both"/>
        <w:ind w:right="660" w:firstLine="405"/>
        <w:spacing w:after="0" w:line="266" w:lineRule="auto"/>
        <w:rPr>
          <w:sz w:val="20"/>
          <w:szCs w:val="20"/>
          <w:color w:val="auto"/>
        </w:rPr>
      </w:pPr>
      <w:r>
        <w:rPr>
          <w:rFonts w:ascii="Times New Roman" w:cs="Times New Roman" w:eastAsia="Times New Roman" w:hAnsi="Times New Roman"/>
          <w:sz w:val="18"/>
          <w:szCs w:val="18"/>
          <w:color w:val="auto"/>
        </w:rPr>
        <w:t>The repriced options will be subject to the original exercise price that was in effect immediately prior to the Effective Date if the Eligible Participant (i) is terminated by the Company for cause (as defined in the Eligible Participant’s applicable severance plan); (ii) resigns from the Company prior to the end of the applicable Retention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14" w:right="639" w:bottom="1440" w:gutter="0" w:footer="0" w:header="0"/>
        </w:sectPr>
      </w:pPr>
    </w:p>
    <w:bookmarkStart w:id="2" w:name="page3"/>
    <w:bookmarkEnd w:id="2"/>
    <w:p>
      <w:pPr>
        <w:ind w:right="140"/>
        <w:spacing w:after="0" w:line="282" w:lineRule="auto"/>
        <w:rPr>
          <w:sz w:val="20"/>
          <w:szCs w:val="20"/>
          <w:color w:val="auto"/>
        </w:rPr>
      </w:pPr>
      <w:r>
        <w:rPr>
          <w:rFonts w:ascii="Times New Roman" w:cs="Times New Roman" w:eastAsia="Times New Roman" w:hAnsi="Times New Roman"/>
          <w:sz w:val="18"/>
          <w:szCs w:val="18"/>
          <w:color w:val="auto"/>
        </w:rPr>
        <w:t>except for good reason (as defined in the Eligible Participant’s applicable severance plan) if the Eligible Participant is a Vice President or above; or (iii) elects to exercise the repriced options prior to the end of the applicable Retention Period.</w:t>
      </w:r>
    </w:p>
    <w:p>
      <w:pPr>
        <w:spacing w:after="0" w:line="5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Board approved the Repricing in good faith and after extensive discussion, careful consideration of various alternatives and a review of other applicable factors with the advice of the Company’s independent compensation consultant and outside legal counsel. The Repricing, including the Retention Period, was designed with the objective of retaining and motivating Eligible Participants, including the Company’s executive officers, to continue to work in the best interest of the Company and its stockholders through a critical stage for the Company without incurring stock dilution from additional equity grants or further cash expenditure from additional cash compensation. As of the date of approval of the Repricing, all options were “underwater” across the current employee population, with exercise prices per share above the the-current market price per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039" w:right="8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PLIANT THERAPEUTICS, INC.</w:t>
            </w:r>
          </w:p>
        </w:tc>
      </w:tr>
      <w:tr>
        <w:trPr>
          <w:trHeight w:val="49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2026</w:t>
            </w:r>
          </w:p>
        </w:tc>
        <w:tc>
          <w:tcPr>
            <w:tcW w:w="26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Keith Cummings</w:t>
            </w:r>
          </w:p>
        </w:tc>
      </w:tr>
      <w:tr>
        <w:trPr>
          <w:trHeight w:val="218"/>
        </w:trPr>
        <w:tc>
          <w:tcPr>
            <w:tcW w:w="3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Keith Cummings, M.D., MBA</w:t>
            </w:r>
          </w:p>
        </w:tc>
      </w:tr>
      <w:tr>
        <w:trPr>
          <w:trHeight w:val="234"/>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1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2026-04-17T15:49:47Z</dcterms:created>
  <dcterms:modified xsi:type="dcterms:W3CDTF">2026-04-17T15:49:47Z</dcterms:modified>
</cp:coreProperties>
</file>