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204470</wp:posOffset>
            </wp:positionH>
            <wp:positionV relativeFrom="page">
              <wp:posOffset>768350</wp:posOffset>
            </wp:positionV>
            <wp:extent cx="70675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67550" cy="8255"/>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792480</wp:posOffset>
            </wp:positionV>
            <wp:extent cx="70675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6755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10-Q</w:t>
      </w:r>
    </w:p>
    <w:p>
      <w:pPr>
        <w:spacing w:after="0" w:line="380" w:lineRule="exact"/>
        <w:rPr>
          <w:sz w:val="24"/>
          <w:szCs w:val="24"/>
          <w:color w:val="auto"/>
        </w:rPr>
      </w:pPr>
    </w:p>
    <w:p>
      <w:pPr>
        <w:ind w:left="820" w:hanging="801"/>
        <w:spacing w:after="0"/>
        <w:tabs>
          <w:tab w:leader="none" w:pos="820" w:val="left"/>
        </w:tabs>
        <w:numPr>
          <w:ilvl w:val="0"/>
          <w:numId w:val="1"/>
        </w:numPr>
        <w:rPr>
          <w:rFonts w:ascii="MS PGothic" w:cs="MS PGothic" w:eastAsia="MS PGothic" w:hAnsi="MS PGothic"/>
          <w:sz w:val="34"/>
          <w:szCs w:val="34"/>
          <w:color w:val="auto"/>
          <w:vertAlign w:val="subscript"/>
        </w:rPr>
      </w:pPr>
      <w:r>
        <w:rPr>
          <w:rFonts w:ascii="Arial" w:cs="Arial" w:eastAsia="Arial" w:hAnsi="Arial"/>
          <w:sz w:val="17"/>
          <w:szCs w:val="17"/>
          <w:b w:val="1"/>
          <w:bCs w:val="1"/>
          <w:color w:val="auto"/>
        </w:rPr>
        <w:t>QUARTERLY REPORT 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 the quarterly period ended September 30, 2022</w:t>
      </w:r>
    </w:p>
    <w:p>
      <w:pPr>
        <w:spacing w:after="0" w:line="225" w:lineRule="exact"/>
        <w:rPr>
          <w:sz w:val="24"/>
          <w:szCs w:val="24"/>
          <w:color w:val="auto"/>
        </w:rPr>
      </w:pPr>
    </w:p>
    <w:p>
      <w:pPr>
        <w:ind w:left="820" w:hanging="801"/>
        <w:spacing w:after="0"/>
        <w:tabs>
          <w:tab w:leader="none" w:pos="82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99" w:lineRule="exact"/>
        <w:rPr>
          <w:sz w:val="24"/>
          <w:szCs w:val="24"/>
          <w:color w:val="auto"/>
        </w:rPr>
      </w:pPr>
    </w:p>
    <w:p>
      <w:pPr>
        <w:ind w:left="4000"/>
        <w:spacing w:after="0"/>
        <w:tabs>
          <w:tab w:leader="none" w:pos="664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3926840</wp:posOffset>
            </wp:positionH>
            <wp:positionV relativeFrom="paragraph">
              <wp:posOffset>-7620</wp:posOffset>
            </wp:positionV>
            <wp:extent cx="681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1990" cy="8255"/>
                    </a:xfrm>
                    <a:prstGeom prst="rect">
                      <a:avLst/>
                    </a:prstGeom>
                    <a:noFill/>
                  </pic:spPr>
                </pic:pic>
              </a:graphicData>
            </a:graphic>
          </wp:anchor>
        </w:drawing>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Commission File Number: 001-39303</w:t>
      </w: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PLIANT THERAPEUTICS, INC.</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105" w:lineRule="exact"/>
        <w:rPr>
          <w:sz w:val="24"/>
          <w:szCs w:val="24"/>
          <w:color w:val="auto"/>
        </w:rPr>
      </w:pPr>
    </w:p>
    <w:tbl>
      <w:tblPr>
        <w:tblLayout w:type="fixed"/>
        <w:tblInd w:w="1560" w:type="dxa"/>
        <w:tblCellMar>
          <w:top w:w="0" w:type="dxa"/>
          <w:left w:w="0" w:type="dxa"/>
          <w:bottom w:w="0" w:type="dxa"/>
          <w:right w:w="0" w:type="dxa"/>
        </w:tblCellMar>
      </w:tblPr>
      <w:tr>
        <w:trPr>
          <w:trHeight w:val="213"/>
        </w:trPr>
        <w:tc>
          <w:tcPr>
            <w:tcW w:w="4300" w:type="dxa"/>
            <w:vAlign w:val="bottom"/>
          </w:tcPr>
          <w:p>
            <w:pPr>
              <w:jc w:val="center"/>
              <w:ind w:right="1984"/>
              <w:spacing w:after="0"/>
              <w:rPr>
                <w:sz w:val="20"/>
                <w:szCs w:val="20"/>
                <w:color w:val="auto"/>
              </w:rPr>
            </w:pPr>
            <w:r>
              <w:rPr>
                <w:rFonts w:ascii="Arial" w:cs="Arial" w:eastAsia="Arial" w:hAnsi="Arial"/>
                <w:sz w:val="17"/>
                <w:szCs w:val="17"/>
                <w:b w:val="1"/>
                <w:bCs w:val="1"/>
                <w:color w:val="auto"/>
                <w:w w:val="91"/>
              </w:rPr>
              <w:t>Delaware</w:t>
            </w:r>
          </w:p>
        </w:tc>
        <w:tc>
          <w:tcPr>
            <w:tcW w:w="3120" w:type="dxa"/>
            <w:vAlign w:val="bottom"/>
          </w:tcPr>
          <w:p>
            <w:pPr>
              <w:jc w:val="right"/>
              <w:ind w:right="45"/>
              <w:spacing w:after="0"/>
              <w:rPr>
                <w:sz w:val="20"/>
                <w:szCs w:val="20"/>
                <w:color w:val="auto"/>
              </w:rPr>
            </w:pPr>
            <w:r>
              <w:rPr>
                <w:rFonts w:ascii="Arial" w:cs="Arial" w:eastAsia="Arial" w:hAnsi="Arial"/>
                <w:sz w:val="17"/>
                <w:szCs w:val="17"/>
                <w:b w:val="1"/>
                <w:bCs w:val="1"/>
                <w:color w:val="auto"/>
              </w:rPr>
              <w:t>47-4272481</w:t>
            </w:r>
          </w:p>
        </w:tc>
      </w:tr>
      <w:tr>
        <w:trPr>
          <w:trHeight w:val="175"/>
        </w:trPr>
        <w:tc>
          <w:tcPr>
            <w:tcW w:w="4300" w:type="dxa"/>
            <w:vAlign w:val="bottom"/>
          </w:tcPr>
          <w:p>
            <w:pPr>
              <w:jc w:val="center"/>
              <w:ind w:right="1964"/>
              <w:spacing w:after="0"/>
              <w:rPr>
                <w:sz w:val="20"/>
                <w:szCs w:val="20"/>
                <w:color w:val="auto"/>
              </w:rPr>
            </w:pPr>
            <w:r>
              <w:rPr>
                <w:rFonts w:ascii="Arial" w:cs="Arial" w:eastAsia="Arial" w:hAnsi="Arial"/>
                <w:sz w:val="14"/>
                <w:szCs w:val="14"/>
                <w:b w:val="1"/>
                <w:bCs w:val="1"/>
                <w:color w:val="auto"/>
                <w:w w:val="88"/>
              </w:rPr>
              <w:t>(State or other jurisdiction of</w:t>
            </w:r>
          </w:p>
        </w:tc>
        <w:tc>
          <w:tcPr>
            <w:tcW w:w="3120" w:type="dxa"/>
            <w:vAlign w:val="bottom"/>
          </w:tcPr>
          <w:p>
            <w:pPr>
              <w:jc w:val="center"/>
              <w:ind w:left="1985"/>
              <w:spacing w:after="0"/>
              <w:rPr>
                <w:sz w:val="20"/>
                <w:szCs w:val="20"/>
                <w:color w:val="auto"/>
              </w:rPr>
            </w:pPr>
            <w:r>
              <w:rPr>
                <w:rFonts w:ascii="Arial" w:cs="Arial" w:eastAsia="Arial" w:hAnsi="Arial"/>
                <w:sz w:val="14"/>
                <w:szCs w:val="14"/>
                <w:b w:val="1"/>
                <w:bCs w:val="1"/>
                <w:color w:val="auto"/>
                <w:w w:val="91"/>
              </w:rPr>
              <w:t>(I.R.S. Employer</w:t>
            </w:r>
          </w:p>
        </w:tc>
      </w:tr>
      <w:tr>
        <w:trPr>
          <w:trHeight w:val="191"/>
        </w:trPr>
        <w:tc>
          <w:tcPr>
            <w:tcW w:w="4300" w:type="dxa"/>
            <w:vAlign w:val="bottom"/>
          </w:tcPr>
          <w:p>
            <w:pPr>
              <w:jc w:val="center"/>
              <w:ind w:right="1984"/>
              <w:spacing w:after="0"/>
              <w:rPr>
                <w:sz w:val="20"/>
                <w:szCs w:val="20"/>
                <w:color w:val="auto"/>
              </w:rPr>
            </w:pPr>
            <w:r>
              <w:rPr>
                <w:rFonts w:ascii="Arial" w:cs="Arial" w:eastAsia="Arial" w:hAnsi="Arial"/>
                <w:sz w:val="14"/>
                <w:szCs w:val="14"/>
                <w:b w:val="1"/>
                <w:bCs w:val="1"/>
                <w:color w:val="auto"/>
                <w:w w:val="88"/>
              </w:rPr>
              <w:t>incorporation or organization)</w:t>
            </w:r>
          </w:p>
        </w:tc>
        <w:tc>
          <w:tcPr>
            <w:tcW w:w="3120" w:type="dxa"/>
            <w:vAlign w:val="bottom"/>
          </w:tcPr>
          <w:p>
            <w:pPr>
              <w:jc w:val="center"/>
              <w:ind w:left="1985"/>
              <w:spacing w:after="0"/>
              <w:rPr>
                <w:sz w:val="20"/>
                <w:szCs w:val="20"/>
                <w:color w:val="auto"/>
              </w:rPr>
            </w:pPr>
            <w:r>
              <w:rPr>
                <w:rFonts w:ascii="Arial" w:cs="Arial" w:eastAsia="Arial" w:hAnsi="Arial"/>
                <w:sz w:val="14"/>
                <w:szCs w:val="14"/>
                <w:b w:val="1"/>
                <w:bCs w:val="1"/>
                <w:color w:val="auto"/>
                <w:w w:val="89"/>
              </w:rPr>
              <w:t>Identification No.)</w:t>
            </w:r>
          </w:p>
        </w:tc>
      </w:tr>
      <w:tr>
        <w:trPr>
          <w:trHeight w:val="236"/>
        </w:trPr>
        <w:tc>
          <w:tcPr>
            <w:tcW w:w="4300" w:type="dxa"/>
            <w:vAlign w:val="bottom"/>
          </w:tcPr>
          <w:p>
            <w:pPr>
              <w:jc w:val="center"/>
              <w:ind w:right="1984"/>
              <w:spacing w:after="0"/>
              <w:rPr>
                <w:sz w:val="20"/>
                <w:szCs w:val="20"/>
                <w:color w:val="auto"/>
              </w:rPr>
            </w:pPr>
            <w:r>
              <w:rPr>
                <w:rFonts w:ascii="Arial" w:cs="Arial" w:eastAsia="Arial" w:hAnsi="Arial"/>
                <w:sz w:val="17"/>
                <w:szCs w:val="17"/>
                <w:b w:val="1"/>
                <w:bCs w:val="1"/>
                <w:color w:val="auto"/>
                <w:w w:val="91"/>
              </w:rPr>
              <w:t>260 Littlefield Avenue</w:t>
            </w:r>
          </w:p>
        </w:tc>
        <w:tc>
          <w:tcPr>
            <w:tcW w:w="3120" w:type="dxa"/>
            <w:vAlign w:val="bottom"/>
          </w:tcPr>
          <w:p>
            <w:pPr>
              <w:spacing w:after="0"/>
              <w:rPr>
                <w:sz w:val="20"/>
                <w:szCs w:val="20"/>
                <w:color w:val="auto"/>
              </w:rPr>
            </w:pPr>
          </w:p>
        </w:tc>
      </w:tr>
      <w:tr>
        <w:trPr>
          <w:trHeight w:val="213"/>
        </w:trPr>
        <w:tc>
          <w:tcPr>
            <w:tcW w:w="4300" w:type="dxa"/>
            <w:vAlign w:val="bottom"/>
          </w:tcPr>
          <w:p>
            <w:pPr>
              <w:jc w:val="center"/>
              <w:ind w:right="1964"/>
              <w:spacing w:after="0"/>
              <w:rPr>
                <w:sz w:val="20"/>
                <w:szCs w:val="20"/>
                <w:color w:val="auto"/>
              </w:rPr>
            </w:pPr>
            <w:r>
              <w:rPr>
                <w:rFonts w:ascii="Arial" w:cs="Arial" w:eastAsia="Arial" w:hAnsi="Arial"/>
                <w:sz w:val="17"/>
                <w:szCs w:val="17"/>
                <w:b w:val="1"/>
                <w:bCs w:val="1"/>
                <w:color w:val="auto"/>
                <w:w w:val="89"/>
              </w:rPr>
              <w:t>South San Francisco, CA</w:t>
            </w:r>
          </w:p>
        </w:tc>
        <w:tc>
          <w:tcPr>
            <w:tcW w:w="3120" w:type="dxa"/>
            <w:vAlign w:val="bottom"/>
          </w:tcPr>
          <w:p>
            <w:pPr>
              <w:jc w:val="right"/>
              <w:ind w:right="245"/>
              <w:spacing w:after="0"/>
              <w:rPr>
                <w:sz w:val="20"/>
                <w:szCs w:val="20"/>
                <w:color w:val="auto"/>
              </w:rPr>
            </w:pPr>
            <w:r>
              <w:rPr>
                <w:rFonts w:ascii="Arial" w:cs="Arial" w:eastAsia="Arial" w:hAnsi="Arial"/>
                <w:sz w:val="17"/>
                <w:szCs w:val="17"/>
                <w:b w:val="1"/>
                <w:bCs w:val="1"/>
                <w:color w:val="auto"/>
              </w:rPr>
              <w:t>94080</w:t>
            </w:r>
          </w:p>
        </w:tc>
      </w:tr>
      <w:tr>
        <w:trPr>
          <w:trHeight w:val="175"/>
        </w:trPr>
        <w:tc>
          <w:tcPr>
            <w:tcW w:w="4300" w:type="dxa"/>
            <w:vAlign w:val="bottom"/>
          </w:tcPr>
          <w:p>
            <w:pPr>
              <w:jc w:val="center"/>
              <w:ind w:right="198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3120" w:type="dxa"/>
            <w:vAlign w:val="bottom"/>
          </w:tcPr>
          <w:p>
            <w:pPr>
              <w:jc w:val="center"/>
              <w:ind w:left="1985"/>
              <w:spacing w:after="0"/>
              <w:rPr>
                <w:sz w:val="20"/>
                <w:szCs w:val="20"/>
                <w:color w:val="auto"/>
              </w:rPr>
            </w:pPr>
            <w:r>
              <w:rPr>
                <w:rFonts w:ascii="Arial" w:cs="Arial" w:eastAsia="Arial" w:hAnsi="Arial"/>
                <w:sz w:val="14"/>
                <w:szCs w:val="14"/>
                <w:b w:val="1"/>
                <w:bCs w:val="1"/>
                <w:color w:val="auto"/>
                <w:w w:val="89"/>
              </w:rPr>
              <w:t>(Zip Code)</w:t>
            </w:r>
          </w:p>
        </w:tc>
      </w:tr>
    </w:tbl>
    <w:p>
      <w:pPr>
        <w:spacing w:after="0" w:line="194" w:lineRule="exact"/>
        <w:rPr>
          <w:sz w:val="24"/>
          <w:szCs w:val="24"/>
          <w:color w:val="auto"/>
        </w:rPr>
      </w:pPr>
    </w:p>
    <w:p>
      <w:pPr>
        <w:ind w:left="3680"/>
        <w:spacing w:after="0"/>
        <w:rPr>
          <w:sz w:val="20"/>
          <w:szCs w:val="20"/>
          <w:color w:val="auto"/>
        </w:rPr>
      </w:pPr>
      <w:r>
        <w:rPr>
          <w:rFonts w:ascii="Arial" w:cs="Arial" w:eastAsia="Arial" w:hAnsi="Arial"/>
          <w:sz w:val="14"/>
          <w:szCs w:val="14"/>
          <w:b w:val="1"/>
          <w:bCs w:val="1"/>
          <w:color w:val="auto"/>
        </w:rPr>
        <w:t>Registrant’s telephone number, including area code: (650) 481-6770</w:t>
      </w:r>
    </w:p>
    <w:p>
      <w:pPr>
        <w:spacing w:after="0" w:line="114"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03" w:lineRule="exact"/>
        <w:rPr>
          <w:sz w:val="24"/>
          <w:szCs w:val="24"/>
          <w:color w:val="auto"/>
        </w:rPr>
      </w:pPr>
    </w:p>
    <w:tbl>
      <w:tblPr>
        <w:tblLayout w:type="fixed"/>
        <w:tblInd w:w="10" w:type="dxa"/>
        <w:tblCellMar>
          <w:top w:w="0" w:type="dxa"/>
          <w:left w:w="0" w:type="dxa"/>
          <w:bottom w:w="0" w:type="dxa"/>
          <w:right w:w="0" w:type="dxa"/>
        </w:tblCellMar>
      </w:tblPr>
      <w:tr>
        <w:trPr>
          <w:trHeight w:val="187"/>
        </w:trPr>
        <w:tc>
          <w:tcPr>
            <w:tcW w:w="4720" w:type="dxa"/>
            <w:vAlign w:val="bottom"/>
            <w:tcBorders>
              <w:top w:val="single" w:sz="8" w:color="auto"/>
              <w:left w:val="single" w:sz="8" w:color="auto"/>
              <w:right w:val="single" w:sz="8" w:color="auto"/>
            </w:tcBorders>
          </w:tcPr>
          <w:p>
            <w:pPr>
              <w:spacing w:after="0"/>
              <w:rPr>
                <w:sz w:val="16"/>
                <w:szCs w:val="16"/>
                <w:color w:val="auto"/>
              </w:rPr>
            </w:pPr>
          </w:p>
        </w:tc>
        <w:tc>
          <w:tcPr>
            <w:tcW w:w="1740" w:type="dxa"/>
            <w:vAlign w:val="bottom"/>
            <w:tcBorders>
              <w:top w:val="single" w:sz="8" w:color="auto"/>
              <w:right w:val="single" w:sz="8" w:color="auto"/>
            </w:tcBorders>
          </w:tcPr>
          <w:p>
            <w:pPr>
              <w:jc w:val="center"/>
              <w:spacing w:after="0" w:line="187" w:lineRule="exact"/>
              <w:rPr>
                <w:sz w:val="20"/>
                <w:szCs w:val="20"/>
                <w:color w:val="auto"/>
              </w:rPr>
            </w:pPr>
            <w:r>
              <w:rPr>
                <w:rFonts w:ascii="Arial" w:cs="Arial" w:eastAsia="Arial" w:hAnsi="Arial"/>
                <w:sz w:val="17"/>
                <w:szCs w:val="17"/>
                <w:b w:val="1"/>
                <w:bCs w:val="1"/>
                <w:color w:val="auto"/>
                <w:w w:val="96"/>
              </w:rPr>
              <w:t>Trading</w:t>
            </w:r>
          </w:p>
        </w:tc>
        <w:tc>
          <w:tcPr>
            <w:tcW w:w="4700" w:type="dxa"/>
            <w:vAlign w:val="bottom"/>
            <w:tcBorders>
              <w:top w:val="single" w:sz="8" w:color="auto"/>
              <w:right w:val="single" w:sz="8" w:color="auto"/>
            </w:tcBorders>
          </w:tcPr>
          <w:p>
            <w:pPr>
              <w:spacing w:after="0"/>
              <w:rPr>
                <w:sz w:val="16"/>
                <w:szCs w:val="16"/>
                <w:color w:val="auto"/>
              </w:rPr>
            </w:pPr>
          </w:p>
        </w:tc>
      </w:tr>
      <w:tr>
        <w:trPr>
          <w:trHeight w:val="220"/>
        </w:trPr>
        <w:tc>
          <w:tcPr>
            <w:tcW w:w="4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Title of Each Class</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Symbol</w:t>
            </w:r>
          </w:p>
        </w:tc>
        <w:tc>
          <w:tcPr>
            <w:tcW w:w="4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Name of Each Exchange on which Registered</w:t>
            </w:r>
          </w:p>
        </w:tc>
      </w:tr>
      <w:tr>
        <w:trPr>
          <w:trHeight w:val="177"/>
        </w:trPr>
        <w:tc>
          <w:tcPr>
            <w:tcW w:w="4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6"/>
              </w:rPr>
              <w:t>Common Stock, par value $0.0001 per share</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PLRX</w:t>
            </w:r>
          </w:p>
        </w:tc>
        <w:tc>
          <w:tcPr>
            <w:tcW w:w="4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The Nasdaq Stock Market LLC</w:t>
            </w:r>
          </w:p>
        </w:tc>
      </w:tr>
    </w:tbl>
    <w:p>
      <w:pPr>
        <w:spacing w:after="0" w:line="179" w:lineRule="exact"/>
        <w:rPr>
          <w:sz w:val="24"/>
          <w:szCs w:val="24"/>
          <w:color w:val="auto"/>
        </w:rPr>
      </w:pPr>
    </w:p>
    <w:p>
      <w:pPr>
        <w:ind w:right="140" w:firstLine="459"/>
        <w:spacing w:after="0" w:line="215"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0"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w:t>
      </w:r>
    </w:p>
    <w:p>
      <w:pPr>
        <w:spacing w:after="0" w:line="31" w:lineRule="exact"/>
        <w:rPr>
          <w:sz w:val="24"/>
          <w:szCs w:val="24"/>
          <w:color w:val="auto"/>
        </w:rPr>
      </w:pPr>
    </w:p>
    <w:p>
      <w:pPr>
        <w:jc w:val="center"/>
        <w:spacing w:after="0" w:line="173" w:lineRule="exact"/>
        <w:rPr>
          <w:sz w:val="20"/>
          <w:szCs w:val="20"/>
          <w:color w:val="auto"/>
        </w:rPr>
      </w:pPr>
      <w:r>
        <w:rPr>
          <w:rFonts w:ascii="Arial" w:cs="Arial" w:eastAsia="Arial" w:hAnsi="Arial"/>
          <w:sz w:val="15"/>
          <w:szCs w:val="15"/>
          <w:color w:val="auto"/>
        </w:rPr>
        <w:t xml:space="preserve">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27" w:lineRule="exact"/>
        <w:rPr>
          <w:sz w:val="24"/>
          <w:szCs w:val="24"/>
          <w:color w:val="auto"/>
        </w:rPr>
      </w:pPr>
    </w:p>
    <w:p>
      <w:pPr>
        <w:spacing w:after="0" w:line="171" w:lineRule="exact"/>
        <w:rPr>
          <w:sz w:val="20"/>
          <w:szCs w:val="20"/>
          <w:color w:val="auto"/>
        </w:rPr>
      </w:pPr>
      <w:r>
        <w:rPr>
          <w:rFonts w:ascii="MS PGothic" w:cs="MS PGothic" w:eastAsia="MS PGothic" w:hAnsi="MS PGothic"/>
          <w:sz w:val="17"/>
          <w:szCs w:val="17"/>
          <w:color w:val="auto"/>
        </w:rPr>
        <w:t>☐</w:t>
      </w:r>
    </w:p>
    <w:p>
      <w:pPr>
        <w:spacing w:after="0" w:line="128" w:lineRule="exact"/>
        <w:rPr>
          <w:sz w:val="24"/>
          <w:szCs w:val="24"/>
          <w:color w:val="auto"/>
        </w:rPr>
      </w:pPr>
    </w:p>
    <w:p>
      <w:pPr>
        <w:ind w:right="320" w:firstLine="459"/>
        <w:spacing w:after="0" w:line="26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215"/>
        </w:trPr>
        <w:tc>
          <w:tcPr>
            <w:tcW w:w="248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2720" w:type="dxa"/>
            <w:vAlign w:val="bottom"/>
            <w:vMerge w:val="restart"/>
          </w:tcPr>
          <w:p>
            <w:pPr>
              <w:ind w:left="620"/>
              <w:spacing w:after="0" w:line="171" w:lineRule="exact"/>
              <w:rPr>
                <w:sz w:val="20"/>
                <w:szCs w:val="20"/>
                <w:color w:val="auto"/>
              </w:rPr>
            </w:pPr>
            <w:r>
              <w:rPr>
                <w:rFonts w:ascii="MS PGothic" w:cs="MS PGothic" w:eastAsia="MS PGothic" w:hAnsi="MS PGothic"/>
                <w:sz w:val="17"/>
                <w:szCs w:val="17"/>
                <w:color w:val="auto"/>
              </w:rPr>
              <w:t>☒</w:t>
            </w:r>
          </w:p>
        </w:tc>
        <w:tc>
          <w:tcPr>
            <w:tcW w:w="4440" w:type="dxa"/>
            <w:vAlign w:val="bottom"/>
          </w:tcPr>
          <w:p>
            <w:pPr>
              <w:ind w:left="1960"/>
              <w:spacing w:after="0"/>
              <w:rPr>
                <w:sz w:val="20"/>
                <w:szCs w:val="20"/>
                <w:color w:val="auto"/>
              </w:rPr>
            </w:pPr>
            <w:r>
              <w:rPr>
                <w:rFonts w:ascii="Arial" w:cs="Arial" w:eastAsia="Arial" w:hAnsi="Arial"/>
                <w:sz w:val="17"/>
                <w:szCs w:val="17"/>
                <w:color w:val="auto"/>
              </w:rPr>
              <w:t>Accelerated filer</w:t>
            </w:r>
          </w:p>
        </w:tc>
        <w:tc>
          <w:tcPr>
            <w:tcW w:w="780" w:type="dxa"/>
            <w:vAlign w:val="bottom"/>
            <w:vMerge w:val="restart"/>
          </w:tcPr>
          <w:p>
            <w:pPr>
              <w:ind w:left="64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2720" w:type="dxa"/>
            <w:vAlign w:val="bottom"/>
            <w:vMerge w:val="continue"/>
          </w:tcPr>
          <w:p>
            <w:pPr>
              <w:spacing w:after="0"/>
              <w:rPr>
                <w:sz w:val="10"/>
                <w:szCs w:val="10"/>
                <w:color w:val="auto"/>
              </w:rPr>
            </w:pPr>
          </w:p>
        </w:tc>
        <w:tc>
          <w:tcPr>
            <w:tcW w:w="44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00"/>
        </w:trPr>
        <w:tc>
          <w:tcPr>
            <w:tcW w:w="2480" w:type="dxa"/>
            <w:vAlign w:val="bottom"/>
          </w:tcPr>
          <w:p>
            <w:pPr>
              <w:spacing w:after="0"/>
              <w:rPr>
                <w:sz w:val="20"/>
                <w:szCs w:val="20"/>
                <w:color w:val="auto"/>
              </w:rPr>
            </w:pPr>
            <w:r>
              <w:rPr>
                <w:rFonts w:ascii="Arial" w:cs="Arial" w:eastAsia="Arial" w:hAnsi="Arial"/>
                <w:sz w:val="17"/>
                <w:szCs w:val="17"/>
                <w:color w:val="auto"/>
              </w:rPr>
              <w:t>Non-accelerated filer</w:t>
            </w:r>
          </w:p>
        </w:tc>
        <w:tc>
          <w:tcPr>
            <w:tcW w:w="2720" w:type="dxa"/>
            <w:vAlign w:val="bottom"/>
          </w:tcPr>
          <w:p>
            <w:pPr>
              <w:ind w:left="620"/>
              <w:spacing w:after="0" w:line="171" w:lineRule="exact"/>
              <w:rPr>
                <w:sz w:val="20"/>
                <w:szCs w:val="20"/>
                <w:color w:val="auto"/>
              </w:rPr>
            </w:pPr>
            <w:r>
              <w:rPr>
                <w:rFonts w:ascii="MS PGothic" w:cs="MS PGothic" w:eastAsia="MS PGothic" w:hAnsi="MS PGothic"/>
                <w:sz w:val="17"/>
                <w:szCs w:val="17"/>
                <w:color w:val="auto"/>
              </w:rPr>
              <w:t>☐</w:t>
            </w:r>
          </w:p>
        </w:tc>
        <w:tc>
          <w:tcPr>
            <w:tcW w:w="4440" w:type="dxa"/>
            <w:vAlign w:val="bottom"/>
          </w:tcPr>
          <w:p>
            <w:pPr>
              <w:ind w:left="1960"/>
              <w:spacing w:after="0"/>
              <w:rPr>
                <w:sz w:val="20"/>
                <w:szCs w:val="20"/>
                <w:color w:val="auto"/>
              </w:rPr>
            </w:pPr>
            <w:r>
              <w:rPr>
                <w:rFonts w:ascii="Arial" w:cs="Arial" w:eastAsia="Arial" w:hAnsi="Arial"/>
                <w:sz w:val="17"/>
                <w:szCs w:val="17"/>
                <w:color w:val="auto"/>
              </w:rPr>
              <w:t>Smaller reporting company</w:t>
            </w:r>
          </w:p>
        </w:tc>
        <w:tc>
          <w:tcPr>
            <w:tcW w:w="780" w:type="dxa"/>
            <w:vAlign w:val="bottom"/>
          </w:tcPr>
          <w:p>
            <w:pPr>
              <w:ind w:left="64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r>
        <w:trPr>
          <w:trHeight w:val="215"/>
        </w:trPr>
        <w:tc>
          <w:tcPr>
            <w:tcW w:w="248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2720" w:type="dxa"/>
            <w:vAlign w:val="bottom"/>
            <w:vMerge w:val="restart"/>
          </w:tcPr>
          <w:p>
            <w:pPr>
              <w:ind w:left="620"/>
              <w:spacing w:after="0" w:line="171" w:lineRule="exact"/>
              <w:rPr>
                <w:sz w:val="20"/>
                <w:szCs w:val="20"/>
                <w:color w:val="auto"/>
              </w:rPr>
            </w:pPr>
            <w:r>
              <w:rPr>
                <w:rFonts w:ascii="MS PGothic" w:cs="MS PGothic" w:eastAsia="MS PGothic" w:hAnsi="MS PGothic"/>
                <w:sz w:val="17"/>
                <w:szCs w:val="17"/>
                <w:color w:val="auto"/>
              </w:rPr>
              <w:t>☐</w:t>
            </w:r>
          </w:p>
        </w:tc>
        <w:tc>
          <w:tcPr>
            <w:tcW w:w="4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2720" w:type="dxa"/>
            <w:vAlign w:val="bottom"/>
            <w:vMerge w:val="continue"/>
          </w:tcPr>
          <w:p>
            <w:pPr>
              <w:spacing w:after="0"/>
              <w:rPr>
                <w:sz w:val="10"/>
                <w:szCs w:val="10"/>
                <w:color w:val="auto"/>
              </w:rPr>
            </w:pPr>
          </w:p>
        </w:tc>
        <w:tc>
          <w:tcPr>
            <w:tcW w:w="4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47" w:lineRule="exact"/>
        <w:rPr>
          <w:sz w:val="24"/>
          <w:szCs w:val="24"/>
          <w:color w:val="auto"/>
        </w:rPr>
      </w:pPr>
    </w:p>
    <w:p>
      <w:pPr>
        <w:ind w:right="140" w:firstLine="459"/>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39" w:lineRule="exact"/>
        <w:rPr>
          <w:sz w:val="24"/>
          <w:szCs w:val="24"/>
          <w:color w:val="auto"/>
        </w:rPr>
      </w:pPr>
    </w:p>
    <w:p>
      <w:pPr>
        <w:jc w:val="right"/>
        <w:ind w:left="160" w:right="2420"/>
        <w:spacing w:after="0" w:line="276"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November 4, 2022, the registrant had 48,759,419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692150</wp:posOffset>
            </wp:positionV>
            <wp:extent cx="7165340"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5340" cy="412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90170</wp:posOffset>
            </wp:positionV>
            <wp:extent cx="70675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6755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114300</wp:posOffset>
            </wp:positionV>
            <wp:extent cx="70675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67550" cy="825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9"/>
        </w:trPr>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620" w:type="dxa"/>
            <w:vAlign w:val="bottom"/>
            <w:gridSpan w:val="10"/>
          </w:tcPr>
          <w:p>
            <w:pPr>
              <w:ind w:left="60"/>
              <w:spacing w:after="0"/>
              <w:rPr>
                <w:sz w:val="20"/>
                <w:szCs w:val="20"/>
                <w:color w:val="auto"/>
              </w:rPr>
            </w:pPr>
            <w:r>
              <w:rPr>
                <w:rFonts w:ascii="Arial" w:cs="Arial" w:eastAsia="Arial" w:hAnsi="Arial"/>
                <w:sz w:val="17"/>
                <w:szCs w:val="17"/>
                <w:b w:val="1"/>
                <w:bCs w:val="1"/>
                <w:color w:val="auto"/>
              </w:rPr>
              <w:t>Table of Contents</w:t>
            </w:r>
          </w:p>
        </w:tc>
        <w:tc>
          <w:tcPr>
            <w:tcW w:w="660" w:type="dxa"/>
            <w:vAlign w:val="bottom"/>
          </w:tcPr>
          <w:p>
            <w:pPr>
              <w:spacing w:after="0"/>
              <w:rPr>
                <w:sz w:val="19"/>
                <w:szCs w:val="19"/>
                <w:color w:val="auto"/>
              </w:rPr>
            </w:pPr>
          </w:p>
        </w:tc>
      </w:tr>
      <w:tr>
        <w:trPr>
          <w:trHeight w:val="294"/>
        </w:trPr>
        <w:tc>
          <w:tcPr>
            <w:tcW w:w="1200" w:type="dxa"/>
            <w:vAlign w:val="bottom"/>
            <w:gridSpan w:val="2"/>
          </w:tcPr>
          <w:p>
            <w:pPr>
              <w:spacing w:after="0"/>
              <w:rPr>
                <w:sz w:val="20"/>
                <w:szCs w:val="20"/>
                <w:color w:val="auto"/>
              </w:rPr>
            </w:pPr>
            <w:r>
              <w:rPr>
                <w:rFonts w:ascii="Arial" w:cs="Arial" w:eastAsia="Arial" w:hAnsi="Arial"/>
                <w:sz w:val="17"/>
                <w:szCs w:val="17"/>
                <w:b w:val="1"/>
                <w:bCs w:val="1"/>
                <w:color w:val="auto"/>
              </w:rPr>
              <w:t>PART I.</w:t>
            </w:r>
          </w:p>
        </w:tc>
        <w:tc>
          <w:tcPr>
            <w:tcW w:w="2140" w:type="dxa"/>
            <w:vAlign w:val="bottom"/>
            <w:tcBorders>
              <w:bottom w:val="single" w:sz="8" w:color="0000FF"/>
            </w:tcBorders>
            <w:gridSpan w:val="9"/>
          </w:tcPr>
          <w:p>
            <w:pPr>
              <w:spacing w:after="0"/>
              <w:rPr>
                <w:sz w:val="20"/>
                <w:szCs w:val="20"/>
                <w:color w:val="auto"/>
              </w:rPr>
            </w:pPr>
            <w:r>
              <w:rPr>
                <w:rFonts w:ascii="Arial" w:cs="Arial" w:eastAsia="Arial" w:hAnsi="Arial"/>
                <w:sz w:val="17"/>
                <w:szCs w:val="17"/>
                <w:color w:val="0000FF"/>
                <w:w w:val="99"/>
              </w:rPr>
              <w:t>FINANCIAL INFORMATION</w:t>
            </w:r>
          </w:p>
        </w:tc>
        <w:tc>
          <w:tcPr>
            <w:tcW w:w="7180" w:type="dxa"/>
            <w:vAlign w:val="bottom"/>
            <w:gridSpan w:val="12"/>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349"/>
        </w:trPr>
        <w:tc>
          <w:tcPr>
            <w:tcW w:w="1200" w:type="dxa"/>
            <w:vAlign w:val="bottom"/>
            <w:gridSpan w:val="2"/>
          </w:tcPr>
          <w:p>
            <w:pPr>
              <w:spacing w:after="0"/>
              <w:rPr>
                <w:sz w:val="20"/>
                <w:szCs w:val="20"/>
                <w:color w:val="auto"/>
              </w:rPr>
            </w:pPr>
            <w:r>
              <w:rPr>
                <w:rFonts w:ascii="Arial" w:cs="Arial" w:eastAsia="Arial" w:hAnsi="Arial"/>
                <w:sz w:val="17"/>
                <w:szCs w:val="17"/>
                <w:color w:val="auto"/>
              </w:rPr>
              <w:t>Item 1.</w:t>
            </w:r>
          </w:p>
        </w:tc>
        <w:tc>
          <w:tcPr>
            <w:tcW w:w="9320" w:type="dxa"/>
            <w:vAlign w:val="bottom"/>
            <w:gridSpan w:val="21"/>
          </w:tcPr>
          <w:p>
            <w:pPr>
              <w:spacing w:after="0"/>
              <w:rPr>
                <w:sz w:val="20"/>
                <w:szCs w:val="20"/>
                <w:color w:val="auto"/>
              </w:rPr>
            </w:pPr>
            <w:r>
              <w:rPr>
                <w:rFonts w:ascii="Arial" w:cs="Arial" w:eastAsia="Arial" w:hAnsi="Arial"/>
                <w:sz w:val="17"/>
                <w:szCs w:val="17"/>
                <w:color w:val="0000FF"/>
              </w:rPr>
              <w:t>Condensed Financial Statements</w:t>
            </w:r>
          </w:p>
        </w:tc>
        <w:tc>
          <w:tcPr>
            <w:tcW w:w="66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0"/>
        </w:trPr>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960" w:type="dxa"/>
            <w:vAlign w:val="bottom"/>
            <w:tcBorders>
              <w:bottom w:val="single" w:sz="8" w:color="0000FF"/>
            </w:tcBorders>
            <w:gridSpan w:val="16"/>
          </w:tcPr>
          <w:p>
            <w:pPr>
              <w:spacing w:after="0"/>
              <w:rPr>
                <w:sz w:val="20"/>
                <w:szCs w:val="20"/>
                <w:color w:val="auto"/>
              </w:rPr>
            </w:pPr>
            <w:r>
              <w:rPr>
                <w:rFonts w:ascii="Arial" w:cs="Arial" w:eastAsia="Arial" w:hAnsi="Arial"/>
                <w:sz w:val="17"/>
                <w:szCs w:val="17"/>
                <w:color w:val="0000FF"/>
                <w:w w:val="88"/>
              </w:rPr>
              <w:t>Condensed Balance Sheets as September 30, 2022 (Unaudited) and December 31, 2021</w:t>
            </w:r>
          </w:p>
        </w:tc>
        <w:tc>
          <w:tcPr>
            <w:tcW w:w="3360" w:type="dxa"/>
            <w:vAlign w:val="bottom"/>
            <w:gridSpan w:val="5"/>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196"/>
        </w:trPr>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320" w:type="dxa"/>
            <w:vAlign w:val="bottom"/>
            <w:gridSpan w:val="21"/>
          </w:tcPr>
          <w:p>
            <w:pPr>
              <w:spacing w:after="0"/>
              <w:rPr>
                <w:sz w:val="20"/>
                <w:szCs w:val="20"/>
                <w:color w:val="auto"/>
              </w:rPr>
            </w:pPr>
            <w:r>
              <w:rPr>
                <w:rFonts w:ascii="Arial" w:cs="Arial" w:eastAsia="Arial" w:hAnsi="Arial"/>
                <w:sz w:val="17"/>
                <w:szCs w:val="17"/>
                <w:color w:val="0000FF"/>
                <w:w w:val="93"/>
              </w:rPr>
              <w:t>Condensed Statements of Operations and Comprehensive Loss for the three and nine months ended September 30, 2022 and 2021</w:t>
            </w:r>
          </w:p>
        </w:tc>
        <w:tc>
          <w:tcPr>
            <w:tcW w:w="66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146"/>
        </w:trPr>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40" w:type="dxa"/>
            <w:vAlign w:val="bottom"/>
            <w:tcBorders>
              <w:top w:val="single" w:sz="8" w:color="0000FF"/>
            </w:tcBorders>
            <w:gridSpan w:val="20"/>
          </w:tcPr>
          <w:p>
            <w:pPr>
              <w:spacing w:after="0" w:line="145" w:lineRule="exact"/>
              <w:rPr>
                <w:sz w:val="20"/>
                <w:szCs w:val="20"/>
                <w:color w:val="auto"/>
              </w:rPr>
            </w:pPr>
            <w:r>
              <w:rPr>
                <w:rFonts w:ascii="Arial" w:cs="Arial" w:eastAsia="Arial" w:hAnsi="Arial"/>
                <w:sz w:val="16"/>
                <w:szCs w:val="16"/>
                <w:color w:val="0000FF"/>
              </w:rPr>
              <w:t>(Unaudited)</w:t>
            </w: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20"/>
        </w:trPr>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9"/>
        </w:trPr>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320" w:type="dxa"/>
            <w:vAlign w:val="bottom"/>
            <w:gridSpan w:val="21"/>
          </w:tcPr>
          <w:p>
            <w:pPr>
              <w:spacing w:after="0"/>
              <w:rPr>
                <w:sz w:val="20"/>
                <w:szCs w:val="20"/>
                <w:color w:val="auto"/>
              </w:rPr>
            </w:pPr>
            <w:r>
              <w:rPr>
                <w:rFonts w:ascii="Arial" w:cs="Arial" w:eastAsia="Arial" w:hAnsi="Arial"/>
                <w:sz w:val="17"/>
                <w:szCs w:val="17"/>
                <w:color w:val="0000FF"/>
                <w:w w:val="96"/>
              </w:rPr>
              <w:t>Condensed Statements of Stockholders’ Equity for the three and nine months ended September 30, 2022 and 2021 (Unaudited)</w:t>
            </w:r>
          </w:p>
        </w:tc>
        <w:tc>
          <w:tcPr>
            <w:tcW w:w="66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0"/>
        </w:trPr>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320" w:type="dxa"/>
            <w:vAlign w:val="bottom"/>
            <w:gridSpan w:val="21"/>
          </w:tcPr>
          <w:p>
            <w:pPr>
              <w:spacing w:after="0"/>
              <w:rPr>
                <w:sz w:val="20"/>
                <w:szCs w:val="20"/>
                <w:color w:val="auto"/>
              </w:rPr>
            </w:pPr>
            <w:r>
              <w:rPr>
                <w:rFonts w:ascii="Arial" w:cs="Arial" w:eastAsia="Arial" w:hAnsi="Arial"/>
                <w:sz w:val="17"/>
                <w:szCs w:val="17"/>
                <w:color w:val="0000FF"/>
              </w:rPr>
              <w:t>Condensed Statements of Cash Flows for the nine months ended September 30, 2022 and 2021 (Unaudited)</w:t>
            </w:r>
          </w:p>
        </w:tc>
        <w:tc>
          <w:tcPr>
            <w:tcW w:w="66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196"/>
        </w:trPr>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70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7"/>
                <w:szCs w:val="17"/>
                <w:color w:val="0000FF"/>
                <w:w w:val="89"/>
              </w:rPr>
              <w:t>Notes to Condensed Financial Statements (Unaudited)</w:t>
            </w:r>
          </w:p>
        </w:tc>
        <w:tc>
          <w:tcPr>
            <w:tcW w:w="3620" w:type="dxa"/>
            <w:vAlign w:val="bottom"/>
            <w:tcBorders>
              <w:top w:val="single" w:sz="8" w:color="0000FF"/>
            </w:tcBorders>
            <w:gridSpan w:val="7"/>
          </w:tcPr>
          <w:p>
            <w:pPr>
              <w:spacing w:after="0"/>
              <w:rPr>
                <w:sz w:val="17"/>
                <w:szCs w:val="17"/>
                <w:color w:val="auto"/>
              </w:rPr>
            </w:pPr>
          </w:p>
        </w:tc>
        <w:tc>
          <w:tcPr>
            <w:tcW w:w="2000" w:type="dxa"/>
            <w:vAlign w:val="bottom"/>
            <w:gridSpan w:val="3"/>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196"/>
        </w:trPr>
        <w:tc>
          <w:tcPr>
            <w:tcW w:w="1200" w:type="dxa"/>
            <w:vAlign w:val="bottom"/>
            <w:gridSpan w:val="2"/>
          </w:tcPr>
          <w:p>
            <w:pPr>
              <w:spacing w:after="0"/>
              <w:rPr>
                <w:sz w:val="20"/>
                <w:szCs w:val="20"/>
                <w:color w:val="auto"/>
              </w:rPr>
            </w:pPr>
            <w:r>
              <w:rPr>
                <w:rFonts w:ascii="Arial" w:cs="Arial" w:eastAsia="Arial" w:hAnsi="Arial"/>
                <w:sz w:val="17"/>
                <w:szCs w:val="17"/>
                <w:color w:val="auto"/>
              </w:rPr>
              <w:t>Item 2.</w:t>
            </w:r>
          </w:p>
        </w:tc>
        <w:tc>
          <w:tcPr>
            <w:tcW w:w="6100" w:type="dxa"/>
            <w:vAlign w:val="bottom"/>
            <w:tcBorders>
              <w:bottom w:val="single" w:sz="8" w:color="0000FF"/>
            </w:tcBorders>
            <w:gridSpan w:val="17"/>
          </w:tcPr>
          <w:p>
            <w:pPr>
              <w:spacing w:after="0"/>
              <w:rPr>
                <w:sz w:val="20"/>
                <w:szCs w:val="20"/>
                <w:color w:val="auto"/>
              </w:rPr>
            </w:pPr>
            <w:r>
              <w:rPr>
                <w:rFonts w:ascii="Arial" w:cs="Arial" w:eastAsia="Arial" w:hAnsi="Arial"/>
                <w:sz w:val="17"/>
                <w:szCs w:val="17"/>
                <w:color w:val="0000FF"/>
                <w:w w:val="90"/>
              </w:rPr>
              <w:t>Management’s Discussion and Analysis of Financial Condition and Results of Operations</w:t>
            </w:r>
          </w:p>
        </w:tc>
        <w:tc>
          <w:tcPr>
            <w:tcW w:w="3220" w:type="dxa"/>
            <w:vAlign w:val="bottom"/>
            <w:gridSpan w:val="4"/>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196"/>
        </w:trPr>
        <w:tc>
          <w:tcPr>
            <w:tcW w:w="1200" w:type="dxa"/>
            <w:vAlign w:val="bottom"/>
            <w:gridSpan w:val="2"/>
          </w:tcPr>
          <w:p>
            <w:pPr>
              <w:spacing w:after="0"/>
              <w:rPr>
                <w:sz w:val="20"/>
                <w:szCs w:val="20"/>
                <w:color w:val="auto"/>
              </w:rPr>
            </w:pPr>
            <w:r>
              <w:rPr>
                <w:rFonts w:ascii="Arial" w:cs="Arial" w:eastAsia="Arial" w:hAnsi="Arial"/>
                <w:sz w:val="17"/>
                <w:szCs w:val="17"/>
                <w:color w:val="auto"/>
              </w:rPr>
              <w:t>Item 3.</w:t>
            </w:r>
          </w:p>
        </w:tc>
        <w:tc>
          <w:tcPr>
            <w:tcW w:w="4120" w:type="dxa"/>
            <w:vAlign w:val="bottom"/>
            <w:tcBorders>
              <w:bottom w:val="single" w:sz="8" w:color="0000FF"/>
            </w:tcBorders>
            <w:gridSpan w:val="13"/>
          </w:tcPr>
          <w:p>
            <w:pPr>
              <w:spacing w:after="0"/>
              <w:rPr>
                <w:sz w:val="20"/>
                <w:szCs w:val="20"/>
                <w:color w:val="auto"/>
              </w:rPr>
            </w:pPr>
            <w:r>
              <w:rPr>
                <w:rFonts w:ascii="Arial" w:cs="Arial" w:eastAsia="Arial" w:hAnsi="Arial"/>
                <w:sz w:val="17"/>
                <w:szCs w:val="17"/>
                <w:color w:val="0000FF"/>
                <w:w w:val="92"/>
              </w:rPr>
              <w:t>Quantitative and Qualitative Disclosures About Market Risk</w:t>
            </w:r>
          </w:p>
        </w:tc>
        <w:tc>
          <w:tcPr>
            <w:tcW w:w="5200" w:type="dxa"/>
            <w:vAlign w:val="bottom"/>
            <w:gridSpan w:val="8"/>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196"/>
        </w:trPr>
        <w:tc>
          <w:tcPr>
            <w:tcW w:w="1200" w:type="dxa"/>
            <w:vAlign w:val="bottom"/>
            <w:gridSpan w:val="2"/>
          </w:tcPr>
          <w:p>
            <w:pPr>
              <w:spacing w:after="0"/>
              <w:rPr>
                <w:sz w:val="20"/>
                <w:szCs w:val="20"/>
                <w:color w:val="auto"/>
              </w:rPr>
            </w:pPr>
            <w:r>
              <w:rPr>
                <w:rFonts w:ascii="Arial" w:cs="Arial" w:eastAsia="Arial" w:hAnsi="Arial"/>
                <w:sz w:val="17"/>
                <w:szCs w:val="17"/>
                <w:color w:val="auto"/>
              </w:rPr>
              <w:t>Item 4.</w:t>
            </w:r>
          </w:p>
        </w:tc>
        <w:tc>
          <w:tcPr>
            <w:tcW w:w="1700" w:type="dxa"/>
            <w:vAlign w:val="bottom"/>
            <w:tcBorders>
              <w:bottom w:val="single" w:sz="8" w:color="0000FF"/>
            </w:tcBorders>
            <w:gridSpan w:val="7"/>
          </w:tcPr>
          <w:p>
            <w:pPr>
              <w:spacing w:after="0"/>
              <w:rPr>
                <w:sz w:val="20"/>
                <w:szCs w:val="20"/>
                <w:color w:val="auto"/>
              </w:rPr>
            </w:pPr>
            <w:r>
              <w:rPr>
                <w:rFonts w:ascii="Arial" w:cs="Arial" w:eastAsia="Arial" w:hAnsi="Arial"/>
                <w:sz w:val="17"/>
                <w:szCs w:val="17"/>
                <w:color w:val="0000FF"/>
                <w:w w:val="89"/>
              </w:rPr>
              <w:t>Controls and Procedures</w:t>
            </w:r>
          </w:p>
        </w:tc>
        <w:tc>
          <w:tcPr>
            <w:tcW w:w="7620" w:type="dxa"/>
            <w:vAlign w:val="bottom"/>
            <w:gridSpan w:val="14"/>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349"/>
        </w:trPr>
        <w:tc>
          <w:tcPr>
            <w:tcW w:w="1200" w:type="dxa"/>
            <w:vAlign w:val="bottom"/>
            <w:gridSpan w:val="2"/>
          </w:tcPr>
          <w:p>
            <w:pPr>
              <w:spacing w:after="0"/>
              <w:rPr>
                <w:sz w:val="20"/>
                <w:szCs w:val="20"/>
                <w:color w:val="auto"/>
              </w:rPr>
            </w:pPr>
            <w:r>
              <w:rPr>
                <w:rFonts w:ascii="Arial" w:cs="Arial" w:eastAsia="Arial" w:hAnsi="Arial"/>
                <w:sz w:val="17"/>
                <w:szCs w:val="17"/>
                <w:b w:val="1"/>
                <w:bCs w:val="1"/>
                <w:color w:val="auto"/>
              </w:rPr>
              <w:t>PART II.</w:t>
            </w:r>
          </w:p>
        </w:tc>
        <w:tc>
          <w:tcPr>
            <w:tcW w:w="9320" w:type="dxa"/>
            <w:vAlign w:val="bottom"/>
            <w:gridSpan w:val="21"/>
          </w:tcPr>
          <w:p>
            <w:pPr>
              <w:spacing w:after="0"/>
              <w:rPr>
                <w:sz w:val="20"/>
                <w:szCs w:val="20"/>
                <w:color w:val="auto"/>
              </w:rPr>
            </w:pPr>
            <w:r>
              <w:rPr>
                <w:rFonts w:ascii="Arial" w:cs="Arial" w:eastAsia="Arial" w:hAnsi="Arial"/>
                <w:sz w:val="17"/>
                <w:szCs w:val="17"/>
                <w:color w:val="0000FF"/>
              </w:rPr>
              <w:t>OTHER INFORMATION</w:t>
            </w:r>
          </w:p>
        </w:tc>
        <w:tc>
          <w:tcPr>
            <w:tcW w:w="66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413"/>
        </w:trPr>
        <w:tc>
          <w:tcPr>
            <w:tcW w:w="1200" w:type="dxa"/>
            <w:vAlign w:val="bottom"/>
            <w:gridSpan w:val="2"/>
          </w:tcPr>
          <w:p>
            <w:pPr>
              <w:spacing w:after="0"/>
              <w:rPr>
                <w:sz w:val="20"/>
                <w:szCs w:val="20"/>
                <w:color w:val="auto"/>
              </w:rPr>
            </w:pPr>
            <w:r>
              <w:rPr>
                <w:rFonts w:ascii="Arial" w:cs="Arial" w:eastAsia="Arial" w:hAnsi="Arial"/>
                <w:sz w:val="17"/>
                <w:szCs w:val="17"/>
                <w:color w:val="auto"/>
              </w:rPr>
              <w:t>Item 1.</w:t>
            </w:r>
          </w:p>
        </w:tc>
        <w:tc>
          <w:tcPr>
            <w:tcW w:w="1780" w:type="dxa"/>
            <w:vAlign w:val="bottom"/>
            <w:tcBorders>
              <w:top w:val="single" w:sz="8" w:color="0000FF"/>
            </w:tcBorders>
            <w:gridSpan w:val="8"/>
          </w:tcPr>
          <w:p>
            <w:pPr>
              <w:spacing w:after="0"/>
              <w:rPr>
                <w:sz w:val="20"/>
                <w:szCs w:val="20"/>
                <w:color w:val="auto"/>
              </w:rPr>
            </w:pPr>
            <w:r>
              <w:rPr>
                <w:rFonts w:ascii="Arial" w:cs="Arial" w:eastAsia="Arial" w:hAnsi="Arial"/>
                <w:sz w:val="17"/>
                <w:szCs w:val="17"/>
                <w:color w:val="0000FF"/>
              </w:rPr>
              <w:t>Legal Proceedings</w:t>
            </w:r>
          </w:p>
        </w:tc>
        <w:tc>
          <w:tcPr>
            <w:tcW w:w="7540" w:type="dxa"/>
            <w:vAlign w:val="bottom"/>
            <w:gridSpan w:val="13"/>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196"/>
        </w:trPr>
        <w:tc>
          <w:tcPr>
            <w:tcW w:w="1200" w:type="dxa"/>
            <w:vAlign w:val="bottom"/>
            <w:gridSpan w:val="2"/>
          </w:tcPr>
          <w:p>
            <w:pPr>
              <w:spacing w:after="0"/>
              <w:rPr>
                <w:sz w:val="20"/>
                <w:szCs w:val="20"/>
                <w:color w:val="auto"/>
              </w:rPr>
            </w:pPr>
            <w:r>
              <w:rPr>
                <w:rFonts w:ascii="Arial" w:cs="Arial" w:eastAsia="Arial" w:hAnsi="Arial"/>
                <w:sz w:val="17"/>
                <w:szCs w:val="17"/>
                <w:color w:val="auto"/>
              </w:rPr>
              <w:t>Item 1A.</w:t>
            </w:r>
          </w:p>
        </w:tc>
        <w:tc>
          <w:tcPr>
            <w:tcW w:w="1260" w:type="dxa"/>
            <w:vAlign w:val="bottom"/>
            <w:tcBorders>
              <w:top w:val="single" w:sz="8" w:color="0000FF"/>
            </w:tcBorders>
            <w:gridSpan w:val="5"/>
          </w:tcPr>
          <w:p>
            <w:pPr>
              <w:spacing w:after="0"/>
              <w:rPr>
                <w:sz w:val="20"/>
                <w:szCs w:val="20"/>
                <w:color w:val="auto"/>
              </w:rPr>
            </w:pPr>
            <w:r>
              <w:rPr>
                <w:rFonts w:ascii="Arial" w:cs="Arial" w:eastAsia="Arial" w:hAnsi="Arial"/>
                <w:sz w:val="17"/>
                <w:szCs w:val="17"/>
                <w:color w:val="0000FF"/>
              </w:rPr>
              <w:t>Risk Factors</w:t>
            </w:r>
          </w:p>
        </w:tc>
        <w:tc>
          <w:tcPr>
            <w:tcW w:w="8060" w:type="dxa"/>
            <w:vAlign w:val="bottom"/>
            <w:gridSpan w:val="16"/>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0"/>
        </w:trPr>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522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200" w:type="dxa"/>
            <w:vAlign w:val="bottom"/>
            <w:gridSpan w:val="2"/>
          </w:tcPr>
          <w:p>
            <w:pPr>
              <w:spacing w:after="0"/>
              <w:rPr>
                <w:sz w:val="20"/>
                <w:szCs w:val="20"/>
                <w:color w:val="auto"/>
              </w:rPr>
            </w:pPr>
            <w:r>
              <w:rPr>
                <w:rFonts w:ascii="Arial" w:cs="Arial" w:eastAsia="Arial" w:hAnsi="Arial"/>
                <w:sz w:val="17"/>
                <w:szCs w:val="17"/>
                <w:color w:val="auto"/>
              </w:rPr>
              <w:t>Item 2.</w:t>
            </w:r>
          </w:p>
        </w:tc>
        <w:tc>
          <w:tcPr>
            <w:tcW w:w="9320" w:type="dxa"/>
            <w:vAlign w:val="bottom"/>
            <w:gridSpan w:val="21"/>
          </w:tcPr>
          <w:p>
            <w:pPr>
              <w:spacing w:after="0"/>
              <w:rPr>
                <w:sz w:val="20"/>
                <w:szCs w:val="20"/>
                <w:color w:val="auto"/>
              </w:rPr>
            </w:pPr>
            <w:r>
              <w:rPr>
                <w:rFonts w:ascii="Arial" w:cs="Arial" w:eastAsia="Arial" w:hAnsi="Arial"/>
                <w:sz w:val="17"/>
                <w:szCs w:val="17"/>
                <w:color w:val="0000FF"/>
              </w:rPr>
              <w:t>Unregistered Sales of Equity Securities and Use of Proceeds</w:t>
            </w:r>
          </w:p>
        </w:tc>
        <w:tc>
          <w:tcPr>
            <w:tcW w:w="660" w:type="dxa"/>
            <w:vAlign w:val="bottom"/>
          </w:tcPr>
          <w:p>
            <w:pPr>
              <w:jc w:val="right"/>
              <w:spacing w:after="0"/>
              <w:rPr>
                <w:sz w:val="20"/>
                <w:szCs w:val="20"/>
                <w:color w:val="auto"/>
              </w:rPr>
            </w:pPr>
            <w:r>
              <w:rPr>
                <w:rFonts w:ascii="Arial" w:cs="Arial" w:eastAsia="Arial" w:hAnsi="Arial"/>
                <w:sz w:val="17"/>
                <w:szCs w:val="17"/>
                <w:color w:val="auto"/>
              </w:rPr>
              <w:t>81</w:t>
            </w:r>
          </w:p>
        </w:tc>
      </w:tr>
      <w:tr>
        <w:trPr>
          <w:trHeight w:val="196"/>
        </w:trPr>
        <w:tc>
          <w:tcPr>
            <w:tcW w:w="1200" w:type="dxa"/>
            <w:vAlign w:val="bottom"/>
            <w:gridSpan w:val="2"/>
          </w:tcPr>
          <w:p>
            <w:pPr>
              <w:spacing w:after="0"/>
              <w:rPr>
                <w:sz w:val="20"/>
                <w:szCs w:val="20"/>
                <w:color w:val="auto"/>
              </w:rPr>
            </w:pPr>
            <w:r>
              <w:rPr>
                <w:rFonts w:ascii="Arial" w:cs="Arial" w:eastAsia="Arial" w:hAnsi="Arial"/>
                <w:sz w:val="17"/>
                <w:szCs w:val="17"/>
                <w:color w:val="auto"/>
              </w:rPr>
              <w:t>Item 3.</w:t>
            </w:r>
          </w:p>
        </w:tc>
        <w:tc>
          <w:tcPr>
            <w:tcW w:w="4100" w:type="dxa"/>
            <w:vAlign w:val="bottom"/>
            <w:tcBorders>
              <w:top w:val="single" w:sz="8" w:color="0000FF"/>
            </w:tcBorders>
            <w:gridSpan w:val="12"/>
          </w:tcPr>
          <w:p>
            <w:pPr>
              <w:spacing w:after="0"/>
              <w:rPr>
                <w:sz w:val="20"/>
                <w:szCs w:val="20"/>
                <w:color w:val="auto"/>
              </w:rPr>
            </w:pPr>
            <w:r>
              <w:rPr>
                <w:rFonts w:ascii="Arial" w:cs="Arial" w:eastAsia="Arial" w:hAnsi="Arial"/>
                <w:sz w:val="17"/>
                <w:szCs w:val="17"/>
                <w:color w:val="0000FF"/>
              </w:rPr>
              <w:t>Defaults Upon Senior Securities</w:t>
            </w:r>
          </w:p>
        </w:tc>
        <w:tc>
          <w:tcPr>
            <w:tcW w:w="5220" w:type="dxa"/>
            <w:vAlign w:val="bottom"/>
            <w:gridSpan w:val="9"/>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81</w:t>
            </w:r>
          </w:p>
        </w:tc>
      </w:tr>
      <w:tr>
        <w:trPr>
          <w:trHeight w:val="196"/>
        </w:trPr>
        <w:tc>
          <w:tcPr>
            <w:tcW w:w="1200" w:type="dxa"/>
            <w:vAlign w:val="bottom"/>
            <w:gridSpan w:val="2"/>
          </w:tcPr>
          <w:p>
            <w:pPr>
              <w:spacing w:after="0"/>
              <w:rPr>
                <w:sz w:val="20"/>
                <w:szCs w:val="20"/>
                <w:color w:val="auto"/>
              </w:rPr>
            </w:pPr>
            <w:r>
              <w:rPr>
                <w:rFonts w:ascii="Arial" w:cs="Arial" w:eastAsia="Arial" w:hAnsi="Arial"/>
                <w:sz w:val="17"/>
                <w:szCs w:val="17"/>
                <w:color w:val="auto"/>
              </w:rPr>
              <w:t>Item 4.</w:t>
            </w:r>
          </w:p>
        </w:tc>
        <w:tc>
          <w:tcPr>
            <w:tcW w:w="168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7"/>
                <w:szCs w:val="17"/>
                <w:color w:val="0000FF"/>
                <w:w w:val="91"/>
              </w:rPr>
              <w:t>Mine Safety Disclosures</w:t>
            </w:r>
          </w:p>
        </w:tc>
        <w:tc>
          <w:tcPr>
            <w:tcW w:w="540" w:type="dxa"/>
            <w:vAlign w:val="bottom"/>
            <w:tcBorders>
              <w:top w:val="single" w:sz="8" w:color="0000FF"/>
            </w:tcBorders>
            <w:gridSpan w:val="4"/>
          </w:tcPr>
          <w:p>
            <w:pPr>
              <w:spacing w:after="0"/>
              <w:rPr>
                <w:sz w:val="17"/>
                <w:szCs w:val="17"/>
                <w:color w:val="auto"/>
              </w:rPr>
            </w:pPr>
          </w:p>
        </w:tc>
        <w:tc>
          <w:tcPr>
            <w:tcW w:w="7100" w:type="dxa"/>
            <w:vAlign w:val="bottom"/>
            <w:gridSpan w:val="11"/>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82</w:t>
            </w:r>
          </w:p>
        </w:tc>
      </w:tr>
      <w:tr>
        <w:trPr>
          <w:trHeight w:val="196"/>
        </w:trPr>
        <w:tc>
          <w:tcPr>
            <w:tcW w:w="1200" w:type="dxa"/>
            <w:vAlign w:val="bottom"/>
            <w:gridSpan w:val="2"/>
          </w:tcPr>
          <w:p>
            <w:pPr>
              <w:spacing w:after="0"/>
              <w:rPr>
                <w:sz w:val="20"/>
                <w:szCs w:val="20"/>
                <w:color w:val="auto"/>
              </w:rPr>
            </w:pPr>
            <w:r>
              <w:rPr>
                <w:rFonts w:ascii="Arial" w:cs="Arial" w:eastAsia="Arial" w:hAnsi="Arial"/>
                <w:sz w:val="17"/>
                <w:szCs w:val="17"/>
                <w:color w:val="auto"/>
              </w:rPr>
              <w:t>Item 5.</w:t>
            </w:r>
          </w:p>
        </w:tc>
        <w:tc>
          <w:tcPr>
            <w:tcW w:w="9320" w:type="dxa"/>
            <w:vAlign w:val="bottom"/>
            <w:gridSpan w:val="21"/>
          </w:tcPr>
          <w:p>
            <w:pPr>
              <w:spacing w:after="0"/>
              <w:rPr>
                <w:sz w:val="20"/>
                <w:szCs w:val="20"/>
                <w:color w:val="auto"/>
              </w:rPr>
            </w:pPr>
            <w:r>
              <w:rPr>
                <w:rFonts w:ascii="Arial" w:cs="Arial" w:eastAsia="Arial" w:hAnsi="Arial"/>
                <w:sz w:val="17"/>
                <w:szCs w:val="17"/>
                <w:color w:val="0000FF"/>
              </w:rPr>
              <w:t>Other Information</w:t>
            </w:r>
          </w:p>
        </w:tc>
        <w:tc>
          <w:tcPr>
            <w:tcW w:w="660" w:type="dxa"/>
            <w:vAlign w:val="bottom"/>
          </w:tcPr>
          <w:p>
            <w:pPr>
              <w:jc w:val="right"/>
              <w:spacing w:after="0"/>
              <w:rPr>
                <w:sz w:val="20"/>
                <w:szCs w:val="20"/>
                <w:color w:val="auto"/>
              </w:rPr>
            </w:pPr>
            <w:r>
              <w:rPr>
                <w:rFonts w:ascii="Arial" w:cs="Arial" w:eastAsia="Arial" w:hAnsi="Arial"/>
                <w:sz w:val="17"/>
                <w:szCs w:val="17"/>
                <w:color w:val="auto"/>
              </w:rPr>
              <w:t>82</w:t>
            </w:r>
          </w:p>
        </w:tc>
      </w:tr>
      <w:tr>
        <w:trPr>
          <w:trHeight w:val="196"/>
        </w:trPr>
        <w:tc>
          <w:tcPr>
            <w:tcW w:w="1200" w:type="dxa"/>
            <w:vAlign w:val="bottom"/>
            <w:gridSpan w:val="2"/>
          </w:tcPr>
          <w:p>
            <w:pPr>
              <w:spacing w:after="0"/>
              <w:rPr>
                <w:sz w:val="20"/>
                <w:szCs w:val="20"/>
                <w:color w:val="auto"/>
              </w:rPr>
            </w:pPr>
            <w:r>
              <w:rPr>
                <w:rFonts w:ascii="Arial" w:cs="Arial" w:eastAsia="Arial" w:hAnsi="Arial"/>
                <w:sz w:val="17"/>
                <w:szCs w:val="17"/>
                <w:color w:val="auto"/>
              </w:rPr>
              <w:t>Item 6.</w:t>
            </w:r>
          </w:p>
        </w:tc>
        <w:tc>
          <w:tcPr>
            <w:tcW w:w="1240" w:type="dxa"/>
            <w:vAlign w:val="bottom"/>
            <w:tcBorders>
              <w:top w:val="single" w:sz="8" w:color="0000FF"/>
            </w:tcBorders>
            <w:gridSpan w:val="4"/>
          </w:tcPr>
          <w:p>
            <w:pPr>
              <w:spacing w:after="0"/>
              <w:rPr>
                <w:sz w:val="20"/>
                <w:szCs w:val="20"/>
                <w:color w:val="auto"/>
              </w:rPr>
            </w:pPr>
            <w:r>
              <w:rPr>
                <w:rFonts w:ascii="Arial" w:cs="Arial" w:eastAsia="Arial" w:hAnsi="Arial"/>
                <w:sz w:val="17"/>
                <w:szCs w:val="17"/>
                <w:color w:val="0000FF"/>
              </w:rPr>
              <w:t>Exhibits</w:t>
            </w:r>
          </w:p>
        </w:tc>
        <w:tc>
          <w:tcPr>
            <w:tcW w:w="8080" w:type="dxa"/>
            <w:vAlign w:val="bottom"/>
            <w:gridSpan w:val="17"/>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82</w:t>
            </w:r>
          </w:p>
        </w:tc>
      </w:tr>
      <w:tr>
        <w:trPr>
          <w:trHeight w:val="196"/>
        </w:trPr>
        <w:tc>
          <w:tcPr>
            <w:tcW w:w="72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86"/>
              </w:rPr>
              <w:t>Signatures</w:t>
            </w:r>
          </w:p>
        </w:tc>
        <w:tc>
          <w:tcPr>
            <w:tcW w:w="48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65405</wp:posOffset>
            </wp:positionV>
            <wp:extent cx="7165340"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180"/>
          </w:cols>
          <w:pgMar w:left="340" w:top="849" w:right="37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4" w:lineRule="exact"/>
        <w:rPr>
          <w:sz w:val="20"/>
          <w:szCs w:val="20"/>
          <w:color w:val="auto"/>
        </w:rPr>
      </w:pPr>
    </w:p>
    <w:p>
      <w:pPr>
        <w:ind w:right="20" w:firstLine="1070"/>
        <w:spacing w:after="0" w:line="251" w:lineRule="auto"/>
        <w:rPr>
          <w:sz w:val="20"/>
          <w:szCs w:val="20"/>
          <w:color w:val="auto"/>
        </w:rPr>
      </w:pPr>
      <w:r>
        <w:rPr>
          <w:rFonts w:ascii="Arial" w:cs="Arial" w:eastAsia="Arial" w:hAnsi="Arial"/>
          <w:sz w:val="17"/>
          <w:szCs w:val="17"/>
          <w:color w:val="auto"/>
        </w:rPr>
        <w:t>This Quarterly Report on Form 10-Q (the "Report") contains forward-looking statements that involve risks, uncertainties, and assumptions that, if they never materialize or prove incorrect, could cause our results to differ materially from those expressed or implied by such forward-looking statements. The statements contained in this Report that are not purely historical are forward-looking statements within the meaning of Section 27A of the Securities Act of 1933, as amended, or the Securities Act, and Section 21E of the Securities Exchange Act of 1934, as amended, or the Exchange Act. Forward-looking statements are often identified by the use of words such as, but not limited to, “anticipate,” “believe,” “could,” “estimate,” “expect,” “intend,” “may,” “plan,” “potential,” “predict,” “project,” “should,” “will,” “would” or the negative of those terms, and similar expressions that convey uncertainty of future events or outcomes. Any statements contained herein that are not statements of historical facts may be deemed to be forward-looking statements. Forward-looking statements in this Report include, but are not limited to, statements about:</w:t>
      </w:r>
    </w:p>
    <w:p>
      <w:pPr>
        <w:spacing w:after="0" w:line="85" w:lineRule="exact"/>
        <w:rPr>
          <w:sz w:val="20"/>
          <w:szCs w:val="20"/>
          <w:color w:val="auto"/>
        </w:rPr>
      </w:pPr>
    </w:p>
    <w:p>
      <w:pPr>
        <w:ind w:left="1300" w:hanging="228"/>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regarding expenses, future revenue, capital requirements and needs for additional financing;</w:t>
      </w:r>
    </w:p>
    <w:p>
      <w:pPr>
        <w:spacing w:after="0" w:line="110" w:lineRule="exact"/>
        <w:rPr>
          <w:rFonts w:ascii="Arial" w:cs="Arial" w:eastAsia="Arial" w:hAnsi="Arial"/>
          <w:sz w:val="17"/>
          <w:szCs w:val="17"/>
          <w:color w:val="auto"/>
        </w:rPr>
      </w:pPr>
    </w:p>
    <w:p>
      <w:pPr>
        <w:ind w:left="2140" w:right="60" w:hanging="1068"/>
        <w:spacing w:after="0" w:line="274" w:lineRule="auto"/>
        <w:tabs>
          <w:tab w:leader="none" w:pos="129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success, cost and timing of our product development activities and clinical trials of our lead product candidate, PLN-74809 (bexotegrast), as well as PLN-1474 and our other product candidates;</w:t>
      </w:r>
    </w:p>
    <w:p>
      <w:pPr>
        <w:spacing w:after="0" w:line="63" w:lineRule="exact"/>
        <w:rPr>
          <w:rFonts w:ascii="Arial" w:cs="Arial" w:eastAsia="Arial" w:hAnsi="Arial"/>
          <w:sz w:val="17"/>
          <w:szCs w:val="17"/>
          <w:color w:val="auto"/>
        </w:rPr>
      </w:pPr>
    </w:p>
    <w:p>
      <w:pPr>
        <w:ind w:left="1300" w:hanging="228"/>
        <w:spacing w:after="0"/>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estimates regarding the impact of the COVID-19 pandemic on our business and operations and our ability to manage such impacts;</w:t>
      </w:r>
    </w:p>
    <w:p>
      <w:pPr>
        <w:spacing w:after="0" w:line="121" w:lineRule="exact"/>
        <w:rPr>
          <w:rFonts w:ascii="Arial" w:cs="Arial" w:eastAsia="Arial" w:hAnsi="Arial"/>
          <w:sz w:val="16"/>
          <w:szCs w:val="16"/>
          <w:color w:val="auto"/>
        </w:rPr>
      </w:pPr>
    </w:p>
    <w:p>
      <w:pPr>
        <w:ind w:left="1300" w:hanging="228"/>
        <w:spacing w:after="0"/>
        <w:tabs>
          <w:tab w:leader="none" w:pos="130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or our current or future collaborators' plans to initiate, recruit and enroll patients in, and conduct our clinical trials at the pace that we project;</w:t>
      </w:r>
    </w:p>
    <w:p>
      <w:pPr>
        <w:spacing w:after="0" w:line="133" w:lineRule="exact"/>
        <w:rPr>
          <w:rFonts w:ascii="Arial" w:cs="Arial" w:eastAsia="Arial" w:hAnsi="Arial"/>
          <w:sz w:val="15"/>
          <w:szCs w:val="15"/>
          <w:color w:val="auto"/>
        </w:rPr>
      </w:pPr>
    </w:p>
    <w:p>
      <w:pPr>
        <w:ind w:left="1300" w:hanging="228"/>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and strategy to obtain and maintain regulatory approvals of our product candidates;</w:t>
      </w:r>
    </w:p>
    <w:p>
      <w:pPr>
        <w:spacing w:after="0" w:line="110" w:lineRule="exact"/>
        <w:rPr>
          <w:rFonts w:ascii="Arial" w:cs="Arial" w:eastAsia="Arial" w:hAnsi="Arial"/>
          <w:sz w:val="17"/>
          <w:szCs w:val="17"/>
          <w:color w:val="auto"/>
        </w:rPr>
      </w:pPr>
    </w:p>
    <w:p>
      <w:pPr>
        <w:ind w:left="2140" w:right="160" w:hanging="1068"/>
        <w:spacing w:after="0" w:line="274" w:lineRule="auto"/>
        <w:tabs>
          <w:tab w:leader="none" w:pos="1299"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and strategy to obtain funding for our operations, including funding necessary to complete further development and, upon successful development, if approved, commercialize any of our product candidates;</w:t>
      </w:r>
    </w:p>
    <w:p>
      <w:pPr>
        <w:spacing w:after="0" w:line="63" w:lineRule="exact"/>
        <w:rPr>
          <w:rFonts w:ascii="Arial" w:cs="Arial" w:eastAsia="Arial" w:hAnsi="Arial"/>
          <w:sz w:val="17"/>
          <w:szCs w:val="17"/>
          <w:color w:val="auto"/>
        </w:rPr>
      </w:pPr>
    </w:p>
    <w:p>
      <w:pPr>
        <w:ind w:left="2140" w:right="120" w:hanging="1068"/>
        <w:spacing w:after="0" w:line="274" w:lineRule="auto"/>
        <w:tabs>
          <w:tab w:leader="none" w:pos="213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borrow additional term loans under our term loan facility (the “Oxford Loan Agreement”) with Oxford Finance LLC, as collateral agent and lender (“Oxford”);</w:t>
      </w:r>
    </w:p>
    <w:p>
      <w:pPr>
        <w:spacing w:after="0" w:line="63" w:lineRule="exact"/>
        <w:rPr>
          <w:rFonts w:ascii="Arial" w:cs="Arial" w:eastAsia="Arial" w:hAnsi="Arial"/>
          <w:sz w:val="17"/>
          <w:szCs w:val="17"/>
          <w:color w:val="auto"/>
        </w:rPr>
      </w:pPr>
    </w:p>
    <w:p>
      <w:pPr>
        <w:ind w:left="1300" w:hanging="228"/>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potential benefits of orphan drug and fast track designations for PLN-74809 (bexotegrast);</w:t>
      </w:r>
    </w:p>
    <w:p>
      <w:pPr>
        <w:spacing w:after="0" w:line="110" w:lineRule="exact"/>
        <w:rPr>
          <w:rFonts w:ascii="Arial" w:cs="Arial" w:eastAsia="Arial" w:hAnsi="Arial"/>
          <w:sz w:val="17"/>
          <w:szCs w:val="17"/>
          <w:color w:val="auto"/>
        </w:rPr>
      </w:pPr>
    </w:p>
    <w:p>
      <w:pPr>
        <w:ind w:left="1300" w:hanging="228"/>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compete with companies currently marketing or engaged in the development of treatments for fibrosis;</w:t>
      </w:r>
    </w:p>
    <w:p>
      <w:pPr>
        <w:spacing w:after="0" w:line="110" w:lineRule="exact"/>
        <w:rPr>
          <w:rFonts w:ascii="Arial" w:cs="Arial" w:eastAsia="Arial" w:hAnsi="Arial"/>
          <w:sz w:val="17"/>
          <w:szCs w:val="17"/>
          <w:color w:val="auto"/>
        </w:rPr>
      </w:pPr>
    </w:p>
    <w:p>
      <w:pPr>
        <w:ind w:left="2140" w:right="180" w:hanging="1068"/>
        <w:spacing w:after="0" w:line="274" w:lineRule="auto"/>
        <w:tabs>
          <w:tab w:leader="none" w:pos="1299"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and strategy regarding obtaining and maintaining intellectual property protection for our product candidates and the duration of such protection;</w:t>
      </w:r>
    </w:p>
    <w:p>
      <w:pPr>
        <w:spacing w:after="0" w:line="63" w:lineRule="exact"/>
        <w:rPr>
          <w:rFonts w:ascii="Arial" w:cs="Arial" w:eastAsia="Arial" w:hAnsi="Arial"/>
          <w:sz w:val="17"/>
          <w:szCs w:val="17"/>
          <w:color w:val="auto"/>
        </w:rPr>
      </w:pPr>
    </w:p>
    <w:p>
      <w:pPr>
        <w:ind w:left="1300" w:hanging="228"/>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and strategy regarding the manufacture of our product candidates for clinical trials and for commercial use, if approved;</w:t>
      </w:r>
    </w:p>
    <w:p>
      <w:pPr>
        <w:spacing w:after="0" w:line="110" w:lineRule="exact"/>
        <w:rPr>
          <w:rFonts w:ascii="Arial" w:cs="Arial" w:eastAsia="Arial" w:hAnsi="Arial"/>
          <w:sz w:val="17"/>
          <w:szCs w:val="17"/>
          <w:color w:val="auto"/>
        </w:rPr>
      </w:pPr>
    </w:p>
    <w:p>
      <w:pPr>
        <w:ind w:left="2140" w:right="20" w:hanging="1068"/>
        <w:spacing w:after="0" w:line="274" w:lineRule="auto"/>
        <w:tabs>
          <w:tab w:leader="none" w:pos="1299"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dependence on current and future collaborators for developing, obtaining regulatory approval for and commercializing product candidates in the collaboration;</w:t>
      </w:r>
    </w:p>
    <w:p>
      <w:pPr>
        <w:spacing w:after="0" w:line="63" w:lineRule="exact"/>
        <w:rPr>
          <w:rFonts w:ascii="Arial" w:cs="Arial" w:eastAsia="Arial" w:hAnsi="Arial"/>
          <w:sz w:val="17"/>
          <w:szCs w:val="17"/>
          <w:color w:val="auto"/>
        </w:rPr>
      </w:pPr>
    </w:p>
    <w:p>
      <w:pPr>
        <w:ind w:left="2140" w:right="540" w:hanging="1068"/>
        <w:spacing w:after="0" w:line="274" w:lineRule="auto"/>
        <w:tabs>
          <w:tab w:leader="none" w:pos="1299"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receipt and timing of any milestone payments or royalties under any current of future research collaboration or license agreements or arrangements;</w:t>
      </w:r>
    </w:p>
    <w:p>
      <w:pPr>
        <w:spacing w:after="0" w:line="63" w:lineRule="exact"/>
        <w:rPr>
          <w:rFonts w:ascii="Arial" w:cs="Arial" w:eastAsia="Arial" w:hAnsi="Arial"/>
          <w:sz w:val="17"/>
          <w:szCs w:val="17"/>
          <w:color w:val="auto"/>
        </w:rPr>
      </w:pPr>
    </w:p>
    <w:p>
      <w:pPr>
        <w:ind w:left="2140" w:right="320" w:hanging="1068"/>
        <w:spacing w:after="0" w:line="274" w:lineRule="auto"/>
        <w:tabs>
          <w:tab w:leader="none" w:pos="1299"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and strategy regarding the commercialization of any products that are approved for marketing and our ability to establish adequate pricing in the U.S. and international markets;</w:t>
      </w:r>
    </w:p>
    <w:p>
      <w:pPr>
        <w:spacing w:after="0" w:line="63" w:lineRule="exact"/>
        <w:rPr>
          <w:rFonts w:ascii="Arial" w:cs="Arial" w:eastAsia="Arial" w:hAnsi="Arial"/>
          <w:sz w:val="17"/>
          <w:szCs w:val="17"/>
          <w:color w:val="auto"/>
        </w:rPr>
      </w:pPr>
    </w:p>
    <w:p>
      <w:pPr>
        <w:ind w:left="2140" w:right="260" w:hanging="1068"/>
        <w:spacing w:after="0" w:line="274" w:lineRule="auto"/>
        <w:tabs>
          <w:tab w:leader="none" w:pos="129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size and growth potential of the markets for our product candidates, and our ability to serve those markets, either alone or in combination with others;</w:t>
      </w:r>
    </w:p>
    <w:p>
      <w:pPr>
        <w:spacing w:after="0" w:line="63" w:lineRule="exact"/>
        <w:rPr>
          <w:rFonts w:ascii="Arial" w:cs="Arial" w:eastAsia="Arial" w:hAnsi="Arial"/>
          <w:sz w:val="17"/>
          <w:szCs w:val="17"/>
          <w:color w:val="auto"/>
        </w:rPr>
      </w:pPr>
    </w:p>
    <w:p>
      <w:pPr>
        <w:ind w:left="1300" w:hanging="228"/>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and retain qualified employees and key personnel; and</w:t>
      </w:r>
    </w:p>
    <w:p>
      <w:pPr>
        <w:spacing w:after="0" w:line="110" w:lineRule="exact"/>
        <w:rPr>
          <w:rFonts w:ascii="Arial" w:cs="Arial" w:eastAsia="Arial" w:hAnsi="Arial"/>
          <w:sz w:val="17"/>
          <w:szCs w:val="17"/>
          <w:color w:val="auto"/>
        </w:rPr>
      </w:pPr>
    </w:p>
    <w:p>
      <w:pPr>
        <w:ind w:left="1300" w:hanging="228"/>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government and third-party payor coverage and reimbursement.</w:t>
      </w:r>
    </w:p>
    <w:p>
      <w:pPr>
        <w:spacing w:after="0" w:line="110" w:lineRule="exact"/>
        <w:rPr>
          <w:sz w:val="20"/>
          <w:szCs w:val="20"/>
          <w:color w:val="auto"/>
        </w:rPr>
      </w:pPr>
    </w:p>
    <w:p>
      <w:pPr>
        <w:ind w:right="40" w:firstLine="1070"/>
        <w:spacing w:after="0" w:line="275" w:lineRule="auto"/>
        <w:rPr>
          <w:sz w:val="20"/>
          <w:szCs w:val="20"/>
          <w:color w:val="auto"/>
        </w:rPr>
      </w:pPr>
      <w:r>
        <w:rPr>
          <w:rFonts w:ascii="Arial" w:cs="Arial" w:eastAsia="Arial" w:hAnsi="Arial"/>
          <w:sz w:val="16"/>
          <w:szCs w:val="16"/>
          <w:color w:val="auto"/>
        </w:rPr>
        <w:t>These statements are based on the beliefs and assumptions of our management, which are in turn based on information currently available to management. Such forward-looking statements are subject to risks, uncertainties and other important factors that could cause actual results and the timing of certain events to differ materially from future results and timing expressed or implied by such forward-looking statements. Factors that could cause or contribute to such differences include, but are not limited to, those discussed in the section entitled “Risk Factors” included under Part II, Item 1A in this Report. Furthermore, such forward-looking statements speak only as of the date of this Report. Except as required by law, we</w:t>
      </w: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180"/>
          </w:cols>
          <w:pgMar w:left="320" w:top="938" w:right="399" w:bottom="1440" w:gutter="0" w:footer="0" w:header="0"/>
        </w:sectPr>
      </w:pPr>
    </w:p>
    <w:bookmarkStart w:id="3" w:name="page4"/>
    <w:bookmarkEnd w:id="3"/>
    <w:p>
      <w:pPr>
        <w:spacing w:after="0"/>
        <w:rPr>
          <w:sz w:val="20"/>
          <w:szCs w:val="20"/>
          <w:color w:val="auto"/>
        </w:rPr>
      </w:pPr>
      <w:r>
        <w:rPr>
          <w:rFonts w:ascii="Arial" w:cs="Arial" w:eastAsia="Arial" w:hAnsi="Arial"/>
          <w:sz w:val="15"/>
          <w:szCs w:val="15"/>
          <w:color w:val="auto"/>
        </w:rPr>
        <w:t>undertake no obligation to update any forward-looking statements to reflect events or circumstances after the date of such statements.</w:t>
      </w:r>
    </w:p>
    <w:p>
      <w:pPr>
        <w:sectPr>
          <w:pgSz w:w="11900" w:h="16838" w:orient="portrait"/>
          <w:cols w:equalWidth="0" w:num="1">
            <w:col w:w="10139"/>
          </w:cols>
          <w:pgMar w:left="320" w:top="955" w:right="1440" w:bottom="1440" w:gutter="0" w:footer="0" w:header="0"/>
        </w:sectPr>
      </w:pPr>
    </w:p>
    <w:p>
      <w:pPr>
        <w:spacing w:after="0" w:line="200" w:lineRule="exact"/>
        <w:rPr>
          <w:sz w:val="20"/>
          <w:szCs w:val="20"/>
          <w:color w:val="auto"/>
        </w:rPr>
      </w:pPr>
    </w:p>
    <w:p>
      <w:pPr>
        <w:spacing w:after="0" w:line="353"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86995</wp:posOffset>
            </wp:positionV>
            <wp:extent cx="7165340"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0139"/>
          </w:cols>
          <w:pgMar w:left="320" w:top="955" w:right="1440"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7"/>
          <w:szCs w:val="17"/>
          <w:b w:val="1"/>
          <w:bCs w:val="1"/>
          <w:color w:val="auto"/>
        </w:rPr>
        <w:t>SUMMARY OF RISKS ASSOCIATED WITH OUR BUSINESS</w:t>
      </w:r>
    </w:p>
    <w:p>
      <w:pPr>
        <w:spacing w:after="0" w:line="24" w:lineRule="exact"/>
        <w:rPr>
          <w:sz w:val="20"/>
          <w:szCs w:val="20"/>
          <w:color w:val="auto"/>
        </w:rPr>
      </w:pPr>
    </w:p>
    <w:p>
      <w:pPr>
        <w:ind w:right="100" w:firstLine="611"/>
        <w:spacing w:after="0" w:line="270" w:lineRule="auto"/>
        <w:rPr>
          <w:sz w:val="20"/>
          <w:szCs w:val="20"/>
          <w:color w:val="auto"/>
        </w:rPr>
      </w:pPr>
      <w:r>
        <w:rPr>
          <w:rFonts w:ascii="Arial" w:cs="Arial" w:eastAsia="Arial" w:hAnsi="Arial"/>
          <w:sz w:val="16"/>
          <w:szCs w:val="16"/>
          <w:color w:val="auto"/>
        </w:rPr>
        <w:t>Our business involves significant risks, some of which are summarized below. The summary risk factors listed below should be read together with the text of the full risk factors discussed in "Part II, Item 1A. Risk Factors" in this Report. You should carefully consider the risks described below, as well as the other information in this Report, including our financial statements and the related notes and “Management’s Discussion and Analysis of Financial Condition and Results of Operations” as well as in other documents that we file with the Securities and Exchange Commission, or the SEC. The occurrence of any of the events or developments described in this Report could have a material adverse effect on our business, financial condition, results of operations, growth prospects and stock price. In such an event, the market price of our common stock could decline. Additional risks and uncertainties not presently known to us or that we currently deem immaterial may also impair our business operations and the market price of our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Our Financial Position and Need for Additional Capital</w:t>
      </w:r>
    </w:p>
    <w:p>
      <w:pPr>
        <w:spacing w:after="0" w:line="110" w:lineRule="exact"/>
        <w:rPr>
          <w:sz w:val="20"/>
          <w:szCs w:val="20"/>
          <w:color w:val="auto"/>
        </w:rPr>
      </w:pPr>
    </w:p>
    <w:p>
      <w:pPr>
        <w:ind w:left="1300" w:hanging="228"/>
        <w:spacing w:after="0"/>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incurred significant net losses since inception, and we expect to continue to incur significant net losses for the foreseeable future.</w:t>
      </w:r>
    </w:p>
    <w:p>
      <w:pPr>
        <w:spacing w:after="0" w:line="121" w:lineRule="exact"/>
        <w:rPr>
          <w:rFonts w:ascii="Arial" w:cs="Arial" w:eastAsia="Arial" w:hAnsi="Arial"/>
          <w:sz w:val="16"/>
          <w:szCs w:val="16"/>
          <w:color w:val="auto"/>
        </w:rPr>
      </w:pPr>
    </w:p>
    <w:p>
      <w:pPr>
        <w:ind w:left="2140" w:hanging="1068"/>
        <w:spacing w:after="0" w:line="262" w:lineRule="auto"/>
        <w:tabs>
          <w:tab w:leader="none" w:pos="1296"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will require substantial additional capital to finance our operations. If we are unable to raise such capital when needed, or on acceptable terms, we may be forced to delay, reduce and/or eliminate one or more of our research and drug development programs, future commercialization efforts or other operations.</w:t>
      </w:r>
    </w:p>
    <w:p>
      <w:pPr>
        <w:spacing w:after="0" w:line="72" w:lineRule="exact"/>
        <w:rPr>
          <w:rFonts w:ascii="Arial" w:cs="Arial" w:eastAsia="Arial" w:hAnsi="Arial"/>
          <w:sz w:val="17"/>
          <w:szCs w:val="17"/>
          <w:color w:val="auto"/>
        </w:rPr>
      </w:pPr>
    </w:p>
    <w:p>
      <w:pPr>
        <w:ind w:left="2140" w:hanging="1068"/>
        <w:spacing w:after="0" w:line="313" w:lineRule="auto"/>
        <w:tabs>
          <w:tab w:leader="none" w:pos="2136" w:val="left"/>
        </w:tabs>
        <w:numPr>
          <w:ilvl w:val="0"/>
          <w:numId w:val="4"/>
        </w:numPr>
        <w:rPr>
          <w:rFonts w:ascii="Arial" w:cs="Arial" w:eastAsia="Arial" w:hAnsi="Arial"/>
          <w:sz w:val="15"/>
          <w:szCs w:val="15"/>
          <w:color w:val="auto"/>
        </w:rPr>
      </w:pPr>
      <w:r>
        <w:rPr>
          <w:rFonts w:ascii="Arial" w:cs="Arial" w:eastAsia="Arial" w:hAnsi="Arial"/>
          <w:sz w:val="15"/>
          <w:szCs w:val="15"/>
          <w:color w:val="auto"/>
        </w:rPr>
        <w:t>Covenants and other provisions in the Oxford Loan Agreement restrict our business and operations in many ways, and if we do not effectively manage our covenants, our financial conditions and results of operations could be adversely affected. In addition, our operations may not provide sufficient cash to meet the repayment obligations of our debt incurred under the Oxford Loan Agreement.</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Research and Development and the Biopharmaceutical Industry</w:t>
      </w:r>
    </w:p>
    <w:p>
      <w:pPr>
        <w:spacing w:after="0" w:line="110" w:lineRule="exact"/>
        <w:rPr>
          <w:sz w:val="20"/>
          <w:szCs w:val="20"/>
          <w:color w:val="auto"/>
        </w:rPr>
      </w:pPr>
    </w:p>
    <w:p>
      <w:pPr>
        <w:ind w:left="1300" w:hanging="228"/>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a limited operating history, which may make it difficult to evaluate our prospects and likelihood of success.</w:t>
      </w:r>
    </w:p>
    <w:p>
      <w:pPr>
        <w:spacing w:after="0" w:line="110" w:lineRule="exact"/>
        <w:rPr>
          <w:rFonts w:ascii="Arial" w:cs="Arial" w:eastAsia="Arial" w:hAnsi="Arial"/>
          <w:sz w:val="17"/>
          <w:szCs w:val="17"/>
          <w:color w:val="auto"/>
        </w:rPr>
      </w:pPr>
    </w:p>
    <w:p>
      <w:pPr>
        <w:ind w:left="2140" w:right="260" w:hanging="1068"/>
        <w:spacing w:after="0" w:line="313" w:lineRule="auto"/>
        <w:tabs>
          <w:tab w:leader="none" w:pos="1299"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business is highly dependent on the success of our lead product candidate, PLN-74809 (bexotegrast), as well as PLN-1474 and any other product candidates that we advance into the clinic. All of our product candidates will require significant additional preclinical and clinical development before we may be able to seek regulatory approval for and launch a product commercially.</w:t>
      </w:r>
    </w:p>
    <w:p>
      <w:pPr>
        <w:spacing w:after="0" w:line="38" w:lineRule="exact"/>
        <w:rPr>
          <w:rFonts w:ascii="Arial" w:cs="Arial" w:eastAsia="Arial" w:hAnsi="Arial"/>
          <w:sz w:val="15"/>
          <w:szCs w:val="15"/>
          <w:color w:val="auto"/>
        </w:rPr>
      </w:pPr>
    </w:p>
    <w:p>
      <w:pPr>
        <w:ind w:left="2140" w:right="540" w:hanging="1068"/>
        <w:spacing w:after="0" w:line="274" w:lineRule="auto"/>
        <w:tabs>
          <w:tab w:leader="none" w:pos="2136"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approach to drug discovery and development in the area of fibrotic diseases is unproven and may not result in marketable products</w:t>
      </w:r>
    </w:p>
    <w:p>
      <w:pPr>
        <w:spacing w:after="0" w:line="63" w:lineRule="exact"/>
        <w:rPr>
          <w:rFonts w:ascii="Arial" w:cs="Arial" w:eastAsia="Arial" w:hAnsi="Arial"/>
          <w:sz w:val="17"/>
          <w:szCs w:val="17"/>
          <w:color w:val="auto"/>
        </w:rPr>
      </w:pPr>
    </w:p>
    <w:p>
      <w:pPr>
        <w:ind w:left="1300" w:hanging="228"/>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Clinical development involves a lengthy, complex, and expensive process, with an uncertain outcome.</w:t>
      </w:r>
    </w:p>
    <w:p>
      <w:pPr>
        <w:spacing w:after="0" w:line="110" w:lineRule="exact"/>
        <w:rPr>
          <w:rFonts w:ascii="Arial" w:cs="Arial" w:eastAsia="Arial" w:hAnsi="Arial"/>
          <w:sz w:val="17"/>
          <w:szCs w:val="17"/>
          <w:color w:val="auto"/>
        </w:rPr>
      </w:pPr>
    </w:p>
    <w:p>
      <w:pPr>
        <w:ind w:left="2140" w:right="160" w:hanging="1068"/>
        <w:spacing w:after="0" w:line="274" w:lineRule="auto"/>
        <w:tabs>
          <w:tab w:leader="none" w:pos="1296"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incur additional costs or experience delays in completing, or ultimately be unable to complete, the development and commercialization of PLN-74809 (bexotegrast) or any other product candidates.</w:t>
      </w:r>
    </w:p>
    <w:p>
      <w:pPr>
        <w:spacing w:after="0" w:line="63" w:lineRule="exact"/>
        <w:rPr>
          <w:rFonts w:ascii="Arial" w:cs="Arial" w:eastAsia="Arial" w:hAnsi="Arial"/>
          <w:sz w:val="17"/>
          <w:szCs w:val="17"/>
          <w:color w:val="auto"/>
        </w:rPr>
      </w:pPr>
    </w:p>
    <w:p>
      <w:pPr>
        <w:ind w:left="2140" w:right="580" w:hanging="1068"/>
        <w:spacing w:after="0" w:line="274" w:lineRule="auto"/>
        <w:tabs>
          <w:tab w:leader="none" w:pos="1296"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fail to obtain and maintain orphan drug designations in some jurisdictions and therefore fail to secure orphan exclusivity in those jurisdictions.</w:t>
      </w:r>
    </w:p>
    <w:p>
      <w:pPr>
        <w:spacing w:after="0" w:line="63" w:lineRule="exact"/>
        <w:rPr>
          <w:rFonts w:ascii="Arial" w:cs="Arial" w:eastAsia="Arial" w:hAnsi="Arial"/>
          <w:sz w:val="17"/>
          <w:szCs w:val="17"/>
          <w:color w:val="auto"/>
        </w:rPr>
      </w:pPr>
    </w:p>
    <w:p>
      <w:pPr>
        <w:ind w:left="2140" w:right="200" w:hanging="1068"/>
        <w:spacing w:after="0" w:line="262" w:lineRule="auto"/>
        <w:tabs>
          <w:tab w:leader="none" w:pos="2136"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ongoing and future clinical trials may reveal significant adverse events or unexpected drug-drug interactions not seen in our preclinical studies and may result in a safety profile that could delay or prevent regulatory approval or market acceptance of any of our product candidates.</w:t>
      </w:r>
    </w:p>
    <w:p>
      <w:pPr>
        <w:spacing w:after="0" w:line="72" w:lineRule="exact"/>
        <w:rPr>
          <w:rFonts w:ascii="Arial" w:cs="Arial" w:eastAsia="Arial" w:hAnsi="Arial"/>
          <w:sz w:val="17"/>
          <w:szCs w:val="17"/>
          <w:color w:val="auto"/>
        </w:rPr>
      </w:pPr>
    </w:p>
    <w:p>
      <w:pPr>
        <w:ind w:left="2140" w:right="280" w:hanging="1068"/>
        <w:spacing w:after="0" w:line="274" w:lineRule="auto"/>
        <w:tabs>
          <w:tab w:leader="none" w:pos="1299"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encounter difficulties enrolling patients in our clinical trials, our clinical development activities could be delayed or otherwise adversely affected.</w:t>
      </w:r>
    </w:p>
    <w:p>
      <w:pPr>
        <w:spacing w:after="0" w:line="63" w:lineRule="exact"/>
        <w:rPr>
          <w:rFonts w:ascii="Arial" w:cs="Arial" w:eastAsia="Arial" w:hAnsi="Arial"/>
          <w:sz w:val="17"/>
          <w:szCs w:val="17"/>
          <w:color w:val="auto"/>
        </w:rPr>
      </w:pPr>
    </w:p>
    <w:p>
      <w:pPr>
        <w:ind w:left="1300" w:hanging="228"/>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fail to secure a positive recommendation from health technology bodies which will impair the market penetration.</w:t>
      </w:r>
    </w:p>
    <w:p>
      <w:pPr>
        <w:spacing w:after="0" w:line="110" w:lineRule="exact"/>
        <w:rPr>
          <w:rFonts w:ascii="Arial" w:cs="Arial" w:eastAsia="Arial" w:hAnsi="Arial"/>
          <w:sz w:val="17"/>
          <w:szCs w:val="17"/>
          <w:color w:val="auto"/>
        </w:rPr>
      </w:pPr>
    </w:p>
    <w:p>
      <w:pPr>
        <w:ind w:left="2140" w:right="240" w:hanging="1068"/>
        <w:spacing w:after="0" w:line="274" w:lineRule="auto"/>
        <w:tabs>
          <w:tab w:leader="none" w:pos="1296"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face substantial competition, which may result in others discovering, developing, or commercializing products before or more successfully than us.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Our Intellectual Property</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849" w:right="359" w:bottom="1440" w:gutter="0" w:footer="0" w:header="0"/>
        </w:sectPr>
      </w:pPr>
    </w:p>
    <w:bookmarkStart w:id="5" w:name="page6"/>
    <w:bookmarkEnd w:id="5"/>
    <w:p>
      <w:pPr>
        <w:ind w:left="2140" w:right="40" w:hanging="1068"/>
        <w:spacing w:after="0" w:line="274" w:lineRule="auto"/>
        <w:tabs>
          <w:tab w:leader="none" w:pos="1299"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success depends in part on our ability to obtain patent term extensions and protect our intellectual property. It is difficult and costly to protect our proprietary rights and technology, and we may not be able to ensure their protection.</w:t>
      </w:r>
    </w:p>
    <w:p>
      <w:pPr>
        <w:spacing w:after="0" w:line="63" w:lineRule="exact"/>
        <w:rPr>
          <w:rFonts w:ascii="Arial" w:cs="Arial" w:eastAsia="Arial" w:hAnsi="Arial"/>
          <w:sz w:val="17"/>
          <w:szCs w:val="17"/>
          <w:color w:val="auto"/>
        </w:rPr>
      </w:pPr>
    </w:p>
    <w:p>
      <w:pPr>
        <w:ind w:left="2140" w:right="200" w:hanging="1068"/>
        <w:spacing w:after="0" w:line="342" w:lineRule="auto"/>
        <w:tabs>
          <w:tab w:leader="none" w:pos="1299"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Our Reliance on Third Parties</w:t>
      </w:r>
    </w:p>
    <w:p>
      <w:pPr>
        <w:spacing w:after="0" w:line="110" w:lineRule="exact"/>
        <w:rPr>
          <w:sz w:val="20"/>
          <w:szCs w:val="20"/>
          <w:color w:val="auto"/>
        </w:rPr>
      </w:pPr>
    </w:p>
    <w:p>
      <w:pPr>
        <w:ind w:left="2140" w:right="20" w:hanging="1068"/>
        <w:spacing w:after="0" w:line="275" w:lineRule="auto"/>
        <w:tabs>
          <w:tab w:leader="none" w:pos="1296"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have entered into a collaboration agreement with Novartis Institutes for Biomedical Research, Inc., or Novartis, for the development of PLN-1474 and may in the future seek to enter into collaborations with third parties for the development and commercialization of other product candidates. If we fail to enter into such collaborations, or our collaborations are not successful, we may be unable to continue development of such product candidates, we would not receive any contemplated milestone payments or royalties, and we could fail to capitalize on the market potential of such product candidates</w:t>
      </w:r>
    </w:p>
    <w:p>
      <w:pPr>
        <w:spacing w:after="0" w:line="66" w:lineRule="exact"/>
        <w:rPr>
          <w:rFonts w:ascii="Arial" w:cs="Arial" w:eastAsia="Arial" w:hAnsi="Arial"/>
          <w:sz w:val="16"/>
          <w:szCs w:val="16"/>
          <w:color w:val="auto"/>
        </w:rPr>
      </w:pPr>
    </w:p>
    <w:p>
      <w:pPr>
        <w:ind w:left="2140" w:right="100" w:hanging="1068"/>
        <w:spacing w:after="0" w:line="274" w:lineRule="auto"/>
        <w:tabs>
          <w:tab w:leader="none" w:pos="1296"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rely on third parties to conduct certain aspects of our preclinical studies and clinical trials and for tissue samples and other materials required for our research and development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Managing Our Business and Operations</w:t>
      </w:r>
    </w:p>
    <w:p>
      <w:pPr>
        <w:spacing w:after="0" w:line="110" w:lineRule="exact"/>
        <w:rPr>
          <w:sz w:val="20"/>
          <w:szCs w:val="20"/>
          <w:color w:val="auto"/>
        </w:rPr>
      </w:pPr>
    </w:p>
    <w:p>
      <w:pPr>
        <w:ind w:left="1300" w:hanging="228"/>
        <w:spacing w:after="0"/>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ongoing COVID-19 pandemic could adversely impact our business, including our preclinical studies and clinical trials.</w:t>
      </w:r>
    </w:p>
    <w:p>
      <w:pPr>
        <w:spacing w:after="0" w:line="110" w:lineRule="exact"/>
        <w:rPr>
          <w:rFonts w:ascii="Arial" w:cs="Arial" w:eastAsia="Arial" w:hAnsi="Arial"/>
          <w:sz w:val="17"/>
          <w:szCs w:val="17"/>
          <w:color w:val="auto"/>
        </w:rPr>
      </w:pPr>
    </w:p>
    <w:p>
      <w:pPr>
        <w:ind w:left="2140" w:hanging="1068"/>
        <w:spacing w:after="0" w:line="262" w:lineRule="auto"/>
        <w:tabs>
          <w:tab w:leader="none" w:pos="1299"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loss of key management personnel, or if we fail to recruit additional highly skilled personnel, will impair our ability to develop current product candidates or identify and develop new product candidates, could result in loss of markets or market share and could make us less competitive.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5" w:right="359" w:bottom="1440" w:gutter="0" w:footer="0" w:header="0"/>
        </w:sectPr>
      </w:pPr>
    </w:p>
    <w:bookmarkStart w:id="6" w:name="page7"/>
    <w:bookmarkEnd w:id="6"/>
    <w:p>
      <w:pPr>
        <w:jc w:val="center"/>
        <w:ind w:right="-159"/>
        <w:spacing w:after="0"/>
        <w:rPr>
          <w:sz w:val="20"/>
          <w:szCs w:val="20"/>
          <w:color w:val="auto"/>
        </w:rPr>
      </w:pPr>
      <w:r>
        <w:rPr>
          <w:rFonts w:ascii="Arial" w:cs="Arial" w:eastAsia="Arial" w:hAnsi="Arial"/>
          <w:sz w:val="14"/>
          <w:szCs w:val="14"/>
          <w:b w:val="1"/>
          <w:bCs w:val="1"/>
          <w:color w:val="auto"/>
        </w:rPr>
        <w:t>PART I—FINANCIAL INFORMATION</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Condensed Financial Statements.</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Pliant Therapeutics, Inc.</w:t>
      </w:r>
    </w:p>
    <w:p>
      <w:pPr>
        <w:jc w:val="center"/>
        <w:ind w:right="-159"/>
        <w:spacing w:after="0"/>
        <w:rPr>
          <w:sz w:val="20"/>
          <w:szCs w:val="20"/>
          <w:color w:val="auto"/>
        </w:rPr>
      </w:pPr>
      <w:r>
        <w:rPr>
          <w:rFonts w:ascii="Arial" w:cs="Arial" w:eastAsia="Arial" w:hAnsi="Arial"/>
          <w:sz w:val="14"/>
          <w:szCs w:val="14"/>
          <w:b w:val="1"/>
          <w:bCs w:val="1"/>
          <w:color w:val="auto"/>
        </w:rPr>
        <w:t>Condensed Balance Sheets</w:t>
      </w:r>
    </w:p>
    <w:p>
      <w:pPr>
        <w:jc w:val="center"/>
        <w:ind w:right="-159"/>
        <w:spacing w:after="0"/>
        <w:rPr>
          <w:sz w:val="20"/>
          <w:szCs w:val="20"/>
          <w:color w:val="auto"/>
        </w:rPr>
      </w:pPr>
      <w:r>
        <w:rPr>
          <w:rFonts w:ascii="Arial" w:cs="Arial" w:eastAsia="Arial" w:hAnsi="Arial"/>
          <w:sz w:val="14"/>
          <w:szCs w:val="14"/>
          <w:b w:val="1"/>
          <w:bCs w:val="1"/>
          <w:color w:val="auto"/>
        </w:rPr>
        <w:t>(Unaudited)</w:t>
      </w:r>
    </w:p>
    <w:p>
      <w:pPr>
        <w:spacing w:after="0" w:line="5" w:lineRule="exact"/>
        <w:rPr>
          <w:sz w:val="20"/>
          <w:szCs w:val="20"/>
          <w:color w:val="auto"/>
        </w:rPr>
      </w:pPr>
    </w:p>
    <w:p>
      <w:pPr>
        <w:jc w:val="center"/>
        <w:ind w:right="-159"/>
        <w:spacing w:after="0"/>
        <w:rPr>
          <w:sz w:val="20"/>
          <w:szCs w:val="20"/>
          <w:color w:val="auto"/>
        </w:rPr>
      </w:pPr>
      <w:r>
        <w:rPr>
          <w:rFonts w:ascii="Arial" w:cs="Arial" w:eastAsia="Arial" w:hAnsi="Arial"/>
          <w:sz w:val="14"/>
          <w:szCs w:val="14"/>
          <w:i w:val="1"/>
          <w:iCs w:val="1"/>
          <w:color w:val="auto"/>
        </w:rPr>
        <w:t>(In thousands, except number of shares and per share amounts)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400" w:type="dxa"/>
            <w:vAlign w:val="bottom"/>
          </w:tcPr>
          <w:p>
            <w:pPr>
              <w:jc w:val="right"/>
              <w:ind w:right="32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77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0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0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9"/>
        </w:trPr>
        <w:tc>
          <w:tcPr>
            <w:tcW w:w="77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70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7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Cash and cash equivalents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44,617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51,665</w:t>
            </w:r>
          </w:p>
        </w:tc>
        <w:tc>
          <w:tcPr>
            <w:tcW w:w="0" w:type="dxa"/>
            <w:vAlign w:val="bottom"/>
          </w:tcPr>
          <w:p>
            <w:pPr>
              <w:spacing w:after="0"/>
              <w:rPr>
                <w:sz w:val="1"/>
                <w:szCs w:val="1"/>
                <w:color w:val="auto"/>
              </w:rPr>
            </w:pPr>
          </w:p>
        </w:tc>
      </w:tr>
      <w:tr>
        <w:trPr>
          <w:trHeight w:val="201"/>
        </w:trPr>
        <w:tc>
          <w:tcPr>
            <w:tcW w:w="7700" w:type="dxa"/>
            <w:vAlign w:val="bottom"/>
          </w:tcPr>
          <w:p>
            <w:pPr>
              <w:ind w:left="200"/>
              <w:spacing w:after="0"/>
              <w:rPr>
                <w:sz w:val="20"/>
                <w:szCs w:val="20"/>
                <w:color w:val="auto"/>
              </w:rPr>
            </w:pPr>
            <w:r>
              <w:rPr>
                <w:rFonts w:ascii="Arial" w:cs="Arial" w:eastAsia="Arial" w:hAnsi="Arial"/>
                <w:sz w:val="15"/>
                <w:szCs w:val="15"/>
                <w:color w:val="auto"/>
              </w:rPr>
              <w:t>Short-term investments</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315,624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148,931</w:t>
            </w:r>
          </w:p>
        </w:tc>
        <w:tc>
          <w:tcPr>
            <w:tcW w:w="0" w:type="dxa"/>
            <w:vAlign w:val="bottom"/>
          </w:tcPr>
          <w:p>
            <w:pPr>
              <w:spacing w:after="0"/>
              <w:rPr>
                <w:sz w:val="1"/>
                <w:szCs w:val="1"/>
                <w:color w:val="auto"/>
              </w:rPr>
            </w:pPr>
          </w:p>
        </w:tc>
      </w:tr>
      <w:tr>
        <w:trPr>
          <w:trHeight w:val="206"/>
        </w:trPr>
        <w:tc>
          <w:tcPr>
            <w:tcW w:w="77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Accounts receivable</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1,998</w:t>
            </w:r>
          </w:p>
        </w:tc>
        <w:tc>
          <w:tcPr>
            <w:tcW w:w="0" w:type="dxa"/>
            <w:vAlign w:val="bottom"/>
          </w:tcPr>
          <w:p>
            <w:pPr>
              <w:spacing w:after="0"/>
              <w:rPr>
                <w:sz w:val="1"/>
                <w:szCs w:val="1"/>
                <w:color w:val="auto"/>
              </w:rPr>
            </w:pPr>
          </w:p>
        </w:tc>
      </w:tr>
      <w:tr>
        <w:trPr>
          <w:trHeight w:val="201"/>
        </w:trPr>
        <w:tc>
          <w:tcPr>
            <w:tcW w:w="7700" w:type="dxa"/>
            <w:vAlign w:val="bottom"/>
          </w:tcPr>
          <w:p>
            <w:pPr>
              <w:ind w:left="200"/>
              <w:spacing w:after="0"/>
              <w:rPr>
                <w:sz w:val="20"/>
                <w:szCs w:val="20"/>
                <w:color w:val="auto"/>
              </w:rPr>
            </w:pPr>
            <w:r>
              <w:rPr>
                <w:rFonts w:ascii="Arial" w:cs="Arial" w:eastAsia="Arial" w:hAnsi="Arial"/>
                <w:sz w:val="15"/>
                <w:szCs w:val="15"/>
                <w:color w:val="auto"/>
              </w:rPr>
              <w:t>Tax credit receivable</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83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83</w:t>
            </w:r>
          </w:p>
        </w:tc>
        <w:tc>
          <w:tcPr>
            <w:tcW w:w="0" w:type="dxa"/>
            <w:vAlign w:val="bottom"/>
          </w:tcPr>
          <w:p>
            <w:pPr>
              <w:spacing w:after="0"/>
              <w:rPr>
                <w:sz w:val="1"/>
                <w:szCs w:val="1"/>
                <w:color w:val="auto"/>
              </w:rPr>
            </w:pPr>
          </w:p>
        </w:tc>
      </w:tr>
      <w:tr>
        <w:trPr>
          <w:trHeight w:val="206"/>
        </w:trPr>
        <w:tc>
          <w:tcPr>
            <w:tcW w:w="77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Prepaid expenses and other current assets (Note 5)</w:t>
            </w:r>
          </w:p>
        </w:tc>
        <w:tc>
          <w:tcPr>
            <w:tcW w:w="2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4,159</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6,764</w:t>
            </w:r>
          </w:p>
        </w:tc>
        <w:tc>
          <w:tcPr>
            <w:tcW w:w="0" w:type="dxa"/>
            <w:vAlign w:val="bottom"/>
          </w:tcPr>
          <w:p>
            <w:pPr>
              <w:spacing w:after="0"/>
              <w:rPr>
                <w:sz w:val="1"/>
                <w:szCs w:val="1"/>
                <w:color w:val="auto"/>
              </w:rPr>
            </w:pPr>
          </w:p>
        </w:tc>
      </w:tr>
      <w:tr>
        <w:trPr>
          <w:trHeight w:val="194"/>
        </w:trPr>
        <w:tc>
          <w:tcPr>
            <w:tcW w:w="7700" w:type="dxa"/>
            <w:vAlign w:val="bottom"/>
          </w:tcPr>
          <w:p>
            <w:pPr>
              <w:ind w:left="520"/>
              <w:spacing w:after="0"/>
              <w:rPr>
                <w:sz w:val="20"/>
                <w:szCs w:val="20"/>
                <w:color w:val="auto"/>
              </w:rPr>
            </w:pPr>
            <w:r>
              <w:rPr>
                <w:rFonts w:ascii="Arial" w:cs="Arial" w:eastAsia="Arial" w:hAnsi="Arial"/>
                <w:sz w:val="15"/>
                <w:szCs w:val="15"/>
                <w:color w:val="auto"/>
              </w:rPr>
              <w:t>Total current assets</w:t>
            </w: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365,965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209,441</w:t>
            </w:r>
          </w:p>
        </w:tc>
        <w:tc>
          <w:tcPr>
            <w:tcW w:w="0" w:type="dxa"/>
            <w:vAlign w:val="bottom"/>
          </w:tcPr>
          <w:p>
            <w:pPr>
              <w:spacing w:after="0"/>
              <w:rPr>
                <w:sz w:val="1"/>
                <w:szCs w:val="1"/>
                <w:color w:val="auto"/>
              </w:rPr>
            </w:pPr>
          </w:p>
        </w:tc>
      </w:tr>
      <w:tr>
        <w:trPr>
          <w:trHeight w:val="206"/>
        </w:trPr>
        <w:tc>
          <w:tcPr>
            <w:tcW w:w="77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Property and equipment, net</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4,799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4,606</w:t>
            </w:r>
          </w:p>
        </w:tc>
        <w:tc>
          <w:tcPr>
            <w:tcW w:w="0" w:type="dxa"/>
            <w:vAlign w:val="bottom"/>
          </w:tcPr>
          <w:p>
            <w:pPr>
              <w:spacing w:after="0"/>
              <w:rPr>
                <w:sz w:val="1"/>
                <w:szCs w:val="1"/>
                <w:color w:val="auto"/>
              </w:rPr>
            </w:pPr>
          </w:p>
        </w:tc>
      </w:tr>
      <w:tr>
        <w:trPr>
          <w:trHeight w:val="201"/>
        </w:trPr>
        <w:tc>
          <w:tcPr>
            <w:tcW w:w="7700" w:type="dxa"/>
            <w:vAlign w:val="bottom"/>
          </w:tcPr>
          <w:p>
            <w:pPr>
              <w:ind w:left="200"/>
              <w:spacing w:after="0"/>
              <w:rPr>
                <w:sz w:val="20"/>
                <w:szCs w:val="20"/>
                <w:color w:val="auto"/>
              </w:rPr>
            </w:pPr>
            <w:r>
              <w:rPr>
                <w:rFonts w:ascii="Arial" w:cs="Arial" w:eastAsia="Arial" w:hAnsi="Arial"/>
                <w:sz w:val="15"/>
                <w:szCs w:val="15"/>
                <w:color w:val="auto"/>
              </w:rPr>
              <w:t>Operating lease right-of-use assets</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6,020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6,330</w:t>
            </w:r>
          </w:p>
        </w:tc>
        <w:tc>
          <w:tcPr>
            <w:tcW w:w="0" w:type="dxa"/>
            <w:vAlign w:val="bottom"/>
          </w:tcPr>
          <w:p>
            <w:pPr>
              <w:spacing w:after="0"/>
              <w:rPr>
                <w:sz w:val="1"/>
                <w:szCs w:val="1"/>
                <w:color w:val="auto"/>
              </w:rPr>
            </w:pPr>
          </w:p>
        </w:tc>
      </w:tr>
      <w:tr>
        <w:trPr>
          <w:trHeight w:val="206"/>
        </w:trPr>
        <w:tc>
          <w:tcPr>
            <w:tcW w:w="77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Other non-current assets</w:t>
            </w:r>
          </w:p>
        </w:tc>
        <w:tc>
          <w:tcPr>
            <w:tcW w:w="2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838</w:t>
            </w:r>
          </w:p>
        </w:tc>
        <w:tc>
          <w:tcPr>
            <w:tcW w:w="0" w:type="dxa"/>
            <w:vAlign w:val="bottom"/>
          </w:tcPr>
          <w:p>
            <w:pPr>
              <w:spacing w:after="0"/>
              <w:rPr>
                <w:sz w:val="1"/>
                <w:szCs w:val="1"/>
                <w:color w:val="auto"/>
              </w:rPr>
            </w:pPr>
          </w:p>
        </w:tc>
      </w:tr>
      <w:tr>
        <w:trPr>
          <w:trHeight w:val="194"/>
        </w:trPr>
        <w:tc>
          <w:tcPr>
            <w:tcW w:w="7700" w:type="dxa"/>
            <w:vAlign w:val="bottom"/>
          </w:tcPr>
          <w:p>
            <w:pPr>
              <w:ind w:left="20"/>
              <w:spacing w:after="0"/>
              <w:rPr>
                <w:sz w:val="20"/>
                <w:szCs w:val="20"/>
                <w:color w:val="auto"/>
              </w:rPr>
            </w:pPr>
            <w:r>
              <w:rPr>
                <w:rFonts w:ascii="Arial" w:cs="Arial" w:eastAsia="Arial" w:hAnsi="Arial"/>
                <w:sz w:val="15"/>
                <w:szCs w:val="15"/>
                <w:color w:val="auto"/>
              </w:rPr>
              <w:t>Total assets</w:t>
            </w: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377,181</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221,215</w:t>
            </w:r>
          </w:p>
        </w:tc>
        <w:tc>
          <w:tcPr>
            <w:tcW w:w="0" w:type="dxa"/>
            <w:vAlign w:val="bottom"/>
          </w:tcPr>
          <w:p>
            <w:pPr>
              <w:spacing w:after="0"/>
              <w:rPr>
                <w:sz w:val="1"/>
                <w:szCs w:val="1"/>
                <w:color w:val="auto"/>
              </w:rPr>
            </w:pP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7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2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7700" w:type="dxa"/>
            <w:vAlign w:val="bottom"/>
          </w:tcPr>
          <w:p>
            <w:pPr>
              <w:ind w:left="20"/>
              <w:spacing w:after="0"/>
              <w:rPr>
                <w:sz w:val="20"/>
                <w:szCs w:val="20"/>
                <w:color w:val="auto"/>
              </w:rPr>
            </w:pPr>
            <w:r>
              <w:rPr>
                <w:rFonts w:ascii="Arial" w:cs="Arial" w:eastAsia="Arial" w:hAnsi="Arial"/>
                <w:sz w:val="15"/>
                <w:szCs w:val="15"/>
                <w:color w:val="auto"/>
              </w:rPr>
              <w:t>Current liabilities</w:t>
            </w: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7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Accounts payable</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3,206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2,971</w:t>
            </w:r>
          </w:p>
        </w:tc>
        <w:tc>
          <w:tcPr>
            <w:tcW w:w="0" w:type="dxa"/>
            <w:vAlign w:val="bottom"/>
          </w:tcPr>
          <w:p>
            <w:pPr>
              <w:spacing w:after="0"/>
              <w:rPr>
                <w:sz w:val="1"/>
                <w:szCs w:val="1"/>
                <w:color w:val="auto"/>
              </w:rPr>
            </w:pPr>
          </w:p>
        </w:tc>
      </w:tr>
      <w:tr>
        <w:trPr>
          <w:trHeight w:val="201"/>
        </w:trPr>
        <w:tc>
          <w:tcPr>
            <w:tcW w:w="7700" w:type="dxa"/>
            <w:vAlign w:val="bottom"/>
          </w:tcPr>
          <w:p>
            <w:pPr>
              <w:ind w:left="200"/>
              <w:spacing w:after="0"/>
              <w:rPr>
                <w:sz w:val="20"/>
                <w:szCs w:val="20"/>
                <w:color w:val="auto"/>
              </w:rPr>
            </w:pPr>
            <w:r>
              <w:rPr>
                <w:rFonts w:ascii="Arial" w:cs="Arial" w:eastAsia="Arial" w:hAnsi="Arial"/>
                <w:sz w:val="15"/>
                <w:szCs w:val="15"/>
                <w:color w:val="auto"/>
              </w:rPr>
              <w:t>Accrued liabilities (Note 6)</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20,306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11,991</w:t>
            </w:r>
          </w:p>
        </w:tc>
        <w:tc>
          <w:tcPr>
            <w:tcW w:w="0" w:type="dxa"/>
            <w:vAlign w:val="bottom"/>
          </w:tcPr>
          <w:p>
            <w:pPr>
              <w:spacing w:after="0"/>
              <w:rPr>
                <w:sz w:val="1"/>
                <w:szCs w:val="1"/>
                <w:color w:val="auto"/>
              </w:rPr>
            </w:pPr>
          </w:p>
        </w:tc>
      </w:tr>
      <w:tr>
        <w:trPr>
          <w:trHeight w:val="206"/>
        </w:trPr>
        <w:tc>
          <w:tcPr>
            <w:tcW w:w="77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Lease liabilities, current</w:t>
            </w: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2,649</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1,869</w:t>
            </w:r>
          </w:p>
        </w:tc>
        <w:tc>
          <w:tcPr>
            <w:tcW w:w="0" w:type="dxa"/>
            <w:vAlign w:val="bottom"/>
          </w:tcPr>
          <w:p>
            <w:pPr>
              <w:spacing w:after="0"/>
              <w:rPr>
                <w:sz w:val="1"/>
                <w:szCs w:val="1"/>
                <w:color w:val="auto"/>
              </w:rPr>
            </w:pPr>
          </w:p>
        </w:tc>
      </w:tr>
      <w:tr>
        <w:trPr>
          <w:trHeight w:val="194"/>
        </w:trPr>
        <w:tc>
          <w:tcPr>
            <w:tcW w:w="7700" w:type="dxa"/>
            <w:vAlign w:val="bottom"/>
          </w:tcPr>
          <w:p>
            <w:pPr>
              <w:ind w:left="440"/>
              <w:spacing w:after="0"/>
              <w:rPr>
                <w:sz w:val="20"/>
                <w:szCs w:val="20"/>
                <w:color w:val="auto"/>
              </w:rPr>
            </w:pPr>
            <w:r>
              <w:rPr>
                <w:rFonts w:ascii="Arial" w:cs="Arial" w:eastAsia="Arial" w:hAnsi="Arial"/>
                <w:sz w:val="15"/>
                <w:szCs w:val="15"/>
                <w:color w:val="auto"/>
              </w:rPr>
              <w:t>Total current liabilities</w:t>
            </w: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26,161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16,831</w:t>
            </w:r>
          </w:p>
        </w:tc>
        <w:tc>
          <w:tcPr>
            <w:tcW w:w="0" w:type="dxa"/>
            <w:vAlign w:val="bottom"/>
          </w:tcPr>
          <w:p>
            <w:pPr>
              <w:spacing w:after="0"/>
              <w:rPr>
                <w:sz w:val="1"/>
                <w:szCs w:val="1"/>
                <w:color w:val="auto"/>
              </w:rPr>
            </w:pPr>
          </w:p>
        </w:tc>
      </w:tr>
      <w:tr>
        <w:trPr>
          <w:trHeight w:val="206"/>
        </w:trPr>
        <w:tc>
          <w:tcPr>
            <w:tcW w:w="77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Lease liabilities, non-current</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4,126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5,325</w:t>
            </w:r>
          </w:p>
        </w:tc>
        <w:tc>
          <w:tcPr>
            <w:tcW w:w="0" w:type="dxa"/>
            <w:vAlign w:val="bottom"/>
          </w:tcPr>
          <w:p>
            <w:pPr>
              <w:spacing w:after="0"/>
              <w:rPr>
                <w:sz w:val="1"/>
                <w:szCs w:val="1"/>
                <w:color w:val="auto"/>
              </w:rPr>
            </w:pPr>
          </w:p>
        </w:tc>
      </w:tr>
      <w:tr>
        <w:trPr>
          <w:trHeight w:val="201"/>
        </w:trPr>
        <w:tc>
          <w:tcPr>
            <w:tcW w:w="770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Term loan</w:t>
            </w: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9,900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7700" w:type="dxa"/>
            <w:vAlign w:val="bottom"/>
            <w:shd w:val="clear" w:color="auto" w:fill="CCEEFF"/>
          </w:tcPr>
          <w:p>
            <w:pPr>
              <w:ind w:left="520"/>
              <w:spacing w:after="0"/>
              <w:rPr>
                <w:sz w:val="20"/>
                <w:szCs w:val="20"/>
                <w:color w:val="auto"/>
              </w:rPr>
            </w:pPr>
            <w:r>
              <w:rPr>
                <w:rFonts w:ascii="Arial" w:cs="Arial" w:eastAsia="Arial" w:hAnsi="Arial"/>
                <w:sz w:val="15"/>
                <w:szCs w:val="15"/>
                <w:color w:val="auto"/>
              </w:rPr>
              <w:t>Total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40,187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22,156</w:t>
            </w:r>
          </w:p>
        </w:tc>
        <w:tc>
          <w:tcPr>
            <w:tcW w:w="0" w:type="dxa"/>
            <w:vAlign w:val="bottom"/>
          </w:tcPr>
          <w:p>
            <w:pPr>
              <w:spacing w:after="0"/>
              <w:rPr>
                <w:sz w:val="1"/>
                <w:szCs w:val="1"/>
                <w:color w:val="auto"/>
              </w:rPr>
            </w:pPr>
          </w:p>
        </w:tc>
      </w:tr>
      <w:tr>
        <w:trPr>
          <w:trHeight w:val="181"/>
        </w:trPr>
        <w:tc>
          <w:tcPr>
            <w:tcW w:w="7700" w:type="dxa"/>
            <w:vAlign w:val="bottom"/>
          </w:tcPr>
          <w:p>
            <w:pPr>
              <w:ind w:left="20"/>
              <w:spacing w:after="0"/>
              <w:rPr>
                <w:sz w:val="20"/>
                <w:szCs w:val="20"/>
                <w:color w:val="auto"/>
              </w:rPr>
            </w:pPr>
            <w:r>
              <w:rPr>
                <w:rFonts w:ascii="Arial" w:cs="Arial" w:eastAsia="Arial" w:hAnsi="Arial"/>
                <w:sz w:val="15"/>
                <w:szCs w:val="15"/>
                <w:color w:val="auto"/>
              </w:rPr>
              <w:t>Stockholders’ equity</w:t>
            </w: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7700" w:type="dxa"/>
            <w:vAlign w:val="bottom"/>
            <w:shd w:val="clear" w:color="auto" w:fill="CCEEFF"/>
          </w:tcPr>
          <w:p>
            <w:pPr>
              <w:ind w:left="200"/>
              <w:spacing w:after="0" w:line="160" w:lineRule="exact"/>
              <w:rPr>
                <w:sz w:val="20"/>
                <w:szCs w:val="20"/>
                <w:color w:val="auto"/>
              </w:rPr>
            </w:pPr>
            <w:r>
              <w:rPr>
                <w:rFonts w:ascii="Arial" w:cs="Arial" w:eastAsia="Arial" w:hAnsi="Arial"/>
                <w:sz w:val="15"/>
                <w:szCs w:val="15"/>
                <w:color w:val="auto"/>
                <w:w w:val="93"/>
              </w:rPr>
              <w:t>Common stock, $0.0001 par value; 300,000,000 shares authorized at September 30, 2022 and December 31, 2021; and</w:t>
            </w:r>
          </w:p>
        </w:tc>
        <w:tc>
          <w:tcPr>
            <w:tcW w:w="24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99"/>
        </w:trPr>
        <w:tc>
          <w:tcPr>
            <w:tcW w:w="7700" w:type="dxa"/>
            <w:vAlign w:val="bottom"/>
            <w:shd w:val="clear" w:color="auto" w:fill="CCEEFF"/>
          </w:tcPr>
          <w:p>
            <w:pPr>
              <w:ind w:left="360"/>
              <w:spacing w:after="0"/>
              <w:rPr>
                <w:sz w:val="20"/>
                <w:szCs w:val="20"/>
                <w:color w:val="auto"/>
              </w:rPr>
            </w:pPr>
            <w:r>
              <w:rPr>
                <w:rFonts w:ascii="Arial" w:cs="Arial" w:eastAsia="Arial" w:hAnsi="Arial"/>
                <w:sz w:val="15"/>
                <w:szCs w:val="15"/>
                <w:color w:val="auto"/>
                <w:w w:val="90"/>
              </w:rPr>
              <w:t>48,749,842 and 36,083,301 shares issued and outstanding at September 30, 2022 and December 31, 2021, respectively;</w:t>
            </w:r>
          </w:p>
        </w:tc>
        <w:tc>
          <w:tcPr>
            <w:tcW w:w="240" w:type="dxa"/>
            <w:vAlign w:val="bottom"/>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00" w:type="dxa"/>
            <w:vAlign w:val="bottom"/>
          </w:tcPr>
          <w:p>
            <w:pPr>
              <w:ind w:left="200"/>
              <w:spacing w:after="0"/>
              <w:rPr>
                <w:sz w:val="20"/>
                <w:szCs w:val="20"/>
                <w:color w:val="auto"/>
              </w:rPr>
            </w:pPr>
            <w:r>
              <w:rPr>
                <w:rFonts w:ascii="Arial" w:cs="Arial" w:eastAsia="Arial" w:hAnsi="Arial"/>
                <w:sz w:val="15"/>
                <w:szCs w:val="15"/>
                <w:color w:val="auto"/>
              </w:rPr>
              <w:t>Additional paid-in capital</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642,795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414,348</w:t>
            </w:r>
          </w:p>
        </w:tc>
        <w:tc>
          <w:tcPr>
            <w:tcW w:w="0" w:type="dxa"/>
            <w:vAlign w:val="bottom"/>
          </w:tcPr>
          <w:p>
            <w:pPr>
              <w:spacing w:after="0"/>
              <w:rPr>
                <w:sz w:val="1"/>
                <w:szCs w:val="1"/>
                <w:color w:val="auto"/>
              </w:rPr>
            </w:pPr>
          </w:p>
        </w:tc>
      </w:tr>
      <w:tr>
        <w:trPr>
          <w:trHeight w:val="206"/>
        </w:trPr>
        <w:tc>
          <w:tcPr>
            <w:tcW w:w="77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Accumulated deficit</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(303,352)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(215,091)</w:t>
            </w:r>
          </w:p>
        </w:tc>
        <w:tc>
          <w:tcPr>
            <w:tcW w:w="0" w:type="dxa"/>
            <w:vAlign w:val="bottom"/>
          </w:tcPr>
          <w:p>
            <w:pPr>
              <w:spacing w:after="0"/>
              <w:rPr>
                <w:sz w:val="1"/>
                <w:szCs w:val="1"/>
                <w:color w:val="auto"/>
              </w:rPr>
            </w:pPr>
          </w:p>
        </w:tc>
      </w:tr>
      <w:tr>
        <w:trPr>
          <w:trHeight w:val="201"/>
        </w:trPr>
        <w:tc>
          <w:tcPr>
            <w:tcW w:w="770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Accumulated other comprehensive loss</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(2,454)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w:t>
            </w:r>
          </w:p>
        </w:tc>
        <w:tc>
          <w:tcPr>
            <w:tcW w:w="0" w:type="dxa"/>
            <w:vAlign w:val="bottom"/>
          </w:tcPr>
          <w:p>
            <w:pPr>
              <w:spacing w:after="0"/>
              <w:rPr>
                <w:sz w:val="1"/>
                <w:szCs w:val="1"/>
                <w:color w:val="auto"/>
              </w:rPr>
            </w:pPr>
          </w:p>
        </w:tc>
      </w:tr>
      <w:tr>
        <w:trPr>
          <w:trHeight w:val="199"/>
        </w:trPr>
        <w:tc>
          <w:tcPr>
            <w:tcW w:w="7700" w:type="dxa"/>
            <w:vAlign w:val="bottom"/>
            <w:shd w:val="clear" w:color="auto" w:fill="CCEEFF"/>
          </w:tcPr>
          <w:p>
            <w:pPr>
              <w:ind w:left="520"/>
              <w:spacing w:after="0"/>
              <w:rPr>
                <w:sz w:val="20"/>
                <w:szCs w:val="20"/>
                <w:color w:val="auto"/>
              </w:rPr>
            </w:pPr>
            <w:r>
              <w:rPr>
                <w:rFonts w:ascii="Arial" w:cs="Arial" w:eastAsia="Arial" w:hAnsi="Arial"/>
                <w:sz w:val="15"/>
                <w:szCs w:val="15"/>
                <w:color w:val="auto"/>
              </w:rPr>
              <w:t>Total stockholders’ equity</w:t>
            </w:r>
          </w:p>
        </w:tc>
        <w:tc>
          <w:tcPr>
            <w:tcW w:w="2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336,994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199,059</w:t>
            </w:r>
          </w:p>
        </w:tc>
        <w:tc>
          <w:tcPr>
            <w:tcW w:w="0" w:type="dxa"/>
            <w:vAlign w:val="bottom"/>
          </w:tcPr>
          <w:p>
            <w:pPr>
              <w:spacing w:after="0"/>
              <w:rPr>
                <w:sz w:val="1"/>
                <w:szCs w:val="1"/>
                <w:color w:val="auto"/>
              </w:rPr>
            </w:pPr>
          </w:p>
        </w:tc>
      </w:tr>
      <w:tr>
        <w:trPr>
          <w:trHeight w:val="194"/>
        </w:trPr>
        <w:tc>
          <w:tcPr>
            <w:tcW w:w="7700" w:type="dxa"/>
            <w:vAlign w:val="bottom"/>
          </w:tcPr>
          <w:p>
            <w:pPr>
              <w:ind w:left="20"/>
              <w:spacing w:after="0"/>
              <w:rPr>
                <w:sz w:val="20"/>
                <w:szCs w:val="20"/>
                <w:color w:val="auto"/>
              </w:rPr>
            </w:pPr>
            <w:r>
              <w:rPr>
                <w:rFonts w:ascii="Arial" w:cs="Arial" w:eastAsia="Arial" w:hAnsi="Arial"/>
                <w:sz w:val="15"/>
                <w:szCs w:val="15"/>
                <w:b w:val="1"/>
                <w:bCs w:val="1"/>
                <w:color w:val="auto"/>
              </w:rPr>
              <w:t>Total liabilities and stockholders’ equity</w:t>
            </w: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377,181</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221,215</w:t>
            </w:r>
          </w:p>
        </w:tc>
        <w:tc>
          <w:tcPr>
            <w:tcW w:w="0" w:type="dxa"/>
            <w:vAlign w:val="bottom"/>
          </w:tcPr>
          <w:p>
            <w:pPr>
              <w:spacing w:after="0"/>
              <w:rPr>
                <w:sz w:val="1"/>
                <w:szCs w:val="1"/>
                <w:color w:val="auto"/>
              </w:rPr>
            </w:pPr>
          </w:p>
        </w:tc>
      </w:tr>
      <w:tr>
        <w:trPr>
          <w:trHeight w:val="21"/>
        </w:trPr>
        <w:tc>
          <w:tcPr>
            <w:tcW w:w="7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2720" w:right="1980" w:hanging="2718"/>
        <w:spacing w:after="0" w:line="484" w:lineRule="auto"/>
        <w:tabs>
          <w:tab w:leader="none" w:pos="603"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condensed balance sheet as of December 31, 2021 has been derived from the audited financial statements as of that date</w:t>
      </w:r>
      <w:r>
        <w:rPr>
          <w:rFonts w:ascii="Arial" w:cs="Arial" w:eastAsia="Arial" w:hAnsi="Arial"/>
          <w:sz w:val="13"/>
          <w:szCs w:val="13"/>
          <w:color w:val="auto"/>
        </w:rPr>
        <w:t>.</w:t>
      </w:r>
      <w:r>
        <w:rPr>
          <w:rFonts w:ascii="Arial" w:cs="Arial" w:eastAsia="Arial" w:hAnsi="Arial"/>
          <w:sz w:val="15"/>
          <w:szCs w:val="15"/>
          <w:color w:val="auto"/>
        </w:rPr>
        <w:t xml:space="preserve"> </w:t>
      </w:r>
      <w:r>
        <w:rPr>
          <w:rFonts w:ascii="Arial" w:cs="Arial" w:eastAsia="Arial" w:hAnsi="Arial"/>
          <w:sz w:val="15"/>
          <w:szCs w:val="15"/>
          <w:i w:val="1"/>
          <w:iCs w:val="1"/>
          <w:color w:val="auto"/>
        </w:rPr>
        <w:t>The accompanying notes are an integral part of these condensed financial statements</w:t>
      </w:r>
    </w:p>
    <w:p>
      <w:pPr>
        <w:spacing w:after="0" w:line="33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080"/>
          </w:cols>
          <w:pgMar w:left="320" w:top="845" w:right="49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Pliant Therapeutics,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Statements of Operations and Comprehensive Loss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(In thousands, except number of shares and per share amounts)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420" w:type="dxa"/>
            <w:vAlign w:val="bottom"/>
            <w:gridSpan w:val="4"/>
          </w:tcPr>
          <w:p>
            <w:pPr>
              <w:jc w:val="right"/>
              <w:ind w:right="67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0"/>
        </w:trPr>
        <w:tc>
          <w:tcPr>
            <w:tcW w:w="57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7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7,720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5,573</w:t>
            </w: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(24,606)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(71,822)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(58,797)</w:t>
            </w:r>
          </w:p>
        </w:tc>
        <w:tc>
          <w:tcPr>
            <w:tcW w:w="0" w:type="dxa"/>
            <w:vAlign w:val="bottom"/>
          </w:tcPr>
          <w:p>
            <w:pPr>
              <w:spacing w:after="0"/>
              <w:rPr>
                <w:sz w:val="1"/>
                <w:szCs w:val="1"/>
                <w:color w:val="auto"/>
              </w:rPr>
            </w:pPr>
          </w:p>
        </w:tc>
      </w:tr>
      <w:tr>
        <w:trPr>
          <w:trHeight w:val="216"/>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General and administrative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(8,823)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(7,671)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(25,698)</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(19,712)</w:t>
            </w:r>
          </w:p>
        </w:tc>
        <w:tc>
          <w:tcPr>
            <w:tcW w:w="0" w:type="dxa"/>
            <w:vAlign w:val="bottom"/>
          </w:tcPr>
          <w:p>
            <w:pPr>
              <w:spacing w:after="0"/>
              <w:rPr>
                <w:sz w:val="1"/>
                <w:szCs w:val="1"/>
                <w:color w:val="auto"/>
              </w:rPr>
            </w:pPr>
          </w:p>
        </w:tc>
      </w:tr>
      <w:tr>
        <w:trPr>
          <w:trHeight w:val="210"/>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(33,429)</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(28,723)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(97,520)</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(78,509)</w:t>
            </w:r>
          </w:p>
        </w:tc>
        <w:tc>
          <w:tcPr>
            <w:tcW w:w="0" w:type="dxa"/>
            <w:vAlign w:val="bottom"/>
          </w:tcPr>
          <w:p>
            <w:pPr>
              <w:spacing w:after="0"/>
              <w:rPr>
                <w:sz w:val="1"/>
                <w:szCs w:val="1"/>
                <w:color w:val="auto"/>
              </w:rPr>
            </w:pPr>
          </w:p>
        </w:tc>
      </w:tr>
      <w:tr>
        <w:trPr>
          <w:trHeight w:val="209"/>
        </w:trPr>
        <w:tc>
          <w:tcPr>
            <w:tcW w:w="5720" w:type="dxa"/>
            <w:vAlign w:val="bottom"/>
          </w:tcPr>
          <w:p>
            <w:pPr>
              <w:ind w:left="20"/>
              <w:spacing w:after="0"/>
              <w:rPr>
                <w:sz w:val="20"/>
                <w:szCs w:val="20"/>
                <w:color w:val="auto"/>
              </w:rPr>
            </w:pPr>
            <w:r>
              <w:rPr>
                <w:rFonts w:ascii="Arial" w:cs="Arial" w:eastAsia="Arial" w:hAnsi="Arial"/>
                <w:sz w:val="17"/>
                <w:szCs w:val="17"/>
                <w:color w:val="auto"/>
              </w:rPr>
              <w:t>Loss from operations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(31,947)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(27,113)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(89,800)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(72,936)</w:t>
            </w:r>
          </w:p>
        </w:tc>
        <w:tc>
          <w:tcPr>
            <w:tcW w:w="0" w:type="dxa"/>
            <w:vAlign w:val="bottom"/>
          </w:tcPr>
          <w:p>
            <w:pPr>
              <w:spacing w:after="0"/>
              <w:rPr>
                <w:sz w:val="1"/>
                <w:szCs w:val="1"/>
                <w:color w:val="auto"/>
              </w:rPr>
            </w:pPr>
          </w:p>
        </w:tc>
      </w:tr>
      <w:tr>
        <w:trPr>
          <w:trHeight w:val="217"/>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and other income (expense), net</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1,539</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0" w:type="dxa"/>
            <w:vAlign w:val="bottom"/>
          </w:tcPr>
          <w:p>
            <w:pPr>
              <w:spacing w:after="0"/>
              <w:rPr>
                <w:sz w:val="1"/>
                <w:szCs w:val="1"/>
                <w:color w:val="auto"/>
              </w:rPr>
            </w:pPr>
          </w:p>
        </w:tc>
      </w:tr>
      <w:tr>
        <w:trPr>
          <w:trHeight w:val="209"/>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loss</w:t>
            </w: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(30,615)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(27,045)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(88,261)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(72,732)</w:t>
            </w:r>
          </w:p>
        </w:tc>
        <w:tc>
          <w:tcPr>
            <w:tcW w:w="0" w:type="dxa"/>
            <w:vAlign w:val="bottom"/>
          </w:tcPr>
          <w:p>
            <w:pPr>
              <w:spacing w:after="0"/>
              <w:rPr>
                <w:sz w:val="1"/>
                <w:szCs w:val="1"/>
                <w:color w:val="auto"/>
              </w:rPr>
            </w:pPr>
          </w:p>
        </w:tc>
      </w:tr>
      <w:tr>
        <w:trPr>
          <w:trHeight w:val="234"/>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 attributable to common stockholders</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(30,615)</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(27,045)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(88,261)</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(72,732)</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Net loss per share, attributable to common stockholders: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7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720" w:type="dxa"/>
            <w:vAlign w:val="bottom"/>
            <w:vMerge w:val="continue"/>
          </w:tcPr>
          <w:p>
            <w:pPr>
              <w:spacing w:after="0"/>
              <w:rPr>
                <w:sz w:val="16"/>
                <w:szCs w:val="16"/>
                <w:color w:val="auto"/>
              </w:rPr>
            </w:pPr>
          </w:p>
        </w:tc>
        <w:tc>
          <w:tcPr>
            <w:tcW w:w="300" w:type="dxa"/>
            <w:vAlign w:val="bottom"/>
            <w:tcBorders>
              <w:bottom w:val="single" w:sz="8" w:color="auto"/>
            </w:tcBorders>
          </w:tcPr>
          <w:p>
            <w:pPr>
              <w:jc w:val="right"/>
              <w:ind w:right="115"/>
              <w:spacing w:after="0" w:line="188" w:lineRule="exact"/>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(0.65)</w:t>
            </w: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ind w:right="235"/>
              <w:spacing w:after="0" w:line="188" w:lineRule="exact"/>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(0.75)</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5"/>
              <w:spacing w:after="0" w:line="188" w:lineRule="exact"/>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(2.22)</w:t>
            </w: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ind w:right="235"/>
              <w:spacing w:after="0" w:line="188" w:lineRule="exact"/>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720" w:type="dxa"/>
            <w:vAlign w:val="bottom"/>
            <w:shd w:val="clear" w:color="auto" w:fill="CCEEFF"/>
          </w:tcPr>
          <w:p>
            <w:pPr>
              <w:ind w:left="20"/>
              <w:spacing w:after="0" w:line="182" w:lineRule="exact"/>
              <w:rPr>
                <w:sz w:val="20"/>
                <w:szCs w:val="20"/>
                <w:color w:val="auto"/>
              </w:rPr>
            </w:pPr>
            <w:r>
              <w:rPr>
                <w:rFonts w:ascii="Arial" w:cs="Arial" w:eastAsia="Arial" w:hAnsi="Arial"/>
                <w:sz w:val="17"/>
                <w:szCs w:val="17"/>
                <w:color w:val="auto"/>
                <w:w w:val="91"/>
              </w:rPr>
              <w:t>Shares used in computing net loss per share attributable to common stockholders: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Arial" w:cs="Arial" w:eastAsia="Arial" w:hAnsi="Arial"/>
                <w:sz w:val="17"/>
                <w:szCs w:val="17"/>
                <w:color w:val="auto"/>
              </w:rPr>
              <w:t>Basic</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46,799,058</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35,906,303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39,735,342</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35,787,022</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Diluted</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46,799,058</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35,906,303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39,735,342</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35,787,022</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Comprehensive loss: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7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(30,615)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(27,045)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(88,261)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(72,732)</w:t>
            </w:r>
          </w:p>
        </w:tc>
        <w:tc>
          <w:tcPr>
            <w:tcW w:w="0" w:type="dxa"/>
            <w:vAlign w:val="bottom"/>
          </w:tcPr>
          <w:p>
            <w:pPr>
              <w:spacing w:after="0"/>
              <w:rPr>
                <w:sz w:val="1"/>
                <w:szCs w:val="1"/>
                <w:color w:val="auto"/>
              </w:rPr>
            </w:pPr>
          </w:p>
        </w:tc>
      </w:tr>
      <w:tr>
        <w:trPr>
          <w:trHeight w:val="216"/>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unrealized loss on short-term investments</w:t>
            </w: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0"/>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other comprehensive loss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(1,195)</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(2,253)</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9"/>
        </w:trPr>
        <w:tc>
          <w:tcPr>
            <w:tcW w:w="5720" w:type="dxa"/>
            <w:vAlign w:val="bottom"/>
          </w:tcPr>
          <w:p>
            <w:pPr>
              <w:ind w:left="20"/>
              <w:spacing w:after="0"/>
              <w:rPr>
                <w:sz w:val="20"/>
                <w:szCs w:val="20"/>
                <w:color w:val="auto"/>
              </w:rPr>
            </w:pPr>
            <w:r>
              <w:rPr>
                <w:rFonts w:ascii="Arial" w:cs="Arial" w:eastAsia="Arial" w:hAnsi="Arial"/>
                <w:sz w:val="17"/>
                <w:szCs w:val="17"/>
                <w:color w:val="auto"/>
              </w:rPr>
              <w:t>Comprehensive loss</w:t>
            </w: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(31,810)</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(27,055)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(90,514)</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(72,740)</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financial statements.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7"/>
          <w:szCs w:val="17"/>
          <w:b w:val="1"/>
          <w:bCs w:val="1"/>
          <w:color w:val="auto"/>
        </w:rPr>
        <w:t>Pliant Therapeutics, Inc.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Statements of Stockholders’ Equity</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(In thousands, except number of shares and per share amounts)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960" w:type="dxa"/>
            <w:vAlign w:val="bottom"/>
            <w:gridSpan w:val="3"/>
            <w:vMerge w:val="restart"/>
          </w:tcPr>
          <w:p>
            <w:pPr>
              <w:jc w:val="right"/>
              <w:ind w:right="352"/>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ind w:right="52"/>
              <w:spacing w:after="0" w:line="135"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91"/>
        </w:trPr>
        <w:tc>
          <w:tcPr>
            <w:tcW w:w="2960" w:type="dxa"/>
            <w:vAlign w:val="bottom"/>
          </w:tcPr>
          <w:p>
            <w:pPr>
              <w:spacing w:after="0"/>
              <w:rPr>
                <w:sz w:val="7"/>
                <w:szCs w:val="7"/>
                <w:color w:val="auto"/>
              </w:rPr>
            </w:pPr>
          </w:p>
        </w:tc>
        <w:tc>
          <w:tcPr>
            <w:tcW w:w="1960" w:type="dxa"/>
            <w:vAlign w:val="bottom"/>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2"/>
            <w:vMerge w:val="restart"/>
          </w:tcPr>
          <w:p>
            <w:pPr>
              <w:jc w:val="center"/>
              <w:ind w:right="260"/>
              <w:spacing w:after="0" w:line="120" w:lineRule="exact"/>
              <w:rPr>
                <w:sz w:val="20"/>
                <w:szCs w:val="20"/>
                <w:color w:val="auto"/>
              </w:rPr>
            </w:pPr>
            <w:r>
              <w:rPr>
                <w:rFonts w:ascii="Arial" w:cs="Arial" w:eastAsia="Arial" w:hAnsi="Arial"/>
                <w:sz w:val="12"/>
                <w:szCs w:val="12"/>
                <w:b w:val="1"/>
                <w:bCs w:val="1"/>
                <w:color w:val="auto"/>
              </w:rPr>
              <w:t>Paid-In</w:t>
            </w:r>
          </w:p>
        </w:tc>
        <w:tc>
          <w:tcPr>
            <w:tcW w:w="1160" w:type="dxa"/>
            <w:vAlign w:val="bottom"/>
            <w:gridSpan w:val="3"/>
            <w:vMerge w:val="restart"/>
          </w:tcPr>
          <w:p>
            <w:pPr>
              <w:jc w:val="center"/>
              <w:ind w:right="100"/>
              <w:spacing w:after="0" w:line="120" w:lineRule="exact"/>
              <w:rPr>
                <w:sz w:val="20"/>
                <w:szCs w:val="20"/>
                <w:color w:val="auto"/>
              </w:rPr>
            </w:pPr>
            <w:r>
              <w:rPr>
                <w:rFonts w:ascii="Arial" w:cs="Arial" w:eastAsia="Arial" w:hAnsi="Arial"/>
                <w:sz w:val="12"/>
                <w:szCs w:val="12"/>
                <w:b w:val="1"/>
                <w:bCs w:val="1"/>
                <w:color w:val="auto"/>
                <w:w w:val="99"/>
              </w:rPr>
              <w:t>Comprehensive</w:t>
            </w:r>
          </w:p>
        </w:tc>
        <w:tc>
          <w:tcPr>
            <w:tcW w:w="100" w:type="dxa"/>
            <w:vAlign w:val="bottom"/>
          </w:tcPr>
          <w:p>
            <w:pPr>
              <w:spacing w:after="0"/>
              <w:rPr>
                <w:sz w:val="7"/>
                <w:szCs w:val="7"/>
                <w:color w:val="auto"/>
              </w:rPr>
            </w:pPr>
          </w:p>
        </w:tc>
        <w:tc>
          <w:tcPr>
            <w:tcW w:w="1040" w:type="dxa"/>
            <w:vAlign w:val="bottom"/>
            <w:gridSpan w:val="2"/>
            <w:vMerge w:val="restart"/>
          </w:tcPr>
          <w:p>
            <w:pPr>
              <w:ind w:left="20"/>
              <w:spacing w:after="0" w:line="120" w:lineRule="exact"/>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7"/>
                <w:szCs w:val="7"/>
                <w:color w:val="auto"/>
              </w:rPr>
            </w:pPr>
          </w:p>
        </w:tc>
        <w:tc>
          <w:tcPr>
            <w:tcW w:w="960" w:type="dxa"/>
            <w:vAlign w:val="bottom"/>
            <w:vMerge w:val="restart"/>
          </w:tcPr>
          <w:p>
            <w:pPr>
              <w:jc w:val="center"/>
              <w:ind w:right="52"/>
              <w:spacing w:after="0" w:line="120"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29"/>
        </w:trPr>
        <w:tc>
          <w:tcPr>
            <w:tcW w:w="29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96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Capital</w:t>
            </w: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9"/>
              </w:rPr>
              <w:t>Loss</w:t>
            </w:r>
          </w:p>
        </w:tc>
        <w:tc>
          <w:tcPr>
            <w:tcW w:w="100" w:type="dxa"/>
            <w:vAlign w:val="bottom"/>
          </w:tcPr>
          <w:p>
            <w:pPr>
              <w:spacing w:after="0"/>
              <w:rPr>
                <w:sz w:val="16"/>
                <w:szCs w:val="16"/>
                <w:color w:val="auto"/>
              </w:rPr>
            </w:pP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960" w:type="dxa"/>
            <w:vAlign w:val="bottom"/>
          </w:tcPr>
          <w:p>
            <w:pPr>
              <w:jc w:val="center"/>
              <w:ind w:right="52"/>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9"/>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36,083,301</w:t>
            </w:r>
          </w:p>
        </w:tc>
        <w:tc>
          <w:tcPr>
            <w:tcW w:w="1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ind w:right="652"/>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414,348</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(215,091)</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199,059</w:t>
            </w:r>
          </w:p>
        </w:tc>
        <w:tc>
          <w:tcPr>
            <w:tcW w:w="0" w:type="dxa"/>
            <w:vAlign w:val="bottom"/>
          </w:tcPr>
          <w:p>
            <w:pPr>
              <w:spacing w:after="0"/>
              <w:rPr>
                <w:sz w:val="1"/>
                <w:szCs w:val="1"/>
                <w:color w:val="auto"/>
              </w:rPr>
            </w:pPr>
          </w:p>
        </w:tc>
      </w:tr>
      <w:tr>
        <w:trPr>
          <w:trHeight w:val="182"/>
        </w:trPr>
        <w:tc>
          <w:tcPr>
            <w:tcW w:w="2960" w:type="dxa"/>
            <w:vAlign w:val="bottom"/>
          </w:tcPr>
          <w:p>
            <w:pPr>
              <w:ind w:left="160"/>
              <w:spacing w:after="0"/>
              <w:rPr>
                <w:sz w:val="20"/>
                <w:szCs w:val="20"/>
                <w:color w:val="auto"/>
              </w:rPr>
            </w:pPr>
            <w:r>
              <w:rPr>
                <w:rFonts w:ascii="Arial" w:cs="Arial" w:eastAsia="Arial" w:hAnsi="Arial"/>
                <w:sz w:val="14"/>
                <w:szCs w:val="14"/>
                <w:color w:val="auto"/>
              </w:rPr>
              <w:t>Vesting of restricted stock awards</w:t>
            </w:r>
          </w:p>
        </w:tc>
        <w:tc>
          <w:tcPr>
            <w:tcW w:w="1040" w:type="dxa"/>
            <w:vAlign w:val="bottom"/>
          </w:tcPr>
          <w:p>
            <w:pPr>
              <w:jc w:val="right"/>
              <w:spacing w:after="0"/>
              <w:rPr>
                <w:sz w:val="20"/>
                <w:szCs w:val="20"/>
                <w:color w:val="auto"/>
              </w:rPr>
            </w:pPr>
            <w:r>
              <w:rPr>
                <w:rFonts w:ascii="Arial" w:cs="Arial" w:eastAsia="Arial" w:hAnsi="Arial"/>
                <w:sz w:val="14"/>
                <w:szCs w:val="14"/>
                <w:color w:val="auto"/>
              </w:rPr>
              <w:t>15,606</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0"/>
        </w:trPr>
        <w:tc>
          <w:tcPr>
            <w:tcW w:w="29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Option exercises</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63,552</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82"/>
        </w:trPr>
        <w:tc>
          <w:tcPr>
            <w:tcW w:w="2960" w:type="dxa"/>
            <w:vAlign w:val="bottom"/>
          </w:tcPr>
          <w:p>
            <w:pPr>
              <w:ind w:left="160"/>
              <w:spacing w:after="0"/>
              <w:rPr>
                <w:sz w:val="20"/>
                <w:szCs w:val="20"/>
                <w:color w:val="auto"/>
              </w:rPr>
            </w:pPr>
            <w:r>
              <w:rPr>
                <w:rFonts w:ascii="Arial" w:cs="Arial" w:eastAsia="Arial" w:hAnsi="Arial"/>
                <w:sz w:val="14"/>
                <w:szCs w:val="14"/>
                <w:color w:val="auto"/>
              </w:rPr>
              <w:t>Stock-based compensation expense</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3,531</w:t>
            </w:r>
          </w:p>
        </w:tc>
        <w:tc>
          <w:tcPr>
            <w:tcW w:w="0" w:type="dxa"/>
            <w:vAlign w:val="bottom"/>
          </w:tcPr>
          <w:p>
            <w:pPr>
              <w:spacing w:after="0"/>
              <w:rPr>
                <w:sz w:val="1"/>
                <w:szCs w:val="1"/>
                <w:color w:val="auto"/>
              </w:rPr>
            </w:pPr>
          </w:p>
        </w:tc>
      </w:tr>
      <w:tr>
        <w:trPr>
          <w:trHeight w:val="200"/>
        </w:trPr>
        <w:tc>
          <w:tcPr>
            <w:tcW w:w="296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7"/>
              </w:rPr>
              <w:t>Net unrealized loss on short-term investments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w:t>
            </w:r>
          </w:p>
        </w:tc>
        <w:tc>
          <w:tcPr>
            <w:tcW w:w="0" w:type="dxa"/>
            <w:vAlign w:val="bottom"/>
          </w:tcPr>
          <w:p>
            <w:pPr>
              <w:spacing w:after="0"/>
              <w:rPr>
                <w:sz w:val="1"/>
                <w:szCs w:val="1"/>
                <w:color w:val="auto"/>
              </w:rPr>
            </w:pPr>
          </w:p>
        </w:tc>
      </w:tr>
      <w:tr>
        <w:trPr>
          <w:trHeight w:val="184"/>
        </w:trPr>
        <w:tc>
          <w:tcPr>
            <w:tcW w:w="2960" w:type="dxa"/>
            <w:vAlign w:val="bottom"/>
          </w:tcPr>
          <w:p>
            <w:pPr>
              <w:ind w:left="160"/>
              <w:spacing w:after="0"/>
              <w:rPr>
                <w:sz w:val="20"/>
                <w:szCs w:val="20"/>
                <w:color w:val="auto"/>
              </w:rPr>
            </w:pPr>
            <w:r>
              <w:rPr>
                <w:rFonts w:ascii="Arial" w:cs="Arial" w:eastAsia="Arial" w:hAnsi="Arial"/>
                <w:sz w:val="14"/>
                <w:szCs w:val="14"/>
                <w:color w:val="auto"/>
              </w:rPr>
              <w:t>Net loss</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(28,100)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(28,100)</w:t>
            </w:r>
          </w:p>
        </w:tc>
        <w:tc>
          <w:tcPr>
            <w:tcW w:w="0" w:type="dxa"/>
            <w:vAlign w:val="bottom"/>
          </w:tcPr>
          <w:p>
            <w:pPr>
              <w:spacing w:after="0"/>
              <w:rPr>
                <w:sz w:val="1"/>
                <w:szCs w:val="1"/>
                <w:color w:val="auto"/>
              </w:rPr>
            </w:pPr>
          </w:p>
        </w:tc>
      </w:tr>
      <w:tr>
        <w:trPr>
          <w:trHeight w:val="216"/>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2022</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36,162,459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52"/>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417,931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(243,191)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173,793</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vMerge w:val="restart"/>
          </w:tcPr>
          <w:p>
            <w:pPr>
              <w:ind w:left="160"/>
              <w:spacing w:after="0"/>
              <w:rPr>
                <w:sz w:val="20"/>
                <w:szCs w:val="20"/>
                <w:color w:val="auto"/>
              </w:rPr>
            </w:pPr>
            <w:r>
              <w:rPr>
                <w:rFonts w:ascii="Arial" w:cs="Arial" w:eastAsia="Arial" w:hAnsi="Arial"/>
                <w:sz w:val="14"/>
                <w:szCs w:val="14"/>
                <w:color w:val="auto"/>
              </w:rPr>
              <w:t>Vesting of restricted stock awards</w:t>
            </w: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960" w:type="dxa"/>
            <w:vAlign w:val="bottom"/>
            <w:tcBorders>
              <w:top w:val="single" w:sz="8" w:color="CCEEFF"/>
            </w:tcBorders>
            <w:vMerge w:val="continue"/>
          </w:tcPr>
          <w:p>
            <w:pPr>
              <w:spacing w:after="0"/>
              <w:rPr>
                <w:sz w:val="13"/>
                <w:szCs w:val="13"/>
                <w:color w:val="auto"/>
              </w:rPr>
            </w:pPr>
          </w:p>
        </w:tc>
        <w:tc>
          <w:tcPr>
            <w:tcW w:w="104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6,235</w:t>
            </w:r>
          </w:p>
        </w:tc>
        <w:tc>
          <w:tcPr>
            <w:tcW w:w="1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ind w:left="740"/>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ind w:left="740"/>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12"/>
              <w:spacing w:after="0" w:line="153"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0"/>
        </w:trPr>
        <w:tc>
          <w:tcPr>
            <w:tcW w:w="29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Option exercises</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13,603</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182"/>
        </w:trPr>
        <w:tc>
          <w:tcPr>
            <w:tcW w:w="2960" w:type="dxa"/>
            <w:vAlign w:val="bottom"/>
          </w:tcPr>
          <w:p>
            <w:pPr>
              <w:ind w:left="160"/>
              <w:spacing w:after="0"/>
              <w:rPr>
                <w:sz w:val="20"/>
                <w:szCs w:val="20"/>
                <w:color w:val="auto"/>
              </w:rPr>
            </w:pPr>
            <w:r>
              <w:rPr>
                <w:rFonts w:ascii="Arial" w:cs="Arial" w:eastAsia="Arial" w:hAnsi="Arial"/>
                <w:sz w:val="14"/>
                <w:szCs w:val="14"/>
                <w:color w:val="auto"/>
              </w:rPr>
              <w:t>Stock-based compensation expense</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3,403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3,403</w:t>
            </w:r>
          </w:p>
        </w:tc>
        <w:tc>
          <w:tcPr>
            <w:tcW w:w="0" w:type="dxa"/>
            <w:vAlign w:val="bottom"/>
          </w:tcPr>
          <w:p>
            <w:pPr>
              <w:spacing w:after="0"/>
              <w:rPr>
                <w:sz w:val="1"/>
                <w:szCs w:val="1"/>
                <w:color w:val="auto"/>
              </w:rPr>
            </w:pPr>
          </w:p>
        </w:tc>
      </w:tr>
      <w:tr>
        <w:trPr>
          <w:trHeight w:val="200"/>
        </w:trPr>
        <w:tc>
          <w:tcPr>
            <w:tcW w:w="296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7"/>
              </w:rPr>
              <w:t>Net unrealized loss on short-term investments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184"/>
        </w:trPr>
        <w:tc>
          <w:tcPr>
            <w:tcW w:w="2960" w:type="dxa"/>
            <w:vAlign w:val="bottom"/>
          </w:tcPr>
          <w:p>
            <w:pPr>
              <w:ind w:left="160"/>
              <w:spacing w:after="0"/>
              <w:rPr>
                <w:sz w:val="20"/>
                <w:szCs w:val="20"/>
                <w:color w:val="auto"/>
              </w:rPr>
            </w:pPr>
            <w:r>
              <w:rPr>
                <w:rFonts w:ascii="Arial" w:cs="Arial" w:eastAsia="Arial" w:hAnsi="Arial"/>
                <w:sz w:val="14"/>
                <w:szCs w:val="14"/>
                <w:color w:val="auto"/>
              </w:rPr>
              <w:t>Net loss</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(29,546)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(29,546)</w:t>
            </w:r>
          </w:p>
        </w:tc>
        <w:tc>
          <w:tcPr>
            <w:tcW w:w="0" w:type="dxa"/>
            <w:vAlign w:val="bottom"/>
          </w:tcPr>
          <w:p>
            <w:pPr>
              <w:spacing w:after="0"/>
              <w:rPr>
                <w:sz w:val="1"/>
                <w:szCs w:val="1"/>
                <w:color w:val="auto"/>
              </w:rPr>
            </w:pPr>
          </w:p>
        </w:tc>
      </w:tr>
      <w:tr>
        <w:trPr>
          <w:trHeight w:val="216"/>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2022</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36,182,297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52"/>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421,781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(272,737)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147,788</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vMerge w:val="restart"/>
          </w:tcPr>
          <w:p>
            <w:pPr>
              <w:ind w:left="160"/>
              <w:spacing w:after="0"/>
              <w:rPr>
                <w:sz w:val="20"/>
                <w:szCs w:val="20"/>
                <w:color w:val="auto"/>
              </w:rPr>
            </w:pPr>
            <w:r>
              <w:rPr>
                <w:rFonts w:ascii="Arial" w:cs="Arial" w:eastAsia="Arial" w:hAnsi="Arial"/>
                <w:sz w:val="14"/>
                <w:szCs w:val="14"/>
                <w:color w:val="auto"/>
              </w:rPr>
              <w:t>Option exercises</w:t>
            </w: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960" w:type="dxa"/>
            <w:vAlign w:val="bottom"/>
            <w:tcBorders>
              <w:top w:val="single" w:sz="8" w:color="CCEEFF"/>
            </w:tcBorders>
            <w:vMerge w:val="continue"/>
          </w:tcPr>
          <w:p>
            <w:pPr>
              <w:spacing w:after="0"/>
              <w:rPr>
                <w:sz w:val="13"/>
                <w:szCs w:val="13"/>
                <w:color w:val="auto"/>
              </w:rPr>
            </w:pPr>
          </w:p>
        </w:tc>
        <w:tc>
          <w:tcPr>
            <w:tcW w:w="104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135,113</w:t>
            </w:r>
          </w:p>
        </w:tc>
        <w:tc>
          <w:tcPr>
            <w:tcW w:w="1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808</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ind w:left="740"/>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ind w:left="740"/>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12"/>
              <w:spacing w:after="0" w:line="153" w:lineRule="exact"/>
              <w:rPr>
                <w:sz w:val="20"/>
                <w:szCs w:val="20"/>
                <w:color w:val="auto"/>
              </w:rPr>
            </w:pPr>
            <w:r>
              <w:rPr>
                <w:rFonts w:ascii="Arial" w:cs="Arial" w:eastAsia="Arial" w:hAnsi="Arial"/>
                <w:sz w:val="14"/>
                <w:szCs w:val="14"/>
                <w:color w:val="auto"/>
              </w:rPr>
              <w:t>808</w:t>
            </w:r>
          </w:p>
        </w:tc>
        <w:tc>
          <w:tcPr>
            <w:tcW w:w="0" w:type="dxa"/>
            <w:vAlign w:val="bottom"/>
          </w:tcPr>
          <w:p>
            <w:pPr>
              <w:spacing w:after="0"/>
              <w:rPr>
                <w:sz w:val="1"/>
                <w:szCs w:val="1"/>
                <w:color w:val="auto"/>
              </w:rPr>
            </w:pPr>
          </w:p>
        </w:tc>
      </w:tr>
      <w:tr>
        <w:trPr>
          <w:trHeight w:val="200"/>
        </w:trPr>
        <w:tc>
          <w:tcPr>
            <w:tcW w:w="29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Stock-based compensation expense</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4,808</w:t>
            </w:r>
          </w:p>
        </w:tc>
        <w:tc>
          <w:tcPr>
            <w:tcW w:w="0" w:type="dxa"/>
            <w:vAlign w:val="bottom"/>
          </w:tcPr>
          <w:p>
            <w:pPr>
              <w:spacing w:after="0"/>
              <w:rPr>
                <w:sz w:val="1"/>
                <w:szCs w:val="1"/>
                <w:color w:val="auto"/>
              </w:rPr>
            </w:pPr>
          </w:p>
        </w:tc>
      </w:tr>
      <w:tr>
        <w:trPr>
          <w:trHeight w:val="182"/>
        </w:trPr>
        <w:tc>
          <w:tcPr>
            <w:tcW w:w="2960" w:type="dxa"/>
            <w:vAlign w:val="bottom"/>
          </w:tcPr>
          <w:p>
            <w:pPr>
              <w:ind w:left="160"/>
              <w:spacing w:after="0"/>
              <w:rPr>
                <w:sz w:val="20"/>
                <w:szCs w:val="20"/>
                <w:color w:val="auto"/>
              </w:rPr>
            </w:pPr>
            <w:r>
              <w:rPr>
                <w:rFonts w:ascii="Arial" w:cs="Arial" w:eastAsia="Arial" w:hAnsi="Arial"/>
                <w:sz w:val="14"/>
                <w:szCs w:val="14"/>
                <w:color w:val="auto"/>
                <w:w w:val="97"/>
              </w:rPr>
              <w:t>Net unrealized loss on short-term investments</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(1,195)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(1,195)</w:t>
            </w:r>
          </w:p>
        </w:tc>
        <w:tc>
          <w:tcPr>
            <w:tcW w:w="0" w:type="dxa"/>
            <w:vAlign w:val="bottom"/>
          </w:tcPr>
          <w:p>
            <w:pPr>
              <w:spacing w:after="0"/>
              <w:rPr>
                <w:sz w:val="1"/>
                <w:szCs w:val="1"/>
                <w:color w:val="auto"/>
              </w:rPr>
            </w:pPr>
          </w:p>
        </w:tc>
      </w:tr>
      <w:tr>
        <w:trPr>
          <w:trHeight w:val="143"/>
        </w:trPr>
        <w:tc>
          <w:tcPr>
            <w:tcW w:w="2960" w:type="dxa"/>
            <w:vAlign w:val="bottom"/>
            <w:shd w:val="clear" w:color="auto" w:fill="CCEEFF"/>
          </w:tcPr>
          <w:p>
            <w:pPr>
              <w:ind w:left="160"/>
              <w:spacing w:after="0" w:line="143" w:lineRule="exact"/>
              <w:rPr>
                <w:sz w:val="20"/>
                <w:szCs w:val="20"/>
                <w:color w:val="auto"/>
              </w:rPr>
            </w:pPr>
            <w:r>
              <w:rPr>
                <w:rFonts w:ascii="Arial" w:cs="Arial" w:eastAsia="Arial" w:hAnsi="Arial"/>
                <w:sz w:val="14"/>
                <w:szCs w:val="14"/>
                <w:color w:val="auto"/>
                <w:w w:val="93"/>
              </w:rPr>
              <w:t>Common stock issued in a public offering, net of</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12,432,432</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215,398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215,400</w:t>
            </w:r>
          </w:p>
        </w:tc>
        <w:tc>
          <w:tcPr>
            <w:tcW w:w="0" w:type="dxa"/>
            <w:vAlign w:val="bottom"/>
          </w:tcPr>
          <w:p>
            <w:pPr>
              <w:spacing w:after="0"/>
              <w:rPr>
                <w:sz w:val="1"/>
                <w:szCs w:val="1"/>
                <w:color w:val="auto"/>
              </w:rPr>
            </w:pPr>
          </w:p>
        </w:tc>
      </w:tr>
      <w:tr>
        <w:trPr>
          <w:trHeight w:val="184"/>
        </w:trPr>
        <w:tc>
          <w:tcPr>
            <w:tcW w:w="29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offering expenses</w:t>
            </w:r>
          </w:p>
        </w:tc>
        <w:tc>
          <w:tcPr>
            <w:tcW w:w="10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60" w:type="dxa"/>
            <w:vAlign w:val="bottom"/>
          </w:tcPr>
          <w:p>
            <w:pPr>
              <w:ind w:left="160"/>
              <w:spacing w:after="0"/>
              <w:rPr>
                <w:sz w:val="20"/>
                <w:szCs w:val="20"/>
                <w:color w:val="auto"/>
              </w:rPr>
            </w:pPr>
            <w:r>
              <w:rPr>
                <w:rFonts w:ascii="Arial" w:cs="Arial" w:eastAsia="Arial" w:hAnsi="Arial"/>
                <w:sz w:val="14"/>
                <w:szCs w:val="14"/>
                <w:color w:val="auto"/>
              </w:rPr>
              <w:t>Net loss</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(30,615)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(30,615)</w:t>
            </w:r>
          </w:p>
        </w:tc>
        <w:tc>
          <w:tcPr>
            <w:tcW w:w="0" w:type="dxa"/>
            <w:vAlign w:val="bottom"/>
          </w:tcPr>
          <w:p>
            <w:pPr>
              <w:spacing w:after="0"/>
              <w:rPr>
                <w:sz w:val="1"/>
                <w:szCs w:val="1"/>
                <w:color w:val="auto"/>
              </w:rPr>
            </w:pPr>
          </w:p>
        </w:tc>
      </w:tr>
      <w:tr>
        <w:trPr>
          <w:trHeight w:val="216"/>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2022</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48,749,842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52"/>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642,795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(303,352)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336,994</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65405</wp:posOffset>
            </wp:positionV>
            <wp:extent cx="716534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9740"/>
          </w:cols>
          <w:pgMar w:left="1080" w:top="849" w:right="107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7"/>
          <w:szCs w:val="17"/>
          <w:b w:val="1"/>
          <w:bCs w:val="1"/>
          <w:color w:val="auto"/>
        </w:rPr>
        <w:t>Pliant Therapeutics, Inc.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Statements of Stockholders’ Equity</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(In thousands, except number of shares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960" w:type="dxa"/>
            <w:vAlign w:val="bottom"/>
          </w:tcPr>
          <w:p>
            <w:pPr>
              <w:spacing w:after="0"/>
              <w:rPr>
                <w:sz w:val="12"/>
                <w:szCs w:val="12"/>
                <w:color w:val="auto"/>
              </w:rPr>
            </w:pPr>
          </w:p>
        </w:tc>
        <w:tc>
          <w:tcPr>
            <w:tcW w:w="1960" w:type="dxa"/>
            <w:vAlign w:val="bottom"/>
            <w:gridSpan w:val="3"/>
            <w:vMerge w:val="restart"/>
          </w:tcPr>
          <w:p>
            <w:pPr>
              <w:jc w:val="right"/>
              <w:ind w:right="352"/>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0" w:lineRule="exact"/>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0"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52"/>
              <w:spacing w:after="0" w:line="140"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86"/>
        </w:trPr>
        <w:tc>
          <w:tcPr>
            <w:tcW w:w="2960" w:type="dxa"/>
            <w:vAlign w:val="bottom"/>
          </w:tcPr>
          <w:p>
            <w:pPr>
              <w:spacing w:after="0"/>
              <w:rPr>
                <w:sz w:val="7"/>
                <w:szCs w:val="7"/>
                <w:color w:val="auto"/>
              </w:rPr>
            </w:pPr>
          </w:p>
        </w:tc>
        <w:tc>
          <w:tcPr>
            <w:tcW w:w="1960" w:type="dxa"/>
            <w:vAlign w:val="bottom"/>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2"/>
            <w:vMerge w:val="restart"/>
          </w:tcPr>
          <w:p>
            <w:pPr>
              <w:jc w:val="center"/>
              <w:ind w:right="260"/>
              <w:spacing w:after="0" w:line="115" w:lineRule="exact"/>
              <w:rPr>
                <w:sz w:val="20"/>
                <w:szCs w:val="20"/>
                <w:color w:val="auto"/>
              </w:rPr>
            </w:pPr>
            <w:r>
              <w:rPr>
                <w:rFonts w:ascii="Arial" w:cs="Arial" w:eastAsia="Arial" w:hAnsi="Arial"/>
                <w:sz w:val="12"/>
                <w:szCs w:val="12"/>
                <w:b w:val="1"/>
                <w:bCs w:val="1"/>
                <w:color w:val="auto"/>
              </w:rPr>
              <w:t>Paid-In</w:t>
            </w:r>
          </w:p>
        </w:tc>
        <w:tc>
          <w:tcPr>
            <w:tcW w:w="1160" w:type="dxa"/>
            <w:vAlign w:val="bottom"/>
            <w:gridSpan w:val="3"/>
            <w:vMerge w:val="restart"/>
          </w:tcPr>
          <w:p>
            <w:pPr>
              <w:jc w:val="center"/>
              <w:ind w:right="100"/>
              <w:spacing w:after="0" w:line="115" w:lineRule="exact"/>
              <w:rPr>
                <w:sz w:val="20"/>
                <w:szCs w:val="20"/>
                <w:color w:val="auto"/>
              </w:rPr>
            </w:pPr>
            <w:r>
              <w:rPr>
                <w:rFonts w:ascii="Arial" w:cs="Arial" w:eastAsia="Arial" w:hAnsi="Arial"/>
                <w:sz w:val="12"/>
                <w:szCs w:val="12"/>
                <w:b w:val="1"/>
                <w:bCs w:val="1"/>
                <w:color w:val="auto"/>
                <w:w w:val="99"/>
              </w:rPr>
              <w:t>Comprehensive</w:t>
            </w:r>
          </w:p>
        </w:tc>
        <w:tc>
          <w:tcPr>
            <w:tcW w:w="100" w:type="dxa"/>
            <w:vAlign w:val="bottom"/>
          </w:tcPr>
          <w:p>
            <w:pPr>
              <w:spacing w:after="0"/>
              <w:rPr>
                <w:sz w:val="7"/>
                <w:szCs w:val="7"/>
                <w:color w:val="auto"/>
              </w:rPr>
            </w:pPr>
          </w:p>
        </w:tc>
        <w:tc>
          <w:tcPr>
            <w:tcW w:w="1040" w:type="dxa"/>
            <w:vAlign w:val="bottom"/>
            <w:gridSpan w:val="2"/>
            <w:vMerge w:val="restart"/>
          </w:tcPr>
          <w:p>
            <w:pPr>
              <w:ind w:left="20"/>
              <w:spacing w:after="0" w:line="115" w:lineRule="exact"/>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7"/>
                <w:szCs w:val="7"/>
                <w:color w:val="auto"/>
              </w:rPr>
            </w:pPr>
          </w:p>
        </w:tc>
        <w:tc>
          <w:tcPr>
            <w:tcW w:w="960" w:type="dxa"/>
            <w:vAlign w:val="bottom"/>
            <w:vMerge w:val="restart"/>
          </w:tcPr>
          <w:p>
            <w:pPr>
              <w:jc w:val="center"/>
              <w:ind w:right="52"/>
              <w:spacing w:after="0" w:line="115"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29"/>
        </w:trPr>
        <w:tc>
          <w:tcPr>
            <w:tcW w:w="29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96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Capital</w:t>
            </w: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9"/>
              </w:rPr>
              <w:t>Loss</w:t>
            </w:r>
          </w:p>
        </w:tc>
        <w:tc>
          <w:tcPr>
            <w:tcW w:w="100" w:type="dxa"/>
            <w:vAlign w:val="bottom"/>
          </w:tcPr>
          <w:p>
            <w:pPr>
              <w:spacing w:after="0"/>
              <w:rPr>
                <w:sz w:val="16"/>
                <w:szCs w:val="16"/>
                <w:color w:val="auto"/>
              </w:rPr>
            </w:pP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960" w:type="dxa"/>
            <w:vAlign w:val="bottom"/>
          </w:tcPr>
          <w:p>
            <w:pPr>
              <w:jc w:val="center"/>
              <w:ind w:right="52"/>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9"/>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35,552,795</w:t>
            </w:r>
          </w:p>
        </w:tc>
        <w:tc>
          <w:tcPr>
            <w:tcW w:w="1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ind w:right="652"/>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400,918</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center"/>
              <w:ind w:left="592"/>
              <w:spacing w:after="0"/>
              <w:rPr>
                <w:sz w:val="20"/>
                <w:szCs w:val="20"/>
                <w:color w:val="auto"/>
              </w:rPr>
            </w:pPr>
            <w:r>
              <w:rPr>
                <w:rFonts w:ascii="Arial" w:cs="Arial" w:eastAsia="Arial" w:hAnsi="Arial"/>
                <w:sz w:val="14"/>
                <w:szCs w:val="14"/>
                <w:color w:val="auto"/>
                <w:w w:val="96"/>
              </w:rPr>
              <w:t>(32)</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(117,828)</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283,061</w:t>
            </w:r>
          </w:p>
        </w:tc>
        <w:tc>
          <w:tcPr>
            <w:tcW w:w="0" w:type="dxa"/>
            <w:vAlign w:val="bottom"/>
          </w:tcPr>
          <w:p>
            <w:pPr>
              <w:spacing w:after="0"/>
              <w:rPr>
                <w:sz w:val="1"/>
                <w:szCs w:val="1"/>
                <w:color w:val="auto"/>
              </w:rPr>
            </w:pPr>
          </w:p>
        </w:tc>
      </w:tr>
      <w:tr>
        <w:trPr>
          <w:trHeight w:val="182"/>
        </w:trPr>
        <w:tc>
          <w:tcPr>
            <w:tcW w:w="2960" w:type="dxa"/>
            <w:vAlign w:val="bottom"/>
          </w:tcPr>
          <w:p>
            <w:pPr>
              <w:ind w:left="160"/>
              <w:spacing w:after="0"/>
              <w:rPr>
                <w:sz w:val="20"/>
                <w:szCs w:val="20"/>
                <w:color w:val="auto"/>
              </w:rPr>
            </w:pPr>
            <w:r>
              <w:rPr>
                <w:rFonts w:ascii="Arial" w:cs="Arial" w:eastAsia="Arial" w:hAnsi="Arial"/>
                <w:sz w:val="14"/>
                <w:szCs w:val="14"/>
                <w:color w:val="auto"/>
              </w:rPr>
              <w:t>Vesting of restricted stock awards</w:t>
            </w:r>
          </w:p>
        </w:tc>
        <w:tc>
          <w:tcPr>
            <w:tcW w:w="1040" w:type="dxa"/>
            <w:vAlign w:val="bottom"/>
          </w:tcPr>
          <w:p>
            <w:pPr>
              <w:jc w:val="right"/>
              <w:spacing w:after="0"/>
              <w:rPr>
                <w:sz w:val="20"/>
                <w:szCs w:val="20"/>
                <w:color w:val="auto"/>
              </w:rPr>
            </w:pPr>
            <w:r>
              <w:rPr>
                <w:rFonts w:ascii="Arial" w:cs="Arial" w:eastAsia="Arial" w:hAnsi="Arial"/>
                <w:sz w:val="14"/>
                <w:szCs w:val="14"/>
                <w:color w:val="auto"/>
              </w:rPr>
              <w:t>30,277</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left="512"/>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0"/>
        </w:trPr>
        <w:tc>
          <w:tcPr>
            <w:tcW w:w="29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Option exercises</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165,264</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center"/>
              <w:ind w:left="512"/>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1,370</w:t>
            </w:r>
          </w:p>
        </w:tc>
        <w:tc>
          <w:tcPr>
            <w:tcW w:w="0" w:type="dxa"/>
            <w:vAlign w:val="bottom"/>
          </w:tcPr>
          <w:p>
            <w:pPr>
              <w:spacing w:after="0"/>
              <w:rPr>
                <w:sz w:val="1"/>
                <w:szCs w:val="1"/>
                <w:color w:val="auto"/>
              </w:rPr>
            </w:pPr>
          </w:p>
        </w:tc>
      </w:tr>
      <w:tr>
        <w:trPr>
          <w:trHeight w:val="182"/>
        </w:trPr>
        <w:tc>
          <w:tcPr>
            <w:tcW w:w="2960" w:type="dxa"/>
            <w:vAlign w:val="bottom"/>
          </w:tcPr>
          <w:p>
            <w:pPr>
              <w:ind w:left="160"/>
              <w:spacing w:after="0"/>
              <w:rPr>
                <w:sz w:val="20"/>
                <w:szCs w:val="20"/>
                <w:color w:val="auto"/>
              </w:rPr>
            </w:pPr>
            <w:r>
              <w:rPr>
                <w:rFonts w:ascii="Arial" w:cs="Arial" w:eastAsia="Arial" w:hAnsi="Arial"/>
                <w:sz w:val="14"/>
                <w:szCs w:val="14"/>
                <w:color w:val="auto"/>
              </w:rPr>
              <w:t>Stock-based compensation expense</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2,578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left="512"/>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2,578</w:t>
            </w:r>
          </w:p>
        </w:tc>
        <w:tc>
          <w:tcPr>
            <w:tcW w:w="0" w:type="dxa"/>
            <w:vAlign w:val="bottom"/>
          </w:tcPr>
          <w:p>
            <w:pPr>
              <w:spacing w:after="0"/>
              <w:rPr>
                <w:sz w:val="1"/>
                <w:szCs w:val="1"/>
                <w:color w:val="auto"/>
              </w:rPr>
            </w:pPr>
          </w:p>
        </w:tc>
      </w:tr>
      <w:tr>
        <w:trPr>
          <w:trHeight w:val="200"/>
        </w:trPr>
        <w:tc>
          <w:tcPr>
            <w:tcW w:w="296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7"/>
              </w:rPr>
              <w:t>Net unrealized loss on short-term investments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left="612"/>
              <w:spacing w:after="0"/>
              <w:rPr>
                <w:sz w:val="20"/>
                <w:szCs w:val="20"/>
                <w:color w:val="auto"/>
              </w:rPr>
            </w:pPr>
            <w:r>
              <w:rPr>
                <w:rFonts w:ascii="Arial" w:cs="Arial" w:eastAsia="Arial" w:hAnsi="Arial"/>
                <w:sz w:val="14"/>
                <w:szCs w:val="14"/>
                <w:color w:val="auto"/>
                <w:w w:val="89"/>
              </w:rPr>
              <w:t>14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4"/>
        </w:trPr>
        <w:tc>
          <w:tcPr>
            <w:tcW w:w="2960" w:type="dxa"/>
            <w:vAlign w:val="bottom"/>
          </w:tcPr>
          <w:p>
            <w:pPr>
              <w:ind w:left="160"/>
              <w:spacing w:after="0"/>
              <w:rPr>
                <w:sz w:val="20"/>
                <w:szCs w:val="20"/>
                <w:color w:val="auto"/>
              </w:rPr>
            </w:pPr>
            <w:r>
              <w:rPr>
                <w:rFonts w:ascii="Arial" w:cs="Arial" w:eastAsia="Arial" w:hAnsi="Arial"/>
                <w:sz w:val="14"/>
                <w:szCs w:val="14"/>
                <w:color w:val="auto"/>
              </w:rPr>
              <w:t>Net loss</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center"/>
              <w:ind w:left="512"/>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(22,856)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(22,856)</w:t>
            </w:r>
          </w:p>
        </w:tc>
        <w:tc>
          <w:tcPr>
            <w:tcW w:w="0" w:type="dxa"/>
            <w:vAlign w:val="bottom"/>
          </w:tcPr>
          <w:p>
            <w:pPr>
              <w:spacing w:after="0"/>
              <w:rPr>
                <w:sz w:val="1"/>
                <w:szCs w:val="1"/>
                <w:color w:val="auto"/>
              </w:rPr>
            </w:pPr>
          </w:p>
        </w:tc>
      </w:tr>
      <w:tr>
        <w:trPr>
          <w:trHeight w:val="216"/>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2021</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35,748,336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52"/>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404,868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center"/>
              <w:ind w:left="592"/>
              <w:spacing w:after="0"/>
              <w:rPr>
                <w:sz w:val="20"/>
                <w:szCs w:val="20"/>
                <w:color w:val="auto"/>
              </w:rPr>
            </w:pPr>
            <w:r>
              <w:rPr>
                <w:rFonts w:ascii="Arial" w:cs="Arial" w:eastAsia="Arial" w:hAnsi="Arial"/>
                <w:sz w:val="14"/>
                <w:szCs w:val="14"/>
                <w:color w:val="auto"/>
                <w:w w:val="96"/>
              </w:rPr>
              <w:t>(18)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(140,684)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264,169</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vMerge w:val="restart"/>
          </w:tcPr>
          <w:p>
            <w:pPr>
              <w:ind w:left="160"/>
              <w:spacing w:after="0"/>
              <w:rPr>
                <w:sz w:val="20"/>
                <w:szCs w:val="20"/>
                <w:color w:val="auto"/>
              </w:rPr>
            </w:pPr>
            <w:r>
              <w:rPr>
                <w:rFonts w:ascii="Arial" w:cs="Arial" w:eastAsia="Arial" w:hAnsi="Arial"/>
                <w:sz w:val="14"/>
                <w:szCs w:val="14"/>
                <w:color w:val="auto"/>
              </w:rPr>
              <w:t>Vesting of restricted stock awards</w:t>
            </w: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960" w:type="dxa"/>
            <w:vAlign w:val="bottom"/>
            <w:tcBorders>
              <w:top w:val="single" w:sz="8" w:color="CCEEFF"/>
            </w:tcBorders>
            <w:vMerge w:val="continue"/>
          </w:tcPr>
          <w:p>
            <w:pPr>
              <w:spacing w:after="0"/>
              <w:rPr>
                <w:sz w:val="13"/>
                <w:szCs w:val="13"/>
                <w:color w:val="auto"/>
              </w:rPr>
            </w:pPr>
          </w:p>
        </w:tc>
        <w:tc>
          <w:tcPr>
            <w:tcW w:w="104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30,136</w:t>
            </w:r>
          </w:p>
        </w:tc>
        <w:tc>
          <w:tcPr>
            <w:tcW w:w="1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left="612"/>
              <w:spacing w:after="0" w:line="153"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ind w:left="740"/>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ind w:right="12"/>
              <w:spacing w:after="0" w:line="153"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0"/>
        </w:trPr>
        <w:tc>
          <w:tcPr>
            <w:tcW w:w="29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Option exercises</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75,444</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center"/>
              <w:ind w:left="512"/>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182"/>
        </w:trPr>
        <w:tc>
          <w:tcPr>
            <w:tcW w:w="2960" w:type="dxa"/>
            <w:vAlign w:val="bottom"/>
          </w:tcPr>
          <w:p>
            <w:pPr>
              <w:ind w:left="160"/>
              <w:spacing w:after="0"/>
              <w:rPr>
                <w:sz w:val="20"/>
                <w:szCs w:val="20"/>
                <w:color w:val="auto"/>
              </w:rPr>
            </w:pPr>
            <w:r>
              <w:rPr>
                <w:rFonts w:ascii="Arial" w:cs="Arial" w:eastAsia="Arial" w:hAnsi="Arial"/>
                <w:sz w:val="14"/>
                <w:szCs w:val="14"/>
                <w:color w:val="auto"/>
              </w:rPr>
              <w:t>Stock-based compensation expense</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2,280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left="512"/>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2,280</w:t>
            </w:r>
          </w:p>
        </w:tc>
        <w:tc>
          <w:tcPr>
            <w:tcW w:w="0" w:type="dxa"/>
            <w:vAlign w:val="bottom"/>
          </w:tcPr>
          <w:p>
            <w:pPr>
              <w:spacing w:after="0"/>
              <w:rPr>
                <w:sz w:val="1"/>
                <w:szCs w:val="1"/>
                <w:color w:val="auto"/>
              </w:rPr>
            </w:pPr>
          </w:p>
        </w:tc>
      </w:tr>
      <w:tr>
        <w:trPr>
          <w:trHeight w:val="200"/>
        </w:trPr>
        <w:tc>
          <w:tcPr>
            <w:tcW w:w="296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7"/>
              </w:rPr>
              <w:t>Net unrealized loss on short-term investments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left="592"/>
              <w:spacing w:after="0"/>
              <w:rPr>
                <w:sz w:val="20"/>
                <w:szCs w:val="20"/>
                <w:color w:val="auto"/>
              </w:rPr>
            </w:pPr>
            <w:r>
              <w:rPr>
                <w:rFonts w:ascii="Arial" w:cs="Arial" w:eastAsia="Arial" w:hAnsi="Arial"/>
                <w:sz w:val="14"/>
                <w:szCs w:val="14"/>
                <w:color w:val="auto"/>
                <w:w w:val="96"/>
              </w:rPr>
              <w:t>(12)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4"/>
        </w:trPr>
        <w:tc>
          <w:tcPr>
            <w:tcW w:w="2960" w:type="dxa"/>
            <w:vAlign w:val="bottom"/>
          </w:tcPr>
          <w:p>
            <w:pPr>
              <w:ind w:left="160"/>
              <w:spacing w:after="0"/>
              <w:rPr>
                <w:sz w:val="20"/>
                <w:szCs w:val="20"/>
                <w:color w:val="auto"/>
              </w:rPr>
            </w:pPr>
            <w:r>
              <w:rPr>
                <w:rFonts w:ascii="Arial" w:cs="Arial" w:eastAsia="Arial" w:hAnsi="Arial"/>
                <w:sz w:val="14"/>
                <w:szCs w:val="14"/>
                <w:color w:val="auto"/>
              </w:rPr>
              <w:t>Net loss</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center"/>
              <w:ind w:left="512"/>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(22,831)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(22,831)</w:t>
            </w:r>
          </w:p>
        </w:tc>
        <w:tc>
          <w:tcPr>
            <w:tcW w:w="0" w:type="dxa"/>
            <w:vAlign w:val="bottom"/>
          </w:tcPr>
          <w:p>
            <w:pPr>
              <w:spacing w:after="0"/>
              <w:rPr>
                <w:sz w:val="1"/>
                <w:szCs w:val="1"/>
                <w:color w:val="auto"/>
              </w:rPr>
            </w:pPr>
          </w:p>
        </w:tc>
      </w:tr>
      <w:tr>
        <w:trPr>
          <w:trHeight w:val="216"/>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2021</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35,853,916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52"/>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407,522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center"/>
              <w:ind w:left="592"/>
              <w:spacing w:after="0"/>
              <w:rPr>
                <w:sz w:val="20"/>
                <w:szCs w:val="20"/>
                <w:color w:val="auto"/>
              </w:rPr>
            </w:pPr>
            <w:r>
              <w:rPr>
                <w:rFonts w:ascii="Arial" w:cs="Arial" w:eastAsia="Arial" w:hAnsi="Arial"/>
                <w:sz w:val="14"/>
                <w:szCs w:val="14"/>
                <w:color w:val="auto"/>
                <w:w w:val="96"/>
              </w:rPr>
              <w:t>(30)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(163,515)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243,980</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vMerge w:val="restart"/>
          </w:tcPr>
          <w:p>
            <w:pPr>
              <w:ind w:left="160"/>
              <w:spacing w:after="0"/>
              <w:rPr>
                <w:sz w:val="20"/>
                <w:szCs w:val="20"/>
                <w:color w:val="auto"/>
              </w:rPr>
            </w:pPr>
            <w:r>
              <w:rPr>
                <w:rFonts w:ascii="Arial" w:cs="Arial" w:eastAsia="Arial" w:hAnsi="Arial"/>
                <w:sz w:val="14"/>
                <w:szCs w:val="14"/>
                <w:color w:val="auto"/>
              </w:rPr>
              <w:t>Vesting of restricted stock awards</w:t>
            </w: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960" w:type="dxa"/>
            <w:vAlign w:val="bottom"/>
            <w:tcBorders>
              <w:top w:val="single" w:sz="8" w:color="CCEEFF"/>
            </w:tcBorders>
            <w:vMerge w:val="continue"/>
          </w:tcPr>
          <w:p>
            <w:pPr>
              <w:spacing w:after="0"/>
              <w:rPr>
                <w:sz w:val="13"/>
                <w:szCs w:val="13"/>
                <w:color w:val="auto"/>
              </w:rPr>
            </w:pPr>
          </w:p>
        </w:tc>
        <w:tc>
          <w:tcPr>
            <w:tcW w:w="104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26,791</w:t>
            </w:r>
          </w:p>
        </w:tc>
        <w:tc>
          <w:tcPr>
            <w:tcW w:w="1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left="612"/>
              <w:spacing w:after="0" w:line="153"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ind w:left="740"/>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ind w:right="12"/>
              <w:spacing w:after="0" w:line="153"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0"/>
        </w:trPr>
        <w:tc>
          <w:tcPr>
            <w:tcW w:w="29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Option exercises</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96,587</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center"/>
              <w:ind w:left="512"/>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702</w:t>
            </w:r>
          </w:p>
        </w:tc>
        <w:tc>
          <w:tcPr>
            <w:tcW w:w="0" w:type="dxa"/>
            <w:vAlign w:val="bottom"/>
          </w:tcPr>
          <w:p>
            <w:pPr>
              <w:spacing w:after="0"/>
              <w:rPr>
                <w:sz w:val="1"/>
                <w:szCs w:val="1"/>
                <w:color w:val="auto"/>
              </w:rPr>
            </w:pPr>
          </w:p>
        </w:tc>
      </w:tr>
      <w:tr>
        <w:trPr>
          <w:trHeight w:val="182"/>
        </w:trPr>
        <w:tc>
          <w:tcPr>
            <w:tcW w:w="2960" w:type="dxa"/>
            <w:vAlign w:val="bottom"/>
          </w:tcPr>
          <w:p>
            <w:pPr>
              <w:ind w:left="160"/>
              <w:spacing w:after="0"/>
              <w:rPr>
                <w:sz w:val="20"/>
                <w:szCs w:val="20"/>
                <w:color w:val="auto"/>
              </w:rPr>
            </w:pPr>
            <w:r>
              <w:rPr>
                <w:rFonts w:ascii="Arial" w:cs="Arial" w:eastAsia="Arial" w:hAnsi="Arial"/>
                <w:sz w:val="14"/>
                <w:szCs w:val="14"/>
                <w:color w:val="auto"/>
              </w:rPr>
              <w:t>Stock-based compensation expense</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2,811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left="512"/>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2,811</w:t>
            </w:r>
          </w:p>
        </w:tc>
        <w:tc>
          <w:tcPr>
            <w:tcW w:w="0" w:type="dxa"/>
            <w:vAlign w:val="bottom"/>
          </w:tcPr>
          <w:p>
            <w:pPr>
              <w:spacing w:after="0"/>
              <w:rPr>
                <w:sz w:val="1"/>
                <w:szCs w:val="1"/>
                <w:color w:val="auto"/>
              </w:rPr>
            </w:pPr>
          </w:p>
        </w:tc>
      </w:tr>
      <w:tr>
        <w:trPr>
          <w:trHeight w:val="200"/>
        </w:trPr>
        <w:tc>
          <w:tcPr>
            <w:tcW w:w="296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7"/>
              </w:rPr>
              <w:t>Net unrealized loss on short-term investments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left="592"/>
              <w:spacing w:after="0"/>
              <w:rPr>
                <w:sz w:val="20"/>
                <w:szCs w:val="20"/>
                <w:color w:val="auto"/>
              </w:rPr>
            </w:pPr>
            <w:r>
              <w:rPr>
                <w:rFonts w:ascii="Arial" w:cs="Arial" w:eastAsia="Arial" w:hAnsi="Arial"/>
                <w:sz w:val="14"/>
                <w:szCs w:val="14"/>
                <w:color w:val="auto"/>
                <w:w w:val="96"/>
              </w:rPr>
              <w:t>(10)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4"/>
        </w:trPr>
        <w:tc>
          <w:tcPr>
            <w:tcW w:w="2960" w:type="dxa"/>
            <w:vAlign w:val="bottom"/>
          </w:tcPr>
          <w:p>
            <w:pPr>
              <w:ind w:left="160"/>
              <w:spacing w:after="0"/>
              <w:rPr>
                <w:sz w:val="20"/>
                <w:szCs w:val="20"/>
                <w:color w:val="auto"/>
              </w:rPr>
            </w:pPr>
            <w:r>
              <w:rPr>
                <w:rFonts w:ascii="Arial" w:cs="Arial" w:eastAsia="Arial" w:hAnsi="Arial"/>
                <w:sz w:val="14"/>
                <w:szCs w:val="14"/>
                <w:color w:val="auto"/>
              </w:rPr>
              <w:t>Net loss</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center"/>
              <w:ind w:left="512"/>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(27,045)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(27,045)</w:t>
            </w:r>
          </w:p>
        </w:tc>
        <w:tc>
          <w:tcPr>
            <w:tcW w:w="0" w:type="dxa"/>
            <w:vAlign w:val="bottom"/>
          </w:tcPr>
          <w:p>
            <w:pPr>
              <w:spacing w:after="0"/>
              <w:rPr>
                <w:sz w:val="1"/>
                <w:szCs w:val="1"/>
                <w:color w:val="auto"/>
              </w:rPr>
            </w:pPr>
          </w:p>
        </w:tc>
      </w:tr>
      <w:tr>
        <w:trPr>
          <w:trHeight w:val="216"/>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2021</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35,977,294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52"/>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411,037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center"/>
              <w:ind w:left="592"/>
              <w:spacing w:after="0"/>
              <w:rPr>
                <w:sz w:val="20"/>
                <w:szCs w:val="20"/>
                <w:color w:val="auto"/>
              </w:rPr>
            </w:pPr>
            <w:r>
              <w:rPr>
                <w:rFonts w:ascii="Arial" w:cs="Arial" w:eastAsia="Arial" w:hAnsi="Arial"/>
                <w:sz w:val="14"/>
                <w:szCs w:val="14"/>
                <w:color w:val="auto"/>
                <w:w w:val="96"/>
              </w:rPr>
              <w:t>(40)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(190,560)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220,440</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65405</wp:posOffset>
            </wp:positionV>
            <wp:extent cx="716534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9740"/>
          </w:cols>
          <w:pgMar w:left="1080" w:top="1053" w:right="107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7"/>
          <w:szCs w:val="17"/>
          <w:b w:val="1"/>
          <w:bCs w:val="1"/>
          <w:color w:val="auto"/>
        </w:rPr>
        <w:t>Pliant Therapeutics, Inc.</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Condensed Statements of Cash Flows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4"/>
                <w:szCs w:val="14"/>
                <w:color w:val="auto"/>
              </w:rPr>
            </w:pPr>
          </w:p>
        </w:tc>
      </w:tr>
      <w:tr>
        <w:trPr>
          <w:trHeight w:val="184"/>
        </w:trPr>
        <w:tc>
          <w:tcPr>
            <w:tcW w:w="78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5"/>
                <w:szCs w:val="15"/>
                <w:color w:val="auto"/>
              </w:rPr>
            </w:pPr>
          </w:p>
        </w:tc>
      </w:tr>
      <w:tr>
        <w:trPr>
          <w:trHeight w:val="184"/>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7820" w:type="dxa"/>
            <w:vAlign w:val="bottom"/>
          </w:tcPr>
          <w:p>
            <w:pPr>
              <w:ind w:left="20"/>
              <w:spacing w:after="0"/>
              <w:rPr>
                <w:sz w:val="20"/>
                <w:szCs w:val="20"/>
                <w:color w:val="auto"/>
              </w:rPr>
            </w:pPr>
            <w:r>
              <w:rPr>
                <w:rFonts w:ascii="Arial" w:cs="Arial" w:eastAsia="Arial" w:hAnsi="Arial"/>
                <w:sz w:val="17"/>
                <w:szCs w:val="17"/>
                <w:color w:val="auto"/>
              </w:rPr>
              <w:t>Net loss</w:t>
            </w:r>
          </w:p>
        </w:tc>
        <w:tc>
          <w:tcPr>
            <w:tcW w:w="400" w:type="dxa"/>
            <w:vAlign w:val="bottom"/>
          </w:tcPr>
          <w:p>
            <w:pPr>
              <w:jc w:val="right"/>
              <w:ind w:right="215"/>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(88,261)</w:t>
            </w:r>
          </w:p>
        </w:tc>
        <w:tc>
          <w:tcPr>
            <w:tcW w:w="100" w:type="dxa"/>
            <w:vAlign w:val="bottom"/>
          </w:tcPr>
          <w:p>
            <w:pPr>
              <w:spacing w:after="0"/>
              <w:rPr>
                <w:sz w:val="18"/>
                <w:szCs w:val="18"/>
                <w:color w:val="auto"/>
              </w:rPr>
            </w:pPr>
          </w:p>
        </w:tc>
        <w:tc>
          <w:tcPr>
            <w:tcW w:w="620" w:type="dxa"/>
            <w:vAlign w:val="bottom"/>
          </w:tcPr>
          <w:p>
            <w:pPr>
              <w:jc w:val="right"/>
              <w:ind w:right="435"/>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(72,732)</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7820" w:type="dxa"/>
            <w:vAlign w:val="bottom"/>
          </w:tcPr>
          <w:p>
            <w:pPr>
              <w:ind w:left="200"/>
              <w:spacing w:after="0"/>
              <w:rPr>
                <w:sz w:val="20"/>
                <w:szCs w:val="20"/>
                <w:color w:val="auto"/>
              </w:rPr>
            </w:pPr>
            <w:r>
              <w:rPr>
                <w:rFonts w:ascii="Arial" w:cs="Arial" w:eastAsia="Arial" w:hAnsi="Arial"/>
                <w:sz w:val="17"/>
                <w:szCs w:val="17"/>
                <w:color w:val="auto"/>
              </w:rPr>
              <w:t>Depreciation expense</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1,368</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1,117</w:t>
            </w:r>
          </w:p>
        </w:tc>
      </w:tr>
      <w:tr>
        <w:trPr>
          <w:trHeight w:val="217"/>
        </w:trPr>
        <w:tc>
          <w:tcPr>
            <w:tcW w:w="78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Stock-based compensation expense</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11,743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7,669</w:t>
            </w:r>
          </w:p>
        </w:tc>
      </w:tr>
      <w:tr>
        <w:trPr>
          <w:trHeight w:val="216"/>
        </w:trPr>
        <w:tc>
          <w:tcPr>
            <w:tcW w:w="7820" w:type="dxa"/>
            <w:vAlign w:val="bottom"/>
          </w:tcPr>
          <w:p>
            <w:pPr>
              <w:ind w:left="200"/>
              <w:spacing w:after="0"/>
              <w:rPr>
                <w:sz w:val="20"/>
                <w:szCs w:val="20"/>
                <w:color w:val="auto"/>
              </w:rPr>
            </w:pPr>
            <w:r>
              <w:rPr>
                <w:rFonts w:ascii="Arial" w:cs="Arial" w:eastAsia="Arial" w:hAnsi="Arial"/>
                <w:sz w:val="17"/>
                <w:szCs w:val="17"/>
                <w:color w:val="auto"/>
              </w:rPr>
              <w:t>Non-cash operating lease expense</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1,260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863</w:t>
            </w:r>
          </w:p>
        </w:tc>
      </w:tr>
      <w:tr>
        <w:trPr>
          <w:trHeight w:val="217"/>
        </w:trPr>
        <w:tc>
          <w:tcPr>
            <w:tcW w:w="78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914</w:t>
            </w:r>
          </w:p>
        </w:tc>
      </w:tr>
      <w:tr>
        <w:trPr>
          <w:trHeight w:val="216"/>
        </w:trPr>
        <w:tc>
          <w:tcPr>
            <w:tcW w:w="7820" w:type="dxa"/>
            <w:vAlign w:val="bottom"/>
          </w:tcPr>
          <w:p>
            <w:pPr>
              <w:ind w:left="200"/>
              <w:spacing w:after="0"/>
              <w:rPr>
                <w:sz w:val="20"/>
                <w:szCs w:val="20"/>
                <w:color w:val="auto"/>
              </w:rPr>
            </w:pPr>
            <w:r>
              <w:rPr>
                <w:rFonts w:ascii="Arial" w:cs="Arial" w:eastAsia="Arial" w:hAnsi="Arial"/>
                <w:sz w:val="17"/>
                <w:szCs w:val="17"/>
                <w:color w:val="auto"/>
              </w:rPr>
              <w:t>Changes in operating assets and liabilities: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7"/>
        </w:trPr>
        <w:tc>
          <w:tcPr>
            <w:tcW w:w="78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Accounts receivable</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7,669</w:t>
            </w:r>
          </w:p>
        </w:tc>
      </w:tr>
      <w:tr>
        <w:trPr>
          <w:trHeight w:val="216"/>
        </w:trPr>
        <w:tc>
          <w:tcPr>
            <w:tcW w:w="7820" w:type="dxa"/>
            <w:vAlign w:val="bottom"/>
          </w:tcPr>
          <w:p>
            <w:pPr>
              <w:ind w:left="440"/>
              <w:spacing w:after="0"/>
              <w:rPr>
                <w:sz w:val="20"/>
                <w:szCs w:val="20"/>
                <w:color w:val="auto"/>
              </w:rPr>
            </w:pPr>
            <w:r>
              <w:rPr>
                <w:rFonts w:ascii="Arial" w:cs="Arial" w:eastAsia="Arial" w:hAnsi="Arial"/>
                <w:sz w:val="17"/>
                <w:szCs w:val="17"/>
                <w:color w:val="auto"/>
              </w:rPr>
              <w:t>Prepaid expenses and other current assets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2,605</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(900)</w:t>
            </w:r>
          </w:p>
        </w:tc>
      </w:tr>
      <w:tr>
        <w:trPr>
          <w:trHeight w:val="217"/>
        </w:trPr>
        <w:tc>
          <w:tcPr>
            <w:tcW w:w="78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Other non-current assets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w:t>
            </w:r>
          </w:p>
        </w:tc>
      </w:tr>
      <w:tr>
        <w:trPr>
          <w:trHeight w:val="216"/>
        </w:trPr>
        <w:tc>
          <w:tcPr>
            <w:tcW w:w="7820" w:type="dxa"/>
            <w:vAlign w:val="bottom"/>
          </w:tcPr>
          <w:p>
            <w:pPr>
              <w:ind w:left="440"/>
              <w:spacing w:after="0"/>
              <w:rPr>
                <w:sz w:val="20"/>
                <w:szCs w:val="20"/>
                <w:color w:val="auto"/>
              </w:rPr>
            </w:pPr>
            <w:r>
              <w:rPr>
                <w:rFonts w:ascii="Arial" w:cs="Arial" w:eastAsia="Arial" w:hAnsi="Arial"/>
                <w:sz w:val="17"/>
                <w:szCs w:val="17"/>
                <w:color w:val="auto"/>
              </w:rPr>
              <w:t>Accounts payable</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254</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401</w:t>
            </w:r>
          </w:p>
        </w:tc>
      </w:tr>
      <w:tr>
        <w:trPr>
          <w:trHeight w:val="217"/>
        </w:trPr>
        <w:tc>
          <w:tcPr>
            <w:tcW w:w="78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Accrued liabilities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w:t>
            </w:r>
          </w:p>
        </w:tc>
      </w:tr>
      <w:tr>
        <w:trPr>
          <w:trHeight w:val="216"/>
        </w:trPr>
        <w:tc>
          <w:tcPr>
            <w:tcW w:w="7820" w:type="dxa"/>
            <w:vAlign w:val="bottom"/>
          </w:tcPr>
          <w:p>
            <w:pPr>
              <w:ind w:left="440"/>
              <w:spacing w:after="0"/>
              <w:rPr>
                <w:sz w:val="20"/>
                <w:szCs w:val="20"/>
                <w:color w:val="auto"/>
              </w:rPr>
            </w:pPr>
            <w:r>
              <w:rPr>
                <w:rFonts w:ascii="Arial" w:cs="Arial" w:eastAsia="Arial" w:hAnsi="Arial"/>
                <w:sz w:val="17"/>
                <w:szCs w:val="17"/>
                <w:color w:val="auto"/>
              </w:rPr>
              <w:t>Other long-term liabilities</w:t>
            </w:r>
          </w:p>
        </w:tc>
        <w:tc>
          <w:tcPr>
            <w:tcW w:w="4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7"/>
        </w:trPr>
        <w:tc>
          <w:tcPr>
            <w:tcW w:w="78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Operating lease liabilities</w:t>
            </w: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(1,369)</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(918)</w:t>
            </w:r>
          </w:p>
        </w:tc>
      </w:tr>
      <w:tr>
        <w:trPr>
          <w:trHeight w:val="209"/>
        </w:trPr>
        <w:tc>
          <w:tcPr>
            <w:tcW w:w="782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Net cash used in operating activities</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(63,392)</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(55,578)</w:t>
            </w:r>
          </w:p>
        </w:tc>
      </w:tr>
      <w:tr>
        <w:trPr>
          <w:trHeight w:val="197"/>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7820" w:type="dxa"/>
            <w:vAlign w:val="bottom"/>
          </w:tcPr>
          <w:p>
            <w:pPr>
              <w:ind w:left="20"/>
              <w:spacing w:after="0"/>
              <w:rPr>
                <w:sz w:val="20"/>
                <w:szCs w:val="20"/>
                <w:color w:val="auto"/>
              </w:rPr>
            </w:pPr>
            <w:r>
              <w:rPr>
                <w:rFonts w:ascii="Arial" w:cs="Arial" w:eastAsia="Arial" w:hAnsi="Arial"/>
                <w:sz w:val="17"/>
                <w:szCs w:val="17"/>
                <w:color w:val="auto"/>
              </w:rPr>
              <w:t>Purchase of short-term investments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(289,402)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(181,967)</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Maturity of short-term investments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120,770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231,244</w:t>
            </w:r>
          </w:p>
        </w:tc>
      </w:tr>
      <w:tr>
        <w:trPr>
          <w:trHeight w:val="216"/>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Purchase of property and equipment</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(1,594)</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(1,361)</w:t>
            </w:r>
          </w:p>
        </w:tc>
      </w:tr>
      <w:tr>
        <w:trPr>
          <w:trHeight w:val="210"/>
        </w:trPr>
        <w:tc>
          <w:tcPr>
            <w:tcW w:w="78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Net cash (used in ) provided by investing activities</w:t>
            </w: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(170,226)</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47,916</w:t>
            </w:r>
          </w:p>
        </w:tc>
      </w:tr>
      <w:tr>
        <w:trPr>
          <w:trHeight w:val="196"/>
        </w:trPr>
        <w:tc>
          <w:tcPr>
            <w:tcW w:w="7820" w:type="dxa"/>
            <w:vAlign w:val="bottom"/>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issuances of common stock</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2,443</w:t>
            </w:r>
          </w:p>
        </w:tc>
      </w:tr>
      <w:tr>
        <w:trPr>
          <w:trHeight w:val="216"/>
        </w:trPr>
        <w:tc>
          <w:tcPr>
            <w:tcW w:w="7820" w:type="dxa"/>
            <w:vAlign w:val="bottom"/>
          </w:tcPr>
          <w:p>
            <w:pPr>
              <w:ind w:left="20"/>
              <w:spacing w:after="0"/>
              <w:rPr>
                <w:sz w:val="20"/>
                <w:szCs w:val="20"/>
                <w:color w:val="auto"/>
              </w:rPr>
            </w:pPr>
            <w:r>
              <w:rPr>
                <w:rFonts w:ascii="Arial" w:cs="Arial" w:eastAsia="Arial" w:hAnsi="Arial"/>
                <w:sz w:val="17"/>
                <w:szCs w:val="17"/>
                <w:color w:val="auto"/>
              </w:rPr>
              <w:t>Payment of deferred offering costs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(786)</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(432)</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Payment of debt issuance costs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820" w:type="dxa"/>
            <w:vAlign w:val="bottom"/>
          </w:tcPr>
          <w:p>
            <w:pPr>
              <w:ind w:left="20"/>
              <w:spacing w:after="0"/>
              <w:rPr>
                <w:sz w:val="20"/>
                <w:szCs w:val="20"/>
                <w:color w:val="auto"/>
              </w:rPr>
            </w:pPr>
            <w:r>
              <w:rPr>
                <w:rFonts w:ascii="Arial" w:cs="Arial" w:eastAsia="Arial" w:hAnsi="Arial"/>
                <w:sz w:val="17"/>
                <w:szCs w:val="17"/>
                <w:color w:val="auto"/>
              </w:rPr>
              <w:t>Proceeds from term loan</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sale of common stock in a public offering, net of expenses</w:t>
            </w: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216,201</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9"/>
        </w:trPr>
        <w:tc>
          <w:tcPr>
            <w:tcW w:w="7820" w:type="dxa"/>
            <w:vAlign w:val="bottom"/>
          </w:tcPr>
          <w:p>
            <w:pPr>
              <w:ind w:left="640"/>
              <w:spacing w:after="0"/>
              <w:rPr>
                <w:sz w:val="20"/>
                <w:szCs w:val="20"/>
                <w:color w:val="auto"/>
              </w:rPr>
            </w:pPr>
            <w:r>
              <w:rPr>
                <w:rFonts w:ascii="Arial" w:cs="Arial" w:eastAsia="Arial" w:hAnsi="Arial"/>
                <w:sz w:val="17"/>
                <w:szCs w:val="17"/>
                <w:color w:val="auto"/>
              </w:rPr>
              <w:t>Net cash provided by financing activities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226,570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2,011</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decrease in cash and cash equivalents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(7,048)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(5,651)</w:t>
            </w:r>
          </w:p>
        </w:tc>
      </w:tr>
      <w:tr>
        <w:trPr>
          <w:trHeight w:val="216"/>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and cash equivalents at beginning of period</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51,665</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50,882</w:t>
            </w:r>
          </w:p>
        </w:tc>
      </w:tr>
      <w:tr>
        <w:trPr>
          <w:trHeight w:val="210"/>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 at end of period</w:t>
            </w:r>
          </w:p>
        </w:tc>
        <w:tc>
          <w:tcPr>
            <w:tcW w:w="40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44,617</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3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45,231</w:t>
            </w:r>
          </w:p>
        </w:tc>
      </w:tr>
      <w:tr>
        <w:trPr>
          <w:trHeight w:val="196"/>
        </w:trPr>
        <w:tc>
          <w:tcPr>
            <w:tcW w:w="7820" w:type="dxa"/>
            <w:vAlign w:val="bottom"/>
          </w:tcPr>
          <w:p>
            <w:pPr>
              <w:ind w:left="20"/>
              <w:spacing w:after="0"/>
              <w:rPr>
                <w:sz w:val="20"/>
                <w:szCs w:val="20"/>
                <w:color w:val="auto"/>
              </w:rPr>
            </w:pPr>
            <w:r>
              <w:rPr>
                <w:rFonts w:ascii="Arial" w:cs="Arial" w:eastAsia="Arial" w:hAnsi="Arial"/>
                <w:sz w:val="17"/>
                <w:szCs w:val="17"/>
                <w:b w:val="1"/>
                <w:bCs w:val="1"/>
                <w:color w:val="auto"/>
              </w:rPr>
              <w:t>Supplemental disclosures of cash flow information:</w:t>
            </w: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 interest</w:t>
            </w:r>
          </w:p>
        </w:tc>
        <w:tc>
          <w:tcPr>
            <w:tcW w:w="4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820" w:type="dxa"/>
            <w:vAlign w:val="bottom"/>
          </w:tcPr>
          <w:p>
            <w:pPr>
              <w:ind w:left="20"/>
              <w:spacing w:after="0"/>
              <w:rPr>
                <w:sz w:val="20"/>
                <w:szCs w:val="20"/>
                <w:color w:val="auto"/>
              </w:rPr>
            </w:pPr>
            <w:r>
              <w:rPr>
                <w:rFonts w:ascii="Arial" w:cs="Arial" w:eastAsia="Arial" w:hAnsi="Arial"/>
                <w:sz w:val="17"/>
                <w:szCs w:val="17"/>
                <w:b w:val="1"/>
                <w:bCs w:val="1"/>
                <w:color w:val="auto"/>
              </w:rPr>
              <w:t>Supplemental disclosures of noncash investing and financing activities: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 of property and equipment in accounts payable and accrued liabilities</w:t>
            </w:r>
          </w:p>
        </w:tc>
        <w:tc>
          <w:tcPr>
            <w:tcW w:w="4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w:t>
            </w:r>
          </w:p>
        </w:tc>
      </w:tr>
      <w:tr>
        <w:trPr>
          <w:trHeight w:val="216"/>
        </w:trPr>
        <w:tc>
          <w:tcPr>
            <w:tcW w:w="7820" w:type="dxa"/>
            <w:vAlign w:val="bottom"/>
          </w:tcPr>
          <w:p>
            <w:pPr>
              <w:ind w:left="20"/>
              <w:spacing w:after="0"/>
              <w:rPr>
                <w:sz w:val="20"/>
                <w:szCs w:val="20"/>
                <w:color w:val="auto"/>
              </w:rPr>
            </w:pPr>
            <w:r>
              <w:rPr>
                <w:rFonts w:ascii="Arial" w:cs="Arial" w:eastAsia="Arial" w:hAnsi="Arial"/>
                <w:sz w:val="17"/>
                <w:szCs w:val="17"/>
                <w:color w:val="auto"/>
              </w:rPr>
              <w:t>Reclassification of restricted stock awards from liabilities to common stock upon vesting</w:t>
            </w:r>
          </w:p>
        </w:tc>
        <w:tc>
          <w:tcPr>
            <w:tcW w:w="400" w:type="dxa"/>
            <w:vAlign w:val="bottom"/>
          </w:tcPr>
          <w:p>
            <w:pPr>
              <w:jc w:val="right"/>
              <w:ind w:right="215"/>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tcPr>
          <w:p>
            <w:pPr>
              <w:jc w:val="right"/>
              <w:ind w:right="435"/>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offering costs in accounts payable and accrued liabilities</w:t>
            </w:r>
          </w:p>
        </w:tc>
        <w:tc>
          <w:tcPr>
            <w:tcW w:w="4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16"/>
        </w:trPr>
        <w:tc>
          <w:tcPr>
            <w:tcW w:w="7820" w:type="dxa"/>
            <w:vAlign w:val="bottom"/>
          </w:tcPr>
          <w:p>
            <w:pPr>
              <w:ind w:left="20"/>
              <w:spacing w:after="0"/>
              <w:rPr>
                <w:sz w:val="20"/>
                <w:szCs w:val="20"/>
                <w:color w:val="auto"/>
              </w:rPr>
            </w:pPr>
            <w:r>
              <w:rPr>
                <w:rFonts w:ascii="Arial" w:cs="Arial" w:eastAsia="Arial" w:hAnsi="Arial"/>
                <w:sz w:val="17"/>
                <w:szCs w:val="17"/>
                <w:color w:val="auto"/>
              </w:rPr>
              <w:t>Net unrealized loss (gain) on short-term investments</w:t>
            </w:r>
          </w:p>
        </w:tc>
        <w:tc>
          <w:tcPr>
            <w:tcW w:w="400" w:type="dxa"/>
            <w:vAlign w:val="bottom"/>
          </w:tcPr>
          <w:p>
            <w:pPr>
              <w:jc w:val="right"/>
              <w:ind w:right="215"/>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2,253</w:t>
            </w:r>
          </w:p>
        </w:tc>
        <w:tc>
          <w:tcPr>
            <w:tcW w:w="100" w:type="dxa"/>
            <w:vAlign w:val="bottom"/>
          </w:tcPr>
          <w:p>
            <w:pPr>
              <w:spacing w:after="0"/>
              <w:rPr>
                <w:sz w:val="18"/>
                <w:szCs w:val="18"/>
                <w:color w:val="auto"/>
              </w:rPr>
            </w:pPr>
          </w:p>
        </w:tc>
        <w:tc>
          <w:tcPr>
            <w:tcW w:w="620" w:type="dxa"/>
            <w:vAlign w:val="bottom"/>
          </w:tcPr>
          <w:p>
            <w:pPr>
              <w:jc w:val="right"/>
              <w:ind w:right="435"/>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Right-of-use assets obtained in exchange for new operating lease liabilities</w:t>
            </w:r>
          </w:p>
        </w:tc>
        <w:tc>
          <w:tcPr>
            <w:tcW w:w="4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The accompanying notes are an integral part of these condensed financial statements.</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00"/>
          </w:cols>
          <w:pgMar w:left="320" w:top="849" w:right="37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7"/>
          <w:szCs w:val="17"/>
          <w:b w:val="1"/>
          <w:bCs w:val="1"/>
          <w:color w:val="auto"/>
        </w:rPr>
        <w:t>Pliant Therapeutics, Inc.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Description of Business</w:t>
      </w:r>
    </w:p>
    <w:p>
      <w:pPr>
        <w:spacing w:after="0" w:line="114" w:lineRule="exact"/>
        <w:rPr>
          <w:sz w:val="20"/>
          <w:szCs w:val="20"/>
          <w:color w:val="auto"/>
        </w:rPr>
      </w:pPr>
    </w:p>
    <w:p>
      <w:pPr>
        <w:ind w:right="40" w:firstLine="1070"/>
        <w:spacing w:after="0" w:line="275" w:lineRule="auto"/>
        <w:rPr>
          <w:sz w:val="20"/>
          <w:szCs w:val="20"/>
          <w:color w:val="auto"/>
        </w:rPr>
      </w:pPr>
      <w:r>
        <w:rPr>
          <w:rFonts w:ascii="Arial" w:cs="Arial" w:eastAsia="Arial" w:hAnsi="Arial"/>
          <w:sz w:val="16"/>
          <w:szCs w:val="16"/>
          <w:color w:val="auto"/>
        </w:rPr>
        <w:t>Pliant Therapeutics, Inc. (the “Company” or "Pliant" or “we” or “our” or “us”) is a clinical stage biopharmaceutical company focused on discovering and developing novel therapies for the treatment of fibrosis with an initial focus on treating fibrosis by inhibiting integrin-mediated activation of TGF-ß. Fibrosis refers to the abnormal thickening and scarring of connective tissue due to the production and deposition of excess collagen in the extra-cellular matrix. Fibrosis can occur in many different tissues including lung, liver, kidney, muscle, skin and the GI tract, and often causes severe and debilitating disease leading to organ failure. The Company is located in South San Francisco, California, and was incorporated in the state of Delaware in June 2015.</w:t>
      </w:r>
    </w:p>
    <w:p>
      <w:pPr>
        <w:spacing w:after="0" w:line="266" w:lineRule="exact"/>
        <w:rPr>
          <w:sz w:val="20"/>
          <w:szCs w:val="20"/>
          <w:color w:val="auto"/>
        </w:rPr>
      </w:pPr>
    </w:p>
    <w:p>
      <w:pPr>
        <w:ind w:left="460" w:right="7880" w:hanging="458"/>
        <w:spacing w:after="0" w:line="377" w:lineRule="auto"/>
        <w:tabs>
          <w:tab w:leader="none" w:pos="171"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b w:val="1"/>
          <w:bCs w:val="1"/>
          <w:i w:val="1"/>
          <w:iCs w:val="1"/>
          <w:color w:val="auto"/>
        </w:rPr>
        <w:t>Basis of Presentation</w:t>
      </w:r>
    </w:p>
    <w:p>
      <w:pPr>
        <w:spacing w:after="0" w:line="1" w:lineRule="exact"/>
        <w:rPr>
          <w:sz w:val="20"/>
          <w:szCs w:val="20"/>
          <w:color w:val="auto"/>
        </w:rPr>
      </w:pPr>
    </w:p>
    <w:p>
      <w:pPr>
        <w:ind w:right="440" w:firstLine="1070"/>
        <w:spacing w:after="0" w:line="306" w:lineRule="auto"/>
        <w:rPr>
          <w:sz w:val="20"/>
          <w:szCs w:val="20"/>
          <w:color w:val="auto"/>
        </w:rPr>
      </w:pPr>
      <w:r>
        <w:rPr>
          <w:rFonts w:ascii="Arial" w:cs="Arial" w:eastAsia="Arial" w:hAnsi="Arial"/>
          <w:sz w:val="16"/>
          <w:szCs w:val="16"/>
          <w:color w:val="auto"/>
        </w:rPr>
        <w:t>The accompanying financial statements have been prepared in conformity with accounting principles generally accepted in the United States of America (“U.S. GAAP”). Certain prior year reported amounts have been reclassified to conform with the current period presentation.</w:t>
      </w:r>
    </w:p>
    <w:p>
      <w:pPr>
        <w:spacing w:after="0" w:line="142" w:lineRule="exact"/>
        <w:rPr>
          <w:sz w:val="20"/>
          <w:szCs w:val="20"/>
          <w:color w:val="auto"/>
        </w:rPr>
      </w:pPr>
    </w:p>
    <w:p>
      <w:pPr>
        <w:ind w:firstLine="1070"/>
        <w:spacing w:after="0" w:line="292" w:lineRule="auto"/>
        <w:rPr>
          <w:sz w:val="20"/>
          <w:szCs w:val="20"/>
          <w:color w:val="auto"/>
        </w:rPr>
      </w:pPr>
      <w:r>
        <w:rPr>
          <w:rFonts w:ascii="Arial" w:cs="Arial" w:eastAsia="Arial" w:hAnsi="Arial"/>
          <w:sz w:val="15"/>
          <w:szCs w:val="15"/>
          <w:color w:val="auto"/>
        </w:rPr>
        <w:t>The accompanying condensed balance sheet as of September 30, 2022, condensed statements of operations and comprehensive loss for the three and nine months ended September 30, 2022 and 2021, condensed statements of cash flows for the nine months ended September 30, 2022 and 2021, and the condensed statements of stockholders’ equity for the three and nine months ended September 30, 2022 and 2021, are unaudited. The balance sheet as of December 31, 2021 was derived from audited financial statements as of and for the year ended December 31, 2021. The unaudited interim condensed financial statements have been prepared on the same basis as the audited annual financial statements as of and for the year ended December 31, 2021, and, in the opinion of management, reflect all adjustments, which include only normal recurring adjustments, necessary for the fair statement of the Company’s financial position as of September 30, 2022, and the results of its operations and its cash flows for the three and nine months ended September 30, 2022 and 2021. The financial data and other information disclosed in these notes related to the three and nine months ended September 30, 2022 and 2021, are also unaudited.</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10" w:lineRule="exact"/>
        <w:rPr>
          <w:sz w:val="20"/>
          <w:szCs w:val="20"/>
          <w:color w:val="auto"/>
        </w:rPr>
      </w:pPr>
    </w:p>
    <w:p>
      <w:pPr>
        <w:ind w:right="120" w:firstLine="1070"/>
        <w:spacing w:after="0" w:line="298" w:lineRule="auto"/>
        <w:rPr>
          <w:sz w:val="20"/>
          <w:szCs w:val="20"/>
          <w:color w:val="auto"/>
        </w:rPr>
      </w:pPr>
      <w:r>
        <w:rPr>
          <w:rFonts w:ascii="Arial" w:cs="Arial" w:eastAsia="Arial" w:hAnsi="Arial"/>
          <w:sz w:val="15"/>
          <w:szCs w:val="15"/>
          <w:color w:val="auto"/>
        </w:rPr>
        <w:t>The preparation of financial statements in conformity with U.S. GAAP requires management to make estimates and assumptions that affect the reported amounts of assets, liabilities, and expenses as well as the disclosure of contingent assets and liabilities as of and during the reporting period. The Company bases its estimates and assumptions on historical experience when available and on various factors that it believes to be reasonable under the circumstances. Significant estimates and assumptions reflected in these financial statements include, but are not limited to stock-based compensation expense and accruals for research and development costs. The Company assesses estimates on an ongoing basis, however, actual results could materially differ from those estimates.</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10" w:lineRule="exact"/>
        <w:rPr>
          <w:sz w:val="20"/>
          <w:szCs w:val="20"/>
          <w:color w:val="auto"/>
        </w:rPr>
      </w:pPr>
    </w:p>
    <w:p>
      <w:pPr>
        <w:ind w:right="60" w:firstLine="1070"/>
        <w:spacing w:after="0" w:line="273" w:lineRule="auto"/>
        <w:rPr>
          <w:sz w:val="20"/>
          <w:szCs w:val="20"/>
          <w:color w:val="auto"/>
        </w:rPr>
      </w:pPr>
      <w:r>
        <w:rPr>
          <w:rFonts w:ascii="Arial" w:cs="Arial" w:eastAsia="Arial" w:hAnsi="Arial"/>
          <w:sz w:val="16"/>
          <w:szCs w:val="16"/>
          <w:color w:val="auto"/>
        </w:rPr>
        <w:t>The Company's stock-based equity awards include restricted stock awards, stock options, restricted stock units ("RSUs"), performance-based restricted stock units ("PSUs"), and shares that will be issued under the Company's 2020 Employee Stock Purchase Plan ("ESPP"). Stock-based compensation for awards that are granted to employees is accounted at fair value on the award grant date and the expense is recognized over the period the employee is required to provide service in exchange for the award, which is generally on a straight-line basis over the vesting period of the award. The expense is recorded in either research and development or general and administrative expenses in the statements of operations and comprehensive loss based on the function to which the related services are provided. Forfeitures are accounted for as they occur.</w:t>
      </w:r>
    </w:p>
    <w:p>
      <w:pPr>
        <w:spacing w:after="0" w:line="69" w:lineRule="exact"/>
        <w:rPr>
          <w:sz w:val="20"/>
          <w:szCs w:val="20"/>
          <w:color w:val="auto"/>
        </w:rPr>
      </w:pPr>
    </w:p>
    <w:p>
      <w:pPr>
        <w:ind w:right="220" w:firstLine="1070"/>
        <w:spacing w:after="0" w:line="313" w:lineRule="auto"/>
        <w:rPr>
          <w:sz w:val="20"/>
          <w:szCs w:val="20"/>
          <w:color w:val="auto"/>
        </w:rPr>
      </w:pPr>
      <w:r>
        <w:rPr>
          <w:rFonts w:ascii="Arial" w:cs="Arial" w:eastAsia="Arial" w:hAnsi="Arial"/>
          <w:sz w:val="15"/>
          <w:szCs w:val="15"/>
          <w:color w:val="auto"/>
        </w:rPr>
        <w:t>The Company utilizes the Monte Carlo simulation model with significant inputs including volatility, closing price of stock on grant, for estimating the fair value of equity awards with market-based vesting conditions and uses the closing price of common stock on the date of grant for PSUs and RSUs with a performance or service-based vesting condition. The Black-Scholes valuation model is used for estimating the fair value of stock options on the date of grant.</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12" w:name="page13"/>
    <w:bookmarkEnd w:id="12"/>
    <w:p>
      <w:pPr>
        <w:ind w:left="460"/>
        <w:spacing w:after="0"/>
        <w:rPr>
          <w:sz w:val="20"/>
          <w:szCs w:val="20"/>
          <w:color w:val="auto"/>
        </w:rPr>
      </w:pPr>
      <w:r>
        <w:rPr>
          <w:rFonts w:ascii="Arial" w:cs="Arial" w:eastAsia="Arial" w:hAnsi="Arial"/>
          <w:sz w:val="17"/>
          <w:szCs w:val="17"/>
          <w:b w:val="1"/>
          <w:bCs w:val="1"/>
          <w:i w:val="1"/>
          <w:iCs w:val="1"/>
          <w:color w:val="auto"/>
        </w:rPr>
        <w:t>Significant Accounting Policies</w:t>
      </w:r>
    </w:p>
    <w:p>
      <w:pPr>
        <w:spacing w:after="0" w:line="110" w:lineRule="exact"/>
        <w:rPr>
          <w:sz w:val="20"/>
          <w:szCs w:val="20"/>
          <w:color w:val="auto"/>
        </w:rPr>
      </w:pPr>
    </w:p>
    <w:p>
      <w:pPr>
        <w:ind w:right="200" w:firstLine="1070"/>
        <w:spacing w:after="0" w:line="262" w:lineRule="auto"/>
        <w:rPr>
          <w:sz w:val="20"/>
          <w:szCs w:val="20"/>
          <w:color w:val="auto"/>
        </w:rPr>
      </w:pPr>
      <w:r>
        <w:rPr>
          <w:rFonts w:ascii="Arial" w:cs="Arial" w:eastAsia="Arial" w:hAnsi="Arial"/>
          <w:sz w:val="17"/>
          <w:szCs w:val="17"/>
          <w:color w:val="auto"/>
        </w:rPr>
        <w:t>There have been no other significant changes to the accounting policies during the three months ended September 30, 2022, as compared to the significant accounting policies described in Note 2 of the "Notes to the Financial Statements" in the Company's audited financial statements included in its Annual Report on Form 10-K for the fiscal year ended December 31, 2021.</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Financial Instruments</w:t>
      </w:r>
    </w:p>
    <w:p>
      <w:pPr>
        <w:spacing w:after="0" w:line="114" w:lineRule="exact"/>
        <w:rPr>
          <w:sz w:val="20"/>
          <w:szCs w:val="20"/>
          <w:color w:val="auto"/>
        </w:rPr>
      </w:pPr>
    </w:p>
    <w:p>
      <w:pPr>
        <w:ind w:right="20" w:firstLine="1070"/>
        <w:spacing w:after="0" w:line="255" w:lineRule="auto"/>
        <w:rPr>
          <w:sz w:val="20"/>
          <w:szCs w:val="20"/>
          <w:color w:val="auto"/>
        </w:rPr>
      </w:pPr>
      <w:r>
        <w:rPr>
          <w:rFonts w:ascii="Arial" w:cs="Arial" w:eastAsia="Arial" w:hAnsi="Arial"/>
          <w:sz w:val="17"/>
          <w:szCs w:val="17"/>
          <w:color w:val="auto"/>
        </w:rPr>
        <w:t>The Company’s short-term investments consist of U.S. Treasury securities, U.S. Government agency securities and highly rated, investment-grade corporate debt securities with original maturities beyond three months at the date of purchase. The Company has classified and accounted for its short-term investments as available-for-sale securities as the Company may sell these securities at any time even prior to maturity and such investments represent cash available for current operations. As a result, short-term investments may include securities with maturities beyond twelve months that are classified within current assets in the Balance Sheets. The Company’s short-term investments classified as available-for-sale are carried at fair market value with unrealized losses or income recognized in other comprehensive income (loss).</w:t>
      </w:r>
    </w:p>
    <w:p>
      <w:pPr>
        <w:spacing w:after="0" w:line="180" w:lineRule="exact"/>
        <w:rPr>
          <w:sz w:val="20"/>
          <w:szCs w:val="20"/>
          <w:color w:val="auto"/>
        </w:rPr>
      </w:pPr>
    </w:p>
    <w:p>
      <w:pPr>
        <w:ind w:right="40" w:firstLine="1070"/>
        <w:spacing w:after="0" w:line="303" w:lineRule="auto"/>
        <w:rPr>
          <w:sz w:val="20"/>
          <w:szCs w:val="20"/>
          <w:color w:val="auto"/>
        </w:rPr>
      </w:pPr>
      <w:r>
        <w:rPr>
          <w:rFonts w:ascii="Arial" w:cs="Arial" w:eastAsia="Arial" w:hAnsi="Arial"/>
          <w:sz w:val="15"/>
          <w:szCs w:val="15"/>
          <w:color w:val="auto"/>
        </w:rPr>
        <w:t>The Company’s cash equivalent Money Market Funds are classified as Level 1 because they are valued using quoted active market prices. The fair value of the Company’s U.S. Treasury securities, U.S. government agency securities and corporate debt securities are classified as Level 2 because they are valued using observable inputs to quoted market prices other than Level 1 prices, benchmark yields, reported trades, broker/dealer quotes or alternative pricing sources with reasonable levels of price transparency and include U.S. government agency securities, U.S. Treasury securities and corporate debt securities.</w:t>
      </w:r>
    </w:p>
    <w:p>
      <w:pPr>
        <w:spacing w:after="0" w:line="148" w:lineRule="exact"/>
        <w:rPr>
          <w:sz w:val="20"/>
          <w:szCs w:val="20"/>
          <w:color w:val="auto"/>
        </w:rPr>
      </w:pPr>
    </w:p>
    <w:p>
      <w:pPr>
        <w:ind w:right="360" w:firstLine="1070"/>
        <w:spacing w:after="0" w:line="274" w:lineRule="auto"/>
        <w:rPr>
          <w:sz w:val="20"/>
          <w:szCs w:val="20"/>
          <w:color w:val="auto"/>
        </w:rPr>
      </w:pPr>
      <w:r>
        <w:rPr>
          <w:rFonts w:ascii="Arial" w:cs="Arial" w:eastAsia="Arial" w:hAnsi="Arial"/>
          <w:sz w:val="17"/>
          <w:szCs w:val="17"/>
          <w:color w:val="auto"/>
        </w:rPr>
        <w:t>There were no assets or liabilities recorded at fair value to the condensed balance sheets using Level 3 inputs as of September 30, 2022 and as of December 31, 2021.</w:t>
      </w:r>
    </w:p>
    <w:p>
      <w:pPr>
        <w:spacing w:after="0" w:line="165" w:lineRule="exact"/>
        <w:rPr>
          <w:sz w:val="20"/>
          <w:szCs w:val="20"/>
          <w:color w:val="auto"/>
        </w:rPr>
      </w:pPr>
    </w:p>
    <w:p>
      <w:pPr>
        <w:ind w:right="320" w:firstLine="1070"/>
        <w:spacing w:after="0" w:line="274" w:lineRule="auto"/>
        <w:rPr>
          <w:sz w:val="20"/>
          <w:szCs w:val="20"/>
          <w:color w:val="auto"/>
        </w:rPr>
      </w:pPr>
      <w:r>
        <w:rPr>
          <w:rFonts w:ascii="Arial" w:cs="Arial" w:eastAsia="Arial" w:hAnsi="Arial"/>
          <w:sz w:val="17"/>
          <w:szCs w:val="17"/>
          <w:color w:val="auto"/>
        </w:rPr>
        <w:t>The following tables show the Company’s Money Market Funds, U.S. Treasury securities, U.S. government agency securities and corporate debt securities by significant investment category as of September 30, 2022 and December 31, 2021 (in thousands):</w:t>
      </w:r>
    </w:p>
    <w:p>
      <w:pPr>
        <w:spacing w:after="0" w:line="144" w:lineRule="exact"/>
        <w:rPr>
          <w:sz w:val="20"/>
          <w:szCs w:val="20"/>
          <w:color w:val="auto"/>
        </w:rPr>
      </w:pPr>
    </w:p>
    <w:p>
      <w:pPr>
        <w:ind w:left="7700"/>
        <w:spacing w:after="0"/>
        <w:rPr>
          <w:sz w:val="20"/>
          <w:szCs w:val="20"/>
          <w:color w:val="auto"/>
        </w:rPr>
      </w:pPr>
      <w:r>
        <w:rPr>
          <w:rFonts w:ascii="Arial" w:cs="Arial" w:eastAsia="Arial" w:hAnsi="Arial"/>
          <w:sz w:val="14"/>
          <w:szCs w:val="14"/>
          <w:b w:val="1"/>
          <w:bCs w:val="1"/>
          <w:color w:val="auto"/>
        </w:rPr>
        <w:t>As of September 30, 2022</w:t>
      </w:r>
    </w:p>
    <w:p>
      <w:pPr>
        <w:spacing w:after="0" w:line="18" w:lineRule="exact"/>
        <w:rPr>
          <w:sz w:val="20"/>
          <w:szCs w:val="20"/>
          <w:color w:val="auto"/>
        </w:rPr>
      </w:pPr>
    </w:p>
    <w:tbl>
      <w:tblPr>
        <w:tblLayout w:type="fixed"/>
        <w:tblInd w:w="5660" w:type="dxa"/>
        <w:tblCellMar>
          <w:top w:w="0" w:type="dxa"/>
          <w:left w:w="0" w:type="dxa"/>
          <w:bottom w:w="0" w:type="dxa"/>
          <w:right w:w="0" w:type="dxa"/>
        </w:tblCellMar>
      </w:tblPr>
      <w:tr>
        <w:trPr>
          <w:trHeight w:val="140"/>
        </w:trPr>
        <w:tc>
          <w:tcPr>
            <w:tcW w:w="134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w w:val="90"/>
              </w:rPr>
              <w:t>Adjusted</w:t>
            </w:r>
          </w:p>
        </w:tc>
        <w:tc>
          <w:tcPr>
            <w:tcW w:w="144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w w:val="90"/>
              </w:rPr>
              <w:t>Unrealized</w:t>
            </w:r>
          </w:p>
        </w:tc>
        <w:tc>
          <w:tcPr>
            <w:tcW w:w="146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w w:val="90"/>
              </w:rPr>
              <w:t>Unrealized</w:t>
            </w:r>
          </w:p>
        </w:tc>
        <w:tc>
          <w:tcPr>
            <w:tcW w:w="130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w w:val="97"/>
              </w:rPr>
              <w:t>Market</w:t>
            </w:r>
          </w:p>
        </w:tc>
      </w:tr>
      <w:tr>
        <w:trPr>
          <w:trHeight w:val="175"/>
        </w:trPr>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3"/>
              </w:rPr>
              <w:t>Cost</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7"/>
              </w:rPr>
              <w:t>Gains</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74"/>
              </w:rPr>
              <w:t>Losses</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1581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810" cy="14541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p>
      <w:pPr>
        <w:spacing w:after="0" w:line="16" w:lineRule="exact"/>
        <w:rPr>
          <w:sz w:val="20"/>
          <w:szCs w:val="20"/>
          <w:color w:val="auto"/>
        </w:rPr>
      </w:pPr>
    </w:p>
    <w:p>
      <w:pPr>
        <w:ind w:left="20"/>
        <w:spacing w:after="0"/>
        <w:rPr>
          <w:sz w:val="20"/>
          <w:szCs w:val="20"/>
          <w:color w:val="auto"/>
        </w:rPr>
      </w:pPr>
      <w:r>
        <w:rPr>
          <w:rFonts w:ascii="Arial" w:cs="Arial" w:eastAsia="Arial" w:hAnsi="Arial"/>
          <w:sz w:val="17"/>
          <w:szCs w:val="17"/>
          <w:color w:val="auto"/>
        </w:rPr>
        <w:t>Level 1:</w:t>
      </w:r>
    </w:p>
    <w:p>
      <w:pPr>
        <w:spacing w:after="0" w:line="34" w:lineRule="exact"/>
        <w:rPr>
          <w:sz w:val="20"/>
          <w:szCs w:val="20"/>
          <w:color w:val="auto"/>
        </w:rPr>
      </w:pPr>
    </w:p>
    <w:p>
      <w:pPr>
        <w:ind w:left="200"/>
        <w:spacing w:after="0"/>
        <w:tabs>
          <w:tab w:leader="none" w:pos="5660" w:val="left"/>
        </w:tabs>
        <w:rPr>
          <w:sz w:val="20"/>
          <w:szCs w:val="20"/>
          <w:color w:val="auto"/>
        </w:rPr>
      </w:pPr>
      <w:r>
        <w:rPr>
          <w:rFonts w:ascii="Arial" w:cs="Arial" w:eastAsia="Arial" w:hAnsi="Arial"/>
          <w:sz w:val="17"/>
          <w:szCs w:val="17"/>
          <w:color w:val="auto"/>
        </w:rPr>
        <w:t>Money Market Funds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1581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810" cy="13716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Level 2:</w:t>
      </w:r>
    </w:p>
    <w:p>
      <w:pPr>
        <w:spacing w:after="0" w:line="1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U.S. Treasury securities included in cash and cash equivalents and short-term</w:t>
      </w:r>
    </w:p>
    <w:p>
      <w:pPr>
        <w:ind w:left="360"/>
        <w:spacing w:after="0"/>
        <w:rPr>
          <w:sz w:val="20"/>
          <w:szCs w:val="20"/>
          <w:color w:val="auto"/>
        </w:rPr>
      </w:pPr>
      <w:r>
        <w:rPr>
          <w:rFonts w:ascii="Arial" w:cs="Arial" w:eastAsia="Arial" w:hAnsi="Arial"/>
          <w:sz w:val="17"/>
          <w:szCs w:val="17"/>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wp:posOffset>
            </wp:positionV>
            <wp:extent cx="7115810" cy="2508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810" cy="25082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color w:val="auto"/>
        </w:rPr>
        <w:t>U.S. government agency securities included in cash and cash equivalents and</w:t>
      </w:r>
    </w:p>
    <w:p>
      <w:pPr>
        <w:ind w:left="360"/>
        <w:spacing w:after="0"/>
        <w:rPr>
          <w:sz w:val="20"/>
          <w:szCs w:val="20"/>
          <w:color w:val="auto"/>
        </w:rPr>
      </w:pPr>
      <w:r>
        <w:rPr>
          <w:rFonts w:ascii="Arial" w:cs="Arial" w:eastAsia="Arial" w:hAnsi="Arial"/>
          <w:sz w:val="17"/>
          <w:szCs w:val="17"/>
          <w:color w:val="auto"/>
        </w:rPr>
        <w:t>short-term investments</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Corporate debt securities included in cash and cash equivalents and short-term</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wp:posOffset>
            </wp:positionV>
            <wp:extent cx="7115810" cy="161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810" cy="161925"/>
                    </a:xfrm>
                    <a:prstGeom prst="rect">
                      <a:avLst/>
                    </a:prstGeom>
                    <a:noFill/>
                  </pic:spPr>
                </pic:pic>
              </a:graphicData>
            </a:graphic>
          </wp:anchor>
        </w:drawing>
      </w:r>
    </w:p>
    <w:p>
      <w:pPr>
        <w:ind w:left="20"/>
        <w:spacing w:after="0"/>
        <w:tabs>
          <w:tab w:leader="none" w:pos="5660" w:val="left"/>
        </w:tabs>
        <w:rPr>
          <w:sz w:val="20"/>
          <w:szCs w:val="20"/>
          <w:color w:val="auto"/>
        </w:rPr>
      </w:pPr>
      <w:r>
        <w:rPr>
          <w:rFonts w:ascii="Arial" w:cs="Arial" w:eastAsia="Arial" w:hAnsi="Arial"/>
          <w:sz w:val="17"/>
          <w:szCs w:val="17"/>
          <w:color w:val="auto"/>
        </w:rPr>
        <w:t>Total financial assets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720" w:type="dxa"/>
            <w:vAlign w:val="bottom"/>
          </w:tcPr>
          <w:p>
            <w:pPr>
              <w:jc w:val="right"/>
              <w:ind w:right="75"/>
              <w:spacing w:after="0"/>
              <w:rPr>
                <w:sz w:val="20"/>
                <w:szCs w:val="20"/>
                <w:color w:val="auto"/>
              </w:rPr>
            </w:pPr>
            <w:r>
              <w:rPr>
                <w:rFonts w:ascii="Arial" w:cs="Arial" w:eastAsia="Arial" w:hAnsi="Arial"/>
                <w:sz w:val="17"/>
                <w:szCs w:val="17"/>
                <w:color w:val="auto"/>
              </w:rPr>
              <w:t>12,465</w:t>
            </w:r>
          </w:p>
        </w:tc>
        <w:tc>
          <w:tcPr>
            <w:tcW w:w="600" w:type="dxa"/>
            <w:vAlign w:val="bottom"/>
          </w:tcPr>
          <w:p>
            <w:pPr>
              <w:jc w:val="right"/>
              <w:ind w:right="395"/>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255"/>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400" w:type="dxa"/>
            <w:vAlign w:val="bottom"/>
          </w:tcPr>
          <w:p>
            <w:pPr>
              <w:jc w:val="right"/>
              <w:ind w:right="215"/>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12,465</w:t>
            </w:r>
          </w:p>
        </w:tc>
      </w:tr>
      <w:tr>
        <w:trPr>
          <w:trHeight w:val="611"/>
        </w:trPr>
        <w:tc>
          <w:tcPr>
            <w:tcW w:w="720" w:type="dxa"/>
            <w:vAlign w:val="bottom"/>
          </w:tcPr>
          <w:p>
            <w:pPr>
              <w:jc w:val="right"/>
              <w:ind w:right="75"/>
              <w:spacing w:after="0"/>
              <w:rPr>
                <w:sz w:val="20"/>
                <w:szCs w:val="20"/>
                <w:color w:val="auto"/>
              </w:rPr>
            </w:pPr>
            <w:r>
              <w:rPr>
                <w:rFonts w:ascii="Arial" w:cs="Arial" w:eastAsia="Arial" w:hAnsi="Arial"/>
                <w:sz w:val="17"/>
                <w:szCs w:val="17"/>
                <w:color w:val="auto"/>
              </w:rPr>
              <w:t>2,469</w:t>
            </w:r>
          </w:p>
        </w:tc>
        <w:tc>
          <w:tcPr>
            <w:tcW w:w="60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2,465</w:t>
            </w:r>
          </w:p>
        </w:tc>
      </w:tr>
      <w:tr>
        <w:trPr>
          <w:trHeight w:val="395"/>
        </w:trPr>
        <w:tc>
          <w:tcPr>
            <w:tcW w:w="720" w:type="dxa"/>
            <w:vAlign w:val="bottom"/>
          </w:tcPr>
          <w:p>
            <w:pPr>
              <w:jc w:val="right"/>
              <w:ind w:right="75"/>
              <w:spacing w:after="0"/>
              <w:rPr>
                <w:sz w:val="20"/>
                <w:szCs w:val="20"/>
                <w:color w:val="auto"/>
              </w:rPr>
            </w:pPr>
            <w:r>
              <w:rPr>
                <w:rFonts w:ascii="Arial" w:cs="Arial" w:eastAsia="Arial" w:hAnsi="Arial"/>
                <w:sz w:val="17"/>
                <w:szCs w:val="17"/>
                <w:color w:val="auto"/>
              </w:rPr>
              <w:t>25,748</w:t>
            </w:r>
          </w:p>
        </w:tc>
        <w:tc>
          <w:tcPr>
            <w:tcW w:w="6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25,667</w:t>
            </w:r>
          </w:p>
        </w:tc>
      </w:tr>
      <w:tr>
        <w:trPr>
          <w:trHeight w:val="395"/>
        </w:trPr>
        <w:tc>
          <w:tcPr>
            <w:tcW w:w="720" w:type="dxa"/>
            <w:vAlign w:val="bottom"/>
          </w:tcPr>
          <w:p>
            <w:pPr>
              <w:jc w:val="right"/>
              <w:ind w:right="75"/>
              <w:spacing w:after="0"/>
              <w:rPr>
                <w:sz w:val="20"/>
                <w:szCs w:val="20"/>
                <w:color w:val="auto"/>
              </w:rPr>
            </w:pPr>
            <w:r>
              <w:rPr>
                <w:rFonts w:ascii="Arial" w:cs="Arial" w:eastAsia="Arial" w:hAnsi="Arial"/>
                <w:sz w:val="17"/>
                <w:szCs w:val="17"/>
                <w:color w:val="auto"/>
                <w:w w:val="87"/>
              </w:rPr>
              <w:t>304,832</w:t>
            </w:r>
          </w:p>
        </w:tc>
        <w:tc>
          <w:tcPr>
            <w:tcW w:w="60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(2,369)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302,463</w:t>
            </w:r>
          </w:p>
        </w:tc>
      </w:tr>
      <w:tr>
        <w:trPr>
          <w:trHeight w:val="210"/>
        </w:trPr>
        <w:tc>
          <w:tcPr>
            <w:tcW w:w="720" w:type="dxa"/>
            <w:vAlign w:val="bottom"/>
          </w:tcPr>
          <w:p>
            <w:pPr>
              <w:jc w:val="right"/>
              <w:ind w:right="75"/>
              <w:spacing w:after="0"/>
              <w:rPr>
                <w:sz w:val="20"/>
                <w:szCs w:val="20"/>
                <w:color w:val="auto"/>
              </w:rPr>
            </w:pPr>
            <w:r>
              <w:rPr>
                <w:rFonts w:ascii="Arial" w:cs="Arial" w:eastAsia="Arial" w:hAnsi="Arial"/>
                <w:sz w:val="17"/>
                <w:szCs w:val="17"/>
                <w:color w:val="auto"/>
                <w:w w:val="87"/>
              </w:rPr>
              <w:t>345,514</w:t>
            </w:r>
          </w:p>
        </w:tc>
        <w:tc>
          <w:tcPr>
            <w:tcW w:w="60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(2,455)</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343,060</w:t>
            </w:r>
          </w:p>
        </w:tc>
      </w:tr>
      <w:tr>
        <w:trPr>
          <w:trHeight w:val="20"/>
        </w:trPr>
        <w:tc>
          <w:tcPr>
            <w:tcW w:w="7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-7620</wp:posOffset>
            </wp:positionV>
            <wp:extent cx="8331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33120" cy="8255"/>
                    </a:xfrm>
                    <a:prstGeom prst="rect">
                      <a:avLst/>
                    </a:prstGeom>
                    <a:noFill/>
                  </pic:spPr>
                </pic:pic>
              </a:graphicData>
            </a:graphic>
          </wp:anchor>
        </w:drawing>
      </w:r>
    </w:p>
    <w:p>
      <w:pPr>
        <w:spacing w:after="0" w:line="158" w:lineRule="exact"/>
        <w:rPr>
          <w:sz w:val="20"/>
          <w:szCs w:val="20"/>
          <w:color w:val="auto"/>
        </w:rPr>
      </w:pPr>
    </w:p>
    <w:p>
      <w:pPr>
        <w:sectPr>
          <w:pgSz w:w="11900" w:h="16838" w:orient="portrait"/>
          <w:cols w:equalWidth="0" w:num="2">
            <w:col w:w="5760" w:space="580"/>
            <w:col w:w="4900"/>
          </w:cols>
          <w:pgMar w:left="320" w:top="1159" w:right="33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5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0" w:type="dxa"/>
            <w:vAlign w:val="bottom"/>
            <w:gridSpan w:val="5"/>
          </w:tcPr>
          <w:p>
            <w:pPr>
              <w:ind w:left="420"/>
              <w:spacing w:after="0"/>
              <w:rPr>
                <w:sz w:val="20"/>
                <w:szCs w:val="20"/>
                <w:color w:val="auto"/>
              </w:rPr>
            </w:pPr>
            <w:r>
              <w:rPr>
                <w:rFonts w:ascii="Arial" w:cs="Arial" w:eastAsia="Arial" w:hAnsi="Arial"/>
                <w:sz w:val="14"/>
                <w:szCs w:val="14"/>
                <w:b w:val="1"/>
                <w:bCs w:val="1"/>
                <w:color w:val="auto"/>
              </w:rPr>
              <w:t>As of December 31, 2021</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4"/>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r>
      <w:tr>
        <w:trPr>
          <w:trHeight w:val="125"/>
        </w:trPr>
        <w:tc>
          <w:tcPr>
            <w:tcW w:w="5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340"/>
              <w:spacing w:after="0" w:line="125" w:lineRule="exact"/>
              <w:rPr>
                <w:sz w:val="20"/>
                <w:szCs w:val="20"/>
                <w:color w:val="auto"/>
              </w:rPr>
            </w:pPr>
            <w:r>
              <w:rPr>
                <w:rFonts w:ascii="Arial" w:cs="Arial" w:eastAsia="Arial" w:hAnsi="Arial"/>
                <w:sz w:val="14"/>
                <w:szCs w:val="14"/>
                <w:b w:val="1"/>
                <w:bCs w:val="1"/>
                <w:color w:val="auto"/>
                <w:w w:val="90"/>
              </w:rPr>
              <w:t>Adjusted</w:t>
            </w:r>
          </w:p>
        </w:tc>
        <w:tc>
          <w:tcPr>
            <w:tcW w:w="2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center"/>
              <w:ind w:right="340"/>
              <w:spacing w:after="0" w:line="125" w:lineRule="exact"/>
              <w:rPr>
                <w:sz w:val="20"/>
                <w:szCs w:val="20"/>
                <w:color w:val="auto"/>
              </w:rPr>
            </w:pPr>
            <w:r>
              <w:rPr>
                <w:rFonts w:ascii="Arial" w:cs="Arial" w:eastAsia="Arial" w:hAnsi="Arial"/>
                <w:sz w:val="14"/>
                <w:szCs w:val="14"/>
                <w:b w:val="1"/>
                <w:bCs w:val="1"/>
                <w:color w:val="auto"/>
                <w:w w:val="90"/>
              </w:rPr>
              <w:t>Unrealized</w:t>
            </w:r>
          </w:p>
        </w:tc>
        <w:tc>
          <w:tcPr>
            <w:tcW w:w="2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center"/>
              <w:ind w:right="320"/>
              <w:spacing w:after="0" w:line="125" w:lineRule="exact"/>
              <w:rPr>
                <w:sz w:val="20"/>
                <w:szCs w:val="20"/>
                <w:color w:val="auto"/>
              </w:rPr>
            </w:pPr>
            <w:r>
              <w:rPr>
                <w:rFonts w:ascii="Arial" w:cs="Arial" w:eastAsia="Arial" w:hAnsi="Arial"/>
                <w:sz w:val="14"/>
                <w:szCs w:val="14"/>
                <w:b w:val="1"/>
                <w:bCs w:val="1"/>
                <w:color w:val="auto"/>
                <w:w w:val="90"/>
              </w:rPr>
              <w:t>Unrealized</w:t>
            </w:r>
          </w:p>
        </w:tc>
        <w:tc>
          <w:tcPr>
            <w:tcW w:w="2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161"/>
              <w:spacing w:after="0" w:line="125" w:lineRule="exact"/>
              <w:rPr>
                <w:sz w:val="20"/>
                <w:szCs w:val="20"/>
                <w:color w:val="auto"/>
              </w:rPr>
            </w:pPr>
            <w:r>
              <w:rPr>
                <w:rFonts w:ascii="Arial" w:cs="Arial" w:eastAsia="Arial" w:hAnsi="Arial"/>
                <w:sz w:val="14"/>
                <w:szCs w:val="14"/>
                <w:b w:val="1"/>
                <w:bCs w:val="1"/>
                <w:color w:val="auto"/>
                <w:w w:val="97"/>
              </w:rPr>
              <w:t>Market</w:t>
            </w:r>
          </w:p>
        </w:tc>
        <w:tc>
          <w:tcPr>
            <w:tcW w:w="40" w:type="dxa"/>
            <w:vAlign w:val="bottom"/>
          </w:tcPr>
          <w:p>
            <w:pPr>
              <w:spacing w:after="0"/>
              <w:rPr>
                <w:sz w:val="10"/>
                <w:szCs w:val="10"/>
                <w:color w:val="auto"/>
              </w:rPr>
            </w:pPr>
          </w:p>
        </w:tc>
      </w:tr>
      <w:tr>
        <w:trPr>
          <w:trHeight w:val="180"/>
        </w:trPr>
        <w:tc>
          <w:tcPr>
            <w:tcW w:w="5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Cost</w:t>
            </w:r>
          </w:p>
        </w:tc>
        <w:tc>
          <w:tcPr>
            <w:tcW w:w="24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Gains</w:t>
            </w:r>
          </w:p>
        </w:tc>
        <w:tc>
          <w:tcPr>
            <w:tcW w:w="22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4"/>
              </w:rPr>
              <w:t>Losses</w:t>
            </w:r>
          </w:p>
        </w:tc>
        <w:tc>
          <w:tcPr>
            <w:tcW w:w="26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r>
      <w:tr>
        <w:trPr>
          <w:trHeight w:val="215"/>
        </w:trPr>
        <w:tc>
          <w:tcPr>
            <w:tcW w:w="55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Level 1:</w:t>
            </w: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540" w:type="dxa"/>
            <w:vAlign w:val="bottom"/>
          </w:tcPr>
          <w:p>
            <w:pPr>
              <w:ind w:left="200"/>
              <w:spacing w:after="0"/>
              <w:rPr>
                <w:sz w:val="20"/>
                <w:szCs w:val="20"/>
                <w:color w:val="auto"/>
              </w:rPr>
            </w:pPr>
            <w:r>
              <w:rPr>
                <w:rFonts w:ascii="Arial" w:cs="Arial" w:eastAsia="Arial" w:hAnsi="Arial"/>
                <w:sz w:val="17"/>
                <w:szCs w:val="17"/>
                <w:color w:val="auto"/>
              </w:rPr>
              <w:t>Money Market Funds</w:t>
            </w: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15,329</w:t>
            </w:r>
          </w:p>
        </w:tc>
        <w:tc>
          <w:tcPr>
            <w:tcW w:w="100" w:type="dxa"/>
            <w:vAlign w:val="bottom"/>
          </w:tcPr>
          <w:p>
            <w:pPr>
              <w:spacing w:after="0"/>
              <w:rPr>
                <w:sz w:val="18"/>
                <w:szCs w:val="18"/>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15,329</w:t>
            </w:r>
          </w:p>
        </w:tc>
        <w:tc>
          <w:tcPr>
            <w:tcW w:w="40" w:type="dxa"/>
            <w:vAlign w:val="bottom"/>
          </w:tcPr>
          <w:p>
            <w:pPr>
              <w:spacing w:after="0"/>
              <w:rPr>
                <w:sz w:val="18"/>
                <w:szCs w:val="18"/>
                <w:color w:val="auto"/>
              </w:rPr>
            </w:pPr>
          </w:p>
        </w:tc>
      </w:tr>
      <w:tr>
        <w:trPr>
          <w:trHeight w:val="217"/>
        </w:trPr>
        <w:tc>
          <w:tcPr>
            <w:tcW w:w="5540" w:type="dxa"/>
            <w:vAlign w:val="bottom"/>
            <w:shd w:val="clear" w:color="auto" w:fill="CFF0FC"/>
          </w:tcPr>
          <w:p>
            <w:pPr>
              <w:ind w:left="20"/>
              <w:spacing w:after="0"/>
              <w:rPr>
                <w:sz w:val="20"/>
                <w:szCs w:val="20"/>
                <w:color w:val="auto"/>
              </w:rPr>
            </w:pPr>
            <w:r>
              <w:rPr>
                <w:rFonts w:ascii="Arial" w:cs="Arial" w:eastAsia="Arial" w:hAnsi="Arial"/>
                <w:sz w:val="17"/>
                <w:szCs w:val="17"/>
                <w:color w:val="auto"/>
              </w:rPr>
              <w:t>Level 2:</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540" w:type="dxa"/>
            <w:vAlign w:val="bottom"/>
          </w:tcPr>
          <w:p>
            <w:pPr>
              <w:ind w:left="200"/>
              <w:spacing w:after="0"/>
              <w:rPr>
                <w:sz w:val="20"/>
                <w:szCs w:val="20"/>
                <w:color w:val="auto"/>
              </w:rPr>
            </w:pPr>
            <w:r>
              <w:rPr>
                <w:rFonts w:ascii="Arial" w:cs="Arial" w:eastAsia="Arial" w:hAnsi="Arial"/>
                <w:sz w:val="17"/>
                <w:szCs w:val="17"/>
                <w:color w:val="auto"/>
              </w:rPr>
              <w:t>U.S. government agency securities included in short-term investments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5,003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0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5,003</w:t>
            </w:r>
          </w:p>
        </w:tc>
        <w:tc>
          <w:tcPr>
            <w:tcW w:w="40" w:type="dxa"/>
            <w:vAlign w:val="bottom"/>
          </w:tcPr>
          <w:p>
            <w:pPr>
              <w:spacing w:after="0"/>
              <w:rPr>
                <w:sz w:val="18"/>
                <w:szCs w:val="18"/>
                <w:color w:val="auto"/>
              </w:rPr>
            </w:pPr>
          </w:p>
        </w:tc>
      </w:tr>
      <w:tr>
        <w:trPr>
          <w:trHeight w:val="179"/>
        </w:trPr>
        <w:tc>
          <w:tcPr>
            <w:tcW w:w="5540" w:type="dxa"/>
            <w:vAlign w:val="bottom"/>
            <w:shd w:val="clear" w:color="auto" w:fill="CCEEFF"/>
          </w:tcPr>
          <w:p>
            <w:pPr>
              <w:ind w:left="200"/>
              <w:spacing w:after="0" w:line="179" w:lineRule="exact"/>
              <w:rPr>
                <w:sz w:val="20"/>
                <w:szCs w:val="20"/>
                <w:color w:val="auto"/>
              </w:rPr>
            </w:pPr>
            <w:r>
              <w:rPr>
                <w:rFonts w:ascii="Arial" w:cs="Arial" w:eastAsia="Arial" w:hAnsi="Arial"/>
                <w:sz w:val="17"/>
                <w:szCs w:val="17"/>
                <w:color w:val="auto"/>
                <w:w w:val="89"/>
              </w:rPr>
              <w:t>Corporate debt securities included in cash and cash equivalents and short-term</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investments</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163,626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163,425</w:t>
            </w:r>
          </w:p>
        </w:tc>
        <w:tc>
          <w:tcPr>
            <w:tcW w:w="40" w:type="dxa"/>
            <w:vAlign w:val="bottom"/>
          </w:tcPr>
          <w:p>
            <w:pPr>
              <w:spacing w:after="0"/>
              <w:rPr>
                <w:sz w:val="18"/>
                <w:szCs w:val="18"/>
                <w:color w:val="auto"/>
              </w:rPr>
            </w:pPr>
          </w:p>
        </w:tc>
      </w:tr>
      <w:tr>
        <w:trPr>
          <w:trHeight w:val="209"/>
        </w:trPr>
        <w:tc>
          <w:tcPr>
            <w:tcW w:w="5540" w:type="dxa"/>
            <w:vAlign w:val="bottom"/>
          </w:tcPr>
          <w:p>
            <w:pPr>
              <w:ind w:left="20"/>
              <w:spacing w:after="0"/>
              <w:rPr>
                <w:sz w:val="20"/>
                <w:szCs w:val="20"/>
                <w:color w:val="auto"/>
              </w:rPr>
            </w:pPr>
            <w:r>
              <w:rPr>
                <w:rFonts w:ascii="Arial" w:cs="Arial" w:eastAsia="Arial" w:hAnsi="Arial"/>
                <w:sz w:val="17"/>
                <w:szCs w:val="17"/>
                <w:color w:val="auto"/>
              </w:rPr>
              <w:t>Total financial assets</w:t>
            </w: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183,958</w:t>
            </w:r>
          </w:p>
        </w:tc>
        <w:tc>
          <w:tcPr>
            <w:tcW w:w="100" w:type="dxa"/>
            <w:vAlign w:val="bottom"/>
          </w:tcPr>
          <w:p>
            <w:pPr>
              <w:spacing w:after="0"/>
              <w:rPr>
                <w:sz w:val="18"/>
                <w:szCs w:val="18"/>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(202)</w:t>
            </w:r>
          </w:p>
        </w:tc>
        <w:tc>
          <w:tcPr>
            <w:tcW w:w="100" w:type="dxa"/>
            <w:vAlign w:val="bottom"/>
          </w:tcPr>
          <w:p>
            <w:pPr>
              <w:spacing w:after="0"/>
              <w:rPr>
                <w:sz w:val="18"/>
                <w:szCs w:val="18"/>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183,757</w:t>
            </w:r>
          </w:p>
        </w:tc>
        <w:tc>
          <w:tcPr>
            <w:tcW w:w="40" w:type="dxa"/>
            <w:vAlign w:val="bottom"/>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05"/>
        </w:trPr>
        <w:tc>
          <w:tcPr>
            <w:tcW w:w="5540" w:type="dxa"/>
            <w:vAlign w:val="bottom"/>
          </w:tcPr>
          <w:p>
            <w:pPr>
              <w:spacing w:after="0"/>
              <w:rPr>
                <w:sz w:val="24"/>
                <w:szCs w:val="24"/>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7"/>
                <w:szCs w:val="17"/>
                <w:color w:val="auto"/>
                <w:w w:val="73"/>
              </w:rPr>
              <w:t>13</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8"/>
        </w:trPr>
        <w:tc>
          <w:tcPr>
            <w:tcW w:w="55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-27940</wp:posOffset>
            </wp:positionV>
            <wp:extent cx="33655"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type w:val="continuous"/>
        </w:sectPr>
      </w:pPr>
    </w:p>
    <w:bookmarkStart w:id="13" w:name="page14"/>
    <w:bookmarkEnd w:id="13"/>
    <w:p>
      <w:pPr>
        <w:ind w:right="60" w:firstLine="1070"/>
        <w:spacing w:after="0" w:line="274" w:lineRule="auto"/>
        <w:rPr>
          <w:sz w:val="20"/>
          <w:szCs w:val="20"/>
          <w:color w:val="auto"/>
        </w:rPr>
      </w:pPr>
      <w:r>
        <w:rPr>
          <w:rFonts w:ascii="Arial" w:cs="Arial" w:eastAsia="Arial" w:hAnsi="Arial"/>
          <w:sz w:val="17"/>
          <w:szCs w:val="17"/>
          <w:color w:val="auto"/>
        </w:rPr>
        <w:t>The Company may sell certain of its short-term securities prior to their stated maturities for reasons including, but not limited to, managing liquidity, credit risk, duration and asset allocation.</w:t>
      </w:r>
    </w:p>
    <w:p>
      <w:pPr>
        <w:spacing w:after="0" w:line="165" w:lineRule="exact"/>
        <w:rPr>
          <w:sz w:val="20"/>
          <w:szCs w:val="20"/>
          <w:color w:val="auto"/>
        </w:rPr>
      </w:pPr>
    </w:p>
    <w:p>
      <w:pPr>
        <w:ind w:right="40" w:firstLine="1070"/>
        <w:spacing w:after="0" w:line="313" w:lineRule="auto"/>
        <w:rPr>
          <w:sz w:val="20"/>
          <w:szCs w:val="20"/>
          <w:color w:val="auto"/>
        </w:rPr>
      </w:pPr>
      <w:r>
        <w:rPr>
          <w:rFonts w:ascii="Arial" w:cs="Arial" w:eastAsia="Arial" w:hAnsi="Arial"/>
          <w:sz w:val="15"/>
          <w:szCs w:val="15"/>
          <w:color w:val="auto"/>
        </w:rPr>
        <w:t>There were no liabilities measured at fair value on a recurring basis as of September 30, 2022 and December 31, 2021. The Company evaluates transfers between levels at the end of each reporting period and there have been no transfers between fair value measurement levels during the nine months ended September 30, 2022. In addition, there were no assets or liabilities measured at fair value on a non-recurring basis as of September 30, 2022 and December 31, 2021.</w:t>
      </w:r>
    </w:p>
    <w:p>
      <w:pPr>
        <w:spacing w:after="0" w:line="140" w:lineRule="exact"/>
        <w:rPr>
          <w:sz w:val="20"/>
          <w:szCs w:val="20"/>
          <w:color w:val="auto"/>
        </w:rPr>
      </w:pPr>
    </w:p>
    <w:p>
      <w:pPr>
        <w:ind w:right="160" w:firstLine="1070"/>
        <w:spacing w:after="0" w:line="256" w:lineRule="auto"/>
        <w:rPr>
          <w:sz w:val="20"/>
          <w:szCs w:val="20"/>
          <w:color w:val="auto"/>
        </w:rPr>
      </w:pPr>
      <w:r>
        <w:rPr>
          <w:rFonts w:ascii="Arial" w:cs="Arial" w:eastAsia="Arial" w:hAnsi="Arial"/>
          <w:sz w:val="17"/>
          <w:szCs w:val="17"/>
          <w:color w:val="auto"/>
        </w:rPr>
        <w:t>As of September 30, 2022, the Company had not recorded any impairment related to other-than-temporary declines in the fair value of short-term investments. Short-term investments are considered impaired when a decline in fair value is judged to be other-than-temporary. The Company consults with its investment managers and considers available quantitative and qualitative evidence in evaluating potential impairment of its short-term investments on a quarterly basis. If the cost of an individual investment exceeds its fair value, the Company evaluates, among other factors, general market conditions, the duration and extent to which the fair value is less than cost and its intent and ability to hold the investment.</w:t>
      </w:r>
    </w:p>
    <w:p>
      <w:pPr>
        <w:spacing w:after="0" w:line="180" w:lineRule="exact"/>
        <w:rPr>
          <w:sz w:val="20"/>
          <w:szCs w:val="20"/>
          <w:color w:val="auto"/>
        </w:rPr>
      </w:pPr>
    </w:p>
    <w:p>
      <w:pPr>
        <w:ind w:right="560" w:firstLine="1070"/>
        <w:spacing w:after="0" w:line="306" w:lineRule="auto"/>
        <w:rPr>
          <w:sz w:val="20"/>
          <w:szCs w:val="20"/>
          <w:color w:val="auto"/>
        </w:rPr>
      </w:pPr>
      <w:r>
        <w:rPr>
          <w:rFonts w:ascii="Arial" w:cs="Arial" w:eastAsia="Arial" w:hAnsi="Arial"/>
          <w:sz w:val="16"/>
          <w:szCs w:val="16"/>
          <w:color w:val="auto"/>
        </w:rPr>
        <w:t>The Company records interest income and accretion income earned on Money Market Funds and U.S. Treasury, U.S. government agency and corporate debt securities to interest and other income, net in its condensed statement of operations and comprehensive loss.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Property and Equipment, net</w:t>
      </w:r>
    </w:p>
    <w:p>
      <w:pPr>
        <w:spacing w:after="0" w:line="11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Property and equipment, net consisted of the following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September 30,</w:t>
            </w:r>
          </w:p>
        </w:tc>
        <w:tc>
          <w:tcPr>
            <w:tcW w:w="140" w:type="dxa"/>
            <w:vAlign w:val="bottom"/>
          </w:tcPr>
          <w:p>
            <w:pPr>
              <w:spacing w:after="0"/>
              <w:rPr>
                <w:sz w:val="14"/>
                <w:szCs w:val="14"/>
                <w:color w:val="auto"/>
              </w:rPr>
            </w:pPr>
          </w:p>
        </w:tc>
        <w:tc>
          <w:tcPr>
            <w:tcW w:w="1300" w:type="dxa"/>
            <w:vAlign w:val="bottom"/>
          </w:tcPr>
          <w:p>
            <w:pPr>
              <w:jc w:val="right"/>
              <w:ind w:right="79"/>
              <w:spacing w:after="0"/>
              <w:rPr>
                <w:sz w:val="20"/>
                <w:szCs w:val="20"/>
                <w:color w:val="auto"/>
              </w:rPr>
            </w:pPr>
            <w:r>
              <w:rPr>
                <w:rFonts w:ascii="Arial" w:cs="Arial" w:eastAsia="Arial" w:hAnsi="Arial"/>
                <w:sz w:val="14"/>
                <w:szCs w:val="14"/>
                <w:b w:val="1"/>
                <w:bCs w:val="1"/>
                <w:color w:val="auto"/>
                <w:w w:val="86"/>
              </w:rPr>
              <w:t>As of December 31,</w:t>
            </w:r>
          </w:p>
        </w:tc>
      </w:tr>
      <w:tr>
        <w:trPr>
          <w:trHeight w:val="183"/>
        </w:trPr>
        <w:tc>
          <w:tcPr>
            <w:tcW w:w="8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499"/>
              <w:spacing w:after="0"/>
              <w:rPr>
                <w:sz w:val="20"/>
                <w:szCs w:val="20"/>
                <w:color w:val="auto"/>
              </w:rPr>
            </w:pPr>
            <w:r>
              <w:rPr>
                <w:rFonts w:ascii="Arial" w:cs="Arial" w:eastAsia="Arial" w:hAnsi="Arial"/>
                <w:sz w:val="14"/>
                <w:szCs w:val="14"/>
                <w:b w:val="1"/>
                <w:bCs w:val="1"/>
                <w:color w:val="auto"/>
              </w:rPr>
              <w:t>2021</w:t>
            </w:r>
          </w:p>
        </w:tc>
      </w:tr>
      <w:tr>
        <w:trPr>
          <w:trHeight w:val="225"/>
        </w:trPr>
        <w:tc>
          <w:tcPr>
            <w:tcW w:w="8280" w:type="dxa"/>
            <w:vAlign w:val="bottom"/>
            <w:shd w:val="clear" w:color="auto" w:fill="CFF0FC"/>
          </w:tcPr>
          <w:p>
            <w:pPr>
              <w:ind w:left="20"/>
              <w:spacing w:after="0"/>
              <w:rPr>
                <w:sz w:val="20"/>
                <w:szCs w:val="20"/>
                <w:color w:val="auto"/>
              </w:rPr>
            </w:pPr>
            <w:r>
              <w:rPr>
                <w:rFonts w:ascii="Arial" w:cs="Arial" w:eastAsia="Arial" w:hAnsi="Arial"/>
                <w:sz w:val="17"/>
                <w:szCs w:val="17"/>
                <w:color w:val="auto"/>
              </w:rPr>
              <w:t>Computer equipment and software</w:t>
            </w: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w:t>
            </w:r>
          </w:p>
        </w:tc>
      </w:tr>
      <w:tr>
        <w:trPr>
          <w:trHeight w:val="216"/>
        </w:trPr>
        <w:tc>
          <w:tcPr>
            <w:tcW w:w="8280" w:type="dxa"/>
            <w:vAlign w:val="bottom"/>
          </w:tcPr>
          <w:p>
            <w:pPr>
              <w:ind w:left="20"/>
              <w:spacing w:after="0"/>
              <w:rPr>
                <w:sz w:val="20"/>
                <w:szCs w:val="20"/>
                <w:color w:val="auto"/>
              </w:rPr>
            </w:pPr>
            <w:r>
              <w:rPr>
                <w:rFonts w:ascii="Arial" w:cs="Arial" w:eastAsia="Arial" w:hAnsi="Arial"/>
                <w:sz w:val="17"/>
                <w:szCs w:val="17"/>
                <w:color w:val="auto"/>
              </w:rPr>
              <w:t>Laboratory equipment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9,412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7,947</w:t>
            </w:r>
          </w:p>
        </w:tc>
      </w:tr>
      <w:tr>
        <w:trPr>
          <w:trHeight w:val="217"/>
        </w:trPr>
        <w:tc>
          <w:tcPr>
            <w:tcW w:w="8280" w:type="dxa"/>
            <w:vAlign w:val="bottom"/>
            <w:shd w:val="clear" w:color="auto" w:fill="CFF0FC"/>
          </w:tcPr>
          <w:p>
            <w:pPr>
              <w:ind w:left="20"/>
              <w:spacing w:after="0"/>
              <w:rPr>
                <w:sz w:val="20"/>
                <w:szCs w:val="20"/>
                <w:color w:val="auto"/>
              </w:rPr>
            </w:pPr>
            <w:r>
              <w:rPr>
                <w:rFonts w:ascii="Arial" w:cs="Arial" w:eastAsia="Arial" w:hAnsi="Arial"/>
                <w:sz w:val="17"/>
                <w:szCs w:val="17"/>
                <w:color w:val="auto"/>
              </w:rPr>
              <w:t>Leasehold improvements</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1,618</w:t>
            </w:r>
          </w:p>
        </w:tc>
      </w:tr>
      <w:tr>
        <w:trPr>
          <w:trHeight w:val="216"/>
        </w:trPr>
        <w:tc>
          <w:tcPr>
            <w:tcW w:w="8280" w:type="dxa"/>
            <w:vAlign w:val="bottom"/>
            <w:tcBorders>
              <w:bottom w:val="single" w:sz="8" w:color="CFF0FC"/>
            </w:tcBorders>
          </w:tcPr>
          <w:p>
            <w:pPr>
              <w:ind w:left="20"/>
              <w:spacing w:after="0"/>
              <w:rPr>
                <w:sz w:val="20"/>
                <w:szCs w:val="20"/>
                <w:color w:val="auto"/>
              </w:rPr>
            </w:pPr>
            <w:r>
              <w:rPr>
                <w:rFonts w:ascii="Arial" w:cs="Arial" w:eastAsia="Arial" w:hAnsi="Arial"/>
                <w:sz w:val="17"/>
                <w:szCs w:val="17"/>
                <w:color w:val="auto"/>
              </w:rPr>
              <w:t>Construction-in-progress</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r>
      <w:tr>
        <w:trPr>
          <w:trHeight w:val="210"/>
        </w:trPr>
        <w:tc>
          <w:tcPr>
            <w:tcW w:w="8280" w:type="dxa"/>
            <w:vAlign w:val="bottom"/>
            <w:shd w:val="clear" w:color="auto" w:fill="CFF0FC"/>
          </w:tcPr>
          <w:p>
            <w:pPr>
              <w:ind w:left="440"/>
              <w:spacing w:after="0"/>
              <w:rPr>
                <w:sz w:val="20"/>
                <w:szCs w:val="20"/>
                <w:color w:val="auto"/>
              </w:rPr>
            </w:pPr>
            <w:r>
              <w:rPr>
                <w:rFonts w:ascii="Arial" w:cs="Arial" w:eastAsia="Arial" w:hAnsi="Arial"/>
                <w:sz w:val="17"/>
                <w:szCs w:val="17"/>
                <w:color w:val="auto"/>
              </w:rPr>
              <w:t>Total property and equipment, gross</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11,185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9,625</w:t>
            </w:r>
          </w:p>
        </w:tc>
      </w:tr>
      <w:tr>
        <w:trPr>
          <w:trHeight w:val="216"/>
        </w:trPr>
        <w:tc>
          <w:tcPr>
            <w:tcW w:w="8280" w:type="dxa"/>
            <w:vAlign w:val="bottom"/>
            <w:tcBorders>
              <w:bottom w:val="single" w:sz="8" w:color="CFF0FC"/>
            </w:tcBorders>
          </w:tcPr>
          <w:p>
            <w:pPr>
              <w:ind w:left="20"/>
              <w:spacing w:after="0"/>
              <w:rPr>
                <w:sz w:val="20"/>
                <w:szCs w:val="20"/>
                <w:color w:val="auto"/>
              </w:rPr>
            </w:pPr>
            <w:r>
              <w:rPr>
                <w:rFonts w:ascii="Arial" w:cs="Arial" w:eastAsia="Arial" w:hAnsi="Arial"/>
                <w:sz w:val="17"/>
                <w:szCs w:val="17"/>
                <w:color w:val="auto"/>
              </w:rPr>
              <w:t>Less: Accumulated depreciation</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(6,386)</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(5,019)</w:t>
            </w:r>
          </w:p>
        </w:tc>
      </w:tr>
      <w:tr>
        <w:trPr>
          <w:trHeight w:val="234"/>
        </w:trPr>
        <w:tc>
          <w:tcPr>
            <w:tcW w:w="8280" w:type="dxa"/>
            <w:vAlign w:val="bottom"/>
            <w:tcBorders>
              <w:bottom w:val="single" w:sz="8" w:color="CFF0FC"/>
            </w:tcBorders>
            <w:shd w:val="clear" w:color="auto" w:fill="CFF0FC"/>
          </w:tcPr>
          <w:p>
            <w:pPr>
              <w:ind w:left="440"/>
              <w:spacing w:after="0"/>
              <w:rPr>
                <w:sz w:val="20"/>
                <w:szCs w:val="20"/>
                <w:color w:val="auto"/>
              </w:rPr>
            </w:pPr>
            <w:r>
              <w:rPr>
                <w:rFonts w:ascii="Arial" w:cs="Arial" w:eastAsia="Arial" w:hAnsi="Arial"/>
                <w:sz w:val="17"/>
                <w:szCs w:val="17"/>
                <w:color w:val="auto"/>
              </w:rPr>
              <w:t>Total property and equipment, net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4,799</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4,606</w:t>
            </w:r>
          </w:p>
        </w:tc>
      </w:tr>
      <w:tr>
        <w:trPr>
          <w:trHeight w:val="20"/>
        </w:trPr>
        <w:tc>
          <w:tcPr>
            <w:tcW w:w="8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ind w:right="580" w:firstLine="1070"/>
        <w:spacing w:after="0" w:line="274" w:lineRule="auto"/>
        <w:rPr>
          <w:sz w:val="20"/>
          <w:szCs w:val="20"/>
          <w:color w:val="auto"/>
        </w:rPr>
      </w:pPr>
      <w:r>
        <w:rPr>
          <w:rFonts w:ascii="Arial" w:cs="Arial" w:eastAsia="Arial" w:hAnsi="Arial"/>
          <w:sz w:val="17"/>
          <w:szCs w:val="17"/>
          <w:color w:val="auto"/>
        </w:rPr>
        <w:t>Depreciation expense for the three months ended September 30, 2022 and 2021 was $0.5 million and $0.4 million, respectively. Depreciation expense for the nine months ended September 30, 2022 and 2021 was $1.4 million and $1.1 million, respectively.</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Prepaid Expenses and Other Current Assets</w:t>
      </w:r>
    </w:p>
    <w:p>
      <w:pPr>
        <w:spacing w:after="0" w:line="11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Prepaid expenses and other current assets consisted of the following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1640" w:type="dxa"/>
            <w:vAlign w:val="bottom"/>
          </w:tcPr>
          <w:p>
            <w:pPr>
              <w:jc w:val="right"/>
              <w:ind w:right="159"/>
              <w:spacing w:after="0"/>
              <w:rPr>
                <w:sz w:val="20"/>
                <w:szCs w:val="20"/>
                <w:color w:val="auto"/>
              </w:rPr>
            </w:pPr>
            <w:r>
              <w:rPr>
                <w:rFonts w:ascii="Arial" w:cs="Arial" w:eastAsia="Arial" w:hAnsi="Arial"/>
                <w:sz w:val="14"/>
                <w:szCs w:val="14"/>
                <w:b w:val="1"/>
                <w:bCs w:val="1"/>
                <w:color w:val="auto"/>
              </w:rPr>
              <w:t>As of September 30,</w:t>
            </w:r>
          </w:p>
        </w:tc>
        <w:tc>
          <w:tcPr>
            <w:tcW w:w="120" w:type="dxa"/>
            <w:vAlign w:val="bottom"/>
          </w:tcPr>
          <w:p>
            <w:pPr>
              <w:spacing w:after="0"/>
              <w:rPr>
                <w:sz w:val="14"/>
                <w:szCs w:val="14"/>
                <w:color w:val="auto"/>
              </w:rPr>
            </w:pPr>
          </w:p>
        </w:tc>
        <w:tc>
          <w:tcPr>
            <w:tcW w:w="1640" w:type="dxa"/>
            <w:vAlign w:val="bottom"/>
          </w:tcPr>
          <w:p>
            <w:pPr>
              <w:jc w:val="right"/>
              <w:ind w:right="179"/>
              <w:spacing w:after="0"/>
              <w:rPr>
                <w:sz w:val="20"/>
                <w:szCs w:val="20"/>
                <w:color w:val="auto"/>
              </w:rPr>
            </w:pPr>
            <w:r>
              <w:rPr>
                <w:rFonts w:ascii="Arial" w:cs="Arial" w:eastAsia="Arial" w:hAnsi="Arial"/>
                <w:sz w:val="14"/>
                <w:szCs w:val="14"/>
                <w:b w:val="1"/>
                <w:bCs w:val="1"/>
                <w:color w:val="auto"/>
              </w:rPr>
              <w:t>As of December 31,</w:t>
            </w:r>
          </w:p>
        </w:tc>
      </w:tr>
      <w:tr>
        <w:trPr>
          <w:trHeight w:val="180"/>
        </w:trPr>
        <w:tc>
          <w:tcPr>
            <w:tcW w:w="7840" w:type="dxa"/>
            <w:vAlign w:val="bottom"/>
          </w:tcPr>
          <w:p>
            <w:pPr>
              <w:spacing w:after="0"/>
              <w:rPr>
                <w:sz w:val="15"/>
                <w:szCs w:val="15"/>
                <w:color w:val="auto"/>
              </w:rPr>
            </w:pPr>
          </w:p>
        </w:tc>
        <w:tc>
          <w:tcPr>
            <w:tcW w:w="1640" w:type="dxa"/>
            <w:vAlign w:val="bottom"/>
          </w:tcPr>
          <w:p>
            <w:pPr>
              <w:jc w:val="right"/>
              <w:ind w:right="599"/>
              <w:spacing w:after="0"/>
              <w:rPr>
                <w:sz w:val="20"/>
                <w:szCs w:val="20"/>
                <w:color w:val="auto"/>
              </w:rPr>
            </w:pPr>
            <w:r>
              <w:rPr>
                <w:rFonts w:ascii="Arial" w:cs="Arial" w:eastAsia="Arial" w:hAnsi="Arial"/>
                <w:sz w:val="14"/>
                <w:szCs w:val="14"/>
                <w:b w:val="1"/>
                <w:bCs w:val="1"/>
                <w:color w:val="auto"/>
              </w:rPr>
              <w:t>2022</w:t>
            </w:r>
          </w:p>
        </w:tc>
        <w:tc>
          <w:tcPr>
            <w:tcW w:w="1760" w:type="dxa"/>
            <w:vAlign w:val="bottom"/>
            <w:gridSpan w:val="2"/>
          </w:tcPr>
          <w:p>
            <w:pPr>
              <w:jc w:val="right"/>
              <w:ind w:right="599"/>
              <w:spacing w:after="0"/>
              <w:rPr>
                <w:sz w:val="20"/>
                <w:szCs w:val="20"/>
                <w:color w:val="auto"/>
              </w:rPr>
            </w:pPr>
            <w:r>
              <w:rPr>
                <w:rFonts w:ascii="Arial" w:cs="Arial" w:eastAsia="Arial" w:hAnsi="Arial"/>
                <w:sz w:val="14"/>
                <w:szCs w:val="14"/>
                <w:b w:val="1"/>
                <w:bCs w:val="1"/>
                <w:color w:val="auto"/>
              </w:rPr>
              <w:t>2021</w:t>
            </w:r>
          </w:p>
        </w:tc>
      </w:tr>
      <w:tr>
        <w:trPr>
          <w:trHeight w:val="222"/>
        </w:trPr>
        <w:tc>
          <w:tcPr>
            <w:tcW w:w="7840" w:type="dxa"/>
            <w:vAlign w:val="bottom"/>
            <w:shd w:val="clear" w:color="auto" w:fill="CFF0FC"/>
          </w:tcPr>
          <w:p>
            <w:pPr>
              <w:ind w:left="20"/>
              <w:spacing w:after="0"/>
              <w:rPr>
                <w:sz w:val="20"/>
                <w:szCs w:val="20"/>
                <w:color w:val="auto"/>
              </w:rPr>
            </w:pPr>
            <w:r>
              <w:rPr>
                <w:rFonts w:ascii="Arial" w:cs="Arial" w:eastAsia="Arial" w:hAnsi="Arial"/>
                <w:sz w:val="17"/>
                <w:szCs w:val="17"/>
                <w:color w:val="auto"/>
              </w:rPr>
              <w:t>Prepaid research and development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2,258</w:t>
            </w:r>
          </w:p>
        </w:tc>
        <w:tc>
          <w:tcPr>
            <w:tcW w:w="120" w:type="dxa"/>
            <w:vAlign w:val="bottom"/>
            <w:shd w:val="clear" w:color="auto" w:fill="CFF0FC"/>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2,819</w:t>
            </w:r>
          </w:p>
        </w:tc>
      </w:tr>
      <w:tr>
        <w:trPr>
          <w:trHeight w:val="216"/>
        </w:trPr>
        <w:tc>
          <w:tcPr>
            <w:tcW w:w="7840" w:type="dxa"/>
            <w:vAlign w:val="bottom"/>
          </w:tcPr>
          <w:p>
            <w:pPr>
              <w:ind w:left="20"/>
              <w:spacing w:after="0"/>
              <w:rPr>
                <w:sz w:val="20"/>
                <w:szCs w:val="20"/>
                <w:color w:val="auto"/>
              </w:rPr>
            </w:pPr>
            <w:r>
              <w:rPr>
                <w:rFonts w:ascii="Arial" w:cs="Arial" w:eastAsia="Arial" w:hAnsi="Arial"/>
                <w:sz w:val="17"/>
                <w:szCs w:val="17"/>
                <w:color w:val="auto"/>
              </w:rPr>
              <w:t>Prepaid insurance</w:t>
            </w:r>
          </w:p>
        </w:tc>
        <w:tc>
          <w:tcPr>
            <w:tcW w:w="1640" w:type="dxa"/>
            <w:vAlign w:val="bottom"/>
          </w:tcPr>
          <w:p>
            <w:pPr>
              <w:jc w:val="right"/>
              <w:spacing w:after="0"/>
              <w:rPr>
                <w:sz w:val="20"/>
                <w:szCs w:val="20"/>
                <w:color w:val="auto"/>
              </w:rPr>
            </w:pPr>
            <w:r>
              <w:rPr>
                <w:rFonts w:ascii="Arial" w:cs="Arial" w:eastAsia="Arial" w:hAnsi="Arial"/>
                <w:sz w:val="17"/>
                <w:szCs w:val="17"/>
                <w:color w:val="auto"/>
              </w:rPr>
              <w:t>6</w:t>
            </w:r>
          </w:p>
        </w:tc>
        <w:tc>
          <w:tcPr>
            <w:tcW w:w="1760" w:type="dxa"/>
            <w:vAlign w:val="bottom"/>
            <w:gridSpan w:val="2"/>
          </w:tcPr>
          <w:p>
            <w:pPr>
              <w:jc w:val="right"/>
              <w:spacing w:after="0"/>
              <w:rPr>
                <w:sz w:val="20"/>
                <w:szCs w:val="20"/>
                <w:color w:val="auto"/>
              </w:rPr>
            </w:pPr>
            <w:r>
              <w:rPr>
                <w:rFonts w:ascii="Arial" w:cs="Arial" w:eastAsia="Arial" w:hAnsi="Arial"/>
                <w:sz w:val="17"/>
                <w:szCs w:val="17"/>
                <w:color w:val="auto"/>
              </w:rPr>
              <w:t>2,585</w:t>
            </w:r>
          </w:p>
        </w:tc>
      </w:tr>
      <w:tr>
        <w:trPr>
          <w:trHeight w:val="217"/>
        </w:trPr>
        <w:tc>
          <w:tcPr>
            <w:tcW w:w="7840" w:type="dxa"/>
            <w:vAlign w:val="bottom"/>
            <w:shd w:val="clear" w:color="auto" w:fill="CFF0FC"/>
          </w:tcPr>
          <w:p>
            <w:pPr>
              <w:ind w:left="20"/>
              <w:spacing w:after="0"/>
              <w:rPr>
                <w:sz w:val="20"/>
                <w:szCs w:val="20"/>
                <w:color w:val="auto"/>
              </w:rPr>
            </w:pPr>
            <w:r>
              <w:rPr>
                <w:rFonts w:ascii="Arial" w:cs="Arial" w:eastAsia="Arial" w:hAnsi="Arial"/>
                <w:sz w:val="17"/>
                <w:szCs w:val="17"/>
                <w:color w:val="auto"/>
              </w:rPr>
              <w:t>Prepaid licenses</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936</w:t>
            </w:r>
          </w:p>
        </w:tc>
        <w:tc>
          <w:tcPr>
            <w:tcW w:w="120" w:type="dxa"/>
            <w:vAlign w:val="bottom"/>
            <w:shd w:val="clear" w:color="auto" w:fill="CFF0FC"/>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819</w:t>
            </w:r>
          </w:p>
        </w:tc>
      </w:tr>
      <w:tr>
        <w:trPr>
          <w:trHeight w:val="216"/>
        </w:trPr>
        <w:tc>
          <w:tcPr>
            <w:tcW w:w="7840" w:type="dxa"/>
            <w:vAlign w:val="bottom"/>
          </w:tcPr>
          <w:p>
            <w:pPr>
              <w:ind w:left="40"/>
              <w:spacing w:after="0"/>
              <w:rPr>
                <w:sz w:val="20"/>
                <w:szCs w:val="20"/>
                <w:color w:val="auto"/>
              </w:rPr>
            </w:pPr>
            <w:r>
              <w:rPr>
                <w:rFonts w:ascii="Arial" w:cs="Arial" w:eastAsia="Arial" w:hAnsi="Arial"/>
                <w:sz w:val="17"/>
                <w:szCs w:val="17"/>
                <w:color w:val="auto"/>
              </w:rPr>
              <w:t>Interest receivable</w:t>
            </w:r>
          </w:p>
        </w:tc>
        <w:tc>
          <w:tcPr>
            <w:tcW w:w="1640" w:type="dxa"/>
            <w:vAlign w:val="bottom"/>
          </w:tcPr>
          <w:p>
            <w:pPr>
              <w:jc w:val="right"/>
              <w:spacing w:after="0"/>
              <w:rPr>
                <w:sz w:val="20"/>
                <w:szCs w:val="20"/>
                <w:color w:val="auto"/>
              </w:rPr>
            </w:pPr>
            <w:r>
              <w:rPr>
                <w:rFonts w:ascii="Arial" w:cs="Arial" w:eastAsia="Arial" w:hAnsi="Arial"/>
                <w:sz w:val="17"/>
                <w:szCs w:val="17"/>
                <w:color w:val="auto"/>
              </w:rPr>
              <w:t>752</w:t>
            </w:r>
          </w:p>
        </w:tc>
        <w:tc>
          <w:tcPr>
            <w:tcW w:w="1760" w:type="dxa"/>
            <w:vAlign w:val="bottom"/>
            <w:gridSpan w:val="2"/>
          </w:tcPr>
          <w:p>
            <w:pPr>
              <w:jc w:val="right"/>
              <w:spacing w:after="0"/>
              <w:rPr>
                <w:sz w:val="20"/>
                <w:szCs w:val="20"/>
                <w:color w:val="auto"/>
              </w:rPr>
            </w:pPr>
            <w:r>
              <w:rPr>
                <w:rFonts w:ascii="Arial" w:cs="Arial" w:eastAsia="Arial" w:hAnsi="Arial"/>
                <w:sz w:val="17"/>
                <w:szCs w:val="17"/>
                <w:color w:val="auto"/>
              </w:rPr>
              <w:t>385</w:t>
            </w:r>
          </w:p>
        </w:tc>
      </w:tr>
      <w:tr>
        <w:trPr>
          <w:trHeight w:val="217"/>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w:t>
            </w:r>
          </w:p>
        </w:tc>
        <w:tc>
          <w:tcPr>
            <w:tcW w:w="12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w:t>
            </w:r>
          </w:p>
        </w:tc>
      </w:tr>
      <w:tr>
        <w:trPr>
          <w:trHeight w:val="209"/>
        </w:trPr>
        <w:tc>
          <w:tcPr>
            <w:tcW w:w="7840" w:type="dxa"/>
            <w:vAlign w:val="bottom"/>
          </w:tcPr>
          <w:p>
            <w:pPr>
              <w:ind w:left="440"/>
              <w:spacing w:after="0"/>
              <w:rPr>
                <w:sz w:val="20"/>
                <w:szCs w:val="20"/>
                <w:color w:val="auto"/>
              </w:rPr>
            </w:pPr>
            <w:r>
              <w:rPr>
                <w:rFonts w:ascii="Arial" w:cs="Arial" w:eastAsia="Arial" w:hAnsi="Arial"/>
                <w:sz w:val="17"/>
                <w:szCs w:val="17"/>
                <w:color w:val="auto"/>
              </w:rPr>
              <w:t>Total prepaid expenses and other current assets</w:t>
            </w:r>
          </w:p>
        </w:tc>
        <w:tc>
          <w:tcPr>
            <w:tcW w:w="1640" w:type="dxa"/>
            <w:vAlign w:val="bottom"/>
          </w:tcPr>
          <w:p>
            <w:pPr>
              <w:jc w:val="right"/>
              <w:spacing w:after="0"/>
              <w:rPr>
                <w:sz w:val="20"/>
                <w:szCs w:val="20"/>
                <w:color w:val="auto"/>
              </w:rPr>
            </w:pPr>
            <w:r>
              <w:rPr>
                <w:rFonts w:ascii="Arial" w:cs="Arial" w:eastAsia="Arial" w:hAnsi="Arial"/>
                <w:sz w:val="17"/>
                <w:szCs w:val="17"/>
                <w:color w:val="auto"/>
              </w:rPr>
              <w:t>4,159</w:t>
            </w:r>
          </w:p>
        </w:tc>
        <w:tc>
          <w:tcPr>
            <w:tcW w:w="1760" w:type="dxa"/>
            <w:vAlign w:val="bottom"/>
            <w:gridSpan w:val="2"/>
          </w:tcPr>
          <w:p>
            <w:pPr>
              <w:jc w:val="right"/>
              <w:spacing w:after="0"/>
              <w:rPr>
                <w:sz w:val="20"/>
                <w:szCs w:val="20"/>
                <w:color w:val="auto"/>
              </w:rPr>
            </w:pPr>
            <w:r>
              <w:rPr>
                <w:rFonts w:ascii="Arial" w:cs="Arial" w:eastAsia="Arial" w:hAnsi="Arial"/>
                <w:sz w:val="17"/>
                <w:szCs w:val="17"/>
                <w:color w:val="auto"/>
              </w:rPr>
              <w:t>6,764</w:t>
            </w:r>
          </w:p>
        </w:tc>
      </w:tr>
      <w:tr>
        <w:trPr>
          <w:trHeight w:val="20"/>
        </w:trPr>
        <w:tc>
          <w:tcPr>
            <w:tcW w:w="78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Accrued Liabilities and Other Current Liabilities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Accrued Liabilities</w:t>
      </w:r>
    </w:p>
    <w:p>
      <w:pPr>
        <w:spacing w:after="0" w:line="11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Accrued liabilities consisted of the following (in thousands):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 September 30,</w:t>
            </w:r>
          </w:p>
        </w:tc>
        <w:tc>
          <w:tcPr>
            <w:tcW w:w="180" w:type="dxa"/>
            <w:vAlign w:val="bottom"/>
          </w:tcPr>
          <w:p>
            <w:pPr>
              <w:spacing w:after="0"/>
              <w:rPr>
                <w:sz w:val="14"/>
                <w:szCs w:val="14"/>
                <w:color w:val="auto"/>
              </w:rPr>
            </w:pPr>
          </w:p>
        </w:tc>
        <w:tc>
          <w:tcPr>
            <w:tcW w:w="1460" w:type="dxa"/>
            <w:vAlign w:val="bottom"/>
          </w:tcPr>
          <w:p>
            <w:pPr>
              <w:jc w:val="right"/>
              <w:ind w:right="181"/>
              <w:spacing w:after="0"/>
              <w:rPr>
                <w:sz w:val="20"/>
                <w:szCs w:val="20"/>
                <w:color w:val="auto"/>
              </w:rPr>
            </w:pPr>
            <w:r>
              <w:rPr>
                <w:rFonts w:ascii="Arial" w:cs="Arial" w:eastAsia="Arial" w:hAnsi="Arial"/>
                <w:sz w:val="14"/>
                <w:szCs w:val="14"/>
                <w:b w:val="1"/>
                <w:bCs w:val="1"/>
                <w:color w:val="auto"/>
                <w:w w:val="90"/>
              </w:rPr>
              <w:t>As of December 31,</w:t>
            </w:r>
          </w:p>
        </w:tc>
      </w:tr>
      <w:tr>
        <w:trPr>
          <w:trHeight w:val="184"/>
        </w:trPr>
        <w:tc>
          <w:tcPr>
            <w:tcW w:w="78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2021</w:t>
            </w:r>
          </w:p>
        </w:tc>
      </w:tr>
      <w:tr>
        <w:trPr>
          <w:trHeight w:val="216"/>
        </w:trPr>
        <w:tc>
          <w:tcPr>
            <w:tcW w:w="7840" w:type="dxa"/>
            <w:vAlign w:val="bottom"/>
            <w:shd w:val="clear" w:color="auto" w:fill="CFF0FC"/>
          </w:tcPr>
          <w:p>
            <w:pPr>
              <w:ind w:left="20"/>
              <w:spacing w:after="0"/>
              <w:rPr>
                <w:sz w:val="20"/>
                <w:szCs w:val="20"/>
                <w:color w:val="auto"/>
              </w:rPr>
            </w:pPr>
            <w:r>
              <w:rPr>
                <w:rFonts w:ascii="Arial" w:cs="Arial" w:eastAsia="Arial" w:hAnsi="Arial"/>
                <w:sz w:val="17"/>
                <w:szCs w:val="17"/>
                <w:color w:val="auto"/>
              </w:rPr>
              <w:t>Accrued compensation and benefits</w:t>
            </w: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4,712</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5,216</w:t>
            </w:r>
          </w:p>
        </w:tc>
      </w:tr>
      <w:tr>
        <w:trPr>
          <w:trHeight w:val="216"/>
        </w:trPr>
        <w:tc>
          <w:tcPr>
            <w:tcW w:w="7840" w:type="dxa"/>
            <w:vAlign w:val="bottom"/>
          </w:tcPr>
          <w:p>
            <w:pPr>
              <w:ind w:left="20"/>
              <w:spacing w:after="0"/>
              <w:rPr>
                <w:sz w:val="20"/>
                <w:szCs w:val="20"/>
                <w:color w:val="auto"/>
              </w:rPr>
            </w:pPr>
            <w:r>
              <w:rPr>
                <w:rFonts w:ascii="Arial" w:cs="Arial" w:eastAsia="Arial" w:hAnsi="Arial"/>
                <w:sz w:val="17"/>
                <w:szCs w:val="17"/>
                <w:color w:val="auto"/>
              </w:rPr>
              <w:t>Accrued research and development expenses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14,689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5,868</w:t>
            </w:r>
          </w:p>
        </w:tc>
      </w:tr>
      <w:tr>
        <w:trPr>
          <w:trHeight w:val="217"/>
        </w:trPr>
        <w:tc>
          <w:tcPr>
            <w:tcW w:w="7840" w:type="dxa"/>
            <w:vAlign w:val="bottom"/>
            <w:shd w:val="clear" w:color="auto" w:fill="CFF0FC"/>
          </w:tcPr>
          <w:p>
            <w:pPr>
              <w:ind w:left="20"/>
              <w:spacing w:after="0"/>
              <w:rPr>
                <w:sz w:val="20"/>
                <w:szCs w:val="20"/>
                <w:color w:val="auto"/>
              </w:rPr>
            </w:pPr>
            <w:r>
              <w:rPr>
                <w:rFonts w:ascii="Arial" w:cs="Arial" w:eastAsia="Arial" w:hAnsi="Arial"/>
                <w:sz w:val="17"/>
                <w:szCs w:val="17"/>
                <w:color w:val="auto"/>
              </w:rPr>
              <w:t>Other accrued liabilities</w:t>
            </w:r>
          </w:p>
        </w:tc>
        <w:tc>
          <w:tcPr>
            <w:tcW w:w="16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905</w:t>
            </w:r>
          </w:p>
        </w:tc>
        <w:tc>
          <w:tcPr>
            <w:tcW w:w="1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907</w:t>
            </w:r>
          </w:p>
        </w:tc>
      </w:tr>
      <w:tr>
        <w:trPr>
          <w:trHeight w:val="209"/>
        </w:trPr>
        <w:tc>
          <w:tcPr>
            <w:tcW w:w="7840" w:type="dxa"/>
            <w:vAlign w:val="bottom"/>
          </w:tcPr>
          <w:p>
            <w:pPr>
              <w:ind w:left="440"/>
              <w:spacing w:after="0"/>
              <w:rPr>
                <w:sz w:val="20"/>
                <w:szCs w:val="20"/>
                <w:color w:val="auto"/>
              </w:rPr>
            </w:pPr>
            <w:r>
              <w:rPr>
                <w:rFonts w:ascii="Arial" w:cs="Arial" w:eastAsia="Arial" w:hAnsi="Arial"/>
                <w:sz w:val="17"/>
                <w:szCs w:val="17"/>
                <w:color w:val="auto"/>
              </w:rPr>
              <w:t>Total accrued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20,306</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11,991</w:t>
            </w:r>
          </w:p>
        </w:tc>
      </w:tr>
      <w:tr>
        <w:trPr>
          <w:trHeight w:val="20"/>
        </w:trPr>
        <w:tc>
          <w:tcPr>
            <w:tcW w:w="7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Accrued compensation and benefits consist primarily of accrued bonuses and accrued vacation.</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Debt</w:t>
      </w:r>
    </w:p>
    <w:p>
      <w:pPr>
        <w:spacing w:after="0" w:line="14" w:lineRule="exact"/>
        <w:rPr>
          <w:sz w:val="20"/>
          <w:szCs w:val="20"/>
          <w:color w:val="auto"/>
        </w:rPr>
      </w:pPr>
    </w:p>
    <w:p>
      <w:pPr>
        <w:ind w:right="40" w:firstLine="1070"/>
        <w:spacing w:after="0" w:line="236" w:lineRule="auto"/>
        <w:rPr>
          <w:sz w:val="20"/>
          <w:szCs w:val="20"/>
          <w:color w:val="auto"/>
        </w:rPr>
      </w:pPr>
      <w:r>
        <w:rPr>
          <w:rFonts w:ascii="Arial" w:cs="Arial" w:eastAsia="Arial" w:hAnsi="Arial"/>
          <w:sz w:val="17"/>
          <w:szCs w:val="17"/>
          <w:color w:val="auto"/>
        </w:rPr>
        <w:t>In May 2022, we entered into a term loan facility (the “Oxford Loan Agreement”) with Oxford Finance LLC (the "Lender") for up to $100.0 million. At closing, we entered into a term loan for $10.0 million of an initial $25.0 million tranche, with the remaining $15.0 million available through the end of the year. The Oxford Loan Agreement provides for an additional $75.0 million over three tranches, $50.0 million of which is at our option upon the satisfaction of certain conditions related to the development of PLN-74809 (bexotegrast) and one of our preclinical product candidates, and $25.0 million at the Lender's discretion. In connection with the Oxford Loan Agreement, we granted a security interest in substantially all of our current and future assets. There are no warrants or financial covenants associated with the Oxford Loan Agreement.</w:t>
      </w:r>
    </w:p>
    <w:p>
      <w:pPr>
        <w:spacing w:after="0" w:line="93" w:lineRule="exact"/>
        <w:rPr>
          <w:sz w:val="20"/>
          <w:szCs w:val="20"/>
          <w:color w:val="auto"/>
        </w:rPr>
      </w:pPr>
    </w:p>
    <w:p>
      <w:pPr>
        <w:jc w:val="both"/>
        <w:ind w:right="180" w:firstLine="1070"/>
        <w:spacing w:after="0" w:line="313" w:lineRule="auto"/>
        <w:rPr>
          <w:sz w:val="20"/>
          <w:szCs w:val="20"/>
          <w:color w:val="auto"/>
        </w:rPr>
      </w:pPr>
      <w:r>
        <w:rPr>
          <w:rFonts w:ascii="Arial" w:cs="Arial" w:eastAsia="Arial" w:hAnsi="Arial"/>
          <w:sz w:val="15"/>
          <w:szCs w:val="15"/>
          <w:color w:val="auto"/>
        </w:rPr>
        <w:t>Borrowings under the Oxford Loan Agreement bear interest at a rate per annum equal to 1-month term Secured Overnight Financing Rate (SOFR) plus 8.5%, subject to an agreed upon floor and cap. The Oxford Loan Agreement requires the Company to make monthly interest-only payments until July 1, 2026 (extendable to July 1, 2027) with monthly interest and principal payments thereafter until the maturity date of May 1, 2027 (extendable to May 1, 2028).</w:t>
      </w:r>
    </w:p>
    <w:p>
      <w:pPr>
        <w:spacing w:after="0" w:line="38" w:lineRule="exact"/>
        <w:rPr>
          <w:sz w:val="20"/>
          <w:szCs w:val="20"/>
          <w:color w:val="auto"/>
        </w:rPr>
      </w:pPr>
    </w:p>
    <w:p>
      <w:pPr>
        <w:ind w:right="260" w:firstLine="1070"/>
        <w:spacing w:after="0" w:line="286" w:lineRule="auto"/>
        <w:rPr>
          <w:sz w:val="20"/>
          <w:szCs w:val="20"/>
          <w:color w:val="auto"/>
        </w:rPr>
      </w:pPr>
      <w:r>
        <w:rPr>
          <w:rFonts w:ascii="Arial" w:cs="Arial" w:eastAsia="Arial" w:hAnsi="Arial"/>
          <w:sz w:val="16"/>
          <w:szCs w:val="16"/>
          <w:color w:val="auto"/>
        </w:rPr>
        <w:t>The estimated fair value of the term loan as of September 30, 2022 was measured using Level 2 and Level 3 inputs and approximates the carrying value recorded to the condensed balance sheet. The effective interest rate for the term loan is 12.45% and interest expense for the three and nine months ended September 30, 2022 was $0.3 million and $0.5 million, respectively. We had no outstanding debt and did not incur interest expense in 2021.</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Future maturities of debt as of September 30, 2022 are as follows (in thousands):</w:t>
      </w:r>
    </w:p>
    <w:p>
      <w:pPr>
        <w:spacing w:after="0" w:line="39" w:lineRule="exact"/>
        <w:rPr>
          <w:sz w:val="20"/>
          <w:szCs w:val="20"/>
          <w:color w:val="auto"/>
        </w:rPr>
      </w:pPr>
    </w:p>
    <w:tbl>
      <w:tblPr>
        <w:tblLayout w:type="fixed"/>
        <w:tblInd w:w="3580" w:type="dxa"/>
        <w:tblCellMar>
          <w:top w:w="0" w:type="dxa"/>
          <w:left w:w="0" w:type="dxa"/>
          <w:bottom w:w="0" w:type="dxa"/>
          <w:right w:w="0" w:type="dxa"/>
        </w:tblCellMar>
      </w:tblPr>
      <w:tr>
        <w:trPr>
          <w:trHeight w:val="175"/>
        </w:trPr>
        <w:tc>
          <w:tcPr>
            <w:tcW w:w="3560" w:type="dxa"/>
            <w:vAlign w:val="bottom"/>
          </w:tcPr>
          <w:p>
            <w:pPr>
              <w:spacing w:after="0"/>
              <w:rPr>
                <w:sz w:val="15"/>
                <w:szCs w:val="15"/>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As of September 30, 2022</w:t>
            </w:r>
          </w:p>
        </w:tc>
      </w:tr>
      <w:tr>
        <w:trPr>
          <w:trHeight w:val="24"/>
        </w:trPr>
        <w:tc>
          <w:tcPr>
            <w:tcW w:w="35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3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2022</w:t>
            </w:r>
          </w:p>
        </w:tc>
        <w:tc>
          <w:tcPr>
            <w:tcW w:w="580" w:type="dxa"/>
            <w:vAlign w:val="bottom"/>
            <w:shd w:val="clear" w:color="auto" w:fill="CCEEFF"/>
          </w:tcPr>
          <w:p>
            <w:pPr>
              <w:jc w:val="right"/>
              <w:ind w:right="40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3560" w:type="dxa"/>
            <w:vAlign w:val="bottom"/>
          </w:tcPr>
          <w:p>
            <w:pPr>
              <w:jc w:val="right"/>
              <w:spacing w:after="0"/>
              <w:rPr>
                <w:sz w:val="20"/>
                <w:szCs w:val="20"/>
                <w:color w:val="auto"/>
              </w:rPr>
            </w:pPr>
            <w:r>
              <w:rPr>
                <w:rFonts w:ascii="Arial" w:cs="Arial" w:eastAsia="Arial" w:hAnsi="Arial"/>
                <w:sz w:val="17"/>
                <w:szCs w:val="17"/>
                <w:color w:val="auto"/>
              </w:rPr>
              <w:t>2023</w:t>
            </w: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7"/>
        </w:trPr>
        <w:tc>
          <w:tcPr>
            <w:tcW w:w="3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2024</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3560" w:type="dxa"/>
            <w:vAlign w:val="bottom"/>
          </w:tcPr>
          <w:p>
            <w:pPr>
              <w:jc w:val="right"/>
              <w:spacing w:after="0"/>
              <w:rPr>
                <w:sz w:val="20"/>
                <w:szCs w:val="20"/>
                <w:color w:val="auto"/>
              </w:rPr>
            </w:pPr>
            <w:r>
              <w:rPr>
                <w:rFonts w:ascii="Arial" w:cs="Arial" w:eastAsia="Arial" w:hAnsi="Arial"/>
                <w:sz w:val="17"/>
                <w:szCs w:val="17"/>
                <w:color w:val="auto"/>
              </w:rPr>
              <w:t>2025</w:t>
            </w: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7"/>
        </w:trPr>
        <w:tc>
          <w:tcPr>
            <w:tcW w:w="3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2026</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5,455</w:t>
            </w:r>
          </w:p>
        </w:tc>
      </w:tr>
      <w:tr>
        <w:trPr>
          <w:trHeight w:val="216"/>
        </w:trPr>
        <w:tc>
          <w:tcPr>
            <w:tcW w:w="35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Thereafter</w:t>
            </w:r>
          </w:p>
        </w:tc>
        <w:tc>
          <w:tcPr>
            <w:tcW w:w="5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4,545</w:t>
            </w:r>
          </w:p>
        </w:tc>
      </w:tr>
      <w:tr>
        <w:trPr>
          <w:trHeight w:val="210"/>
        </w:trPr>
        <w:tc>
          <w:tcPr>
            <w:tcW w:w="4140" w:type="dxa"/>
            <w:vAlign w:val="bottom"/>
            <w:gridSpan w:val="2"/>
            <w:shd w:val="clear" w:color="auto" w:fill="CCEEFF"/>
          </w:tcPr>
          <w:p>
            <w:pPr>
              <w:jc w:val="right"/>
              <w:ind w:right="404"/>
              <w:spacing w:after="0"/>
              <w:rPr>
                <w:sz w:val="20"/>
                <w:szCs w:val="20"/>
                <w:color w:val="auto"/>
              </w:rPr>
            </w:pPr>
            <w:r>
              <w:rPr>
                <w:rFonts w:ascii="Arial" w:cs="Arial" w:eastAsia="Arial" w:hAnsi="Arial"/>
                <w:sz w:val="17"/>
                <w:szCs w:val="17"/>
                <w:color w:val="auto"/>
              </w:rPr>
              <w:t>Total payments $</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r>
      <w:tr>
        <w:trPr>
          <w:trHeight w:val="216"/>
        </w:trPr>
        <w:tc>
          <w:tcPr>
            <w:tcW w:w="3560" w:type="dxa"/>
            <w:vAlign w:val="bottom"/>
          </w:tcPr>
          <w:p>
            <w:pPr>
              <w:jc w:val="right"/>
              <w:spacing w:after="0"/>
              <w:rPr>
                <w:sz w:val="20"/>
                <w:szCs w:val="20"/>
                <w:color w:val="auto"/>
              </w:rPr>
            </w:pPr>
            <w:r>
              <w:rPr>
                <w:rFonts w:ascii="Arial" w:cs="Arial" w:eastAsia="Arial" w:hAnsi="Arial"/>
                <w:sz w:val="17"/>
                <w:szCs w:val="17"/>
                <w:color w:val="auto"/>
              </w:rPr>
              <w:t>Less: unamortized debt issuance costs</w:t>
            </w: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(139)</w:t>
            </w:r>
          </w:p>
        </w:tc>
      </w:tr>
      <w:tr>
        <w:trPr>
          <w:trHeight w:val="216"/>
        </w:trPr>
        <w:tc>
          <w:tcPr>
            <w:tcW w:w="4140" w:type="dxa"/>
            <w:vAlign w:val="bottom"/>
            <w:gridSpan w:val="2"/>
            <w:shd w:val="clear" w:color="auto" w:fill="CCEEFF"/>
          </w:tcPr>
          <w:p>
            <w:pPr>
              <w:jc w:val="right"/>
              <w:ind w:right="404"/>
              <w:spacing w:after="0"/>
              <w:rPr>
                <w:sz w:val="20"/>
                <w:szCs w:val="20"/>
                <w:color w:val="auto"/>
              </w:rPr>
            </w:pPr>
            <w:r>
              <w:rPr>
                <w:rFonts w:ascii="Arial" w:cs="Arial" w:eastAsia="Arial" w:hAnsi="Arial"/>
                <w:sz w:val="17"/>
                <w:szCs w:val="17"/>
                <w:color w:val="auto"/>
              </w:rPr>
              <w:t>Accretion of final payment $</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r>
      <w:tr>
        <w:trPr>
          <w:trHeight w:val="20"/>
        </w:trPr>
        <w:tc>
          <w:tcPr>
            <w:tcW w:w="35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10"/>
        </w:trPr>
        <w:tc>
          <w:tcPr>
            <w:tcW w:w="4140" w:type="dxa"/>
            <w:vAlign w:val="bottom"/>
            <w:gridSpan w:val="2"/>
          </w:tcPr>
          <w:p>
            <w:pPr>
              <w:jc w:val="right"/>
              <w:ind w:right="404"/>
              <w:spacing w:after="0"/>
              <w:rPr>
                <w:sz w:val="20"/>
                <w:szCs w:val="20"/>
                <w:color w:val="auto"/>
              </w:rPr>
            </w:pPr>
            <w:r>
              <w:rPr>
                <w:rFonts w:ascii="Arial" w:cs="Arial" w:eastAsia="Arial" w:hAnsi="Arial"/>
                <w:sz w:val="17"/>
                <w:szCs w:val="17"/>
                <w:color w:val="auto"/>
              </w:rPr>
              <w:t>Total $</w:t>
            </w:r>
          </w:p>
        </w:tc>
        <w:tc>
          <w:tcPr>
            <w:tcW w:w="1040" w:type="dxa"/>
            <w:vAlign w:val="bottom"/>
          </w:tcPr>
          <w:p>
            <w:pPr>
              <w:jc w:val="right"/>
              <w:spacing w:after="0"/>
              <w:rPr>
                <w:sz w:val="20"/>
                <w:szCs w:val="20"/>
                <w:color w:val="auto"/>
              </w:rPr>
            </w:pPr>
            <w:r>
              <w:rPr>
                <w:rFonts w:ascii="Arial" w:cs="Arial" w:eastAsia="Arial" w:hAnsi="Arial"/>
                <w:sz w:val="17"/>
                <w:szCs w:val="17"/>
                <w:color w:val="auto"/>
              </w:rPr>
              <w:t>9,900</w:t>
            </w:r>
          </w:p>
        </w:tc>
      </w:tr>
      <w:tr>
        <w:trPr>
          <w:trHeight w:val="20"/>
        </w:trPr>
        <w:tc>
          <w:tcPr>
            <w:tcW w:w="3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Novartis Collaboration and License Agreement (the "Novartis Agreement")</w:t>
      </w:r>
    </w:p>
    <w:p>
      <w:pPr>
        <w:spacing w:after="0" w:line="114" w:lineRule="exact"/>
        <w:rPr>
          <w:sz w:val="20"/>
          <w:szCs w:val="20"/>
          <w:color w:val="auto"/>
        </w:rPr>
      </w:pPr>
    </w:p>
    <w:p>
      <w:pPr>
        <w:ind w:right="60" w:firstLine="1070"/>
        <w:spacing w:after="0" w:line="293" w:lineRule="auto"/>
        <w:rPr>
          <w:sz w:val="20"/>
          <w:szCs w:val="20"/>
          <w:color w:val="auto"/>
        </w:rPr>
      </w:pPr>
      <w:r>
        <w:rPr>
          <w:rFonts w:ascii="Arial" w:cs="Arial" w:eastAsia="Arial" w:hAnsi="Arial"/>
          <w:sz w:val="15"/>
          <w:szCs w:val="15"/>
          <w:color w:val="auto"/>
        </w:rPr>
        <w:t>In 2019, we entered into the Novartis Agreement for the development and commercialization of our preclinical product candidate, PLN-1474 and up to three additional integrin research targets. PLN-1474 is an internally discovered small molecule selective inhibitor of integrin α</w:t>
      </w:r>
      <w:r>
        <w:rPr>
          <w:rFonts w:ascii="Arial" w:cs="Arial" w:eastAsia="Arial" w:hAnsi="Arial"/>
          <w:sz w:val="13"/>
          <w:szCs w:val="13"/>
          <w:color w:val="auto"/>
        </w:rPr>
        <w:t>v</w:t>
      </w:r>
      <w:r>
        <w:rPr>
          <w:rFonts w:ascii="Arial" w:cs="Arial" w:eastAsia="Arial" w:hAnsi="Arial"/>
          <w:sz w:val="15"/>
          <w:szCs w:val="15"/>
          <w:color w:val="auto"/>
        </w:rPr>
        <w:t>ß1, currently being developed for the treatment of liver fibrosis associated with nonalcoholic steatohepatitis (“NASH”). Pursuant to the agreement, we received an upfront, non-refundable license fee of $50.0 million and were eligible to receive additional payments of $416.0 million contingent upon achievement of specified research, development, regulatory and commercial events and royalties on world-wide net sales thereafter. Additionally, Novartis is funding up to $20.0 million associated with research and development services for PLN-1474 and up to $16.8 million for research and development services on the integrin research targets. As of September 30, 2022, the aggregate unrecognized transaction price of $1.2 million is associated with performance obligations we expect to satisfy in 2022.</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46" w:right="339" w:bottom="1440" w:gutter="0" w:footer="0" w:header="0"/>
        </w:sectPr>
      </w:pPr>
    </w:p>
    <w:bookmarkStart w:id="15" w:name="page16"/>
    <w:bookmarkEnd w:id="15"/>
    <w:p>
      <w:pPr>
        <w:ind w:firstLine="1070"/>
        <w:spacing w:after="0" w:line="273" w:lineRule="auto"/>
        <w:rPr>
          <w:sz w:val="20"/>
          <w:szCs w:val="20"/>
          <w:color w:val="auto"/>
        </w:rPr>
      </w:pPr>
      <w:r>
        <w:rPr>
          <w:rFonts w:ascii="Arial" w:cs="Arial" w:eastAsia="Arial" w:hAnsi="Arial"/>
          <w:sz w:val="16"/>
          <w:szCs w:val="16"/>
          <w:color w:val="auto"/>
        </w:rPr>
        <w:t>In the second quarter of 2022, Novartis exercised their right to opt-in to a research program and secured an exclusive license to compounds associated with an integrin research target, which entitles us to a $4.0 million payment, which was recognized in accounts receivable and revenue for the nine months ended September 30, 2022. Subsequent payment of the $4.0 million was received during the third quarter of 2022. To date, we have received $29.0 million in contingent payments and $387.0 million remain eligible for achievement. No contingent payments were recognized during the three and nine months ended September 30, 2021. Revenues associated with the Novartis Agreement for the three and nine months ended September 30, 2022 were $1.5 million and $7.7 million, respectively, and $1.6 million and $5.6 million for three and nine months ended September 30, 2021, respectively.</w:t>
      </w: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Regents of the University of California License Agreement (the "UC Agreement")</w:t>
      </w:r>
    </w:p>
    <w:p>
      <w:pPr>
        <w:spacing w:after="0" w:line="114" w:lineRule="exact"/>
        <w:rPr>
          <w:sz w:val="20"/>
          <w:szCs w:val="20"/>
          <w:color w:val="auto"/>
        </w:rPr>
      </w:pPr>
    </w:p>
    <w:p>
      <w:pPr>
        <w:ind w:right="60" w:firstLine="1070"/>
        <w:spacing w:after="0" w:line="256" w:lineRule="auto"/>
        <w:rPr>
          <w:sz w:val="20"/>
          <w:szCs w:val="20"/>
          <w:color w:val="auto"/>
        </w:rPr>
      </w:pPr>
      <w:r>
        <w:rPr>
          <w:rFonts w:ascii="Arial" w:cs="Arial" w:eastAsia="Arial" w:hAnsi="Arial"/>
          <w:sz w:val="17"/>
          <w:szCs w:val="17"/>
          <w:color w:val="auto"/>
        </w:rPr>
        <w:t>In 2015, we entered into the UC Agreement to obtain an exclusive, worldwide license relating to the use of certain patents and technology relating to α</w:t>
      </w:r>
      <w:r>
        <w:rPr>
          <w:rFonts w:ascii="Arial" w:cs="Arial" w:eastAsia="Arial" w:hAnsi="Arial"/>
          <w:sz w:val="15"/>
          <w:szCs w:val="15"/>
          <w:color w:val="auto"/>
        </w:rPr>
        <w:t>v</w:t>
      </w:r>
      <w:r>
        <w:rPr>
          <w:rFonts w:ascii="Arial" w:cs="Arial" w:eastAsia="Arial" w:hAnsi="Arial"/>
          <w:sz w:val="17"/>
          <w:szCs w:val="17"/>
          <w:color w:val="auto"/>
        </w:rPr>
        <w:t>ß1 compound in fibrosis indications. Pursuant to the UC Agreement, we made a $2.4 million milestone payment upon the close of our initial public offering in June 2020. Subsequently, we determined the licensed technology was no longer relevant to the development of our product candidates and, therefore, we exercised our right to terminate the UC Agreement which became effective in the first quarter of 2021. No further obligations or financial commitments survive the termination.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Adimab Development and Option Agreement (the "Adimab Agreement")</w:t>
      </w:r>
    </w:p>
    <w:p>
      <w:pPr>
        <w:spacing w:after="0" w:line="114" w:lineRule="exact"/>
        <w:rPr>
          <w:sz w:val="20"/>
          <w:szCs w:val="20"/>
          <w:color w:val="auto"/>
        </w:rPr>
      </w:pPr>
    </w:p>
    <w:p>
      <w:pPr>
        <w:ind w:right="80" w:firstLine="1070"/>
        <w:spacing w:after="0" w:line="255" w:lineRule="auto"/>
        <w:rPr>
          <w:sz w:val="20"/>
          <w:szCs w:val="20"/>
          <w:color w:val="auto"/>
        </w:rPr>
      </w:pPr>
      <w:r>
        <w:rPr>
          <w:rFonts w:ascii="Arial" w:cs="Arial" w:eastAsia="Arial" w:hAnsi="Arial"/>
          <w:sz w:val="17"/>
          <w:szCs w:val="17"/>
          <w:color w:val="auto"/>
        </w:rPr>
        <w:t>In 2018, we entered into a development and option agreement with Adimab, LLC (“Adimab”) for the discovery and optimization of proprietary antibodies as potential therapeutic product candidates. Under the Adimab Agreement, we will select biological targets against which Adimab will use its proprietary platform technology to research and develop antibody proteins using a mutually agreed upon research plan. We are required to pay Adimab an agreed upon rate for its full-time employees during the discovery period while Adimab performs research on each target under the applicable research plan. We have an exclusive option to obtain a worldwide, royalty-bearing, sublicensable license under Adimab platform patents and other Adimab technology to research, develop and commercialize up to 24 antibodies of our selection.</w:t>
      </w:r>
    </w:p>
    <w:p>
      <w:pPr>
        <w:spacing w:after="0" w:line="78" w:lineRule="exact"/>
        <w:rPr>
          <w:sz w:val="20"/>
          <w:szCs w:val="20"/>
          <w:color w:val="auto"/>
        </w:rPr>
      </w:pPr>
    </w:p>
    <w:p>
      <w:pPr>
        <w:jc w:val="both"/>
        <w:ind w:right="420" w:firstLine="1070"/>
        <w:spacing w:after="0" w:line="262" w:lineRule="auto"/>
        <w:rPr>
          <w:sz w:val="20"/>
          <w:szCs w:val="20"/>
          <w:color w:val="auto"/>
        </w:rPr>
      </w:pPr>
      <w:r>
        <w:rPr>
          <w:rFonts w:ascii="Arial" w:cs="Arial" w:eastAsia="Arial" w:hAnsi="Arial"/>
          <w:sz w:val="17"/>
          <w:szCs w:val="17"/>
          <w:color w:val="auto"/>
        </w:rPr>
        <w:t>As of September 30, 2022, we have not exercised our option to further develop any antibody proteins. During the three and nine months ended September 30, 2022, no research and development expenses under the Adimab Agreement were recognized relating to full-time employee costs. The Company recognized costs of nil and $28,000 during the three and nine months ended September 30, 2021.</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Redeemable Convertible Preferred Stock</w:t>
      </w:r>
    </w:p>
    <w:p>
      <w:pPr>
        <w:spacing w:after="0" w:line="114" w:lineRule="exact"/>
        <w:rPr>
          <w:sz w:val="20"/>
          <w:szCs w:val="20"/>
          <w:color w:val="auto"/>
        </w:rPr>
      </w:pPr>
    </w:p>
    <w:p>
      <w:pPr>
        <w:ind w:right="20" w:firstLine="1070"/>
        <w:spacing w:after="0" w:line="275" w:lineRule="auto"/>
        <w:rPr>
          <w:sz w:val="20"/>
          <w:szCs w:val="20"/>
          <w:color w:val="auto"/>
        </w:rPr>
      </w:pPr>
      <w:r>
        <w:rPr>
          <w:rFonts w:ascii="Arial" w:cs="Arial" w:eastAsia="Arial" w:hAnsi="Arial"/>
          <w:sz w:val="16"/>
          <w:szCs w:val="16"/>
          <w:color w:val="auto"/>
        </w:rPr>
        <w:t>Under the Company’s Amended and Restated Certificate of Incorporation (“Certificate of Incorporation”), the Company is authorized to issue two classes of shares: preferred and common stock. The preferred stock may be issued in series, and the Company’s board of directors is authorized to determine the rights, preferences, and terms of each series. These rights preferences and terms could include dividend rights, conversion rights, voting rights, terms of redemptions, liquidation preferences and sinking fund terms. As of September 30, 2022 and December 31, 2021, the Company was authorized to issue 10,000,000 shares of preferred stock and there was no outstanding preferred stock as of September 30, 2022 and December 31, 2021.</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Common Stock</w:t>
      </w:r>
    </w:p>
    <w:p>
      <w:pPr>
        <w:spacing w:after="0" w:line="114" w:lineRule="exact"/>
        <w:rPr>
          <w:sz w:val="20"/>
          <w:szCs w:val="20"/>
          <w:color w:val="auto"/>
        </w:rPr>
      </w:pPr>
    </w:p>
    <w:p>
      <w:pPr>
        <w:jc w:val="both"/>
        <w:ind w:right="20" w:firstLine="1070"/>
        <w:spacing w:after="0" w:line="262" w:lineRule="auto"/>
        <w:rPr>
          <w:sz w:val="20"/>
          <w:szCs w:val="20"/>
          <w:color w:val="auto"/>
        </w:rPr>
      </w:pPr>
      <w:r>
        <w:rPr>
          <w:rFonts w:ascii="Arial" w:cs="Arial" w:eastAsia="Arial" w:hAnsi="Arial"/>
          <w:sz w:val="17"/>
          <w:szCs w:val="17"/>
          <w:color w:val="auto"/>
        </w:rPr>
        <w:t>On July 15, 2022, the Company completed a public offering of 12,432,432 shares of common stock, including the exercise in full of the underwriters' option to purchase 1,621,621 additional shares of common stock. The shares were offered at a price to the public of $18.50 per share, resulting in aggregate proceeds of approximately $215.4 million, net of underwriting discounts, commissions and offering expenses.</w:t>
      </w:r>
    </w:p>
    <w:p>
      <w:pPr>
        <w:spacing w:after="0" w:line="73" w:lineRule="exact"/>
        <w:rPr>
          <w:sz w:val="20"/>
          <w:szCs w:val="20"/>
          <w:color w:val="auto"/>
        </w:rPr>
      </w:pPr>
    </w:p>
    <w:p>
      <w:pPr>
        <w:ind w:right="400" w:firstLine="1070"/>
        <w:spacing w:after="0" w:line="274" w:lineRule="auto"/>
        <w:rPr>
          <w:sz w:val="20"/>
          <w:szCs w:val="20"/>
          <w:color w:val="auto"/>
        </w:rPr>
      </w:pPr>
      <w:r>
        <w:rPr>
          <w:rFonts w:ascii="Arial" w:cs="Arial" w:eastAsia="Arial" w:hAnsi="Arial"/>
          <w:sz w:val="17"/>
          <w:szCs w:val="17"/>
          <w:color w:val="auto"/>
        </w:rPr>
        <w:t>As of September 30, 2022 and December 31, 2021, the Company was authorized to issue 300,000,000 shares of common stock at a par value of $0.0001 per share. The common stock has the following rights and privileges:</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Voting</w:t>
      </w:r>
    </w:p>
    <w:p>
      <w:pPr>
        <w:spacing w:after="0" w:line="110" w:lineRule="exact"/>
        <w:rPr>
          <w:sz w:val="20"/>
          <w:szCs w:val="20"/>
          <w:color w:val="auto"/>
        </w:rPr>
      </w:pPr>
    </w:p>
    <w:p>
      <w:pPr>
        <w:ind w:right="180" w:firstLine="1070"/>
        <w:spacing w:after="0" w:line="274" w:lineRule="auto"/>
        <w:rPr>
          <w:sz w:val="20"/>
          <w:szCs w:val="20"/>
          <w:color w:val="auto"/>
        </w:rPr>
      </w:pPr>
      <w:r>
        <w:rPr>
          <w:rFonts w:ascii="Arial" w:cs="Arial" w:eastAsia="Arial" w:hAnsi="Arial"/>
          <w:sz w:val="17"/>
          <w:szCs w:val="17"/>
          <w:color w:val="auto"/>
        </w:rPr>
        <w:t>The holders of shares of common stock are entitled to one vote for each share of common stock held at any meeting of stockholders and at the time of any written action in lieu of a meeting.</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16" w:name="page17"/>
    <w:bookmarkEnd w:id="16"/>
    <w:p>
      <w:pPr>
        <w:ind w:left="460"/>
        <w:spacing w:after="0"/>
        <w:rPr>
          <w:sz w:val="20"/>
          <w:szCs w:val="20"/>
          <w:color w:val="auto"/>
        </w:rPr>
      </w:pPr>
      <w:r>
        <w:rPr>
          <w:rFonts w:ascii="Arial" w:cs="Arial" w:eastAsia="Arial" w:hAnsi="Arial"/>
          <w:sz w:val="17"/>
          <w:szCs w:val="17"/>
          <w:b w:val="1"/>
          <w:bCs w:val="1"/>
          <w:i w:val="1"/>
          <w:iCs w:val="1"/>
          <w:color w:val="auto"/>
        </w:rPr>
        <w:t>Dividends</w:t>
      </w:r>
    </w:p>
    <w:p>
      <w:pPr>
        <w:spacing w:after="0" w:line="110" w:lineRule="exact"/>
        <w:rPr>
          <w:sz w:val="20"/>
          <w:szCs w:val="20"/>
          <w:color w:val="auto"/>
        </w:rPr>
      </w:pPr>
    </w:p>
    <w:p>
      <w:pPr>
        <w:ind w:right="80" w:firstLine="1070"/>
        <w:spacing w:after="0" w:line="313" w:lineRule="auto"/>
        <w:rPr>
          <w:sz w:val="20"/>
          <w:szCs w:val="20"/>
          <w:color w:val="auto"/>
        </w:rPr>
      </w:pPr>
      <w:r>
        <w:rPr>
          <w:rFonts w:ascii="Arial" w:cs="Arial" w:eastAsia="Arial" w:hAnsi="Arial"/>
          <w:sz w:val="15"/>
          <w:szCs w:val="15"/>
          <w:color w:val="auto"/>
        </w:rPr>
        <w:t>The holders of shares of common stock are entitled to receive dividends, when declared by the Company’s board of directors. Cash dividends may not be declared or paid to holders of shares of common stock until all unpaid dividends on preferred stock have been paid in accordance with their terms. No dividends have been declared or paid by the Company since its inception. The terms of the Oxford Loan Agreement restrict our ability to declare and pay dividends.</w:t>
      </w:r>
    </w:p>
    <w:p>
      <w:pPr>
        <w:spacing w:after="0" w:line="24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Liquidation</w:t>
      </w:r>
    </w:p>
    <w:p>
      <w:pPr>
        <w:spacing w:after="0" w:line="110" w:lineRule="exact"/>
        <w:rPr>
          <w:sz w:val="20"/>
          <w:szCs w:val="20"/>
          <w:color w:val="auto"/>
        </w:rPr>
      </w:pPr>
    </w:p>
    <w:p>
      <w:pPr>
        <w:jc w:val="both"/>
        <w:ind w:firstLine="1070"/>
        <w:spacing w:after="0" w:line="262" w:lineRule="auto"/>
        <w:rPr>
          <w:sz w:val="20"/>
          <w:szCs w:val="20"/>
          <w:color w:val="auto"/>
        </w:rPr>
      </w:pPr>
      <w:r>
        <w:rPr>
          <w:rFonts w:ascii="Arial" w:cs="Arial" w:eastAsia="Arial" w:hAnsi="Arial"/>
          <w:sz w:val="17"/>
          <w:szCs w:val="17"/>
          <w:color w:val="auto"/>
        </w:rPr>
        <w:t>Subject to the preferential rights of holders of preferred stock then outstanding, the holders of shares of common stock are entitled to share ratably in the Company’s remaining assets available for distribution to its stockholders in the event of any voluntary or involuntary liquidation, dissolution or winding up of the Company.</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Shares reserved for future issuance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79"/>
              </w:rPr>
              <w:t>As of</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5"/>
              </w:rPr>
              <w:t>As of</w:t>
            </w:r>
          </w:p>
        </w:tc>
      </w:tr>
      <w:tr>
        <w:trPr>
          <w:trHeight w:val="132"/>
        </w:trPr>
        <w:tc>
          <w:tcPr>
            <w:tcW w:w="8260" w:type="dxa"/>
            <w:vAlign w:val="bottom"/>
          </w:tcPr>
          <w:p>
            <w:pPr>
              <w:spacing w:after="0"/>
              <w:rPr>
                <w:sz w:val="11"/>
                <w:szCs w:val="11"/>
                <w:color w:val="auto"/>
              </w:rPr>
            </w:pPr>
          </w:p>
        </w:tc>
        <w:tc>
          <w:tcPr>
            <w:tcW w:w="15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7"/>
              </w:rPr>
              <w:t>September 30,</w:t>
            </w:r>
          </w:p>
        </w:tc>
        <w:tc>
          <w:tcPr>
            <w:tcW w:w="14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5"/>
              </w:rPr>
              <w:t>December 31,</w:t>
            </w:r>
          </w:p>
        </w:tc>
      </w:tr>
      <w:tr>
        <w:trPr>
          <w:trHeight w:val="175"/>
        </w:trPr>
        <w:tc>
          <w:tcPr>
            <w:tcW w:w="826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3"/>
              </w:rPr>
              <w:t>2021</w:t>
            </w:r>
          </w:p>
        </w:tc>
      </w:tr>
      <w:tr>
        <w:trPr>
          <w:trHeight w:val="24"/>
        </w:trPr>
        <w:tc>
          <w:tcPr>
            <w:tcW w:w="82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9"/>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Exercises of outstanding stock option awards</w:t>
            </w: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5,474,346</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3,620,180</w:t>
            </w:r>
          </w:p>
        </w:tc>
      </w:tr>
      <w:tr>
        <w:trPr>
          <w:trHeight w:val="216"/>
        </w:trPr>
        <w:tc>
          <w:tcPr>
            <w:tcW w:w="8260" w:type="dxa"/>
            <w:vAlign w:val="bottom"/>
          </w:tcPr>
          <w:p>
            <w:pPr>
              <w:ind w:left="20"/>
              <w:spacing w:after="0"/>
              <w:rPr>
                <w:sz w:val="20"/>
                <w:szCs w:val="20"/>
                <w:color w:val="auto"/>
              </w:rPr>
            </w:pPr>
            <w:r>
              <w:rPr>
                <w:rFonts w:ascii="Arial" w:cs="Arial" w:eastAsia="Arial" w:hAnsi="Arial"/>
                <w:sz w:val="17"/>
                <w:szCs w:val="17"/>
                <w:color w:val="auto"/>
              </w:rPr>
              <w:t>Vesting of RSUs</w:t>
            </w:r>
          </w:p>
        </w:tc>
        <w:tc>
          <w:tcPr>
            <w:tcW w:w="1440" w:type="dxa"/>
            <w:vAlign w:val="bottom"/>
          </w:tcPr>
          <w:p>
            <w:pPr>
              <w:jc w:val="right"/>
              <w:ind w:right="1"/>
              <w:spacing w:after="0"/>
              <w:rPr>
                <w:sz w:val="20"/>
                <w:szCs w:val="20"/>
                <w:color w:val="auto"/>
              </w:rPr>
            </w:pPr>
            <w:r>
              <w:rPr>
                <w:rFonts w:ascii="Arial" w:cs="Arial" w:eastAsia="Arial" w:hAnsi="Arial"/>
                <w:sz w:val="17"/>
                <w:szCs w:val="17"/>
                <w:color w:val="auto"/>
              </w:rPr>
              <w:t>525,825</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7"/>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Vesting of PSUs</w:t>
            </w: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709,064</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260" w:type="dxa"/>
            <w:vAlign w:val="bottom"/>
          </w:tcPr>
          <w:p>
            <w:pPr>
              <w:ind w:left="20"/>
              <w:spacing w:after="0"/>
              <w:rPr>
                <w:sz w:val="20"/>
                <w:szCs w:val="20"/>
                <w:color w:val="auto"/>
              </w:rPr>
            </w:pPr>
            <w:r>
              <w:rPr>
                <w:rFonts w:ascii="Arial" w:cs="Arial" w:eastAsia="Arial" w:hAnsi="Arial"/>
                <w:sz w:val="17"/>
                <w:szCs w:val="17"/>
                <w:color w:val="auto"/>
              </w:rPr>
              <w:t>Shares of common stock available for future grants under the 2020 Equity Incentive Plan</w:t>
            </w:r>
          </w:p>
        </w:tc>
        <w:tc>
          <w:tcPr>
            <w:tcW w:w="1440" w:type="dxa"/>
            <w:vAlign w:val="bottom"/>
          </w:tcPr>
          <w:p>
            <w:pPr>
              <w:jc w:val="right"/>
              <w:ind w:right="1"/>
              <w:spacing w:after="0"/>
              <w:rPr>
                <w:sz w:val="20"/>
                <w:szCs w:val="20"/>
                <w:color w:val="auto"/>
              </w:rPr>
            </w:pPr>
            <w:r>
              <w:rPr>
                <w:rFonts w:ascii="Arial" w:cs="Arial" w:eastAsia="Arial" w:hAnsi="Arial"/>
                <w:sz w:val="17"/>
                <w:szCs w:val="17"/>
                <w:color w:val="auto"/>
              </w:rPr>
              <w:t>3,090,672</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4,234,213</w:t>
            </w:r>
          </w:p>
        </w:tc>
      </w:tr>
      <w:tr>
        <w:trPr>
          <w:trHeight w:val="217"/>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of common stock available for future issuance under the 2020 ESPP</w:t>
            </w: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888,184</w:t>
            </w:r>
          </w:p>
        </w:tc>
        <w:tc>
          <w:tcPr>
            <w:tcW w:w="10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613,098</w:t>
            </w:r>
          </w:p>
        </w:tc>
      </w:tr>
      <w:tr>
        <w:trPr>
          <w:trHeight w:val="209"/>
        </w:trPr>
        <w:tc>
          <w:tcPr>
            <w:tcW w:w="8260" w:type="dxa"/>
            <w:vAlign w:val="bottom"/>
          </w:tcPr>
          <w:p>
            <w:pPr>
              <w:ind w:left="20"/>
              <w:spacing w:after="0"/>
              <w:rPr>
                <w:sz w:val="20"/>
                <w:szCs w:val="20"/>
                <w:color w:val="auto"/>
              </w:rPr>
            </w:pPr>
            <w:r>
              <w:rPr>
                <w:rFonts w:ascii="Arial" w:cs="Arial" w:eastAsia="Arial" w:hAnsi="Arial"/>
                <w:sz w:val="17"/>
                <w:szCs w:val="17"/>
                <w:color w:val="auto"/>
              </w:rPr>
              <w:t>Total shares reserved for future issuance</w:t>
            </w: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10,688,091</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8,467,491</w:t>
            </w:r>
          </w:p>
        </w:tc>
      </w:tr>
      <w:tr>
        <w:trPr>
          <w:trHeight w:val="20"/>
        </w:trPr>
        <w:tc>
          <w:tcPr>
            <w:tcW w:w="8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Equity Incentive Plans and Stock-Based Compensation</w:t>
      </w:r>
    </w:p>
    <w:p>
      <w:pPr>
        <w:spacing w:after="0" w:line="114" w:lineRule="exact"/>
        <w:rPr>
          <w:sz w:val="20"/>
          <w:szCs w:val="20"/>
          <w:color w:val="auto"/>
        </w:rPr>
      </w:pPr>
    </w:p>
    <w:p>
      <w:pPr>
        <w:ind w:right="20" w:firstLine="1070"/>
        <w:spacing w:after="0" w:line="254" w:lineRule="auto"/>
        <w:rPr>
          <w:sz w:val="20"/>
          <w:szCs w:val="20"/>
          <w:color w:val="auto"/>
        </w:rPr>
      </w:pPr>
      <w:r>
        <w:rPr>
          <w:rFonts w:ascii="Arial" w:cs="Arial" w:eastAsia="Arial" w:hAnsi="Arial"/>
          <w:sz w:val="17"/>
          <w:szCs w:val="17"/>
          <w:color w:val="auto"/>
        </w:rPr>
        <w:t>In August 2015, the Company's board of directors adopted the 2015 Equity Incentive Plan (as amended, the “2015 Plan”), which provides for the grant of incentive stock options, nonqualified stock options or other awards including stock appreciation rights and restricted stock awards to the Company’s employees, officers, directors, advisors, and consultants for the purchase of up to 1.5 million shares of the Company’s common stock. In July 2018 and January 2019, the 2015 Plan was amended to increase the number of shares reserved thereunder by 1.0 million and 0.4 million shares, respectively. In March 2020, the Company’s board of directors and stockholders voted to increase the number of shares reserved for issuance under the 2015 Plan by 1.4 million shares. In May 2020, the board of directors adopted the 2020 Stock Options and Incentive Plan (the “2020 Plan”). The 2015 Plan was suspended and no further grants may be issued under the 2015 Plan.</w:t>
      </w:r>
    </w:p>
    <w:p>
      <w:pPr>
        <w:spacing w:after="0" w:line="80" w:lineRule="exact"/>
        <w:rPr>
          <w:sz w:val="20"/>
          <w:szCs w:val="20"/>
          <w:color w:val="auto"/>
        </w:rPr>
      </w:pPr>
    </w:p>
    <w:p>
      <w:pPr>
        <w:ind w:firstLine="1070"/>
        <w:spacing w:after="0" w:line="270" w:lineRule="auto"/>
        <w:rPr>
          <w:sz w:val="20"/>
          <w:szCs w:val="20"/>
          <w:color w:val="auto"/>
        </w:rPr>
      </w:pPr>
      <w:r>
        <w:rPr>
          <w:rFonts w:ascii="Arial" w:cs="Arial" w:eastAsia="Arial" w:hAnsi="Arial"/>
          <w:sz w:val="16"/>
          <w:szCs w:val="16"/>
          <w:color w:val="auto"/>
        </w:rPr>
        <w:t>The 2020 Plan provides for the grant of incentive stock options, nonqualified stock options or other awards including stock appreciation rights, restricted stock awards and restricted stock units to the Company’s employees, officers, directors, advisors, and consultants for the purchase of up to 4.2 million shares of the Company’s common stock. In addition, to the extent that awards outstanding under the 2020 Plan or the 2015 Plan are cancelled, forfeited or held back upon exercise or settlement of an award to satisfy the exercise price or tax withholding, reacquired by the Company prior to vesting, satisfied without any issuance of stock, expire or are otherwise terminated (other than by exercise) subsequent to May 2020, the shares of common stock reserved for issuance pursuant to such awards will become available for issuance as shares of common stock under the 2020 Plan. The 2020 Plan provides that an additional number of shares will automatically be added to the shares authorized for issuance under the 2020 Plan on January 1 of each year beginning January 1, 2021. The number of shares added each January 1 will be equal to the lesser of: (i) 5% of the outstanding shares on the immediately preceding December 31 or (ii) such amount as determined by the administrator of the 2020 Plan, which is the compensation committee of the board of directors of the Company. As of September 30, 2022, 3.1 million shares remained available for issuance under the 2020 Plan.</w:t>
      </w:r>
    </w:p>
    <w:p>
      <w:pPr>
        <w:spacing w:after="0" w:line="171" w:lineRule="exact"/>
        <w:rPr>
          <w:sz w:val="20"/>
          <w:szCs w:val="20"/>
          <w:color w:val="auto"/>
        </w:rPr>
      </w:pPr>
    </w:p>
    <w:p>
      <w:pPr>
        <w:ind w:right="200" w:firstLine="993"/>
        <w:spacing w:after="0" w:line="275" w:lineRule="auto"/>
        <w:rPr>
          <w:sz w:val="20"/>
          <w:szCs w:val="20"/>
          <w:color w:val="auto"/>
        </w:rPr>
      </w:pPr>
      <w:r>
        <w:rPr>
          <w:rFonts w:ascii="Arial" w:cs="Arial" w:eastAsia="Arial" w:hAnsi="Arial"/>
          <w:sz w:val="16"/>
          <w:szCs w:val="16"/>
          <w:color w:val="auto"/>
        </w:rPr>
        <w:t>Prior to the adoption of the 2020 Plan, options under the 2015 Plan could be granted for periods of up to 10 years and at prices no less than 100% of the estimated fair value of the shares on the date of grant as determined by our board of directors, provided, however, that the exercise price of an incentive stock option granted to a person owning (or deemed to own) stock possessing more than ten percent of the total combined voting power of all classes of stock of the Company or any affiliate of the Company (a "10% shareholder") could not be less than 110% of the estimated fair value of the shares on the date of grant and the option was not exercisable after the expiration of five years from the date of grant.</w:t>
      </w:r>
    </w:p>
    <w:p>
      <w:pPr>
        <w:spacing w:after="0" w:line="168" w:lineRule="exact"/>
        <w:rPr>
          <w:sz w:val="20"/>
          <w:szCs w:val="20"/>
          <w:color w:val="auto"/>
        </w:rPr>
      </w:pPr>
    </w:p>
    <w:p>
      <w:pPr>
        <w:ind w:right="40" w:firstLine="993"/>
        <w:spacing w:after="0" w:line="274" w:lineRule="auto"/>
        <w:rPr>
          <w:sz w:val="20"/>
          <w:szCs w:val="20"/>
          <w:color w:val="auto"/>
        </w:rPr>
      </w:pPr>
      <w:r>
        <w:rPr>
          <w:rFonts w:ascii="Arial" w:cs="Arial" w:eastAsia="Arial" w:hAnsi="Arial"/>
          <w:sz w:val="17"/>
          <w:szCs w:val="17"/>
          <w:color w:val="auto"/>
        </w:rPr>
        <w:t>Equity awards under the 2020 Plan may be granted for periods of up to 10 years and at prices no less than the market price of the Company’s common stock on the date of grant, provided, however, that the exercise price of an incentive</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17" w:name="page18"/>
    <w:bookmarkEnd w:id="17"/>
    <w:p>
      <w:pPr>
        <w:ind w:right="700"/>
        <w:spacing w:after="0" w:line="274" w:lineRule="auto"/>
        <w:rPr>
          <w:sz w:val="20"/>
          <w:szCs w:val="20"/>
          <w:color w:val="auto"/>
        </w:rPr>
      </w:pPr>
      <w:r>
        <w:rPr>
          <w:rFonts w:ascii="Arial" w:cs="Arial" w:eastAsia="Arial" w:hAnsi="Arial"/>
          <w:sz w:val="17"/>
          <w:szCs w:val="17"/>
          <w:color w:val="auto"/>
        </w:rPr>
        <w:t>stock option granted to a 10.0% shareholder shall not be less than 110.0% of the estimated fair value of the shares on the date of grant and the option is not exercisable after the expiration of five years from the date of grant.</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Restricted Common Stock Awards</w:t>
      </w:r>
    </w:p>
    <w:p>
      <w:pPr>
        <w:spacing w:after="0" w:line="110" w:lineRule="exact"/>
        <w:rPr>
          <w:sz w:val="20"/>
          <w:szCs w:val="20"/>
          <w:color w:val="auto"/>
        </w:rPr>
      </w:pPr>
    </w:p>
    <w:p>
      <w:pPr>
        <w:ind w:right="40" w:firstLine="1070"/>
        <w:spacing w:after="0" w:line="273" w:lineRule="auto"/>
        <w:rPr>
          <w:sz w:val="20"/>
          <w:szCs w:val="20"/>
          <w:color w:val="auto"/>
        </w:rPr>
      </w:pPr>
      <w:r>
        <w:rPr>
          <w:rFonts w:ascii="Arial" w:cs="Arial" w:eastAsia="Arial" w:hAnsi="Arial"/>
          <w:sz w:val="16"/>
          <w:szCs w:val="16"/>
          <w:color w:val="auto"/>
        </w:rPr>
        <w:t>The Company granted restricted stock awards under the 2015 Plan. The purchase price of the restricted common stock awards was the estimated fair value as determined by the Company's board of directors at the issuance date. The shares vest from one to four years and vesting could be accelerated upon a change in control. A holder of an award may pay a total purchase price or a part of the purchase price for granted shares at any time during the vesting periods. Upon termination of employment, the Company has the right to repurchase any unvested restricted shares. The repurchase price for unvested shares of common stock will be the lower of (i) the fair market value on the date of repurchase or (ii) their original purchase price. During the vesting term, holders of restricted stock awards are deemed to be common stock shareholders and have dividends and voting rights.</w:t>
      </w:r>
    </w:p>
    <w:p>
      <w:pPr>
        <w:spacing w:after="0" w:line="171" w:lineRule="exact"/>
        <w:rPr>
          <w:sz w:val="20"/>
          <w:szCs w:val="20"/>
          <w:color w:val="auto"/>
        </w:rPr>
      </w:pPr>
    </w:p>
    <w:p>
      <w:pPr>
        <w:ind w:right="140" w:firstLine="1070"/>
        <w:spacing w:after="0" w:line="258" w:lineRule="auto"/>
        <w:rPr>
          <w:sz w:val="20"/>
          <w:szCs w:val="20"/>
          <w:color w:val="auto"/>
        </w:rPr>
      </w:pPr>
      <w:r>
        <w:rPr>
          <w:rFonts w:ascii="Arial" w:cs="Arial" w:eastAsia="Arial" w:hAnsi="Arial"/>
          <w:sz w:val="17"/>
          <w:szCs w:val="17"/>
          <w:color w:val="auto"/>
        </w:rPr>
        <w:t>The Company accounted for restricted stock awards as early exercised options and recognized a liability in other liabilities when cash was received for the purchase of shares of restricted stock. As shares of restricted stock vested, the Company reclassified the liability to common stock and additional paid in capital. As of September 30, 2022 and December 31, 2021, the Company recorded a liability included in accrued expenses and other liabilities of $0 and $2,000, respectively.</w:t>
      </w:r>
    </w:p>
    <w:p>
      <w:pPr>
        <w:spacing w:after="0" w:line="178"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There were no grants of restricted stock awards for the nine months ended September 30, 2022 and 2021.</w:t>
      </w:r>
    </w:p>
    <w:p>
      <w:pPr>
        <w:spacing w:after="0" w:line="212"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following table summarizes restricted stock activity during the nine months ended September 30, 2022:</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right="185"/>
              <w:spacing w:after="0"/>
              <w:rPr>
                <w:sz w:val="20"/>
                <w:szCs w:val="20"/>
                <w:color w:val="auto"/>
              </w:rPr>
            </w:pPr>
            <w:r>
              <w:rPr>
                <w:rFonts w:ascii="Arial" w:cs="Arial" w:eastAsia="Arial" w:hAnsi="Arial"/>
                <w:sz w:val="14"/>
                <w:szCs w:val="14"/>
                <w:b w:val="1"/>
                <w:bCs w:val="1"/>
                <w:color w:val="auto"/>
                <w:w w:val="88"/>
              </w:rPr>
              <w:t>Weighted-</w:t>
            </w:r>
          </w:p>
        </w:tc>
      </w:tr>
      <w:tr>
        <w:trPr>
          <w:trHeight w:val="140"/>
        </w:trPr>
        <w:tc>
          <w:tcPr>
            <w:tcW w:w="8260" w:type="dxa"/>
            <w:vAlign w:val="bottom"/>
          </w:tcPr>
          <w:p>
            <w:pPr>
              <w:spacing w:after="0"/>
              <w:rPr>
                <w:sz w:val="12"/>
                <w:szCs w:val="12"/>
                <w:color w:val="auto"/>
              </w:rPr>
            </w:pPr>
          </w:p>
        </w:tc>
        <w:tc>
          <w:tcPr>
            <w:tcW w:w="1540" w:type="dxa"/>
            <w:vAlign w:val="bottom"/>
            <w:gridSpan w:val="2"/>
          </w:tcPr>
          <w:p>
            <w:pPr>
              <w:jc w:val="center"/>
              <w:ind w:right="100"/>
              <w:spacing w:after="0" w:line="140" w:lineRule="exact"/>
              <w:rPr>
                <w:sz w:val="20"/>
                <w:szCs w:val="20"/>
                <w:color w:val="auto"/>
              </w:rPr>
            </w:pPr>
            <w:r>
              <w:rPr>
                <w:rFonts w:ascii="Arial" w:cs="Arial" w:eastAsia="Arial" w:hAnsi="Arial"/>
                <w:sz w:val="14"/>
                <w:szCs w:val="14"/>
                <w:b w:val="1"/>
                <w:bCs w:val="1"/>
                <w:color w:val="auto"/>
                <w:w w:val="90"/>
              </w:rPr>
              <w:t>Number</w:t>
            </w:r>
          </w:p>
        </w:tc>
        <w:tc>
          <w:tcPr>
            <w:tcW w:w="240" w:type="dxa"/>
            <w:vAlign w:val="bottom"/>
          </w:tcPr>
          <w:p>
            <w:pPr>
              <w:spacing w:after="0"/>
              <w:rPr>
                <w:sz w:val="12"/>
                <w:szCs w:val="12"/>
                <w:color w:val="auto"/>
              </w:rPr>
            </w:pPr>
          </w:p>
        </w:tc>
        <w:tc>
          <w:tcPr>
            <w:tcW w:w="1180" w:type="dxa"/>
            <w:vAlign w:val="bottom"/>
          </w:tcPr>
          <w:p>
            <w:pPr>
              <w:jc w:val="center"/>
              <w:ind w:right="165"/>
              <w:spacing w:after="0" w:line="140" w:lineRule="exact"/>
              <w:rPr>
                <w:sz w:val="20"/>
                <w:szCs w:val="20"/>
                <w:color w:val="auto"/>
              </w:rPr>
            </w:pPr>
            <w:r>
              <w:rPr>
                <w:rFonts w:ascii="Arial" w:cs="Arial" w:eastAsia="Arial" w:hAnsi="Arial"/>
                <w:sz w:val="14"/>
                <w:szCs w:val="14"/>
                <w:b w:val="1"/>
                <w:bCs w:val="1"/>
                <w:color w:val="auto"/>
                <w:w w:val="83"/>
              </w:rPr>
              <w:t>Average</w:t>
            </w:r>
          </w:p>
        </w:tc>
      </w:tr>
      <w:tr>
        <w:trPr>
          <w:trHeight w:val="132"/>
        </w:trPr>
        <w:tc>
          <w:tcPr>
            <w:tcW w:w="8260" w:type="dxa"/>
            <w:vAlign w:val="bottom"/>
          </w:tcPr>
          <w:p>
            <w:pPr>
              <w:spacing w:after="0"/>
              <w:rPr>
                <w:sz w:val="11"/>
                <w:szCs w:val="11"/>
                <w:color w:val="auto"/>
              </w:rPr>
            </w:pPr>
          </w:p>
        </w:tc>
        <w:tc>
          <w:tcPr>
            <w:tcW w:w="15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of</w:t>
            </w:r>
          </w:p>
        </w:tc>
        <w:tc>
          <w:tcPr>
            <w:tcW w:w="240" w:type="dxa"/>
            <w:vAlign w:val="bottom"/>
          </w:tcPr>
          <w:p>
            <w:pPr>
              <w:spacing w:after="0"/>
              <w:rPr>
                <w:sz w:val="11"/>
                <w:szCs w:val="11"/>
                <w:color w:val="auto"/>
              </w:rPr>
            </w:pPr>
          </w:p>
        </w:tc>
        <w:tc>
          <w:tcPr>
            <w:tcW w:w="1180" w:type="dxa"/>
            <w:vAlign w:val="bottom"/>
          </w:tcPr>
          <w:p>
            <w:pPr>
              <w:jc w:val="center"/>
              <w:ind w:right="165"/>
              <w:spacing w:after="0" w:line="133" w:lineRule="exact"/>
              <w:rPr>
                <w:sz w:val="20"/>
                <w:szCs w:val="20"/>
                <w:color w:val="auto"/>
              </w:rPr>
            </w:pPr>
            <w:r>
              <w:rPr>
                <w:rFonts w:ascii="Arial" w:cs="Arial" w:eastAsia="Arial" w:hAnsi="Arial"/>
                <w:sz w:val="14"/>
                <w:szCs w:val="14"/>
                <w:b w:val="1"/>
                <w:bCs w:val="1"/>
                <w:color w:val="auto"/>
                <w:w w:val="92"/>
              </w:rPr>
              <w:t>Grant Date</w:t>
            </w:r>
          </w:p>
        </w:tc>
      </w:tr>
      <w:tr>
        <w:trPr>
          <w:trHeight w:val="175"/>
        </w:trPr>
        <w:tc>
          <w:tcPr>
            <w:tcW w:w="826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5"/>
                <w:szCs w:val="15"/>
                <w:color w:val="auto"/>
              </w:rPr>
            </w:pPr>
          </w:p>
        </w:tc>
        <w:tc>
          <w:tcPr>
            <w:tcW w:w="1180" w:type="dxa"/>
            <w:vAlign w:val="bottom"/>
          </w:tcPr>
          <w:p>
            <w:pPr>
              <w:jc w:val="center"/>
              <w:ind w:right="165"/>
              <w:spacing w:after="0"/>
              <w:rPr>
                <w:sz w:val="20"/>
                <w:szCs w:val="20"/>
                <w:color w:val="auto"/>
              </w:rPr>
            </w:pPr>
            <w:r>
              <w:rPr>
                <w:rFonts w:ascii="Arial" w:cs="Arial" w:eastAsia="Arial" w:hAnsi="Arial"/>
                <w:sz w:val="14"/>
                <w:szCs w:val="14"/>
                <w:b w:val="1"/>
                <w:bCs w:val="1"/>
                <w:color w:val="auto"/>
                <w:w w:val="87"/>
              </w:rPr>
              <w:t>fair value</w:t>
            </w:r>
          </w:p>
        </w:tc>
      </w:tr>
      <w:tr>
        <w:trPr>
          <w:trHeight w:val="24"/>
        </w:trPr>
        <w:tc>
          <w:tcPr>
            <w:tcW w:w="82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9"/>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and unvested, as of December 31, 2021</w:t>
            </w:r>
          </w:p>
        </w:tc>
        <w:tc>
          <w:tcPr>
            <w:tcW w:w="144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21,841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r>
      <w:tr>
        <w:trPr>
          <w:trHeight w:val="216"/>
        </w:trPr>
        <w:tc>
          <w:tcPr>
            <w:tcW w:w="826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Vested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(21,841)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and unvested, as of September 30, 2022</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ind w:right="160" w:firstLine="1070"/>
        <w:spacing w:after="0" w:line="274" w:lineRule="auto"/>
        <w:rPr>
          <w:sz w:val="20"/>
          <w:szCs w:val="20"/>
          <w:color w:val="auto"/>
        </w:rPr>
      </w:pPr>
      <w:r>
        <w:rPr>
          <w:rFonts w:ascii="Arial" w:cs="Arial" w:eastAsia="Arial" w:hAnsi="Arial"/>
          <w:sz w:val="17"/>
          <w:szCs w:val="17"/>
          <w:color w:val="auto"/>
        </w:rPr>
        <w:t>As of September 30, 2022, there were no unrecognized compensation costs related to restricted stock awards. The aggregate fair value of restricted stock awards vested during the nine months ended September 30, 2022 was $47,000.</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Incentive Stock Options and Nonqualified Stock Options</w:t>
      </w:r>
    </w:p>
    <w:p>
      <w:pPr>
        <w:spacing w:after="0" w:line="110" w:lineRule="exact"/>
        <w:rPr>
          <w:sz w:val="20"/>
          <w:szCs w:val="20"/>
          <w:color w:val="auto"/>
        </w:rPr>
      </w:pPr>
    </w:p>
    <w:p>
      <w:pPr>
        <w:ind w:right="180" w:firstLine="1070"/>
        <w:spacing w:after="0" w:line="274" w:lineRule="auto"/>
        <w:rPr>
          <w:sz w:val="20"/>
          <w:szCs w:val="20"/>
          <w:color w:val="auto"/>
        </w:rPr>
      </w:pPr>
      <w:r>
        <w:rPr>
          <w:rFonts w:ascii="Arial" w:cs="Arial" w:eastAsia="Arial" w:hAnsi="Arial"/>
          <w:sz w:val="17"/>
          <w:szCs w:val="17"/>
          <w:color w:val="auto"/>
        </w:rPr>
        <w:t>Stock options issued under either the 2015 Plan or the 2020 Plan generally vest over four years and expire ten years from the date of grant. Certain options provide for accelerated vesting if there is a change in control, as defined in the respective plans.</w:t>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The Company used Black-Scholes option pricing model to estimate stock-based compensation expense for stock option awards with the following</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assumptions:</w:t>
      </w:r>
    </w:p>
    <w:p>
      <w:pPr>
        <w:spacing w:after="0" w:line="109" w:lineRule="exact"/>
        <w:rPr>
          <w:sz w:val="20"/>
          <w:szCs w:val="20"/>
          <w:color w:val="auto"/>
        </w:rPr>
      </w:pPr>
    </w:p>
    <w:p>
      <w:pPr>
        <w:jc w:val="center"/>
        <w:ind w:left="7200"/>
        <w:spacing w:after="0"/>
        <w:rPr>
          <w:sz w:val="20"/>
          <w:szCs w:val="20"/>
          <w:color w:val="auto"/>
        </w:rPr>
      </w:pPr>
      <w:r>
        <w:rPr>
          <w:rFonts w:ascii="Arial" w:cs="Arial" w:eastAsia="Arial" w:hAnsi="Arial"/>
          <w:sz w:val="14"/>
          <w:szCs w:val="14"/>
          <w:b w:val="1"/>
          <w:bCs w:val="1"/>
          <w:color w:val="auto"/>
        </w:rPr>
        <w:t>Nine Months Ended</w:t>
      </w:r>
    </w:p>
    <w:p>
      <w:pPr>
        <w:jc w:val="center"/>
        <w:ind w:left="7200"/>
        <w:spacing w:after="0"/>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87"/>
        </w:trPr>
        <w:tc>
          <w:tcPr>
            <w:tcW w:w="7320" w:type="dxa"/>
            <w:vAlign w:val="bottom"/>
            <w:tcBorders>
              <w:bottom w:val="single" w:sz="8" w:color="CCEEFF"/>
            </w:tcBorders>
          </w:tcPr>
          <w:p>
            <w:pPr>
              <w:spacing w:after="0"/>
              <w:rPr>
                <w:sz w:val="16"/>
                <w:szCs w:val="16"/>
                <w:color w:val="auto"/>
              </w:rPr>
            </w:pPr>
          </w:p>
        </w:tc>
        <w:tc>
          <w:tcPr>
            <w:tcW w:w="18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Borders>
              <w:top w:val="single" w:sz="8" w:color="auto"/>
              <w:bottom w:val="single" w:sz="8" w:color="CCEEFF"/>
            </w:tcBorders>
          </w:tcPr>
          <w:p>
            <w:pPr>
              <w:spacing w:after="0"/>
              <w:rPr>
                <w:sz w:val="16"/>
                <w:szCs w:val="16"/>
                <w:color w:val="auto"/>
              </w:rPr>
            </w:pPr>
          </w:p>
        </w:tc>
        <w:tc>
          <w:tcPr>
            <w:tcW w:w="1860" w:type="dxa"/>
            <w:vAlign w:val="bottom"/>
            <w:tcBorders>
              <w:top w:val="single" w:sz="8" w:color="auto"/>
              <w:bottom w:val="single" w:sz="8" w:color="auto"/>
            </w:tcBorders>
            <w:gridSpan w:val="2"/>
          </w:tcPr>
          <w:p>
            <w:pPr>
              <w:jc w:val="right"/>
              <w:ind w:right="695"/>
              <w:spacing w:after="0"/>
              <w:rPr>
                <w:sz w:val="20"/>
                <w:szCs w:val="20"/>
                <w:color w:val="auto"/>
              </w:rPr>
            </w:pPr>
            <w:r>
              <w:rPr>
                <w:rFonts w:ascii="Arial" w:cs="Arial" w:eastAsia="Arial" w:hAnsi="Arial"/>
                <w:sz w:val="14"/>
                <w:szCs w:val="14"/>
                <w:b w:val="1"/>
                <w:bCs w:val="1"/>
                <w:color w:val="auto"/>
              </w:rPr>
              <w:t>2021</w:t>
            </w:r>
          </w:p>
        </w:tc>
      </w:tr>
      <w:tr>
        <w:trPr>
          <w:trHeight w:val="216"/>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volatility</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73.78%</w:t>
            </w:r>
          </w:p>
        </w:tc>
        <w:tc>
          <w:tcPr>
            <w:tcW w:w="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- 79.53%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74.95%</w:t>
            </w:r>
          </w:p>
        </w:tc>
        <w:tc>
          <w:tcPr>
            <w:tcW w:w="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- 76.31%</w:t>
            </w:r>
          </w:p>
        </w:tc>
      </w:tr>
      <w:tr>
        <w:trPr>
          <w:trHeight w:val="216"/>
        </w:trPr>
        <w:tc>
          <w:tcPr>
            <w:tcW w:w="7320" w:type="dxa"/>
            <w:vAlign w:val="bottom"/>
          </w:tcPr>
          <w:p>
            <w:pPr>
              <w:ind w:left="20"/>
              <w:spacing w:after="0"/>
              <w:rPr>
                <w:sz w:val="20"/>
                <w:szCs w:val="20"/>
                <w:color w:val="auto"/>
              </w:rPr>
            </w:pPr>
            <w:r>
              <w:rPr>
                <w:rFonts w:ascii="Arial" w:cs="Arial" w:eastAsia="Arial" w:hAnsi="Arial"/>
                <w:sz w:val="17"/>
                <w:szCs w:val="17"/>
                <w:color w:val="auto"/>
              </w:rPr>
              <w:t>Risk-free interest rate</w:t>
            </w:r>
          </w:p>
        </w:tc>
        <w:tc>
          <w:tcPr>
            <w:tcW w:w="880" w:type="dxa"/>
            <w:vAlign w:val="bottom"/>
          </w:tcPr>
          <w:p>
            <w:pPr>
              <w:jc w:val="right"/>
              <w:spacing w:after="0"/>
              <w:rPr>
                <w:sz w:val="20"/>
                <w:szCs w:val="20"/>
                <w:color w:val="auto"/>
              </w:rPr>
            </w:pPr>
            <w:r>
              <w:rPr>
                <w:rFonts w:ascii="Arial" w:cs="Arial" w:eastAsia="Arial" w:hAnsi="Arial"/>
                <w:sz w:val="17"/>
                <w:szCs w:val="17"/>
                <w:color w:val="auto"/>
              </w:rPr>
              <w:t>1.64%</w:t>
            </w:r>
          </w:p>
        </w:tc>
        <w:tc>
          <w:tcPr>
            <w:tcW w:w="980" w:type="dxa"/>
            <w:vAlign w:val="bottom"/>
          </w:tcPr>
          <w:p>
            <w:pPr>
              <w:ind w:left="20"/>
              <w:spacing w:after="0"/>
              <w:rPr>
                <w:sz w:val="20"/>
                <w:szCs w:val="20"/>
                <w:color w:val="auto"/>
              </w:rPr>
            </w:pPr>
            <w:r>
              <w:rPr>
                <w:rFonts w:ascii="Arial" w:cs="Arial" w:eastAsia="Arial" w:hAnsi="Arial"/>
                <w:sz w:val="17"/>
                <w:szCs w:val="17"/>
                <w:color w:val="auto"/>
              </w:rPr>
              <w:t>- 3.59%</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0.61%</w:t>
            </w:r>
          </w:p>
        </w:tc>
        <w:tc>
          <w:tcPr>
            <w:tcW w:w="980" w:type="dxa"/>
            <w:vAlign w:val="bottom"/>
          </w:tcPr>
          <w:p>
            <w:pPr>
              <w:ind w:left="20"/>
              <w:spacing w:after="0"/>
              <w:rPr>
                <w:sz w:val="20"/>
                <w:szCs w:val="20"/>
                <w:color w:val="auto"/>
              </w:rPr>
            </w:pPr>
            <w:r>
              <w:rPr>
                <w:rFonts w:ascii="Arial" w:cs="Arial" w:eastAsia="Arial" w:hAnsi="Arial"/>
                <w:sz w:val="17"/>
                <w:szCs w:val="17"/>
                <w:color w:val="auto"/>
              </w:rPr>
              <w:t>- 1.07%</w:t>
            </w:r>
          </w:p>
        </w:tc>
      </w:tr>
      <w:tr>
        <w:trPr>
          <w:trHeight w:val="217"/>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dividend</w:t>
            </w:r>
          </w:p>
        </w:tc>
        <w:tc>
          <w:tcPr>
            <w:tcW w:w="1960" w:type="dxa"/>
            <w:vAlign w:val="bottom"/>
            <w:gridSpan w:val="3"/>
            <w:shd w:val="clear" w:color="auto" w:fill="CCEEFF"/>
          </w:tcPr>
          <w:p>
            <w:pPr>
              <w:jc w:val="center"/>
              <w:ind w:right="100"/>
              <w:spacing w:after="0"/>
              <w:rPr>
                <w:sz w:val="20"/>
                <w:szCs w:val="20"/>
                <w:color w:val="auto"/>
              </w:rPr>
            </w:pPr>
            <w:r>
              <w:rPr>
                <w:rFonts w:ascii="Arial" w:cs="Arial" w:eastAsia="Arial" w:hAnsi="Arial"/>
                <w:sz w:val="17"/>
                <w:szCs w:val="17"/>
                <w:color w:val="auto"/>
              </w:rPr>
              <w:t>—</w:t>
            </w:r>
          </w:p>
        </w:tc>
        <w:tc>
          <w:tcPr>
            <w:tcW w:w="18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6"/>
        </w:trPr>
        <w:tc>
          <w:tcPr>
            <w:tcW w:w="7320" w:type="dxa"/>
            <w:vAlign w:val="bottom"/>
          </w:tcPr>
          <w:p>
            <w:pPr>
              <w:ind w:left="20"/>
              <w:spacing w:after="0"/>
              <w:rPr>
                <w:sz w:val="20"/>
                <w:szCs w:val="20"/>
                <w:color w:val="auto"/>
              </w:rPr>
            </w:pPr>
            <w:r>
              <w:rPr>
                <w:rFonts w:ascii="Arial" w:cs="Arial" w:eastAsia="Arial" w:hAnsi="Arial"/>
                <w:sz w:val="17"/>
                <w:szCs w:val="17"/>
                <w:color w:val="auto"/>
              </w:rPr>
              <w:t>Expected term (in years)</w:t>
            </w:r>
          </w:p>
        </w:tc>
        <w:tc>
          <w:tcPr>
            <w:tcW w:w="880" w:type="dxa"/>
            <w:vAlign w:val="bottom"/>
          </w:tcPr>
          <w:p>
            <w:pPr>
              <w:jc w:val="right"/>
              <w:spacing w:after="0"/>
              <w:rPr>
                <w:sz w:val="20"/>
                <w:szCs w:val="20"/>
                <w:color w:val="auto"/>
              </w:rPr>
            </w:pPr>
            <w:r>
              <w:rPr>
                <w:rFonts w:ascii="Arial" w:cs="Arial" w:eastAsia="Arial" w:hAnsi="Arial"/>
                <w:sz w:val="17"/>
                <w:szCs w:val="17"/>
                <w:color w:val="auto"/>
              </w:rPr>
              <w:t>5.33</w:t>
            </w:r>
          </w:p>
        </w:tc>
        <w:tc>
          <w:tcPr>
            <w:tcW w:w="980" w:type="dxa"/>
            <w:vAlign w:val="bottom"/>
          </w:tcPr>
          <w:p>
            <w:pPr>
              <w:ind w:left="20"/>
              <w:spacing w:after="0"/>
              <w:rPr>
                <w:sz w:val="20"/>
                <w:szCs w:val="20"/>
                <w:color w:val="auto"/>
              </w:rPr>
            </w:pPr>
            <w:r>
              <w:rPr>
                <w:rFonts w:ascii="Arial" w:cs="Arial" w:eastAsia="Arial" w:hAnsi="Arial"/>
                <w:sz w:val="17"/>
                <w:szCs w:val="17"/>
                <w:color w:val="auto"/>
              </w:rPr>
              <w:t>- 6.08</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5.44</w:t>
            </w:r>
          </w:p>
        </w:tc>
        <w:tc>
          <w:tcPr>
            <w:tcW w:w="980" w:type="dxa"/>
            <w:vAlign w:val="bottom"/>
          </w:tcPr>
          <w:p>
            <w:pPr>
              <w:ind w:left="20"/>
              <w:spacing w:after="0"/>
              <w:rPr>
                <w:sz w:val="20"/>
                <w:szCs w:val="20"/>
                <w:color w:val="auto"/>
              </w:rPr>
            </w:pPr>
            <w:r>
              <w:rPr>
                <w:rFonts w:ascii="Arial" w:cs="Arial" w:eastAsia="Arial" w:hAnsi="Arial"/>
                <w:sz w:val="17"/>
                <w:szCs w:val="17"/>
                <w:color w:val="auto"/>
              </w:rPr>
              <w:t>- 6.08</w:t>
            </w:r>
          </w:p>
        </w:tc>
      </w:tr>
      <w:tr>
        <w:trPr>
          <w:trHeight w:val="217"/>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Underlying common stock fair value</w:t>
            </w:r>
          </w:p>
        </w:tc>
        <w:tc>
          <w:tcPr>
            <w:tcW w:w="18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0"/>
              </w:rPr>
              <w:t>4.92 - 24.23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18.85</w:t>
            </w:r>
          </w:p>
        </w:tc>
        <w:tc>
          <w:tcPr>
            <w:tcW w:w="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- 38.23</w:t>
            </w:r>
          </w:p>
        </w:tc>
      </w:tr>
    </w:tbl>
    <w:p>
      <w:pPr>
        <w:spacing w:after="0" w:line="28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Company granted 229,014 stock options under the 2020 Plan during the three months ended September 30, 2022.</w:t>
      </w:r>
    </w:p>
    <w:p>
      <w:pPr>
        <w:spacing w:after="0" w:line="212"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A summary of option activity under the 2015 Plan and the 2020 Plan is as follows: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Weighted-</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5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6"/>
              </w:rPr>
              <w:t>Average</w:t>
            </w: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2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Number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5"/>
              </w:rPr>
              <w:t>Weighted-</w:t>
            </w: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Remaining</w:t>
            </w:r>
          </w:p>
        </w:tc>
        <w:tc>
          <w:tcPr>
            <w:tcW w:w="260" w:type="dxa"/>
            <w:vAlign w:val="bottom"/>
          </w:tcPr>
          <w:p>
            <w:pPr>
              <w:spacing w:after="0"/>
              <w:rPr>
                <w:sz w:val="11"/>
                <w:szCs w:val="11"/>
                <w:color w:val="auto"/>
              </w:rPr>
            </w:pPr>
          </w:p>
        </w:tc>
        <w:tc>
          <w:tcPr>
            <w:tcW w:w="1160" w:type="dxa"/>
            <w:vAlign w:val="bottom"/>
          </w:tcPr>
          <w:p>
            <w:pPr>
              <w:jc w:val="center"/>
              <w:ind w:right="182"/>
              <w:spacing w:after="0" w:line="135"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0"/>
        </w:trPr>
        <w:tc>
          <w:tcPr>
            <w:tcW w:w="5220" w:type="dxa"/>
            <w:vAlign w:val="bottom"/>
          </w:tcPr>
          <w:p>
            <w:pPr>
              <w:spacing w:after="0"/>
              <w:rPr>
                <w:sz w:val="12"/>
                <w:szCs w:val="12"/>
                <w:color w:val="auto"/>
              </w:rPr>
            </w:pPr>
          </w:p>
        </w:tc>
        <w:tc>
          <w:tcPr>
            <w:tcW w:w="142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0" w:lineRule="exact"/>
              <w:rPr>
                <w:sz w:val="20"/>
                <w:szCs w:val="20"/>
                <w:color w:val="auto"/>
              </w:rPr>
            </w:pPr>
            <w:r>
              <w:rPr>
                <w:rFonts w:ascii="Arial" w:cs="Arial" w:eastAsia="Arial" w:hAnsi="Arial"/>
                <w:sz w:val="14"/>
                <w:szCs w:val="14"/>
                <w:b w:val="1"/>
                <w:bCs w:val="1"/>
                <w:color w:val="auto"/>
                <w:w w:val="83"/>
              </w:rPr>
              <w:t>Average Exercise</w:t>
            </w:r>
          </w:p>
        </w:tc>
        <w:tc>
          <w:tcPr>
            <w:tcW w:w="1540" w:type="dxa"/>
            <w:vAlign w:val="bottom"/>
            <w:gridSpan w:val="2"/>
          </w:tcPr>
          <w:p>
            <w:pPr>
              <w:jc w:val="center"/>
              <w:ind w:right="100"/>
              <w:spacing w:after="0" w:line="140" w:lineRule="exact"/>
              <w:rPr>
                <w:sz w:val="20"/>
                <w:szCs w:val="20"/>
                <w:color w:val="auto"/>
              </w:rPr>
            </w:pPr>
            <w:r>
              <w:rPr>
                <w:rFonts w:ascii="Arial" w:cs="Arial" w:eastAsia="Arial" w:hAnsi="Arial"/>
                <w:sz w:val="14"/>
                <w:szCs w:val="14"/>
                <w:b w:val="1"/>
                <w:bCs w:val="1"/>
                <w:color w:val="auto"/>
                <w:w w:val="92"/>
              </w:rPr>
              <w:t>Contractual</w:t>
            </w:r>
          </w:p>
        </w:tc>
        <w:tc>
          <w:tcPr>
            <w:tcW w:w="260" w:type="dxa"/>
            <w:vAlign w:val="bottom"/>
          </w:tcPr>
          <w:p>
            <w:pPr>
              <w:spacing w:after="0"/>
              <w:rPr>
                <w:sz w:val="12"/>
                <w:szCs w:val="12"/>
                <w:color w:val="auto"/>
              </w:rPr>
            </w:pPr>
          </w:p>
        </w:tc>
        <w:tc>
          <w:tcPr>
            <w:tcW w:w="1160" w:type="dxa"/>
            <w:vAlign w:val="bottom"/>
          </w:tcPr>
          <w:p>
            <w:pPr>
              <w:jc w:val="center"/>
              <w:ind w:right="182"/>
              <w:spacing w:after="0" w:line="140"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84"/>
        </w:trPr>
        <w:tc>
          <w:tcPr>
            <w:tcW w:w="5220" w:type="dxa"/>
            <w:vAlign w:val="bottom"/>
            <w:tcBorders>
              <w:bottom w:val="single" w:sz="8" w:color="CFF0FC"/>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1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7"/>
              </w:rPr>
              <w:t>Price per Share</w:t>
            </w:r>
          </w:p>
        </w:tc>
        <w:tc>
          <w:tcPr>
            <w:tcW w:w="100" w:type="dxa"/>
            <w:vAlign w:val="bottom"/>
            <w:tcBorders>
              <w:bottom w:val="single" w:sz="8" w:color="CFF0FC"/>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Term (in Years)</w:t>
            </w:r>
          </w:p>
        </w:tc>
        <w:tc>
          <w:tcPr>
            <w:tcW w:w="1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ind w:left="20"/>
              <w:spacing w:after="0"/>
              <w:rPr>
                <w:sz w:val="20"/>
                <w:szCs w:val="20"/>
                <w:color w:val="auto"/>
              </w:rPr>
            </w:pPr>
            <w:r>
              <w:rPr>
                <w:rFonts w:ascii="Arial" w:cs="Arial" w:eastAsia="Arial" w:hAnsi="Arial"/>
                <w:sz w:val="17"/>
                <w:szCs w:val="17"/>
                <w:color w:val="auto"/>
              </w:rPr>
              <w:t>Outstanding as of December 31, 2021</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3,620,180</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14.56</w:t>
            </w: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8.25</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16,735</w:t>
            </w:r>
          </w:p>
        </w:tc>
        <w:tc>
          <w:tcPr>
            <w:tcW w:w="0" w:type="dxa"/>
            <w:vAlign w:val="bottom"/>
          </w:tcPr>
          <w:p>
            <w:pPr>
              <w:spacing w:after="0"/>
              <w:rPr>
                <w:sz w:val="1"/>
                <w:szCs w:val="1"/>
                <w:color w:val="auto"/>
              </w:rPr>
            </w:pPr>
          </w:p>
        </w:tc>
      </w:tr>
      <w:tr>
        <w:trPr>
          <w:trHeight w:val="216"/>
        </w:trPr>
        <w:tc>
          <w:tcPr>
            <w:tcW w:w="5220" w:type="dxa"/>
            <w:vAlign w:val="bottom"/>
          </w:tcPr>
          <w:p>
            <w:pPr>
              <w:ind w:left="200"/>
              <w:spacing w:after="0"/>
              <w:rPr>
                <w:sz w:val="20"/>
                <w:szCs w:val="20"/>
                <w:color w:val="auto"/>
              </w:rPr>
            </w:pPr>
            <w:r>
              <w:rPr>
                <w:rFonts w:ascii="Arial" w:cs="Arial" w:eastAsia="Arial" w:hAnsi="Arial"/>
                <w:sz w:val="17"/>
                <w:szCs w:val="17"/>
                <w:color w:val="auto"/>
              </w:rPr>
              <w:t>Granted</w:t>
            </w:r>
          </w:p>
        </w:tc>
        <w:tc>
          <w:tcPr>
            <w:tcW w:w="1420" w:type="dxa"/>
            <w:vAlign w:val="bottom"/>
          </w:tcPr>
          <w:p>
            <w:pPr>
              <w:jc w:val="right"/>
              <w:spacing w:after="0"/>
              <w:rPr>
                <w:sz w:val="20"/>
                <w:szCs w:val="20"/>
                <w:color w:val="auto"/>
              </w:rPr>
            </w:pPr>
            <w:r>
              <w:rPr>
                <w:rFonts w:ascii="Arial" w:cs="Arial" w:eastAsia="Arial" w:hAnsi="Arial"/>
                <w:sz w:val="17"/>
                <w:szCs w:val="17"/>
                <w:color w:val="auto"/>
              </w:rPr>
              <w:t>2,343,884</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10.94</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20" w:type="dxa"/>
            <w:vAlign w:val="bottom"/>
            <w:shd w:val="clear" w:color="auto" w:fill="CFF0FC"/>
          </w:tcPr>
          <w:p>
            <w:pPr>
              <w:ind w:left="200"/>
              <w:spacing w:after="0"/>
              <w:rPr>
                <w:sz w:val="20"/>
                <w:szCs w:val="20"/>
                <w:color w:val="auto"/>
              </w:rPr>
            </w:pPr>
            <w:r>
              <w:rPr>
                <w:rFonts w:ascii="Arial" w:cs="Arial" w:eastAsia="Arial" w:hAnsi="Arial"/>
                <w:sz w:val="17"/>
                <w:szCs w:val="17"/>
                <w:color w:val="auto"/>
              </w:rPr>
              <w:t>Exercised</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(126,299)</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4.90</w:t>
            </w: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Borders>
              <w:bottom w:val="single" w:sz="8" w:color="CFF0FC"/>
            </w:tcBorders>
          </w:tcPr>
          <w:p>
            <w:pPr>
              <w:ind w:left="200"/>
              <w:spacing w:after="0"/>
              <w:rPr>
                <w:sz w:val="20"/>
                <w:szCs w:val="20"/>
                <w:color w:val="auto"/>
              </w:rPr>
            </w:pPr>
            <w:r>
              <w:rPr>
                <w:rFonts w:ascii="Arial" w:cs="Arial" w:eastAsia="Arial" w:hAnsi="Arial"/>
                <w:sz w:val="17"/>
                <w:szCs w:val="17"/>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(363,419)</w:t>
            </w:r>
          </w:p>
        </w:tc>
        <w:tc>
          <w:tcPr>
            <w:tcW w:w="26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FF0FC"/>
            </w:tcBorders>
          </w:tcPr>
          <w:p>
            <w:pPr>
              <w:jc w:val="right"/>
              <w:spacing w:after="0"/>
              <w:rPr>
                <w:sz w:val="20"/>
                <w:szCs w:val="20"/>
                <w:color w:val="auto"/>
              </w:rPr>
            </w:pPr>
            <w:r>
              <w:rPr>
                <w:rFonts w:ascii="Arial" w:cs="Arial" w:eastAsia="Arial" w:hAnsi="Arial"/>
                <w:sz w:val="17"/>
                <w:szCs w:val="17"/>
                <w:color w:val="auto"/>
              </w:rPr>
              <w:t>17.26</w:t>
            </w:r>
          </w:p>
        </w:tc>
        <w:tc>
          <w:tcPr>
            <w:tcW w:w="100" w:type="dxa"/>
            <w:vAlign w:val="bottom"/>
            <w:tcBorders>
              <w:bottom w:val="single" w:sz="8" w:color="CFF0FC"/>
            </w:tcBorders>
          </w:tcPr>
          <w:p>
            <w:pPr>
              <w:spacing w:after="0"/>
              <w:rPr>
                <w:sz w:val="18"/>
                <w:szCs w:val="18"/>
                <w:color w:val="auto"/>
              </w:rPr>
            </w:pPr>
          </w:p>
        </w:tc>
        <w:tc>
          <w:tcPr>
            <w:tcW w:w="14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Outstanding as of September 30, 2022</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5,474,346</w:t>
            </w: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13.05</w:t>
            </w:r>
          </w:p>
        </w:tc>
        <w:tc>
          <w:tcPr>
            <w:tcW w:w="10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8.25</w:t>
            </w: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50,755</w:t>
            </w: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7"/>
                <w:szCs w:val="17"/>
                <w:color w:val="auto"/>
              </w:rPr>
              <w:t>Exercisable as of September 30, 2022</w:t>
            </w:r>
          </w:p>
        </w:tc>
        <w:tc>
          <w:tcPr>
            <w:tcW w:w="14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220" w:type="dxa"/>
            <w:vAlign w:val="bottom"/>
            <w:vMerge w:val="continue"/>
          </w:tcPr>
          <w:p>
            <w:pPr>
              <w:spacing w:after="0"/>
              <w:rPr>
                <w:sz w:val="16"/>
                <w:szCs w:val="16"/>
                <w:color w:val="auto"/>
              </w:rPr>
            </w:pPr>
          </w:p>
        </w:tc>
        <w:tc>
          <w:tcPr>
            <w:tcW w:w="142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2,167,500</w:t>
            </w:r>
          </w:p>
        </w:tc>
        <w:tc>
          <w:tcPr>
            <w:tcW w:w="260" w:type="dxa"/>
            <w:vAlign w:val="bottom"/>
            <w:gridSpan w:val="2"/>
          </w:tcPr>
          <w:p>
            <w:pPr>
              <w:jc w:val="right"/>
              <w:ind w:right="60"/>
              <w:spacing w:after="0" w:line="188" w:lineRule="exact"/>
              <w:rPr>
                <w:sz w:val="20"/>
                <w:szCs w:val="20"/>
                <w:color w:val="auto"/>
              </w:rPr>
            </w:pPr>
            <w:r>
              <w:rPr>
                <w:rFonts w:ascii="Arial" w:cs="Arial" w:eastAsia="Arial" w:hAnsi="Arial"/>
                <w:sz w:val="17"/>
                <w:szCs w:val="17"/>
                <w:color w:val="auto"/>
              </w:rPr>
              <w:t>$</w:t>
            </w:r>
          </w:p>
        </w:tc>
        <w:tc>
          <w:tcPr>
            <w:tcW w:w="1260" w:type="dxa"/>
            <w:vAlign w:val="bottom"/>
          </w:tcPr>
          <w:p>
            <w:pPr>
              <w:jc w:val="right"/>
              <w:spacing w:after="0" w:line="188" w:lineRule="exact"/>
              <w:rPr>
                <w:sz w:val="20"/>
                <w:szCs w:val="20"/>
                <w:color w:val="auto"/>
              </w:rPr>
            </w:pPr>
            <w:r>
              <w:rPr>
                <w:rFonts w:ascii="Arial" w:cs="Arial" w:eastAsia="Arial" w:hAnsi="Arial"/>
                <w:sz w:val="17"/>
                <w:szCs w:val="17"/>
                <w:color w:val="auto"/>
              </w:rPr>
              <w:t>11.88</w:t>
            </w:r>
          </w:p>
        </w:tc>
        <w:tc>
          <w:tcPr>
            <w:tcW w:w="100" w:type="dxa"/>
            <w:vAlign w:val="bottom"/>
          </w:tcPr>
          <w:p>
            <w:pPr>
              <w:spacing w:after="0"/>
              <w:rPr>
                <w:sz w:val="16"/>
                <w:szCs w:val="16"/>
                <w:color w:val="auto"/>
              </w:rPr>
            </w:pPr>
          </w:p>
        </w:tc>
        <w:tc>
          <w:tcPr>
            <w:tcW w:w="1440" w:type="dxa"/>
            <w:vAlign w:val="bottom"/>
          </w:tcPr>
          <w:p>
            <w:pPr>
              <w:jc w:val="right"/>
              <w:spacing w:after="0" w:line="188" w:lineRule="exact"/>
              <w:rPr>
                <w:sz w:val="20"/>
                <w:szCs w:val="20"/>
                <w:color w:val="auto"/>
              </w:rPr>
            </w:pPr>
            <w:r>
              <w:rPr>
                <w:rFonts w:ascii="Arial" w:cs="Arial" w:eastAsia="Arial" w:hAnsi="Arial"/>
                <w:sz w:val="17"/>
                <w:szCs w:val="17"/>
                <w:color w:val="auto"/>
              </w:rPr>
              <w:t>7.38</w:t>
            </w:r>
          </w:p>
        </w:tc>
        <w:tc>
          <w:tcPr>
            <w:tcW w:w="100" w:type="dxa"/>
            <w:vAlign w:val="bottom"/>
          </w:tcPr>
          <w:p>
            <w:pPr>
              <w:spacing w:after="0"/>
              <w:rPr>
                <w:sz w:val="16"/>
                <w:szCs w:val="16"/>
                <w:color w:val="auto"/>
              </w:rPr>
            </w:pPr>
          </w:p>
        </w:tc>
        <w:tc>
          <w:tcPr>
            <w:tcW w:w="260" w:type="dxa"/>
            <w:vAlign w:val="bottom"/>
          </w:tcPr>
          <w:p>
            <w:pPr>
              <w:jc w:val="right"/>
              <w:ind w:right="75"/>
              <w:spacing w:after="0" w:line="188" w:lineRule="exact"/>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line="188" w:lineRule="exact"/>
              <w:rPr>
                <w:sz w:val="20"/>
                <w:szCs w:val="20"/>
                <w:color w:val="auto"/>
              </w:rPr>
            </w:pPr>
            <w:r>
              <w:rPr>
                <w:rFonts w:ascii="Arial" w:cs="Arial" w:eastAsia="Arial" w:hAnsi="Arial"/>
                <w:sz w:val="17"/>
                <w:szCs w:val="17"/>
                <w:color w:val="auto"/>
              </w:rPr>
              <w:t>23,172</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FF0FC"/>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26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4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116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Vested and expected to vest as of September 30, 2022</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5,474,346</w:t>
            </w: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13.05</w:t>
            </w:r>
          </w:p>
        </w:tc>
        <w:tc>
          <w:tcPr>
            <w:tcW w:w="10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8.25</w:t>
            </w: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50,755</w:t>
            </w: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right="60" w:firstLine="1070"/>
        <w:spacing w:after="0" w:line="258" w:lineRule="auto"/>
        <w:rPr>
          <w:sz w:val="20"/>
          <w:szCs w:val="20"/>
          <w:color w:val="auto"/>
        </w:rPr>
      </w:pPr>
      <w:r>
        <w:rPr>
          <w:rFonts w:ascii="Arial" w:cs="Arial" w:eastAsia="Arial" w:hAnsi="Arial"/>
          <w:sz w:val="17"/>
          <w:szCs w:val="17"/>
          <w:color w:val="auto"/>
        </w:rPr>
        <w:t>As of September 30, 2022, there was $28.6 million of unrecognized compensation costs that is expected to be recognized over the weighted-average period of 2.62 years related to stock options. Aggregate intrinsic value represents the difference between the fair value of the underlying common stock and the exercise price as of September 30, 2022. The weighted-average grant date fair value of options granted during the nine months ended September 30, 2022 was $7.27 per share.</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110"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The service-based condition for restricted stock units ("RSUs") is generally satisfied over two years. The following table sets forth the outstanding</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RSUs and related activity for the nine months ended September 30,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224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Restricted Stock Units</w:t>
            </w:r>
          </w:p>
        </w:tc>
        <w:tc>
          <w:tcPr>
            <w:tcW w:w="8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4"/>
                <w:szCs w:val="14"/>
                <w:b w:val="1"/>
                <w:bCs w:val="1"/>
                <w:color w:val="auto"/>
                <w:w w:val="91"/>
              </w:rPr>
              <w:t>Weighted Average Grant Date</w:t>
            </w:r>
          </w:p>
        </w:tc>
        <w:tc>
          <w:tcPr>
            <w:tcW w:w="0" w:type="dxa"/>
            <w:vAlign w:val="bottom"/>
          </w:tcPr>
          <w:p>
            <w:pPr>
              <w:spacing w:after="0"/>
              <w:rPr>
                <w:sz w:val="1"/>
                <w:szCs w:val="1"/>
                <w:color w:val="auto"/>
              </w:rPr>
            </w:pPr>
          </w:p>
        </w:tc>
      </w:tr>
      <w:tr>
        <w:trPr>
          <w:trHeight w:val="180"/>
        </w:trPr>
        <w:tc>
          <w:tcPr>
            <w:tcW w:w="7060" w:type="dxa"/>
            <w:vAlign w:val="bottom"/>
            <w:tcBorders>
              <w:bottom w:val="single" w:sz="8" w:color="CCEEFF"/>
            </w:tcBorders>
          </w:tcPr>
          <w:p>
            <w:pPr>
              <w:spacing w:after="0"/>
              <w:rPr>
                <w:sz w:val="15"/>
                <w:szCs w:val="15"/>
                <w:color w:val="auto"/>
              </w:rPr>
            </w:pPr>
          </w:p>
        </w:tc>
        <w:tc>
          <w:tcPr>
            <w:tcW w:w="22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60" w:type="dxa"/>
            <w:vAlign w:val="bottom"/>
            <w:tcBorders>
              <w:bottom w:val="single" w:sz="8" w:color="auto"/>
            </w:tcBorders>
          </w:tcPr>
          <w:p>
            <w:pPr>
              <w:jc w:val="right"/>
              <w:ind w:right="54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5"/>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and outstanding at December 31, 2021</w:t>
            </w:r>
          </w:p>
        </w:tc>
        <w:tc>
          <w:tcPr>
            <w:tcW w:w="2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060" w:type="dxa"/>
            <w:vAlign w:val="bottom"/>
          </w:tcPr>
          <w:p>
            <w:pPr>
              <w:ind w:left="20"/>
              <w:spacing w:after="0"/>
              <w:rPr>
                <w:sz w:val="20"/>
                <w:szCs w:val="20"/>
                <w:color w:val="auto"/>
              </w:rPr>
            </w:pPr>
            <w:r>
              <w:rPr>
                <w:rFonts w:ascii="Arial" w:cs="Arial" w:eastAsia="Arial" w:hAnsi="Arial"/>
                <w:sz w:val="17"/>
                <w:szCs w:val="17"/>
                <w:color w:val="auto"/>
              </w:rPr>
              <w:t>Granted</w:t>
            </w:r>
          </w:p>
        </w:tc>
        <w:tc>
          <w:tcPr>
            <w:tcW w:w="2240" w:type="dxa"/>
            <w:vAlign w:val="bottom"/>
          </w:tcPr>
          <w:p>
            <w:pPr>
              <w:jc w:val="right"/>
              <w:spacing w:after="0"/>
              <w:rPr>
                <w:sz w:val="20"/>
                <w:szCs w:val="20"/>
                <w:color w:val="auto"/>
              </w:rPr>
            </w:pPr>
            <w:r>
              <w:rPr>
                <w:rFonts w:ascii="Arial" w:cs="Arial" w:eastAsia="Arial" w:hAnsi="Arial"/>
                <w:sz w:val="17"/>
                <w:szCs w:val="17"/>
                <w:color w:val="auto"/>
              </w:rPr>
              <w:t>525,825</w:t>
            </w:r>
          </w:p>
        </w:tc>
        <w:tc>
          <w:tcPr>
            <w:tcW w:w="1940" w:type="dxa"/>
            <w:vAlign w:val="bottom"/>
            <w:gridSpan w:val="2"/>
          </w:tcPr>
          <w:p>
            <w:pPr>
              <w:jc w:val="right"/>
              <w:spacing w:after="0"/>
              <w:rPr>
                <w:sz w:val="20"/>
                <w:szCs w:val="20"/>
                <w:color w:val="auto"/>
              </w:rPr>
            </w:pPr>
            <w:r>
              <w:rPr>
                <w:rFonts w:ascii="Arial" w:cs="Arial" w:eastAsia="Arial" w:hAnsi="Arial"/>
                <w:sz w:val="17"/>
                <w:szCs w:val="17"/>
                <w:color w:val="auto"/>
              </w:rPr>
              <w:t>17.43</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Forfeited</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(2,350)</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17.30</w:t>
            </w:r>
          </w:p>
        </w:tc>
        <w:tc>
          <w:tcPr>
            <w:tcW w:w="0" w:type="dxa"/>
            <w:vAlign w:val="bottom"/>
          </w:tcPr>
          <w:p>
            <w:pPr>
              <w:spacing w:after="0"/>
              <w:rPr>
                <w:sz w:val="1"/>
                <w:szCs w:val="1"/>
                <w:color w:val="auto"/>
              </w:rPr>
            </w:pPr>
          </w:p>
        </w:tc>
      </w:tr>
      <w:tr>
        <w:trPr>
          <w:trHeight w:val="210"/>
        </w:trPr>
        <w:tc>
          <w:tcPr>
            <w:tcW w:w="7060" w:type="dxa"/>
            <w:vAlign w:val="bottom"/>
          </w:tcPr>
          <w:p>
            <w:pPr>
              <w:ind w:left="20"/>
              <w:spacing w:after="0"/>
              <w:rPr>
                <w:sz w:val="20"/>
                <w:szCs w:val="20"/>
                <w:color w:val="auto"/>
              </w:rPr>
            </w:pPr>
            <w:r>
              <w:rPr>
                <w:rFonts w:ascii="Arial" w:cs="Arial" w:eastAsia="Arial" w:hAnsi="Arial"/>
                <w:sz w:val="17"/>
                <w:szCs w:val="17"/>
                <w:color w:val="auto"/>
              </w:rPr>
              <w:t>Unvested and outstanding at September 30, 2022</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523,475</w:t>
            </w:r>
          </w:p>
        </w:tc>
        <w:tc>
          <w:tcPr>
            <w:tcW w:w="1940" w:type="dxa"/>
            <w:vAlign w:val="bottom"/>
            <w:gridSpan w:val="2"/>
          </w:tcPr>
          <w:p>
            <w:pPr>
              <w:jc w:val="right"/>
              <w:spacing w:after="0"/>
              <w:rPr>
                <w:sz w:val="20"/>
                <w:szCs w:val="20"/>
                <w:color w:val="auto"/>
              </w:rPr>
            </w:pPr>
            <w:r>
              <w:rPr>
                <w:rFonts w:ascii="Arial" w:cs="Arial" w:eastAsia="Arial" w:hAnsi="Arial"/>
                <w:sz w:val="17"/>
                <w:szCs w:val="17"/>
                <w:color w:val="auto"/>
              </w:rPr>
              <w:t>17.43</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80" w:firstLine="1070"/>
        <w:spacing w:after="0" w:line="274" w:lineRule="auto"/>
        <w:rPr>
          <w:sz w:val="20"/>
          <w:szCs w:val="20"/>
          <w:color w:val="auto"/>
        </w:rPr>
      </w:pPr>
      <w:r>
        <w:rPr>
          <w:rFonts w:ascii="Arial" w:cs="Arial" w:eastAsia="Arial" w:hAnsi="Arial"/>
          <w:sz w:val="17"/>
          <w:szCs w:val="17"/>
          <w:color w:val="auto"/>
        </w:rPr>
        <w:t>As of September 30, 2022, the Company had $8.3 million of unrecognized stock-based compensation expense related to outstanding RSUs expected to be recognized over a weighted-average period of 1.83 years.</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Performance-Based Restricted Stock Units</w:t>
      </w:r>
    </w:p>
    <w:p>
      <w:pPr>
        <w:spacing w:after="0" w:line="110" w:lineRule="exact"/>
        <w:rPr>
          <w:sz w:val="20"/>
          <w:szCs w:val="20"/>
          <w:color w:val="auto"/>
        </w:rPr>
      </w:pPr>
    </w:p>
    <w:p>
      <w:pPr>
        <w:ind w:right="20" w:firstLine="1070"/>
        <w:spacing w:after="0" w:line="293" w:lineRule="auto"/>
        <w:rPr>
          <w:sz w:val="20"/>
          <w:szCs w:val="20"/>
          <w:color w:val="auto"/>
        </w:rPr>
      </w:pPr>
      <w:r>
        <w:rPr>
          <w:rFonts w:ascii="Arial" w:cs="Arial" w:eastAsia="Arial" w:hAnsi="Arial"/>
          <w:sz w:val="15"/>
          <w:szCs w:val="15"/>
          <w:color w:val="auto"/>
        </w:rPr>
        <w:t>Performance-based restricted stock units ("PSUs") vest upon the achievement of market and performance conditions. Market conditions include the Company's total shareholder return ("TSR") relative to the NASDAQ Biotechnology Index over the term of the award ending on June 30, 2024, and performance conditions consist of multiple clinical development milestones associated with progressing a label-enabling study related to PLN-74809 (bexotegrast). The performance vesting conditions generally must be satisfied with a two-year period and are forfeited if the vesting conditions are not met. Additionally, the number of shares of common stock issued upon vesting will range from 0% to 200% of the PSUs based on achievement of certain targets. The PSUs granted in the three months ended September 30, 2022 were allocated evenly between the market based, TSR, awards and those with performance conditions associated with clinical development milestones. The PSUs with clinical development milestones performance conditions were not considered probable of vesting as of September 30, 2022.</w:t>
      </w:r>
    </w:p>
    <w:p>
      <w:pPr>
        <w:spacing w:after="0" w:line="54" w:lineRule="exact"/>
        <w:rPr>
          <w:sz w:val="20"/>
          <w:szCs w:val="20"/>
          <w:color w:val="auto"/>
        </w:rPr>
      </w:pPr>
    </w:p>
    <w:p>
      <w:pPr>
        <w:ind w:right="660" w:firstLine="1070"/>
        <w:spacing w:after="0" w:line="262" w:lineRule="auto"/>
        <w:rPr>
          <w:sz w:val="20"/>
          <w:szCs w:val="20"/>
          <w:color w:val="auto"/>
        </w:rPr>
      </w:pPr>
      <w:r>
        <w:rPr>
          <w:rFonts w:ascii="Arial" w:cs="Arial" w:eastAsia="Arial" w:hAnsi="Arial"/>
          <w:sz w:val="17"/>
          <w:szCs w:val="17"/>
          <w:color w:val="auto"/>
        </w:rPr>
        <w:t>The fair value of PSUs associated with clinical development vesting conditions were determined to be equal to the fair market value of the Company's share price on the date of grant. The fair value of the TSR PSUs were derived from a Monte Carlo simulation model that used the following key assumptions: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46" w:right="339" w:bottom="1440" w:gutter="0" w:footer="0" w:header="0"/>
        </w:sectPr>
      </w:pPr>
    </w:p>
    <w:bookmarkStart w:id="19" w:name="page20"/>
    <w:bookmarkEnd w:id="19"/>
    <w:tbl>
      <w:tblPr>
        <w:tblLayout w:type="fixed"/>
        <w:tblInd w:w="1080" w:type="dxa"/>
        <w:tblCellMar>
          <w:top w:w="0" w:type="dxa"/>
          <w:left w:w="0" w:type="dxa"/>
          <w:bottom w:w="0" w:type="dxa"/>
          <w:right w:w="0" w:type="dxa"/>
        </w:tblCellMar>
      </w:tblP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7"/>
                <w:szCs w:val="17"/>
                <w:color w:val="auto"/>
              </w:rPr>
              <w:t>Valuation date share price</w:t>
            </w:r>
          </w:p>
        </w:tc>
        <w:tc>
          <w:tcPr>
            <w:tcW w:w="460" w:type="dxa"/>
            <w:vAlign w:val="bottom"/>
            <w:shd w:val="clear" w:color="auto" w:fill="CCEEFF"/>
          </w:tcPr>
          <w:p>
            <w:pPr>
              <w:jc w:val="right"/>
              <w:ind w:right="27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17.57</w:t>
            </w:r>
          </w:p>
        </w:tc>
      </w:tr>
      <w:tr>
        <w:trPr>
          <w:trHeight w:val="216"/>
        </w:trPr>
        <w:tc>
          <w:tcPr>
            <w:tcW w:w="5820" w:type="dxa"/>
            <w:vAlign w:val="bottom"/>
          </w:tcPr>
          <w:p>
            <w:pPr>
              <w:spacing w:after="0"/>
              <w:rPr>
                <w:sz w:val="20"/>
                <w:szCs w:val="20"/>
                <w:color w:val="auto"/>
              </w:rPr>
            </w:pPr>
            <w:r>
              <w:rPr>
                <w:rFonts w:ascii="Arial" w:cs="Arial" w:eastAsia="Arial" w:hAnsi="Arial"/>
                <w:sz w:val="17"/>
                <w:szCs w:val="17"/>
                <w:color w:val="auto"/>
              </w:rPr>
              <w:t>Award term (years)</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1.92</w:t>
            </w:r>
          </w:p>
        </w:tc>
      </w:tr>
      <w:tr>
        <w:trPr>
          <w:trHeight w:val="217"/>
        </w:trPr>
        <w:tc>
          <w:tcPr>
            <w:tcW w:w="5820" w:type="dxa"/>
            <w:vAlign w:val="bottom"/>
            <w:shd w:val="clear" w:color="auto" w:fill="CFF0FC"/>
          </w:tcPr>
          <w:p>
            <w:pPr>
              <w:spacing w:after="0"/>
              <w:rPr>
                <w:sz w:val="20"/>
                <w:szCs w:val="20"/>
                <w:color w:val="auto"/>
              </w:rPr>
            </w:pPr>
            <w:r>
              <w:rPr>
                <w:rFonts w:ascii="Arial" w:cs="Arial" w:eastAsia="Arial" w:hAnsi="Arial"/>
                <w:sz w:val="17"/>
                <w:szCs w:val="17"/>
                <w:color w:val="auto"/>
              </w:rPr>
              <w:t>Volatility</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70.62 %</w:t>
            </w:r>
          </w:p>
        </w:tc>
      </w:tr>
      <w:tr>
        <w:trPr>
          <w:trHeight w:val="216"/>
        </w:trPr>
        <w:tc>
          <w:tcPr>
            <w:tcW w:w="5820" w:type="dxa"/>
            <w:vAlign w:val="bottom"/>
          </w:tcPr>
          <w:p>
            <w:pPr>
              <w:spacing w:after="0"/>
              <w:rPr>
                <w:sz w:val="20"/>
                <w:szCs w:val="20"/>
                <w:color w:val="auto"/>
              </w:rPr>
            </w:pPr>
            <w:r>
              <w:rPr>
                <w:rFonts w:ascii="Arial" w:cs="Arial" w:eastAsia="Arial" w:hAnsi="Arial"/>
                <w:sz w:val="17"/>
                <w:szCs w:val="17"/>
                <w:color w:val="auto"/>
              </w:rPr>
              <w:t>Correlation coefficient</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0.3508</w:t>
            </w:r>
          </w:p>
        </w:tc>
      </w:tr>
      <w:tr>
        <w:trPr>
          <w:trHeight w:val="217"/>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Average peer group volatility</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79.69 %</w:t>
            </w:r>
          </w:p>
        </w:tc>
      </w:tr>
      <w:tr>
        <w:trPr>
          <w:trHeight w:val="216"/>
        </w:trPr>
        <w:tc>
          <w:tcPr>
            <w:tcW w:w="5820" w:type="dxa"/>
            <w:vAlign w:val="bottom"/>
          </w:tcPr>
          <w:p>
            <w:pPr>
              <w:spacing w:after="0"/>
              <w:rPr>
                <w:sz w:val="20"/>
                <w:szCs w:val="20"/>
                <w:color w:val="auto"/>
              </w:rPr>
            </w:pPr>
            <w:r>
              <w:rPr>
                <w:rFonts w:ascii="Arial" w:cs="Arial" w:eastAsia="Arial" w:hAnsi="Arial"/>
                <w:sz w:val="17"/>
                <w:szCs w:val="17"/>
                <w:color w:val="auto"/>
              </w:rPr>
              <w:t>Average peer group correlation coefficient</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0.4397</w:t>
            </w:r>
          </w:p>
        </w:tc>
      </w:tr>
      <w:tr>
        <w:trPr>
          <w:trHeight w:val="217"/>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Risk free interest rate</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2.84 %</w:t>
            </w:r>
          </w:p>
        </w:tc>
      </w:tr>
    </w:tbl>
    <w:p>
      <w:pPr>
        <w:spacing w:after="0" w:line="179"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following table sets forth the outstanding PSUs and related activity for the nine months ended September 30, 2022:</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224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Performance Stock Units</w:t>
            </w:r>
          </w:p>
        </w:tc>
        <w:tc>
          <w:tcPr>
            <w:tcW w:w="8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4"/>
                <w:szCs w:val="14"/>
                <w:b w:val="1"/>
                <w:bCs w:val="1"/>
                <w:color w:val="auto"/>
                <w:w w:val="91"/>
              </w:rPr>
              <w:t>Weighted Average Grant Date</w:t>
            </w:r>
          </w:p>
        </w:tc>
        <w:tc>
          <w:tcPr>
            <w:tcW w:w="0" w:type="dxa"/>
            <w:vAlign w:val="bottom"/>
          </w:tcPr>
          <w:p>
            <w:pPr>
              <w:spacing w:after="0"/>
              <w:rPr>
                <w:sz w:val="1"/>
                <w:szCs w:val="1"/>
                <w:color w:val="auto"/>
              </w:rPr>
            </w:pPr>
          </w:p>
        </w:tc>
      </w:tr>
      <w:tr>
        <w:trPr>
          <w:trHeight w:val="184"/>
        </w:trPr>
        <w:tc>
          <w:tcPr>
            <w:tcW w:w="7060" w:type="dxa"/>
            <w:vAlign w:val="bottom"/>
            <w:tcBorders>
              <w:bottom w:val="single" w:sz="8" w:color="CCEEFF"/>
            </w:tcBorders>
          </w:tcPr>
          <w:p>
            <w:pPr>
              <w:spacing w:after="0"/>
              <w:rPr>
                <w:sz w:val="15"/>
                <w:szCs w:val="15"/>
                <w:color w:val="auto"/>
              </w:rPr>
            </w:pPr>
          </w:p>
        </w:tc>
        <w:tc>
          <w:tcPr>
            <w:tcW w:w="22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60" w:type="dxa"/>
            <w:vAlign w:val="bottom"/>
            <w:tcBorders>
              <w:bottom w:val="single" w:sz="8" w:color="auto"/>
            </w:tcBorders>
          </w:tcPr>
          <w:p>
            <w:pPr>
              <w:jc w:val="right"/>
              <w:ind w:right="54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and outstanding at December 31, 2021</w:t>
            </w:r>
          </w:p>
        </w:tc>
        <w:tc>
          <w:tcPr>
            <w:tcW w:w="2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Granted*</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709,064</w:t>
            </w:r>
          </w:p>
        </w:tc>
        <w:tc>
          <w:tcPr>
            <w:tcW w:w="19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23.36</w:t>
            </w:r>
          </w:p>
        </w:tc>
        <w:tc>
          <w:tcPr>
            <w:tcW w:w="0" w:type="dxa"/>
            <w:vAlign w:val="bottom"/>
          </w:tcPr>
          <w:p>
            <w:pPr>
              <w:spacing w:after="0"/>
              <w:rPr>
                <w:sz w:val="1"/>
                <w:szCs w:val="1"/>
                <w:color w:val="auto"/>
              </w:rPr>
            </w:pPr>
          </w:p>
        </w:tc>
      </w:tr>
      <w:tr>
        <w:trPr>
          <w:trHeight w:val="235"/>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and outstanding at September 30, 2022*</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709,064</w:t>
            </w: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23.36</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20"/>
        <w:spacing w:after="0"/>
        <w:rPr>
          <w:sz w:val="20"/>
          <w:szCs w:val="20"/>
          <w:color w:val="auto"/>
        </w:rPr>
      </w:pPr>
      <w:r>
        <w:rPr>
          <w:rFonts w:ascii="Arial" w:cs="Arial" w:eastAsia="Arial" w:hAnsi="Arial"/>
          <w:sz w:val="14"/>
          <w:szCs w:val="14"/>
          <w:color w:val="auto"/>
        </w:rPr>
        <w:t>*PSUs granted and outstanding based on target level of achievement of 100%.</w:t>
      </w:r>
    </w:p>
    <w:p>
      <w:pPr>
        <w:spacing w:after="0" w:line="200" w:lineRule="exact"/>
        <w:rPr>
          <w:sz w:val="20"/>
          <w:szCs w:val="20"/>
          <w:color w:val="auto"/>
        </w:rPr>
      </w:pPr>
    </w:p>
    <w:p>
      <w:pPr>
        <w:spacing w:after="0" w:line="333" w:lineRule="exact"/>
        <w:rPr>
          <w:sz w:val="20"/>
          <w:szCs w:val="20"/>
          <w:color w:val="auto"/>
        </w:rPr>
      </w:pPr>
    </w:p>
    <w:p>
      <w:pPr>
        <w:jc w:val="both"/>
        <w:ind w:right="20" w:firstLine="1070"/>
        <w:spacing w:after="0" w:line="274" w:lineRule="auto"/>
        <w:rPr>
          <w:sz w:val="20"/>
          <w:szCs w:val="20"/>
          <w:color w:val="auto"/>
        </w:rPr>
      </w:pPr>
      <w:r>
        <w:rPr>
          <w:rFonts w:ascii="Arial" w:cs="Arial" w:eastAsia="Arial" w:hAnsi="Arial"/>
          <w:sz w:val="17"/>
          <w:szCs w:val="17"/>
          <w:color w:val="auto"/>
        </w:rPr>
        <w:t>As of September 30, 2022, the Company had $15.6 million of unrecognized stock-based compensation expense related to outstanding PSUs expected to be recognized over a remaining weighted-average period of 1.83 years.</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110" w:lineRule="exact"/>
        <w:rPr>
          <w:sz w:val="20"/>
          <w:szCs w:val="20"/>
          <w:color w:val="auto"/>
        </w:rPr>
      </w:pPr>
    </w:p>
    <w:p>
      <w:pPr>
        <w:ind w:right="120" w:firstLine="1070"/>
        <w:spacing w:after="0" w:line="274" w:lineRule="auto"/>
        <w:rPr>
          <w:sz w:val="20"/>
          <w:szCs w:val="20"/>
          <w:color w:val="auto"/>
        </w:rPr>
      </w:pPr>
      <w:r>
        <w:rPr>
          <w:rFonts w:ascii="Arial" w:cs="Arial" w:eastAsia="Arial" w:hAnsi="Arial"/>
          <w:sz w:val="17"/>
          <w:szCs w:val="17"/>
          <w:color w:val="auto"/>
        </w:rPr>
        <w:t>The following table presents the components and classification of stock-based compensation expense for the Company’s stock-based awards for the three and nine months ended September 30, 2022 and 2021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140" w:type="dxa"/>
            <w:vAlign w:val="bottom"/>
            <w:gridSpan w:val="4"/>
          </w:tcPr>
          <w:p>
            <w:pPr>
              <w:jc w:val="right"/>
              <w:ind w:right="138"/>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gridSpan w:val="4"/>
          </w:tcPr>
          <w:p>
            <w:pPr>
              <w:jc w:val="right"/>
              <w:ind w:right="63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0"/>
        </w:trPr>
        <w:tc>
          <w:tcPr>
            <w:tcW w:w="59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338"/>
              <w:spacing w:after="0"/>
              <w:rPr>
                <w:sz w:val="20"/>
                <w:szCs w:val="20"/>
                <w:color w:val="auto"/>
              </w:rPr>
            </w:pPr>
            <w:r>
              <w:rPr>
                <w:rFonts w:ascii="Arial" w:cs="Arial" w:eastAsia="Arial" w:hAnsi="Arial"/>
                <w:sz w:val="14"/>
                <w:szCs w:val="14"/>
                <w:b w:val="1"/>
                <w:bCs w:val="1"/>
                <w:color w:val="auto"/>
                <w:w w:val="96"/>
              </w:rPr>
              <w:t>September 30,</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94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20"/>
              <w:spacing w:after="0"/>
              <w:rPr>
                <w:sz w:val="20"/>
                <w:szCs w:val="20"/>
                <w:color w:val="auto"/>
              </w:rPr>
            </w:pPr>
            <w:r>
              <w:rPr>
                <w:rFonts w:ascii="Arial" w:cs="Arial" w:eastAsia="Arial" w:hAnsi="Arial"/>
                <w:sz w:val="17"/>
                <w:szCs w:val="17"/>
                <w:color w:val="auto"/>
              </w:rPr>
              <w:t>Restricted stock awards</w:t>
            </w:r>
          </w:p>
        </w:tc>
        <w:tc>
          <w:tcPr>
            <w:tcW w:w="780" w:type="dxa"/>
            <w:vAlign w:val="bottom"/>
            <w:shd w:val="clear" w:color="auto" w:fill="CCEEFF"/>
          </w:tcPr>
          <w:p>
            <w:pPr>
              <w:jc w:val="right"/>
              <w:ind w:right="579"/>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598"/>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7"/>
                <w:szCs w:val="17"/>
                <w:color w:val="auto"/>
              </w:rPr>
              <w:t>Stock options and ESPP</w:t>
            </w: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9"/>
              </w:rPr>
              <w:t>3,087</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9"/>
              </w:rPr>
              <w:t>2,764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9,986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7,520</w:t>
            </w:r>
          </w:p>
        </w:tc>
        <w:tc>
          <w:tcPr>
            <w:tcW w:w="0" w:type="dxa"/>
            <w:vAlign w:val="bottom"/>
          </w:tcPr>
          <w:p>
            <w:pPr>
              <w:spacing w:after="0"/>
              <w:rPr>
                <w:sz w:val="1"/>
                <w:szCs w:val="1"/>
                <w:color w:val="auto"/>
              </w:rPr>
            </w:pPr>
          </w:p>
        </w:tc>
      </w:tr>
      <w:tr>
        <w:trPr>
          <w:trHeight w:val="217"/>
        </w:trPr>
        <w:tc>
          <w:tcPr>
            <w:tcW w:w="5940" w:type="dxa"/>
            <w:vAlign w:val="bottom"/>
            <w:shd w:val="clear" w:color="auto" w:fill="CFF0FC"/>
          </w:tcPr>
          <w:p>
            <w:pPr>
              <w:ind w:left="20"/>
              <w:spacing w:after="0"/>
              <w:rPr>
                <w:sz w:val="20"/>
                <w:szCs w:val="20"/>
                <w:color w:val="auto"/>
              </w:rPr>
            </w:pPr>
            <w:r>
              <w:rPr>
                <w:rFonts w:ascii="Arial" w:cs="Arial" w:eastAsia="Arial" w:hAnsi="Arial"/>
                <w:sz w:val="17"/>
                <w:szCs w:val="17"/>
                <w:color w:val="auto"/>
              </w:rPr>
              <w:t>Restricted stock units</w:t>
            </w:r>
          </w:p>
        </w:tc>
        <w:tc>
          <w:tcPr>
            <w:tcW w:w="780" w:type="dxa"/>
            <w:vAlign w:val="bottom"/>
            <w:shd w:val="clear" w:color="auto" w:fill="CCEEFF"/>
          </w:tcPr>
          <w:p>
            <w:pPr>
              <w:jc w:val="right"/>
              <w:ind w:right="579"/>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8"/>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7"/>
                <w:szCs w:val="17"/>
                <w:color w:val="auto"/>
              </w:rPr>
              <w:t>Performance-based restricted stock units</w:t>
            </w:r>
          </w:p>
        </w:tc>
        <w:tc>
          <w:tcPr>
            <w:tcW w:w="780" w:type="dxa"/>
            <w:vAlign w:val="bottom"/>
          </w:tcPr>
          <w:p>
            <w:pPr>
              <w:jc w:val="right"/>
              <w:ind w:right="579"/>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921</w:t>
            </w:r>
          </w:p>
        </w:tc>
        <w:tc>
          <w:tcPr>
            <w:tcW w:w="100" w:type="dxa"/>
            <w:vAlign w:val="bottom"/>
          </w:tcPr>
          <w:p>
            <w:pPr>
              <w:spacing w:after="0"/>
              <w:rPr>
                <w:sz w:val="18"/>
                <w:szCs w:val="18"/>
                <w:color w:val="auto"/>
              </w:rPr>
            </w:pPr>
          </w:p>
        </w:tc>
        <w:tc>
          <w:tcPr>
            <w:tcW w:w="780" w:type="dxa"/>
            <w:vAlign w:val="bottom"/>
          </w:tcPr>
          <w:p>
            <w:pPr>
              <w:jc w:val="right"/>
              <w:ind w:right="598"/>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921</w:t>
            </w:r>
          </w:p>
        </w:tc>
        <w:tc>
          <w:tcPr>
            <w:tcW w:w="100" w:type="dxa"/>
            <w:vAlign w:val="bottom"/>
          </w:tcPr>
          <w:p>
            <w:pPr>
              <w:spacing w:after="0"/>
              <w:rPr>
                <w:sz w:val="18"/>
                <w:szCs w:val="18"/>
                <w:color w:val="auto"/>
              </w:rPr>
            </w:pPr>
          </w:p>
        </w:tc>
        <w:tc>
          <w:tcPr>
            <w:tcW w:w="420" w:type="dxa"/>
            <w:vAlign w:val="bottom"/>
          </w:tcPr>
          <w:p>
            <w:pPr>
              <w:jc w:val="right"/>
              <w:ind w:right="23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59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Total stock-based compensation expense</w:t>
            </w:r>
          </w:p>
        </w:tc>
        <w:tc>
          <w:tcPr>
            <w:tcW w:w="780" w:type="dxa"/>
            <w:vAlign w:val="bottom"/>
            <w:tcBorders>
              <w:top w:val="single" w:sz="8" w:color="auto"/>
              <w:bottom w:val="single" w:sz="8" w:color="auto"/>
            </w:tcBorders>
            <w:shd w:val="clear" w:color="auto" w:fill="CCEEFF"/>
          </w:tcPr>
          <w:p>
            <w:pPr>
              <w:jc w:val="right"/>
              <w:ind w:right="579"/>
              <w:spacing w:after="0"/>
              <w:rPr>
                <w:sz w:val="20"/>
                <w:szCs w:val="20"/>
                <w:color w:val="auto"/>
              </w:rPr>
            </w:pPr>
            <w:r>
              <w:rPr>
                <w:rFonts w:ascii="Arial" w:cs="Arial" w:eastAsia="Arial" w:hAnsi="Arial"/>
                <w:sz w:val="17"/>
                <w:szCs w:val="17"/>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4,808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598"/>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2,811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7,669</w:t>
            </w:r>
          </w:p>
        </w:tc>
        <w:tc>
          <w:tcPr>
            <w:tcW w:w="0" w:type="dxa"/>
            <w:vAlign w:val="bottom"/>
          </w:tcPr>
          <w:p>
            <w:pPr>
              <w:spacing w:after="0"/>
              <w:rPr>
                <w:sz w:val="1"/>
                <w:szCs w:val="1"/>
                <w:color w:val="auto"/>
              </w:rPr>
            </w:pPr>
          </w:p>
        </w:tc>
      </w:tr>
      <w:tr>
        <w:trPr>
          <w:trHeight w:val="20"/>
        </w:trPr>
        <w:tc>
          <w:tcPr>
            <w:tcW w:w="594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7"/>
                <w:szCs w:val="17"/>
                <w:color w:val="auto"/>
              </w:rPr>
              <w:t>Research and development expenses</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40" w:type="dxa"/>
            <w:vAlign w:val="bottom"/>
            <w:vMerge w:val="continue"/>
          </w:tcPr>
          <w:p>
            <w:pPr>
              <w:spacing w:after="0"/>
              <w:rPr>
                <w:sz w:val="16"/>
                <w:szCs w:val="16"/>
                <w:color w:val="auto"/>
              </w:rPr>
            </w:pPr>
          </w:p>
        </w:tc>
        <w:tc>
          <w:tcPr>
            <w:tcW w:w="780" w:type="dxa"/>
            <w:vAlign w:val="bottom"/>
          </w:tcPr>
          <w:p>
            <w:pPr>
              <w:jc w:val="right"/>
              <w:ind w:right="579"/>
              <w:spacing w:after="0" w:line="188" w:lineRule="exact"/>
              <w:rPr>
                <w:sz w:val="20"/>
                <w:szCs w:val="20"/>
                <w:color w:val="auto"/>
              </w:rPr>
            </w:pPr>
            <w:r>
              <w:rPr>
                <w:rFonts w:ascii="Arial" w:cs="Arial" w:eastAsia="Arial" w:hAnsi="Arial"/>
                <w:sz w:val="17"/>
                <w:szCs w:val="17"/>
                <w:color w:val="auto"/>
              </w:rPr>
              <w:t>$</w:t>
            </w:r>
          </w:p>
        </w:tc>
        <w:tc>
          <w:tcPr>
            <w:tcW w:w="480" w:type="dxa"/>
            <w:vAlign w:val="bottom"/>
          </w:tcPr>
          <w:p>
            <w:pPr>
              <w:jc w:val="right"/>
              <w:spacing w:after="0" w:line="188" w:lineRule="exact"/>
              <w:rPr>
                <w:sz w:val="20"/>
                <w:szCs w:val="20"/>
                <w:color w:val="auto"/>
              </w:rPr>
            </w:pPr>
            <w:r>
              <w:rPr>
                <w:rFonts w:ascii="Arial" w:cs="Arial" w:eastAsia="Arial" w:hAnsi="Arial"/>
                <w:sz w:val="17"/>
                <w:szCs w:val="17"/>
                <w:color w:val="auto"/>
                <w:w w:val="89"/>
              </w:rPr>
              <w:t>2,999</w:t>
            </w:r>
          </w:p>
        </w:tc>
        <w:tc>
          <w:tcPr>
            <w:tcW w:w="100" w:type="dxa"/>
            <w:vAlign w:val="bottom"/>
          </w:tcPr>
          <w:p>
            <w:pPr>
              <w:spacing w:after="0"/>
              <w:rPr>
                <w:sz w:val="16"/>
                <w:szCs w:val="16"/>
                <w:color w:val="auto"/>
              </w:rPr>
            </w:pPr>
          </w:p>
        </w:tc>
        <w:tc>
          <w:tcPr>
            <w:tcW w:w="780" w:type="dxa"/>
            <w:vAlign w:val="bottom"/>
          </w:tcPr>
          <w:p>
            <w:pPr>
              <w:jc w:val="right"/>
              <w:ind w:right="598"/>
              <w:spacing w:after="0" w:line="188" w:lineRule="exact"/>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line="188" w:lineRule="exact"/>
              <w:rPr>
                <w:sz w:val="20"/>
                <w:szCs w:val="20"/>
                <w:color w:val="auto"/>
              </w:rPr>
            </w:pPr>
            <w:r>
              <w:rPr>
                <w:rFonts w:ascii="Arial" w:cs="Arial" w:eastAsia="Arial" w:hAnsi="Arial"/>
                <w:sz w:val="17"/>
                <w:szCs w:val="17"/>
                <w:color w:val="auto"/>
              </w:rPr>
              <w:t>915</w:t>
            </w:r>
          </w:p>
        </w:tc>
        <w:tc>
          <w:tcPr>
            <w:tcW w:w="100" w:type="dxa"/>
            <w:vAlign w:val="bottom"/>
          </w:tcPr>
          <w:p>
            <w:pPr>
              <w:spacing w:after="0"/>
              <w:rPr>
                <w:sz w:val="16"/>
                <w:szCs w:val="16"/>
                <w:color w:val="auto"/>
              </w:rPr>
            </w:pPr>
          </w:p>
        </w:tc>
        <w:tc>
          <w:tcPr>
            <w:tcW w:w="300" w:type="dxa"/>
            <w:vAlign w:val="bottom"/>
          </w:tcPr>
          <w:p>
            <w:pPr>
              <w:jc w:val="right"/>
              <w:ind w:right="95"/>
              <w:spacing w:after="0" w:line="188" w:lineRule="exact"/>
              <w:rPr>
                <w:sz w:val="20"/>
                <w:szCs w:val="20"/>
                <w:color w:val="auto"/>
              </w:rPr>
            </w:pPr>
            <w:r>
              <w:rPr>
                <w:rFonts w:ascii="Arial" w:cs="Arial" w:eastAsia="Arial" w:hAnsi="Arial"/>
                <w:sz w:val="17"/>
                <w:szCs w:val="17"/>
                <w:color w:val="auto"/>
              </w:rPr>
              <w:t>$</w:t>
            </w:r>
          </w:p>
        </w:tc>
        <w:tc>
          <w:tcPr>
            <w:tcW w:w="960" w:type="dxa"/>
            <w:vAlign w:val="bottom"/>
          </w:tcPr>
          <w:p>
            <w:pPr>
              <w:jc w:val="right"/>
              <w:spacing w:after="0" w:line="188" w:lineRule="exact"/>
              <w:rPr>
                <w:sz w:val="20"/>
                <w:szCs w:val="20"/>
                <w:color w:val="auto"/>
              </w:rPr>
            </w:pPr>
            <w:r>
              <w:rPr>
                <w:rFonts w:ascii="Arial" w:cs="Arial" w:eastAsia="Arial" w:hAnsi="Arial"/>
                <w:sz w:val="17"/>
                <w:szCs w:val="17"/>
                <w:color w:val="auto"/>
              </w:rPr>
              <w:t>6,675</w:t>
            </w:r>
          </w:p>
        </w:tc>
        <w:tc>
          <w:tcPr>
            <w:tcW w:w="100" w:type="dxa"/>
            <w:vAlign w:val="bottom"/>
          </w:tcPr>
          <w:p>
            <w:pPr>
              <w:spacing w:after="0"/>
              <w:rPr>
                <w:sz w:val="16"/>
                <w:szCs w:val="16"/>
                <w:color w:val="auto"/>
              </w:rPr>
            </w:pPr>
          </w:p>
        </w:tc>
        <w:tc>
          <w:tcPr>
            <w:tcW w:w="420" w:type="dxa"/>
            <w:vAlign w:val="bottom"/>
          </w:tcPr>
          <w:p>
            <w:pPr>
              <w:jc w:val="right"/>
              <w:ind w:right="235"/>
              <w:spacing w:after="0" w:line="188" w:lineRule="exact"/>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line="188" w:lineRule="exact"/>
              <w:rPr>
                <w:sz w:val="20"/>
                <w:szCs w:val="20"/>
                <w:color w:val="auto"/>
              </w:rPr>
            </w:pPr>
            <w:r>
              <w:rPr>
                <w:rFonts w:ascii="Arial" w:cs="Arial" w:eastAsia="Arial" w:hAnsi="Arial"/>
                <w:sz w:val="17"/>
                <w:szCs w:val="17"/>
                <w:color w:val="auto"/>
              </w:rPr>
              <w:t>2,953</w:t>
            </w:r>
          </w:p>
        </w:tc>
        <w:tc>
          <w:tcPr>
            <w:tcW w:w="0" w:type="dxa"/>
            <w:vAlign w:val="bottom"/>
          </w:tcPr>
          <w:p>
            <w:pPr>
              <w:spacing w:after="0"/>
              <w:rPr>
                <w:sz w:val="1"/>
                <w:szCs w:val="1"/>
                <w:color w:val="auto"/>
              </w:rPr>
            </w:pPr>
          </w:p>
        </w:tc>
      </w:tr>
      <w:tr>
        <w:trPr>
          <w:trHeight w:val="217"/>
        </w:trPr>
        <w:tc>
          <w:tcPr>
            <w:tcW w:w="5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 expenses</w:t>
            </w:r>
          </w:p>
        </w:tc>
        <w:tc>
          <w:tcPr>
            <w:tcW w:w="780" w:type="dxa"/>
            <w:vAlign w:val="bottom"/>
            <w:shd w:val="clear" w:color="auto" w:fill="CCEEFF"/>
          </w:tcPr>
          <w:p>
            <w:pPr>
              <w:jc w:val="right"/>
              <w:ind w:right="579"/>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1,809</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8"/>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1,896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4,716</w:t>
            </w:r>
          </w:p>
        </w:tc>
        <w:tc>
          <w:tcPr>
            <w:tcW w:w="0" w:type="dxa"/>
            <w:vAlign w:val="bottom"/>
          </w:tcPr>
          <w:p>
            <w:pPr>
              <w:spacing w:after="0"/>
              <w:rPr>
                <w:sz w:val="1"/>
                <w:szCs w:val="1"/>
                <w:color w:val="auto"/>
              </w:rPr>
            </w:pPr>
          </w:p>
        </w:tc>
      </w:tr>
    </w:tbl>
    <w:p>
      <w:pPr>
        <w:spacing w:after="0" w:line="38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2020 Employee Stock Purchase Plan</w:t>
      </w:r>
    </w:p>
    <w:p>
      <w:pPr>
        <w:spacing w:after="0" w:line="110" w:lineRule="exact"/>
        <w:rPr>
          <w:sz w:val="20"/>
          <w:szCs w:val="20"/>
          <w:color w:val="auto"/>
        </w:rPr>
      </w:pPr>
    </w:p>
    <w:p>
      <w:pPr>
        <w:ind w:right="80" w:firstLine="1070"/>
        <w:spacing w:after="0" w:line="256" w:lineRule="auto"/>
        <w:rPr>
          <w:sz w:val="20"/>
          <w:szCs w:val="20"/>
          <w:color w:val="auto"/>
        </w:rPr>
      </w:pPr>
      <w:r>
        <w:rPr>
          <w:rFonts w:ascii="Arial" w:cs="Arial" w:eastAsia="Arial" w:hAnsi="Arial"/>
          <w:sz w:val="17"/>
          <w:szCs w:val="17"/>
          <w:color w:val="auto"/>
        </w:rPr>
        <w:t>In June 2020, the Company adopted the Company's 2020 Employee Stock Purchase Plan (the "2020 ESPP"). The Company reserved 700,000 shares of common stock for future issuance under the plan. The 2020 ESPP provides that the number of shares reserved and available for issuance will automatically increase on January 1 of each calendar year, beginning January 1, 2021, by the least of (1) 1.0% of the total number of shares of common stock outstanding on December 31 of the preceding calendar year, (2) 700,000 shares or (3) such lesser amount as determined by the administrator of the 2020 ESPP, which is the compensation committee of the board of directors of the Company.</w:t>
      </w:r>
    </w:p>
    <w:p>
      <w:pPr>
        <w:spacing w:after="0" w:line="180" w:lineRule="exact"/>
        <w:rPr>
          <w:sz w:val="20"/>
          <w:szCs w:val="20"/>
          <w:color w:val="auto"/>
        </w:rPr>
      </w:pPr>
    </w:p>
    <w:p>
      <w:pPr>
        <w:ind w:right="100" w:firstLine="1070"/>
        <w:spacing w:after="0" w:line="293" w:lineRule="auto"/>
        <w:rPr>
          <w:sz w:val="20"/>
          <w:szCs w:val="20"/>
          <w:color w:val="auto"/>
        </w:rPr>
      </w:pPr>
      <w:r>
        <w:rPr>
          <w:rFonts w:ascii="Arial" w:cs="Arial" w:eastAsia="Arial" w:hAnsi="Arial"/>
          <w:sz w:val="15"/>
          <w:szCs w:val="15"/>
          <w:color w:val="auto"/>
        </w:rPr>
        <w:t>Under the 2020 ESPP, eligible employees may purchase shares of our common stock through payroll deductions that cannot exceed 15% of each employee’s salary. The 2020 ESPP provides for a six-month offering period. At the end of the purchase period, eligible employees are permitted to purchase shares of common stock at the lower of 85% of the fair market value at the beginning of the offering period or 85% of the fair market value at the end of the purchase period, subject to tax limitations on the total value of the purchase. The 2020 ESPP is considered a compensatory plan, and the Company recorded $0.1 million and $0.2 million in stock-based compensation expense for the three and nine months ended September 30, 2022. There was $0.1 million and $0.5 million in stock-based compensation expense attributed to the 2020 ESPP for the three and nine months ended September 30, 2021, respectively. During the nine months ended September 30, 2022, 85,969 shares of common stock were issued under the 2020 ESPP with 888,184 shares remaining available for issuance under</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20" w:name="page21"/>
    <w:bookmarkEnd w:id="20"/>
    <w:p>
      <w:pPr>
        <w:ind w:right="520"/>
        <w:spacing w:after="0" w:line="274" w:lineRule="auto"/>
        <w:rPr>
          <w:sz w:val="20"/>
          <w:szCs w:val="20"/>
          <w:color w:val="auto"/>
        </w:rPr>
      </w:pPr>
      <w:r>
        <w:rPr>
          <w:rFonts w:ascii="Arial" w:cs="Arial" w:eastAsia="Arial" w:hAnsi="Arial"/>
          <w:sz w:val="17"/>
          <w:szCs w:val="17"/>
          <w:color w:val="auto"/>
        </w:rPr>
        <w:t>the 2020 ESPP. The Company used Black-Scholes option pricing model to estimate stock-based compensation expense for the 2020 ESPP with the following assumptions:</w:t>
      </w:r>
    </w:p>
    <w:p>
      <w:pPr>
        <w:spacing w:after="0" w:line="61"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Nine Months Ended</w:t>
      </w:r>
    </w:p>
    <w:p>
      <w:pPr>
        <w:jc w:val="center"/>
        <w:ind w:left="6760"/>
        <w:spacing w:after="0"/>
        <w:rPr>
          <w:sz w:val="20"/>
          <w:szCs w:val="20"/>
          <w:color w:val="auto"/>
        </w:rPr>
      </w:pPr>
      <w:r>
        <w:rPr>
          <w:rFonts w:ascii="Arial" w:cs="Arial" w:eastAsia="Arial" w:hAnsi="Arial"/>
          <w:sz w:val="14"/>
          <w:szCs w:val="14"/>
          <w:b w:val="1"/>
          <w:bCs w:val="1"/>
          <w:color w:val="auto"/>
        </w:rPr>
        <w:t>September 30,</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00" w:type="dxa"/>
            <w:vAlign w:val="bottom"/>
            <w:tcBorders>
              <w:bottom w:val="single" w:sz="8" w:color="CFF0FC"/>
            </w:tcBorders>
          </w:tcPr>
          <w:p>
            <w:pPr>
              <w:spacing w:after="0"/>
              <w:rPr>
                <w:sz w:val="17"/>
                <w:szCs w:val="17"/>
                <w:color w:val="auto"/>
              </w:rPr>
            </w:pPr>
          </w:p>
        </w:tc>
        <w:tc>
          <w:tcPr>
            <w:tcW w:w="17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top w:val="single" w:sz="8" w:color="auto"/>
              <w:bottom w:val="single" w:sz="8" w:color="CFF0FC"/>
            </w:tcBorders>
          </w:tcPr>
          <w:p>
            <w:pPr>
              <w:spacing w:after="0"/>
              <w:rPr>
                <w:sz w:val="17"/>
                <w:szCs w:val="17"/>
                <w:color w:val="auto"/>
              </w:rPr>
            </w:pPr>
          </w:p>
        </w:tc>
        <w:tc>
          <w:tcPr>
            <w:tcW w:w="17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2021</w:t>
            </w:r>
          </w:p>
        </w:tc>
      </w:tr>
      <w:tr>
        <w:trPr>
          <w:trHeight w:val="216"/>
        </w:trPr>
        <w:tc>
          <w:tcPr>
            <w:tcW w:w="7200" w:type="dxa"/>
            <w:vAlign w:val="bottom"/>
            <w:shd w:val="clear" w:color="auto" w:fill="CFF0FC"/>
          </w:tcPr>
          <w:p>
            <w:pPr>
              <w:ind w:left="20"/>
              <w:spacing w:after="0"/>
              <w:rPr>
                <w:sz w:val="20"/>
                <w:szCs w:val="20"/>
                <w:color w:val="auto"/>
              </w:rPr>
            </w:pPr>
            <w:r>
              <w:rPr>
                <w:rFonts w:ascii="Arial" w:cs="Arial" w:eastAsia="Arial" w:hAnsi="Arial"/>
                <w:sz w:val="17"/>
                <w:szCs w:val="17"/>
                <w:color w:val="auto"/>
              </w:rPr>
              <w:t>Risk-free interest rate</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0.60%</w:t>
            </w:r>
          </w:p>
        </w:tc>
        <w:tc>
          <w:tcPr>
            <w:tcW w:w="940" w:type="dxa"/>
            <w:vAlign w:val="bottom"/>
            <w:shd w:val="clear" w:color="auto" w:fill="CFF0FC"/>
          </w:tcPr>
          <w:p>
            <w:pPr>
              <w:ind w:left="20"/>
              <w:spacing w:after="0"/>
              <w:rPr>
                <w:sz w:val="20"/>
                <w:szCs w:val="20"/>
                <w:color w:val="auto"/>
              </w:rPr>
            </w:pPr>
            <w:r>
              <w:rPr>
                <w:rFonts w:ascii="Arial" w:cs="Arial" w:eastAsia="Arial" w:hAnsi="Arial"/>
                <w:sz w:val="17"/>
                <w:szCs w:val="17"/>
                <w:color w:val="auto"/>
              </w:rPr>
              <w:t>- 3.34%</w:t>
            </w:r>
          </w:p>
        </w:tc>
        <w:tc>
          <w:tcPr>
            <w:tcW w:w="100" w:type="dxa"/>
            <w:vAlign w:val="bottom"/>
            <w:shd w:val="clear" w:color="auto" w:fill="CFF0FC"/>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0.06%</w:t>
            </w:r>
          </w:p>
        </w:tc>
        <w:tc>
          <w:tcPr>
            <w:tcW w:w="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- 0.07%</w:t>
            </w:r>
          </w:p>
        </w:tc>
      </w:tr>
      <w:tr>
        <w:trPr>
          <w:trHeight w:val="216"/>
        </w:trPr>
        <w:tc>
          <w:tcPr>
            <w:tcW w:w="7200" w:type="dxa"/>
            <w:vAlign w:val="bottom"/>
          </w:tcPr>
          <w:p>
            <w:pPr>
              <w:ind w:left="20"/>
              <w:spacing w:after="0"/>
              <w:rPr>
                <w:sz w:val="20"/>
                <w:szCs w:val="20"/>
                <w:color w:val="auto"/>
              </w:rPr>
            </w:pPr>
            <w:r>
              <w:rPr>
                <w:rFonts w:ascii="Arial" w:cs="Arial" w:eastAsia="Arial" w:hAnsi="Arial"/>
                <w:sz w:val="17"/>
                <w:szCs w:val="17"/>
                <w:color w:val="auto"/>
              </w:rPr>
              <w:t>Expected term of options (in years)</w:t>
            </w:r>
          </w:p>
        </w:tc>
        <w:tc>
          <w:tcPr>
            <w:tcW w:w="1760" w:type="dxa"/>
            <w:vAlign w:val="bottom"/>
            <w:gridSpan w:val="2"/>
          </w:tcPr>
          <w:p>
            <w:pPr>
              <w:jc w:val="center"/>
              <w:spacing w:after="0"/>
              <w:rPr>
                <w:sz w:val="20"/>
                <w:szCs w:val="20"/>
                <w:color w:val="auto"/>
              </w:rPr>
            </w:pPr>
            <w:r>
              <w:rPr>
                <w:rFonts w:ascii="Arial" w:cs="Arial" w:eastAsia="Arial" w:hAnsi="Arial"/>
                <w:sz w:val="17"/>
                <w:szCs w:val="17"/>
                <w:color w:val="auto"/>
                <w:w w:val="90"/>
              </w:rPr>
              <w:t>0.50</w:t>
            </w:r>
          </w:p>
        </w:tc>
        <w:tc>
          <w:tcPr>
            <w:tcW w:w="100" w:type="dxa"/>
            <w:vAlign w:val="bottom"/>
          </w:tcPr>
          <w:p>
            <w:pPr>
              <w:spacing w:after="0"/>
              <w:rPr>
                <w:sz w:val="18"/>
                <w:szCs w:val="18"/>
                <w:color w:val="auto"/>
              </w:rPr>
            </w:pPr>
          </w:p>
        </w:tc>
        <w:tc>
          <w:tcPr>
            <w:tcW w:w="1760" w:type="dxa"/>
            <w:vAlign w:val="bottom"/>
            <w:gridSpan w:val="2"/>
          </w:tcPr>
          <w:p>
            <w:pPr>
              <w:jc w:val="center"/>
              <w:spacing w:after="0"/>
              <w:rPr>
                <w:sz w:val="20"/>
                <w:szCs w:val="20"/>
                <w:color w:val="auto"/>
              </w:rPr>
            </w:pPr>
            <w:r>
              <w:rPr>
                <w:rFonts w:ascii="Arial" w:cs="Arial" w:eastAsia="Arial" w:hAnsi="Arial"/>
                <w:sz w:val="17"/>
                <w:szCs w:val="17"/>
                <w:color w:val="auto"/>
                <w:w w:val="90"/>
              </w:rPr>
              <w:t>0.50</w:t>
            </w:r>
          </w:p>
        </w:tc>
      </w:tr>
      <w:tr>
        <w:trPr>
          <w:trHeight w:val="217"/>
        </w:trPr>
        <w:tc>
          <w:tcPr>
            <w:tcW w:w="7200" w:type="dxa"/>
            <w:vAlign w:val="bottom"/>
            <w:shd w:val="clear" w:color="auto" w:fill="CFF0FC"/>
          </w:tcPr>
          <w:p>
            <w:pPr>
              <w:ind w:left="20"/>
              <w:spacing w:after="0"/>
              <w:rPr>
                <w:sz w:val="20"/>
                <w:szCs w:val="20"/>
                <w:color w:val="auto"/>
              </w:rPr>
            </w:pPr>
            <w:r>
              <w:rPr>
                <w:rFonts w:ascii="Arial" w:cs="Arial" w:eastAsia="Arial" w:hAnsi="Arial"/>
                <w:sz w:val="17"/>
                <w:szCs w:val="17"/>
                <w:color w:val="auto"/>
              </w:rPr>
              <w:t>Expected stock price volatility</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63.17%</w:t>
            </w:r>
          </w:p>
        </w:tc>
        <w:tc>
          <w:tcPr>
            <w:tcW w:w="940" w:type="dxa"/>
            <w:vAlign w:val="bottom"/>
            <w:shd w:val="clear" w:color="auto" w:fill="CFF0FC"/>
          </w:tcPr>
          <w:p>
            <w:pPr>
              <w:ind w:left="20"/>
              <w:spacing w:after="0"/>
              <w:rPr>
                <w:sz w:val="20"/>
                <w:szCs w:val="20"/>
                <w:color w:val="auto"/>
              </w:rPr>
            </w:pPr>
            <w:r>
              <w:rPr>
                <w:rFonts w:ascii="Arial" w:cs="Arial" w:eastAsia="Arial" w:hAnsi="Arial"/>
                <w:sz w:val="17"/>
                <w:szCs w:val="17"/>
                <w:color w:val="auto"/>
              </w:rPr>
              <w:t>- 82.02%</w:t>
            </w:r>
          </w:p>
        </w:tc>
        <w:tc>
          <w:tcPr>
            <w:tcW w:w="100" w:type="dxa"/>
            <w:vAlign w:val="bottom"/>
            <w:shd w:val="clear" w:color="auto" w:fill="CFF0FC"/>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67.16%</w:t>
            </w:r>
          </w:p>
        </w:tc>
        <w:tc>
          <w:tcPr>
            <w:tcW w:w="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- 89.51%</w:t>
            </w:r>
          </w:p>
        </w:tc>
      </w:tr>
      <w:tr>
        <w:trPr>
          <w:trHeight w:val="216"/>
        </w:trPr>
        <w:tc>
          <w:tcPr>
            <w:tcW w:w="7200" w:type="dxa"/>
            <w:vAlign w:val="bottom"/>
          </w:tcPr>
          <w:p>
            <w:pPr>
              <w:ind w:left="20"/>
              <w:spacing w:after="0"/>
              <w:rPr>
                <w:sz w:val="20"/>
                <w:szCs w:val="20"/>
                <w:color w:val="auto"/>
              </w:rPr>
            </w:pPr>
            <w:r>
              <w:rPr>
                <w:rFonts w:ascii="Arial" w:cs="Arial" w:eastAsia="Arial" w:hAnsi="Arial"/>
                <w:sz w:val="17"/>
                <w:szCs w:val="17"/>
                <w:color w:val="auto"/>
              </w:rPr>
              <w:t>Expected dividends</w:t>
            </w:r>
          </w:p>
        </w:tc>
        <w:tc>
          <w:tcPr>
            <w:tcW w:w="1860" w:type="dxa"/>
            <w:vAlign w:val="bottom"/>
            <w:gridSpan w:val="3"/>
          </w:tcPr>
          <w:p>
            <w:pPr>
              <w:jc w:val="center"/>
              <w:ind w:right="100"/>
              <w:spacing w:after="0"/>
              <w:rPr>
                <w:sz w:val="20"/>
                <w:szCs w:val="20"/>
                <w:color w:val="auto"/>
              </w:rPr>
            </w:pPr>
            <w:r>
              <w:rPr>
                <w:rFonts w:ascii="Arial" w:cs="Arial" w:eastAsia="Arial" w:hAnsi="Arial"/>
                <w:sz w:val="17"/>
                <w:szCs w:val="17"/>
                <w:color w:val="auto"/>
                <w:w w:val="93"/>
              </w:rPr>
              <w:t>—</w:t>
            </w:r>
          </w:p>
        </w:tc>
        <w:tc>
          <w:tcPr>
            <w:tcW w:w="1760" w:type="dxa"/>
            <w:vAlign w:val="bottom"/>
            <w:gridSpan w:val="2"/>
          </w:tcPr>
          <w:p>
            <w:pPr>
              <w:jc w:val="center"/>
              <w:spacing w:after="0"/>
              <w:rPr>
                <w:sz w:val="20"/>
                <w:szCs w:val="20"/>
                <w:color w:val="auto"/>
              </w:rPr>
            </w:pPr>
            <w:r>
              <w:rPr>
                <w:rFonts w:ascii="Arial" w:cs="Arial" w:eastAsia="Arial" w:hAnsi="Arial"/>
                <w:sz w:val="17"/>
                <w:szCs w:val="17"/>
                <w:color w:val="auto"/>
              </w:rPr>
              <w:t>—</w:t>
            </w:r>
          </w:p>
        </w:tc>
      </w:tr>
    </w:tbl>
    <w:p>
      <w:pPr>
        <w:spacing w:after="0" w:line="3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Income Taxes</w:t>
      </w:r>
    </w:p>
    <w:p>
      <w:pPr>
        <w:spacing w:after="0" w:line="114" w:lineRule="exact"/>
        <w:rPr>
          <w:sz w:val="20"/>
          <w:szCs w:val="20"/>
          <w:color w:val="auto"/>
        </w:rPr>
      </w:pPr>
    </w:p>
    <w:p>
      <w:pPr>
        <w:ind w:right="60" w:firstLine="1070"/>
        <w:spacing w:after="0" w:line="313" w:lineRule="auto"/>
        <w:rPr>
          <w:sz w:val="20"/>
          <w:szCs w:val="20"/>
          <w:color w:val="auto"/>
        </w:rPr>
      </w:pPr>
      <w:r>
        <w:rPr>
          <w:rFonts w:ascii="Arial" w:cs="Arial" w:eastAsia="Arial" w:hAnsi="Arial"/>
          <w:sz w:val="15"/>
          <w:szCs w:val="15"/>
          <w:color w:val="auto"/>
        </w:rPr>
        <w:t>For the three and nine months ended September 30, 2022 and 2021, the Company did not record an income tax provision. The Company will continue to maintain a 100% valuation allowance on total deferred tax assets. The Company believes it is more likely than not that the related deferred tax asset will not be realized. As a result, the Company’s effective tax rate will remain at 0% because there are no estimated or discrete items that would impact the tax provision.</w:t>
      </w:r>
    </w:p>
    <w:p>
      <w:pPr>
        <w:spacing w:after="0" w:line="38" w:lineRule="exact"/>
        <w:rPr>
          <w:sz w:val="20"/>
          <w:szCs w:val="20"/>
          <w:color w:val="auto"/>
        </w:rPr>
      </w:pPr>
    </w:p>
    <w:p>
      <w:pPr>
        <w:ind w:right="140" w:firstLine="1070"/>
        <w:spacing w:after="0" w:line="295" w:lineRule="auto"/>
        <w:rPr>
          <w:sz w:val="20"/>
          <w:szCs w:val="20"/>
          <w:color w:val="auto"/>
        </w:rPr>
      </w:pPr>
      <w:r>
        <w:rPr>
          <w:rFonts w:ascii="Arial" w:cs="Arial" w:eastAsia="Arial" w:hAnsi="Arial"/>
          <w:sz w:val="15"/>
          <w:szCs w:val="15"/>
          <w:color w:val="auto"/>
        </w:rPr>
        <w:t>Utilization of net operating loss carryforwards and research and development credit carryforwards may be subject to an annual limitation due to limitations under Sections 382 and 383. These annual limitations may result in the expiration of the net operating loss carryforwards and research and development credit carryforwards before utilization. We have performed an analysis under Internal Revenue Code (“IRC”) Sections 382 and 383 to determine the amount of our net operating loss carryforwards and research and development credit carryforwards that will be subject to annual limitation. While we experienced one or more ownership changes prior to September 30, 2022, there are no permanent limitations under IRC Sections 382 and 383 that would reduce the total amount of net operating loss and tax credit carryforwards available to the Company. Subsequent ownership changes may affect the limitation in future years.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Commitments and Contingencies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Purchase Commitments</w:t>
      </w:r>
    </w:p>
    <w:p>
      <w:pPr>
        <w:spacing w:after="0" w:line="110" w:lineRule="exact"/>
        <w:rPr>
          <w:sz w:val="20"/>
          <w:szCs w:val="20"/>
          <w:color w:val="auto"/>
        </w:rPr>
      </w:pPr>
    </w:p>
    <w:p>
      <w:pPr>
        <w:ind w:right="420" w:firstLine="1070"/>
        <w:spacing w:after="0" w:line="274" w:lineRule="auto"/>
        <w:rPr>
          <w:sz w:val="20"/>
          <w:szCs w:val="20"/>
          <w:color w:val="auto"/>
        </w:rPr>
      </w:pPr>
      <w:r>
        <w:rPr>
          <w:rFonts w:ascii="Arial" w:cs="Arial" w:eastAsia="Arial" w:hAnsi="Arial"/>
          <w:sz w:val="17"/>
          <w:szCs w:val="17"/>
          <w:color w:val="auto"/>
        </w:rPr>
        <w:t>The Company has contractual arrangements with research and development organizations and suppliers; however, these contracts are generally cancellable on 30 days’ notice and the obligations under these contracts are largely based on services performed.</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License and Collaboration Agreements</w:t>
      </w:r>
    </w:p>
    <w:p>
      <w:pPr>
        <w:spacing w:after="0" w:line="110"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Potential payments related to the Company’s license and research agreements, including milestone and royalty payments, are detailed in Notes 8 and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9.</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Leases</w:t>
      </w:r>
    </w:p>
    <w:p>
      <w:pPr>
        <w:spacing w:after="0" w:line="114" w:lineRule="exact"/>
        <w:rPr>
          <w:sz w:val="20"/>
          <w:szCs w:val="20"/>
          <w:color w:val="auto"/>
        </w:rPr>
      </w:pPr>
    </w:p>
    <w:p>
      <w:pPr>
        <w:ind w:firstLine="611"/>
        <w:spacing w:after="0" w:line="290" w:lineRule="auto"/>
        <w:rPr>
          <w:sz w:val="20"/>
          <w:szCs w:val="20"/>
          <w:color w:val="auto"/>
        </w:rPr>
      </w:pPr>
      <w:r>
        <w:rPr>
          <w:rFonts w:ascii="Arial" w:cs="Arial" w:eastAsia="Arial" w:hAnsi="Arial"/>
          <w:sz w:val="15"/>
          <w:szCs w:val="15"/>
          <w:color w:val="auto"/>
        </w:rPr>
        <w:t>In February 2018, the Company entered into a non-cancelable lease agreement (the “Lease”) for premises consisting of approximately 32,974 square feet located in South San Francisco, California (the “Premises”). The Company moved into the Premises in July 2018. The Premises is being used for the Company’s corporate headquarters and principal operating facility. The term of the Lease is eighty-four months, which commenced on July 1, 2018. Base rent was abated for the first two months of the lease term and thereafter is $0.2 million per month during the first year of the lease term, with specified annual increases thereafter. The Company paid a refundable security deposit of approximately $0.4 million, which is included in other non-current assets in the condensed balance sheets at September 30, 2022 and December 31, 2021. The Company has the right to extend the lease term by seven years upon written notice not more than twelve months nor less than nine months prior to the expiration of the original lease term, with monthly payments equal to the “fair rental value” as defined in the Lease. The exercise of lease renewal options is at the sole discretion of the Company and is not included in the right-of-use (ROU) asset and lease liability as it is not reasonably certain of exercise. This lease does not contain material variable rent payments, residual value guarantees, covenants, or other restrictions.</w:t>
      </w:r>
    </w:p>
    <w:p>
      <w:pPr>
        <w:spacing w:after="0" w:line="60" w:lineRule="exact"/>
        <w:rPr>
          <w:sz w:val="20"/>
          <w:szCs w:val="20"/>
          <w:color w:val="auto"/>
        </w:rPr>
      </w:pPr>
    </w:p>
    <w:p>
      <w:pPr>
        <w:ind w:right="60" w:firstLine="611"/>
        <w:spacing w:after="0" w:line="275" w:lineRule="auto"/>
        <w:rPr>
          <w:sz w:val="20"/>
          <w:szCs w:val="20"/>
          <w:color w:val="auto"/>
        </w:rPr>
      </w:pPr>
      <w:r>
        <w:rPr>
          <w:rFonts w:ascii="Arial" w:cs="Arial" w:eastAsia="Arial" w:hAnsi="Arial"/>
          <w:sz w:val="16"/>
          <w:szCs w:val="16"/>
          <w:color w:val="auto"/>
        </w:rPr>
        <w:t>In August 2022, the Company entered into a non-cancelable lease agreement for premises consisting of approximately 12,456 square feet located in South San Francisco, California. The premises is being used as additional office space for the Company. The term of the lease is 18 months, which commenced on August 1, 2022. Base rent is $0.1 million per month during the first year of the lease term, with specified annual increases of 3% thereafter. The Company has the right to extend the lease term by three years with monthly payments equal to the market rate of rent. The exercise of lease renewal options is at the sole discretion of the Company and is not included in the right-of-use (ROU) asset and lease liability as it is not reasonably</w:t>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21" w:name="page22"/>
    <w:bookmarkEnd w:id="21"/>
    <w:p>
      <w:pPr>
        <w:spacing w:after="0"/>
        <w:rPr>
          <w:sz w:val="20"/>
          <w:szCs w:val="20"/>
          <w:color w:val="auto"/>
        </w:rPr>
      </w:pPr>
      <w:r>
        <w:rPr>
          <w:rFonts w:ascii="Arial" w:cs="Arial" w:eastAsia="Arial" w:hAnsi="Arial"/>
          <w:sz w:val="17"/>
          <w:szCs w:val="17"/>
          <w:color w:val="auto"/>
        </w:rPr>
        <w:t>certain of exercise. This lease does not contain material variable rent payments, residual value guarantees, covenants, or other restrictions.</w:t>
      </w:r>
    </w:p>
    <w:p>
      <w:pPr>
        <w:spacing w:after="0" w:line="110" w:lineRule="exact"/>
        <w:rPr>
          <w:sz w:val="20"/>
          <w:szCs w:val="20"/>
          <w:color w:val="auto"/>
        </w:rPr>
      </w:pPr>
    </w:p>
    <w:p>
      <w:pPr>
        <w:ind w:right="40" w:firstLine="611"/>
        <w:spacing w:after="0" w:line="272" w:lineRule="auto"/>
        <w:rPr>
          <w:sz w:val="20"/>
          <w:szCs w:val="20"/>
          <w:color w:val="auto"/>
        </w:rPr>
      </w:pPr>
      <w:r>
        <w:rPr>
          <w:rFonts w:ascii="Arial" w:cs="Arial" w:eastAsia="Arial" w:hAnsi="Arial"/>
          <w:sz w:val="16"/>
          <w:szCs w:val="16"/>
          <w:color w:val="auto"/>
        </w:rPr>
        <w:t>For each of the three months ended September 30, 2022 and 2021, the Company recognized expenses associated with the operating leases of $0.7 million. For the nine months ended September 30, 2022 and 2021, the Company recognized expenses associated with the operating leases of $1.8 million and $1.7 million, respectively. Additionally, the Company incurred variable lease costs of $0.1 million and $0.2 million, and $0.4 million and $0.7 million, for the three and nine months ended September 30, 2022 and 2021, respectively, which is comprised primarily of the Company's proportionate share of operating expenses, property taxes, and insurance. Short-term lease expense and variable lease payments recorded in operating expenses were immaterial for the three and nine months ended September 30, 2022 and 2021. Cash paid for amounts included in the measurement of operating lease liabilities was $1.9 million for both the nine months ended September 30, 2022 and 2021, respectively.</w:t>
      </w:r>
    </w:p>
    <w:p>
      <w:pPr>
        <w:spacing w:after="0" w:line="56" w:lineRule="exact"/>
        <w:rPr>
          <w:sz w:val="20"/>
          <w:szCs w:val="20"/>
          <w:color w:val="auto"/>
        </w:rPr>
      </w:pPr>
    </w:p>
    <w:p>
      <w:pPr>
        <w:ind w:right="700" w:firstLine="611"/>
        <w:spacing w:after="0" w:line="258" w:lineRule="auto"/>
        <w:rPr>
          <w:sz w:val="20"/>
          <w:szCs w:val="20"/>
          <w:color w:val="auto"/>
        </w:rPr>
      </w:pPr>
      <w:r>
        <w:rPr>
          <w:rFonts w:ascii="Arial" w:cs="Arial" w:eastAsia="Arial" w:hAnsi="Arial"/>
          <w:sz w:val="17"/>
          <w:szCs w:val="17"/>
          <w:color w:val="auto"/>
        </w:rPr>
        <w:t>The undiscounted future non-cancellable lease payments of the Company's operating lease liabilities as of September 30, 2022 were as follows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40" w:type="dxa"/>
            <w:vAlign w:val="bottom"/>
          </w:tcPr>
          <w:p>
            <w:pPr>
              <w:ind w:left="20"/>
              <w:spacing w:after="0"/>
              <w:rPr>
                <w:sz w:val="20"/>
                <w:szCs w:val="20"/>
                <w:color w:val="auto"/>
              </w:rPr>
            </w:pPr>
            <w:r>
              <w:rPr>
                <w:rFonts w:ascii="Arial" w:cs="Arial" w:eastAsia="Arial" w:hAnsi="Arial"/>
                <w:sz w:val="14"/>
                <w:szCs w:val="14"/>
                <w:b w:val="1"/>
                <w:bCs w:val="1"/>
                <w:color w:val="auto"/>
              </w:rPr>
              <w:t>Quarter ending September 30, 2022:</w:t>
            </w:r>
          </w:p>
        </w:tc>
        <w:tc>
          <w:tcPr>
            <w:tcW w:w="1940" w:type="dxa"/>
            <w:vAlign w:val="bottom"/>
          </w:tcPr>
          <w:p>
            <w:pPr>
              <w:jc w:val="right"/>
              <w:ind w:right="181"/>
              <w:spacing w:after="0"/>
              <w:rPr>
                <w:sz w:val="20"/>
                <w:szCs w:val="20"/>
                <w:color w:val="auto"/>
              </w:rPr>
            </w:pPr>
            <w:r>
              <w:rPr>
                <w:rFonts w:ascii="Arial" w:cs="Arial" w:eastAsia="Arial" w:hAnsi="Arial"/>
                <w:sz w:val="14"/>
                <w:szCs w:val="14"/>
                <w:b w:val="1"/>
                <w:bCs w:val="1"/>
                <w:color w:val="auto"/>
              </w:rPr>
              <w:t>Operating Lease</w:t>
            </w:r>
          </w:p>
        </w:tc>
        <w:tc>
          <w:tcPr>
            <w:tcW w:w="480" w:type="dxa"/>
            <w:vAlign w:val="bottom"/>
          </w:tcPr>
          <w:p>
            <w:pPr>
              <w:spacing w:after="0"/>
              <w:rPr>
                <w:sz w:val="16"/>
                <w:szCs w:val="16"/>
                <w:color w:val="auto"/>
              </w:rPr>
            </w:pPr>
          </w:p>
        </w:tc>
      </w:tr>
      <w:tr>
        <w:trPr>
          <w:trHeight w:val="24"/>
        </w:trPr>
        <w:tc>
          <w:tcPr>
            <w:tcW w:w="84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09"/>
        </w:trPr>
        <w:tc>
          <w:tcPr>
            <w:tcW w:w="8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 (remainder of the year)</w:t>
            </w:r>
          </w:p>
        </w:tc>
        <w:tc>
          <w:tcPr>
            <w:tcW w:w="1940" w:type="dxa"/>
            <w:vAlign w:val="bottom"/>
            <w:shd w:val="clear" w:color="auto" w:fill="CCEEFF"/>
          </w:tcPr>
          <w:p>
            <w:pPr>
              <w:jc w:val="right"/>
              <w:ind w:right="1761"/>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773</w:t>
            </w:r>
          </w:p>
        </w:tc>
      </w:tr>
      <w:tr>
        <w:trPr>
          <w:trHeight w:val="216"/>
        </w:trPr>
        <w:tc>
          <w:tcPr>
            <w:tcW w:w="8440" w:type="dxa"/>
            <w:vAlign w:val="bottom"/>
          </w:tcPr>
          <w:p>
            <w:pPr>
              <w:ind w:left="20"/>
              <w:spacing w:after="0"/>
              <w:rPr>
                <w:sz w:val="20"/>
                <w:szCs w:val="20"/>
                <w:color w:val="auto"/>
              </w:rPr>
            </w:pPr>
            <w:r>
              <w:rPr>
                <w:rFonts w:ascii="Arial" w:cs="Arial" w:eastAsia="Arial" w:hAnsi="Arial"/>
                <w:sz w:val="17"/>
                <w:szCs w:val="17"/>
                <w:color w:val="auto"/>
              </w:rPr>
              <w:t>2023</w:t>
            </w:r>
          </w:p>
        </w:tc>
        <w:tc>
          <w:tcPr>
            <w:tcW w:w="1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9"/>
              </w:rPr>
              <w:t>3,080</w:t>
            </w:r>
          </w:p>
        </w:tc>
      </w:tr>
      <w:tr>
        <w:trPr>
          <w:trHeight w:val="217"/>
        </w:trPr>
        <w:tc>
          <w:tcPr>
            <w:tcW w:w="8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2,422</w:t>
            </w:r>
          </w:p>
        </w:tc>
      </w:tr>
      <w:tr>
        <w:trPr>
          <w:trHeight w:val="216"/>
        </w:trPr>
        <w:tc>
          <w:tcPr>
            <w:tcW w:w="8440" w:type="dxa"/>
            <w:vAlign w:val="bottom"/>
          </w:tcPr>
          <w:p>
            <w:pPr>
              <w:ind w:left="20"/>
              <w:spacing w:after="0"/>
              <w:rPr>
                <w:sz w:val="20"/>
                <w:szCs w:val="20"/>
                <w:color w:val="auto"/>
              </w:rPr>
            </w:pPr>
            <w:r>
              <w:rPr>
                <w:rFonts w:ascii="Arial" w:cs="Arial" w:eastAsia="Arial" w:hAnsi="Arial"/>
                <w:sz w:val="17"/>
                <w:szCs w:val="17"/>
                <w:color w:val="auto"/>
              </w:rPr>
              <w:t>2025</w:t>
            </w:r>
          </w:p>
        </w:tc>
        <w:tc>
          <w:tcPr>
            <w:tcW w:w="1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9"/>
              </w:rPr>
              <w:t>1,203</w:t>
            </w:r>
          </w:p>
        </w:tc>
      </w:tr>
      <w:tr>
        <w:trPr>
          <w:trHeight w:val="217"/>
        </w:trPr>
        <w:tc>
          <w:tcPr>
            <w:tcW w:w="8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19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9"/>
        </w:trPr>
        <w:tc>
          <w:tcPr>
            <w:tcW w:w="8440" w:type="dxa"/>
            <w:vAlign w:val="bottom"/>
          </w:tcPr>
          <w:p>
            <w:pPr>
              <w:ind w:left="20"/>
              <w:spacing w:after="0"/>
              <w:rPr>
                <w:sz w:val="20"/>
                <w:szCs w:val="20"/>
                <w:color w:val="auto"/>
              </w:rPr>
            </w:pPr>
            <w:r>
              <w:rPr>
                <w:rFonts w:ascii="Arial" w:cs="Arial" w:eastAsia="Arial" w:hAnsi="Arial"/>
                <w:sz w:val="17"/>
                <w:szCs w:val="17"/>
                <w:color w:val="auto"/>
              </w:rPr>
              <w:t>Total undiscounted lease payments</w:t>
            </w:r>
          </w:p>
        </w:tc>
        <w:tc>
          <w:tcPr>
            <w:tcW w:w="1940" w:type="dxa"/>
            <w:vAlign w:val="bottom"/>
          </w:tcPr>
          <w:p>
            <w:pPr>
              <w:jc w:val="right"/>
              <w:ind w:right="1761"/>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9"/>
              </w:rPr>
              <w:t>7,478</w:t>
            </w:r>
          </w:p>
        </w:tc>
      </w:tr>
      <w:tr>
        <w:trPr>
          <w:trHeight w:val="255"/>
        </w:trPr>
        <w:tc>
          <w:tcPr>
            <w:tcW w:w="8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Present value discount</w:t>
            </w:r>
          </w:p>
        </w:tc>
        <w:tc>
          <w:tcPr>
            <w:tcW w:w="194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703</w:t>
            </w:r>
          </w:p>
        </w:tc>
      </w:tr>
      <w:tr>
        <w:trPr>
          <w:trHeight w:val="209"/>
        </w:trPr>
        <w:tc>
          <w:tcPr>
            <w:tcW w:w="8440" w:type="dxa"/>
            <w:vAlign w:val="bottom"/>
          </w:tcPr>
          <w:p>
            <w:pPr>
              <w:ind w:left="20"/>
              <w:spacing w:after="0"/>
              <w:rPr>
                <w:sz w:val="20"/>
                <w:szCs w:val="20"/>
                <w:color w:val="auto"/>
              </w:rPr>
            </w:pPr>
            <w:r>
              <w:rPr>
                <w:rFonts w:ascii="Arial" w:cs="Arial" w:eastAsia="Arial" w:hAnsi="Arial"/>
                <w:sz w:val="17"/>
                <w:szCs w:val="17"/>
                <w:color w:val="auto"/>
              </w:rPr>
              <w:t>Total current operating lease liabilities</w:t>
            </w:r>
          </w:p>
        </w:tc>
        <w:tc>
          <w:tcPr>
            <w:tcW w:w="1940" w:type="dxa"/>
            <w:vAlign w:val="bottom"/>
          </w:tcPr>
          <w:p>
            <w:pPr>
              <w:jc w:val="right"/>
              <w:ind w:right="1761"/>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9"/>
              </w:rPr>
              <w:t>2,649</w:t>
            </w:r>
          </w:p>
        </w:tc>
      </w:tr>
      <w:tr>
        <w:trPr>
          <w:trHeight w:val="241"/>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non-current operating lease liabilities</w:t>
            </w:r>
          </w:p>
        </w:tc>
        <w:tc>
          <w:tcPr>
            <w:tcW w:w="1940" w:type="dxa"/>
            <w:vAlign w:val="bottom"/>
            <w:tcBorders>
              <w:bottom w:val="single" w:sz="8" w:color="auto"/>
            </w:tcBorders>
            <w:shd w:val="clear" w:color="auto" w:fill="CCEEFF"/>
          </w:tcPr>
          <w:p>
            <w:pPr>
              <w:jc w:val="right"/>
              <w:ind w:right="1761"/>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4,126</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r>
        <w:trPr>
          <w:trHeight w:val="327"/>
        </w:trPr>
        <w:tc>
          <w:tcPr>
            <w:tcW w:w="10380" w:type="dxa"/>
            <w:vAlign w:val="bottom"/>
            <w:gridSpan w:val="2"/>
          </w:tcPr>
          <w:p>
            <w:pPr>
              <w:ind w:left="620"/>
              <w:spacing w:after="0"/>
              <w:rPr>
                <w:sz w:val="20"/>
                <w:szCs w:val="20"/>
                <w:color w:val="auto"/>
              </w:rPr>
            </w:pPr>
            <w:r>
              <w:rPr>
                <w:rFonts w:ascii="Arial" w:cs="Arial" w:eastAsia="Arial" w:hAnsi="Arial"/>
                <w:sz w:val="17"/>
                <w:szCs w:val="17"/>
                <w:color w:val="auto"/>
              </w:rPr>
              <w:t>The weighted-average remaining lease terms and discount rates related to the Company's operating leases were as follows:</w:t>
            </w:r>
          </w:p>
        </w:tc>
        <w:tc>
          <w:tcPr>
            <w:tcW w:w="480" w:type="dxa"/>
            <w:vAlign w:val="bottom"/>
          </w:tcPr>
          <w:p>
            <w:pPr>
              <w:spacing w:after="0"/>
              <w:rPr>
                <w:sz w:val="24"/>
                <w:szCs w:val="24"/>
                <w:color w:val="auto"/>
              </w:rPr>
            </w:pPr>
          </w:p>
        </w:tc>
      </w:tr>
      <w:tr>
        <w:trPr>
          <w:trHeight w:val="270"/>
        </w:trPr>
        <w:tc>
          <w:tcPr>
            <w:tcW w:w="844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As of September 30, 2022</w:t>
            </w:r>
          </w:p>
        </w:tc>
        <w:tc>
          <w:tcPr>
            <w:tcW w:w="480" w:type="dxa"/>
            <w:vAlign w:val="bottom"/>
          </w:tcPr>
          <w:p>
            <w:pPr>
              <w:spacing w:after="0"/>
              <w:rPr>
                <w:sz w:val="23"/>
                <w:szCs w:val="23"/>
                <w:color w:val="auto"/>
              </w:rPr>
            </w:pPr>
          </w:p>
        </w:tc>
      </w:tr>
      <w:tr>
        <w:trPr>
          <w:trHeight w:val="24"/>
        </w:trPr>
        <w:tc>
          <w:tcPr>
            <w:tcW w:w="84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7"/>
        </w:trPr>
        <w:tc>
          <w:tcPr>
            <w:tcW w:w="8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remaining lease term (in years)</w:t>
            </w:r>
          </w:p>
        </w:tc>
        <w:tc>
          <w:tcPr>
            <w:tcW w:w="19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r>
      <w:tr>
        <w:trPr>
          <w:trHeight w:val="241"/>
        </w:trPr>
        <w:tc>
          <w:tcPr>
            <w:tcW w:w="8440" w:type="dxa"/>
            <w:vAlign w:val="bottom"/>
          </w:tcPr>
          <w:p>
            <w:pPr>
              <w:ind w:left="20"/>
              <w:spacing w:after="0"/>
              <w:rPr>
                <w:sz w:val="20"/>
                <w:szCs w:val="20"/>
                <w:color w:val="auto"/>
              </w:rPr>
            </w:pPr>
            <w:r>
              <w:rPr>
                <w:rFonts w:ascii="Arial" w:cs="Arial" w:eastAsia="Arial" w:hAnsi="Arial"/>
                <w:sz w:val="17"/>
                <w:szCs w:val="17"/>
                <w:color w:val="auto"/>
              </w:rPr>
              <w:t>Weighted-average discount rate</w:t>
            </w:r>
          </w:p>
        </w:tc>
        <w:tc>
          <w:tcPr>
            <w:tcW w:w="19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8.2%</w:t>
            </w:r>
          </w:p>
        </w:tc>
      </w:tr>
    </w:tbl>
    <w:p>
      <w:pPr>
        <w:spacing w:after="0" w:line="3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Related Party Transactions</w:t>
      </w:r>
    </w:p>
    <w:p>
      <w:pPr>
        <w:spacing w:after="0" w:line="216" w:lineRule="exact"/>
        <w:rPr>
          <w:sz w:val="20"/>
          <w:szCs w:val="20"/>
          <w:color w:val="auto"/>
        </w:rPr>
      </w:pPr>
    </w:p>
    <w:p>
      <w:pPr>
        <w:ind w:firstLine="1070"/>
        <w:spacing w:after="0" w:line="272" w:lineRule="auto"/>
        <w:rPr>
          <w:sz w:val="20"/>
          <w:szCs w:val="20"/>
          <w:color w:val="auto"/>
        </w:rPr>
      </w:pPr>
      <w:r>
        <w:rPr>
          <w:rFonts w:ascii="Arial" w:cs="Arial" w:eastAsia="Arial" w:hAnsi="Arial"/>
          <w:sz w:val="16"/>
          <w:szCs w:val="16"/>
          <w:color w:val="auto"/>
        </w:rPr>
        <w:t>In June 2022 and 2021, the Company granted 15,000 and 26,572 stock options with a grant date fair value of $0.1 million and $0.5 million to non-employee directors on the Company's board of directors with an affiliation to Third Rock Ventures. The shares of common stock subject to these options vest 25% on the first day of each calendar quarter for three quarters with the final vest date being the earlier of (i) the one-year anniversary of the grant date or (ii) the next Annual Meeting of Stockholders. In March 2020, the Company granted 26,573 stock options with a grant date fair value of $0.1 million to a partner at Third Rock Ventures, who is also serving as a non-employee director on the Company’s board of directors. The shares of common stock subject to these options vest 1/12th on the last day of each calendar quarter over a three-year period and commenced vesting upon completion of our IPO. In order to vest, the stockholders must be providing continuous service to the Company through such vesting date. See Note 13 for additional information.</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Defined Contribution Plan</w:t>
      </w:r>
    </w:p>
    <w:p>
      <w:pPr>
        <w:spacing w:after="0" w:line="114" w:lineRule="exact"/>
        <w:rPr>
          <w:sz w:val="20"/>
          <w:szCs w:val="20"/>
          <w:color w:val="auto"/>
        </w:rPr>
      </w:pPr>
    </w:p>
    <w:p>
      <w:pPr>
        <w:ind w:right="280" w:firstLine="1070"/>
        <w:spacing w:after="0" w:line="258" w:lineRule="auto"/>
        <w:rPr>
          <w:sz w:val="20"/>
          <w:szCs w:val="20"/>
          <w:color w:val="auto"/>
        </w:rPr>
      </w:pPr>
      <w:r>
        <w:rPr>
          <w:rFonts w:ascii="Arial" w:cs="Arial" w:eastAsia="Arial" w:hAnsi="Arial"/>
          <w:sz w:val="17"/>
          <w:szCs w:val="17"/>
          <w:color w:val="auto"/>
        </w:rPr>
        <w:t>The Company sponsors a defined contribution plan under Section 401(k) of the Internal Revenue Code covering substantially all full-time U.S. employees. Employee contributions are voluntary and are determined on an individual basis subject to the maximum allowable under federal tax regulations. The Company made contributions to the plan of $0.1 million for the three months ended September 30, 2022 and 2021, and $0.6 million and $0.5 million for the nine months ended September 30, 2022 and 2021.</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19. Net Loss Per Share Attributable to Common Stockholders</w:t>
      </w:r>
    </w:p>
    <w:p>
      <w:pPr>
        <w:spacing w:after="0" w:line="114" w:lineRule="exact"/>
        <w:rPr>
          <w:sz w:val="20"/>
          <w:szCs w:val="20"/>
          <w:color w:val="auto"/>
        </w:rPr>
      </w:pPr>
    </w:p>
    <w:p>
      <w:pPr>
        <w:ind w:right="260" w:firstLine="1070"/>
        <w:spacing w:after="0" w:line="274" w:lineRule="auto"/>
        <w:rPr>
          <w:sz w:val="20"/>
          <w:szCs w:val="20"/>
          <w:color w:val="auto"/>
        </w:rPr>
      </w:pPr>
      <w:r>
        <w:rPr>
          <w:rFonts w:ascii="Arial" w:cs="Arial" w:eastAsia="Arial" w:hAnsi="Arial"/>
          <w:sz w:val="17"/>
          <w:szCs w:val="17"/>
          <w:color w:val="auto"/>
        </w:rPr>
        <w:t>The following outstanding shares of potentially dilutive securities were excluded from the computation of diluted net loss per share attributable to common stockholders for the periods presented, because including them would have been antidilutive:</w:t>
      </w:r>
    </w:p>
    <w:p>
      <w:pPr>
        <w:spacing w:after="0" w:line="81"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Nine Months Ended September 30,</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4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840" w:type="dxa"/>
            <w:vAlign w:val="bottom"/>
            <w:tcBorders>
              <w:top w:val="single" w:sz="8" w:color="auto"/>
              <w:bottom w:val="single" w:sz="8" w:color="auto"/>
            </w:tcBorders>
          </w:tcPr>
          <w:p>
            <w:pPr>
              <w:jc w:val="right"/>
              <w:ind w:right="698"/>
              <w:spacing w:after="0"/>
              <w:rPr>
                <w:sz w:val="20"/>
                <w:szCs w:val="20"/>
                <w:color w:val="auto"/>
              </w:rPr>
            </w:pPr>
            <w:r>
              <w:rPr>
                <w:rFonts w:ascii="Arial" w:cs="Arial" w:eastAsia="Arial" w:hAnsi="Arial"/>
                <w:sz w:val="14"/>
                <w:szCs w:val="14"/>
                <w:b w:val="1"/>
                <w:bCs w:val="1"/>
                <w:color w:val="auto"/>
              </w:rPr>
              <w:t>2021</w:t>
            </w:r>
          </w:p>
        </w:tc>
      </w:tr>
      <w:tr>
        <w:trPr>
          <w:trHeight w:val="216"/>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 to purchase common stock</w:t>
            </w:r>
          </w:p>
        </w:tc>
        <w:tc>
          <w:tcPr>
            <w:tcW w:w="10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5,474,346</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3,687,930</w:t>
            </w:r>
          </w:p>
        </w:tc>
      </w:tr>
      <w:tr>
        <w:trPr>
          <w:trHeight w:val="216"/>
        </w:trPr>
        <w:tc>
          <w:tcPr>
            <w:tcW w:w="8420" w:type="dxa"/>
            <w:vAlign w:val="bottom"/>
            <w:gridSpan w:val="2"/>
          </w:tcPr>
          <w:p>
            <w:pPr>
              <w:ind w:left="20"/>
              <w:spacing w:after="0"/>
              <w:rPr>
                <w:sz w:val="20"/>
                <w:szCs w:val="20"/>
                <w:color w:val="auto"/>
              </w:rPr>
            </w:pPr>
            <w:r>
              <w:rPr>
                <w:rFonts w:ascii="Arial" w:cs="Arial" w:eastAsia="Arial" w:hAnsi="Arial"/>
                <w:sz w:val="17"/>
                <w:szCs w:val="17"/>
                <w:color w:val="auto"/>
              </w:rPr>
              <w:t>Restricted stock units</w:t>
            </w:r>
          </w:p>
        </w:tc>
        <w:tc>
          <w:tcPr>
            <w:tcW w:w="760" w:type="dxa"/>
            <w:vAlign w:val="bottom"/>
          </w:tcPr>
          <w:p>
            <w:pPr>
              <w:jc w:val="right"/>
              <w:spacing w:after="0"/>
              <w:rPr>
                <w:sz w:val="20"/>
                <w:szCs w:val="20"/>
                <w:color w:val="auto"/>
              </w:rPr>
            </w:pPr>
            <w:r>
              <w:rPr>
                <w:rFonts w:ascii="Arial" w:cs="Arial" w:eastAsia="Arial" w:hAnsi="Arial"/>
                <w:sz w:val="17"/>
                <w:szCs w:val="17"/>
                <w:color w:val="auto"/>
              </w:rPr>
              <w:t>523,475</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7"/>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Restricted stock awards granted and not purchased</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4,195</w:t>
            </w:r>
          </w:p>
        </w:tc>
      </w:tr>
      <w:tr>
        <w:trPr>
          <w:trHeight w:val="216"/>
        </w:trPr>
        <w:tc>
          <w:tcPr>
            <w:tcW w:w="8420" w:type="dxa"/>
            <w:vAlign w:val="bottom"/>
            <w:gridSpan w:val="2"/>
          </w:tcPr>
          <w:p>
            <w:pPr>
              <w:ind w:left="20"/>
              <w:spacing w:after="0"/>
              <w:rPr>
                <w:sz w:val="20"/>
                <w:szCs w:val="20"/>
                <w:color w:val="auto"/>
              </w:rPr>
            </w:pPr>
            <w:r>
              <w:rPr>
                <w:rFonts w:ascii="Arial" w:cs="Arial" w:eastAsia="Arial" w:hAnsi="Arial"/>
                <w:sz w:val="17"/>
                <w:szCs w:val="17"/>
                <w:color w:val="auto"/>
              </w:rPr>
              <w:t>Unvested restricted shares</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40" w:type="dxa"/>
            <w:vAlign w:val="bottom"/>
          </w:tcPr>
          <w:p>
            <w:pPr>
              <w:jc w:val="right"/>
              <w:spacing w:after="0"/>
              <w:rPr>
                <w:sz w:val="20"/>
                <w:szCs w:val="20"/>
                <w:color w:val="auto"/>
              </w:rPr>
            </w:pPr>
            <w:r>
              <w:rPr>
                <w:rFonts w:ascii="Arial" w:cs="Arial" w:eastAsia="Arial" w:hAnsi="Arial"/>
                <w:sz w:val="17"/>
                <w:szCs w:val="17"/>
                <w:color w:val="auto"/>
              </w:rPr>
              <w:t>37,838</w:t>
            </w:r>
          </w:p>
        </w:tc>
      </w:tr>
      <w:tr>
        <w:trPr>
          <w:trHeight w:val="234"/>
        </w:trPr>
        <w:tc>
          <w:tcPr>
            <w:tcW w:w="734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Total</w:t>
            </w:r>
          </w:p>
        </w:tc>
        <w:tc>
          <w:tcPr>
            <w:tcW w:w="10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5,997,821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3,729,963</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ind w:right="680" w:firstLine="1070"/>
        <w:spacing w:after="0" w:line="274" w:lineRule="auto"/>
        <w:rPr>
          <w:sz w:val="20"/>
          <w:szCs w:val="20"/>
          <w:color w:val="auto"/>
        </w:rPr>
      </w:pPr>
      <w:r>
        <w:rPr>
          <w:rFonts w:ascii="Arial" w:cs="Arial" w:eastAsia="Arial" w:hAnsi="Arial"/>
          <w:sz w:val="17"/>
          <w:szCs w:val="17"/>
          <w:color w:val="auto"/>
        </w:rPr>
        <w:t>A reconciliation of the numerator and denominator used in the calculation of the basic and diluted net loss per share attributable to common stockholders is as follows (in thousands, except share and per share amounts):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5"/>
                <w:szCs w:val="15"/>
                <w:color w:val="auto"/>
              </w:rPr>
            </w:pPr>
          </w:p>
        </w:tc>
        <w:tc>
          <w:tcPr>
            <w:tcW w:w="2660" w:type="dxa"/>
            <w:vAlign w:val="bottom"/>
            <w:gridSpan w:val="4"/>
          </w:tcPr>
          <w:p>
            <w:pPr>
              <w:jc w:val="right"/>
              <w:ind w:right="378"/>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24"/>
        </w:trPr>
        <w:tc>
          <w:tcPr>
            <w:tcW w:w="5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52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Net loss per share:</w:t>
            </w: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loss</w:t>
            </w: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(30,615)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(27,045)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(88,261)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(72,732)</w:t>
            </w:r>
          </w:p>
        </w:tc>
        <w:tc>
          <w:tcPr>
            <w:tcW w:w="0" w:type="dxa"/>
            <w:vAlign w:val="bottom"/>
          </w:tcPr>
          <w:p>
            <w:pPr>
              <w:spacing w:after="0"/>
              <w:rPr>
                <w:sz w:val="1"/>
                <w:szCs w:val="1"/>
                <w:color w:val="auto"/>
              </w:rPr>
            </w:pPr>
          </w:p>
        </w:tc>
      </w:tr>
      <w:tr>
        <w:trPr>
          <w:trHeight w:val="234"/>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 attributable to common stockholders</w:t>
            </w: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(30,615)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(27,045)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(88,261)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(72,732)</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180"/>
              <w:spacing w:after="0" w:line="164" w:lineRule="exact"/>
              <w:rPr>
                <w:sz w:val="20"/>
                <w:szCs w:val="20"/>
                <w:color w:val="auto"/>
              </w:rPr>
            </w:pPr>
            <w:r>
              <w:rPr>
                <w:rFonts w:ascii="Arial" w:cs="Arial" w:eastAsia="Arial" w:hAnsi="Arial"/>
                <w:sz w:val="17"/>
                <w:szCs w:val="17"/>
                <w:color w:val="auto"/>
                <w:w w:val="91"/>
              </w:rPr>
              <w:t>Weighted-average common shares outstanding used to calculate net loss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52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180"/>
              <w:spacing w:after="0"/>
              <w:rPr>
                <w:sz w:val="20"/>
                <w:szCs w:val="20"/>
                <w:color w:val="auto"/>
              </w:rPr>
            </w:pPr>
            <w:r>
              <w:rPr>
                <w:rFonts w:ascii="Arial" w:cs="Arial" w:eastAsia="Arial" w:hAnsi="Arial"/>
                <w:sz w:val="17"/>
                <w:szCs w:val="17"/>
                <w:color w:val="auto"/>
              </w:rPr>
              <w:t>per share attributable to common stockholders: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Basic</w:t>
            </w:r>
          </w:p>
        </w:tc>
        <w:tc>
          <w:tcPr>
            <w:tcW w:w="2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46,799,058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35,906,303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39,735,342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35,787,022</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7"/>
                <w:szCs w:val="17"/>
                <w:color w:val="auto"/>
              </w:rPr>
              <w:t>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24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46,799,058</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35,906,303</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39,735,342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35,787,022</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240" w:type="dxa"/>
            <w:vAlign w:val="bottom"/>
            <w:shd w:val="clear" w:color="auto" w:fill="CCEEFF"/>
          </w:tcPr>
          <w:p>
            <w:pPr>
              <w:ind w:left="20"/>
              <w:spacing w:after="0" w:line="182" w:lineRule="exact"/>
              <w:rPr>
                <w:sz w:val="20"/>
                <w:szCs w:val="20"/>
                <w:color w:val="auto"/>
              </w:rPr>
            </w:pPr>
            <w:r>
              <w:rPr>
                <w:rFonts w:ascii="Arial" w:cs="Arial" w:eastAsia="Arial" w:hAnsi="Arial"/>
                <w:sz w:val="17"/>
                <w:szCs w:val="17"/>
                <w:color w:val="auto"/>
              </w:rPr>
              <w:t>Net loss per share attributable to common stockholders:</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200"/>
              <w:spacing w:after="0"/>
              <w:rPr>
                <w:sz w:val="20"/>
                <w:szCs w:val="20"/>
                <w:color w:val="auto"/>
              </w:rPr>
            </w:pPr>
            <w:r>
              <w:rPr>
                <w:rFonts w:ascii="Arial" w:cs="Arial" w:eastAsia="Arial" w:hAnsi="Arial"/>
                <w:sz w:val="17"/>
                <w:szCs w:val="17"/>
                <w:color w:val="auto"/>
              </w:rPr>
              <w:t>Basic</w:t>
            </w: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(0.75)</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Diluted</w:t>
            </w: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16" w:lineRule="exact"/>
        <w:rPr>
          <w:sz w:val="20"/>
          <w:szCs w:val="20"/>
          <w:color w:val="auto"/>
        </w:rPr>
      </w:pPr>
    </w:p>
    <w:p>
      <w:pPr>
        <w:ind w:right="80" w:firstLine="1070"/>
        <w:spacing w:after="0" w:line="253" w:lineRule="auto"/>
        <w:rPr>
          <w:sz w:val="20"/>
          <w:szCs w:val="20"/>
          <w:color w:val="auto"/>
        </w:rPr>
      </w:pPr>
      <w:r>
        <w:rPr>
          <w:rFonts w:ascii="Arial" w:cs="Arial" w:eastAsia="Arial" w:hAnsi="Arial"/>
          <w:sz w:val="17"/>
          <w:szCs w:val="17"/>
          <w:i w:val="1"/>
          <w:iCs w:val="1"/>
          <w:color w:val="auto"/>
        </w:rPr>
        <w:t>The following discussion and analysis should be read in conjunction with our condensed financial statements and related notes appearing elsewhere in this Quarterly Report on Form 10-Q, or this Report, as well as our audited financial statements and related notes included in our Annual Report on Form 10-K for the fiscal year ended December 31, 2021, filed with the Securities and Exchange Commission, or SEC. This discussion and analysis contains forward-looking statements based upon current beliefs, plans and expectations that involve risks, uncertainties and assumptions, such as statements regarding our plans, objectives, expectations, intention, beliefs and projections. Our actual results and the timing of events could differ materially from those anticipated in these forward-looking statements as a result of several factors, including those set forth in the section titled “Risk Factors” under Part II, Item 1A of this Report and under Part I, Item 1A of our Annual Report on Form 10-K for the fiscal year ended December 31, 2021. In some cases, you can identify forward-looking statements by terminology such as “anticipate,” “believe,” “continue,” “could,” “estimate,” “expect,” “intend,” “may,” “plan,” “potentially,” “predict,” “should,” “will” or the negative of these terms or other similar expressions.</w:t>
      </w:r>
    </w:p>
    <w:p>
      <w:pPr>
        <w:spacing w:after="0" w:line="183" w:lineRule="exact"/>
        <w:rPr>
          <w:sz w:val="20"/>
          <w:szCs w:val="20"/>
          <w:color w:val="auto"/>
        </w:rPr>
      </w:pPr>
    </w:p>
    <w:p>
      <w:pPr>
        <w:ind w:right="60" w:firstLine="1070"/>
        <w:spacing w:after="0" w:line="279" w:lineRule="auto"/>
        <w:rPr>
          <w:sz w:val="20"/>
          <w:szCs w:val="20"/>
          <w:color w:val="auto"/>
        </w:rPr>
      </w:pPr>
      <w:r>
        <w:rPr>
          <w:rFonts w:ascii="Arial" w:cs="Arial" w:eastAsia="Arial" w:hAnsi="Arial"/>
          <w:sz w:val="16"/>
          <w:szCs w:val="16"/>
          <w:i w:val="1"/>
          <w:iCs w:val="1"/>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we have conducted exhaustive inquiry into, or review of, all potentially available relevant information. These statements are inherently uncertain and investors are cautioned not to unduly rely upon these statements.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Overview</w:t>
      </w:r>
    </w:p>
    <w:p>
      <w:pPr>
        <w:spacing w:after="0" w:line="216" w:lineRule="exact"/>
        <w:rPr>
          <w:sz w:val="20"/>
          <w:szCs w:val="20"/>
          <w:color w:val="auto"/>
        </w:rPr>
      </w:pPr>
    </w:p>
    <w:p>
      <w:pPr>
        <w:ind w:right="200" w:firstLine="1070"/>
        <w:spacing w:after="0" w:line="295" w:lineRule="auto"/>
        <w:rPr>
          <w:sz w:val="20"/>
          <w:szCs w:val="20"/>
          <w:color w:val="auto"/>
        </w:rPr>
      </w:pPr>
      <w:r>
        <w:rPr>
          <w:rFonts w:ascii="Arial" w:cs="Arial" w:eastAsia="Arial" w:hAnsi="Arial"/>
          <w:sz w:val="15"/>
          <w:szCs w:val="15"/>
          <w:color w:val="auto"/>
        </w:rPr>
        <w:t>We are a clinical stage biopharmaceutical company focused on discovering and developing novel therapies for the treatment of fibrosis and related diseases. Our initial focus is on treating fibrosis by inhibiting integrin-mediated activation of TGF-β. We have applied our deep understanding of fibrosis biology, along with our medicinal chemistry and translational medicine expertise to develop a set of proprietary tools designed to discover and de-risk product candidates quickly and efficiently. Our wholly owned lead product candidate, PLN-74809 (bexotegrast), is an oral, small-molecule, dual selective inhibitor of αvß6 and αvß1 integrins that we are developing for the treatment of idiopathic pulmonary fibrosis, or IPF, and primary sclerosing cholangitis, or PSC. Our development of PLN-74809 (bexotegrast) in both IPF and PSC continues to progress as described in the "Third Quarter and Recent Highlights" section below.</w:t>
      </w:r>
    </w:p>
    <w:p>
      <w:pPr>
        <w:spacing w:after="0" w:line="154" w:lineRule="exact"/>
        <w:rPr>
          <w:sz w:val="20"/>
          <w:szCs w:val="20"/>
          <w:color w:val="auto"/>
        </w:rPr>
      </w:pPr>
    </w:p>
    <w:p>
      <w:pPr>
        <w:ind w:right="240" w:firstLine="1070"/>
        <w:spacing w:after="0" w:line="303" w:lineRule="auto"/>
        <w:rPr>
          <w:sz w:val="20"/>
          <w:szCs w:val="20"/>
          <w:color w:val="auto"/>
        </w:rPr>
      </w:pPr>
      <w:r>
        <w:rPr>
          <w:rFonts w:ascii="Arial" w:cs="Arial" w:eastAsia="Arial" w:hAnsi="Arial"/>
          <w:sz w:val="15"/>
          <w:szCs w:val="15"/>
          <w:color w:val="auto"/>
        </w:rPr>
        <w:t>Our second product candidate, PLN-1474, is a small-molecule selective inhibitor of αvß1 for the treatment of liver fibrosis associated with nonalcoholic steatohepatitis, or NASH, which we have partnered with Novartis. PLN-1474 successfully completed a Phase 1 SAD/MAD trial in March 2021, and the Investigational New Drug, or IND, application was transferred to Novartis in the first quarter of 2021. Novartis is responsible for all PLN-1474 development, manufacturing and commercialization activities and we earn research and development services revenue in supporting certain aspects of the development plan.</w:t>
      </w:r>
    </w:p>
    <w:p>
      <w:pPr>
        <w:spacing w:after="0" w:line="148"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In addition to our clinical programs, we currently have preclinical integrin-based programs targeting oncology and muscular dystrophies.</w:t>
      </w:r>
    </w:p>
    <w:p>
      <w:pPr>
        <w:spacing w:after="0" w:line="185" w:lineRule="exact"/>
        <w:rPr>
          <w:sz w:val="20"/>
          <w:szCs w:val="20"/>
          <w:color w:val="auto"/>
        </w:rPr>
      </w:pPr>
    </w:p>
    <w:p>
      <w:pPr>
        <w:ind w:left="1080"/>
        <w:spacing w:after="0"/>
        <w:rPr>
          <w:sz w:val="20"/>
          <w:szCs w:val="20"/>
          <w:color w:val="auto"/>
        </w:rPr>
      </w:pPr>
      <w:r>
        <w:rPr>
          <w:rFonts w:ascii="Arial" w:cs="Arial" w:eastAsia="Arial" w:hAnsi="Arial"/>
          <w:sz w:val="17"/>
          <w:szCs w:val="17"/>
          <w:b w:val="1"/>
          <w:bCs w:val="1"/>
          <w:i w:val="1"/>
          <w:iCs w:val="1"/>
          <w:color w:val="auto"/>
        </w:rPr>
        <w:t>Third Quarter and Recent Highlights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PLN-74809 (bexotegrast) Highlights</w:t>
      </w:r>
    </w:p>
    <w:p>
      <w:pPr>
        <w:spacing w:after="0" w:line="106" w:lineRule="exact"/>
        <w:rPr>
          <w:sz w:val="20"/>
          <w:szCs w:val="20"/>
          <w:color w:val="auto"/>
        </w:rPr>
      </w:pPr>
    </w:p>
    <w:p>
      <w:pPr>
        <w:ind w:left="2140" w:right="460" w:hanging="1068"/>
        <w:spacing w:after="0" w:line="279" w:lineRule="auto"/>
        <w:tabs>
          <w:tab w:leader="none" w:pos="2136"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The International Nonproprietary Names (INN) Expert Group adopted “bexotegrast” as the unique non-proprietary or generic name for PLN-74809. </w:t>
      </w:r>
      <w:r>
        <w:rPr>
          <w:rFonts w:ascii="Arial" w:cs="Arial" w:eastAsia="Arial" w:hAnsi="Arial"/>
          <w:sz w:val="17"/>
          <w:szCs w:val="17"/>
          <w:color w:val="auto"/>
        </w:rPr>
        <w:t>Going forward, Pliant will use bexotegrast in place of PLN-74809.</w:t>
      </w:r>
    </w:p>
    <w:p>
      <w:pPr>
        <w:spacing w:after="0" w:line="54" w:lineRule="exact"/>
        <w:rPr>
          <w:rFonts w:ascii="Arial" w:cs="Arial" w:eastAsia="Arial" w:hAnsi="Arial"/>
          <w:sz w:val="17"/>
          <w:szCs w:val="17"/>
          <w:color w:val="auto"/>
        </w:rPr>
      </w:pPr>
    </w:p>
    <w:p>
      <w:pPr>
        <w:ind w:left="2140" w:hanging="1068"/>
        <w:spacing w:after="0" w:line="274" w:lineRule="auto"/>
        <w:tabs>
          <w:tab w:leader="none" w:pos="2136"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Positive safety and efficacy data from Phase 2a INTEGRIS-IPF trial of PLN-74809 (bexotegrast) in patients with idiopathic pulmonary fibrosis (IPF). </w:t>
      </w:r>
      <w:r>
        <w:rPr>
          <w:rFonts w:ascii="Arial" w:cs="Arial" w:eastAsia="Arial" w:hAnsi="Arial"/>
          <w:sz w:val="16"/>
          <w:szCs w:val="16"/>
          <w:color w:val="auto"/>
        </w:rPr>
        <w:t>PLN-74809 (bexotegrast), at once-daily doses of 40 mg, 80 mg, 160 mg, demonstrated a dose-dependent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treatment effect on forced vital capacity (FVC) and quantitative lung fibrosis (QLF) and serum biomarkers of PRO-C3 versus placebo over 12 weeks of treatment. A treatment effect was observed at all three doses tested on top of standard of care therapy and as monotherapy. In addition, PLN-74809 (bexotegrast) was well tolerated over 12 weeks of treatment with no drug related serious adverse events (SAEs) and no treatment discontinuations due to adverse events.</w:t>
      </w:r>
    </w:p>
    <w:p>
      <w:pPr>
        <w:spacing w:after="0" w:line="64" w:lineRule="exact"/>
        <w:rPr>
          <w:rFonts w:ascii="Arial" w:cs="Arial" w:eastAsia="Arial" w:hAnsi="Arial"/>
          <w:sz w:val="16"/>
          <w:szCs w:val="16"/>
          <w:color w:val="auto"/>
        </w:rPr>
      </w:pPr>
    </w:p>
    <w:p>
      <w:pPr>
        <w:ind w:left="2140" w:right="480" w:hanging="1068"/>
        <w:spacing w:after="0" w:line="279" w:lineRule="auto"/>
        <w:tabs>
          <w:tab w:leader="none" w:pos="2136"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Positive independent Data Safety Monitoring Board (DSMB) review of the ongoing INTEGRIS-IPF Phase 2a trial. </w:t>
      </w:r>
      <w:r>
        <w:rPr>
          <w:rFonts w:ascii="Arial" w:cs="Arial" w:eastAsia="Arial" w:hAnsi="Arial"/>
          <w:sz w:val="17"/>
          <w:szCs w:val="17"/>
          <w:color w:val="auto"/>
        </w:rPr>
        <w:t>This</w:t>
      </w:r>
      <w:r>
        <w:rPr>
          <w:rFonts w:ascii="Arial" w:cs="Arial" w:eastAsia="Arial" w:hAnsi="Arial"/>
          <w:sz w:val="17"/>
          <w:szCs w:val="17"/>
          <w:b w:val="1"/>
          <w:bCs w:val="1"/>
          <w:color w:val="auto"/>
        </w:rPr>
        <w:t xml:space="preserve"> </w:t>
      </w:r>
      <w:r>
        <w:rPr>
          <w:rFonts w:ascii="Arial" w:cs="Arial" w:eastAsia="Arial" w:hAnsi="Arial"/>
          <w:sz w:val="17"/>
          <w:szCs w:val="17"/>
          <w:color w:val="auto"/>
        </w:rPr>
        <w:t>regularly scheduled DSMB review was held in August</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24" w:name="page25"/>
    <w:bookmarkEnd w:id="24"/>
    <w:p>
      <w:pPr>
        <w:ind w:left="2140" w:right="420"/>
        <w:spacing w:after="0" w:line="262" w:lineRule="auto"/>
        <w:rPr>
          <w:sz w:val="20"/>
          <w:szCs w:val="20"/>
          <w:color w:val="auto"/>
        </w:rPr>
      </w:pPr>
      <w:r>
        <w:rPr>
          <w:rFonts w:ascii="Arial" w:cs="Arial" w:eastAsia="Arial" w:hAnsi="Arial"/>
          <w:sz w:val="17"/>
          <w:szCs w:val="17"/>
          <w:color w:val="auto"/>
        </w:rPr>
        <w:t>after the completion of enrollment of the 320 mg cohort. The DSMB examined the safety data from all patients enrolled, approximately half of whom had completed at least 12 weeks of treatment, and recommended the INTEGRIS-IPF trial continue without modification.</w:t>
      </w:r>
    </w:p>
    <w:p>
      <w:pPr>
        <w:spacing w:after="0" w:line="69" w:lineRule="exact"/>
        <w:rPr>
          <w:sz w:val="20"/>
          <w:szCs w:val="20"/>
          <w:color w:val="auto"/>
        </w:rPr>
      </w:pPr>
    </w:p>
    <w:p>
      <w:pPr>
        <w:ind w:left="2140" w:hanging="1068"/>
        <w:spacing w:after="0" w:line="274" w:lineRule="auto"/>
        <w:tabs>
          <w:tab w:leader="none" w:pos="2136"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INTEGRIS-IPF Phase 2a trial of PLN-74809 (bexotegrast) at 320 mg on track for 12-week data readout in early first quarter 2023. </w:t>
      </w:r>
      <w:r>
        <w:rPr>
          <w:rFonts w:ascii="Arial" w:cs="Arial" w:eastAsia="Arial" w:hAnsi="Arial"/>
          <w:sz w:val="16"/>
          <w:szCs w:val="16"/>
          <w:color w:val="auto"/>
        </w:rPr>
        <w:t>This randomized, double-blind, placebo-controlled trial is also evaluating PLN-74809 (bexotegrast) at a once daily dose of 320</w:t>
      </w:r>
      <w:r>
        <w:rPr>
          <w:rFonts w:ascii="Arial" w:cs="Arial" w:eastAsia="Arial" w:hAnsi="Arial"/>
          <w:sz w:val="16"/>
          <w:szCs w:val="16"/>
          <w:b w:val="1"/>
          <w:bCs w:val="1"/>
          <w:color w:val="auto"/>
        </w:rPr>
        <w:t xml:space="preserve"> </w:t>
      </w:r>
      <w:r>
        <w:rPr>
          <w:rFonts w:ascii="Arial" w:cs="Arial" w:eastAsia="Arial" w:hAnsi="Arial"/>
          <w:sz w:val="16"/>
          <w:szCs w:val="16"/>
          <w:color w:val="auto"/>
        </w:rPr>
        <w:t>mg administered for at least six months and up to 48 weeks in approximately 28 patients with IPF. The trial will evaluate primary and secondary endpoints of safety, tolerability, and pharmacokinetics. Exploratory efficacy endpoints will include effect on FVC and QLF imaging as well as biomarkers. Trial enrollment was completed in the second quarter of 2022 with interim 12-week data expected early in the first quarter of 2023 and 24-week data expected in the first half of 2023.</w:t>
      </w:r>
    </w:p>
    <w:p>
      <w:pPr>
        <w:spacing w:after="0" w:line="64" w:lineRule="exact"/>
        <w:rPr>
          <w:rFonts w:ascii="Arial" w:cs="Arial" w:eastAsia="Arial" w:hAnsi="Arial"/>
          <w:sz w:val="16"/>
          <w:szCs w:val="16"/>
          <w:color w:val="auto"/>
        </w:rPr>
      </w:pPr>
    </w:p>
    <w:p>
      <w:pPr>
        <w:ind w:left="2140" w:right="60" w:hanging="1068"/>
        <w:spacing w:after="0" w:line="259" w:lineRule="auto"/>
        <w:tabs>
          <w:tab w:leader="none" w:pos="2136"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Positive independent DSMB review of the ongoing INTEGRIS-PSC Phase 2a trial of PLN-74809 (bexotegrast) in patients with primary sclerosing cholangitis (PSC). </w:t>
      </w:r>
      <w:r>
        <w:rPr>
          <w:rFonts w:ascii="Arial" w:cs="Arial" w:eastAsia="Arial" w:hAnsi="Arial"/>
          <w:sz w:val="17"/>
          <w:szCs w:val="17"/>
          <w:color w:val="auto"/>
        </w:rPr>
        <w:t>This regularly scheduled DSMB review was held in October to examine the safety data</w:t>
      </w:r>
      <w:r>
        <w:rPr>
          <w:rFonts w:ascii="Arial" w:cs="Arial" w:eastAsia="Arial" w:hAnsi="Arial"/>
          <w:sz w:val="17"/>
          <w:szCs w:val="17"/>
          <w:b w:val="1"/>
          <w:bCs w:val="1"/>
          <w:color w:val="auto"/>
        </w:rPr>
        <w:t xml:space="preserve"> </w:t>
      </w:r>
      <w:r>
        <w:rPr>
          <w:rFonts w:ascii="Arial" w:cs="Arial" w:eastAsia="Arial" w:hAnsi="Arial"/>
          <w:sz w:val="17"/>
          <w:szCs w:val="17"/>
          <w:color w:val="auto"/>
        </w:rPr>
        <w:t>from all patients enrolled. The DSMB recommended the INTEGRIS-PSC trial continue without modification. Topline data from this trial is expected in the third quarter of 2023.</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Early-Stage Development Programs</w:t>
      </w:r>
    </w:p>
    <w:p>
      <w:pPr>
        <w:spacing w:after="0" w:line="106" w:lineRule="exact"/>
        <w:rPr>
          <w:sz w:val="20"/>
          <w:szCs w:val="20"/>
          <w:color w:val="auto"/>
        </w:rPr>
      </w:pPr>
    </w:p>
    <w:p>
      <w:pPr>
        <w:ind w:left="2140" w:right="340" w:hanging="1068"/>
        <w:spacing w:after="0" w:line="264" w:lineRule="auto"/>
        <w:tabs>
          <w:tab w:leader="none" w:pos="2136"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Oncology program is completing Investigational New Drug (IND) enabling activities. </w:t>
      </w:r>
      <w:r>
        <w:rPr>
          <w:rFonts w:ascii="Arial" w:cs="Arial" w:eastAsia="Arial" w:hAnsi="Arial"/>
          <w:sz w:val="17"/>
          <w:szCs w:val="17"/>
          <w:color w:val="auto"/>
        </w:rPr>
        <w:t>Based on encouraging preclinical data</w:t>
      </w:r>
      <w:r>
        <w:rPr>
          <w:rFonts w:ascii="Arial" w:cs="Arial" w:eastAsia="Arial" w:hAnsi="Arial"/>
          <w:sz w:val="17"/>
          <w:szCs w:val="17"/>
          <w:b w:val="1"/>
          <w:bCs w:val="1"/>
          <w:color w:val="auto"/>
        </w:rPr>
        <w:t xml:space="preserve"> </w:t>
      </w:r>
      <w:r>
        <w:rPr>
          <w:rFonts w:ascii="Arial" w:cs="Arial" w:eastAsia="Arial" w:hAnsi="Arial"/>
          <w:sz w:val="17"/>
          <w:szCs w:val="17"/>
          <w:color w:val="auto"/>
        </w:rPr>
        <w:t>generated to date, the Company is prioritizing the oncology program as the next program to enter clinical development. IND application submission is expected by the end of 2022.</w:t>
      </w:r>
    </w:p>
    <w:p>
      <w:pPr>
        <w:spacing w:after="0" w:line="68" w:lineRule="exact"/>
        <w:rPr>
          <w:rFonts w:ascii="Arial" w:cs="Arial" w:eastAsia="Arial" w:hAnsi="Arial"/>
          <w:sz w:val="17"/>
          <w:szCs w:val="17"/>
          <w:color w:val="auto"/>
        </w:rPr>
      </w:pPr>
    </w:p>
    <w:p>
      <w:pPr>
        <w:ind w:left="2140" w:hanging="1068"/>
        <w:spacing w:after="0"/>
        <w:tabs>
          <w:tab w:leader="none" w:pos="214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Muscular dystrophy program progressing through IND enabling activities. </w:t>
      </w:r>
      <w:r>
        <w:rPr>
          <w:rFonts w:ascii="Arial" w:cs="Arial" w:eastAsia="Arial" w:hAnsi="Arial"/>
          <w:sz w:val="16"/>
          <w:szCs w:val="16"/>
          <w:color w:val="auto"/>
        </w:rPr>
        <w:t>IND application submission is expected in 2023.</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Highlights</w:t>
      </w:r>
    </w:p>
    <w:p>
      <w:pPr>
        <w:spacing w:after="0" w:line="106" w:lineRule="exact"/>
        <w:rPr>
          <w:sz w:val="20"/>
          <w:szCs w:val="20"/>
          <w:color w:val="auto"/>
        </w:rPr>
      </w:pPr>
    </w:p>
    <w:p>
      <w:pPr>
        <w:ind w:left="2140" w:right="60" w:hanging="1068"/>
        <w:spacing w:after="0" w:line="299" w:lineRule="auto"/>
        <w:tabs>
          <w:tab w:leader="none" w:pos="2136" w:val="left"/>
        </w:tabs>
        <w:numPr>
          <w:ilvl w:val="0"/>
          <w:numId w:val="14"/>
        </w:numPr>
        <w:rPr>
          <w:rFonts w:ascii="Arial" w:cs="Arial" w:eastAsia="Arial" w:hAnsi="Arial"/>
          <w:sz w:val="15"/>
          <w:szCs w:val="15"/>
          <w:color w:val="auto"/>
        </w:rPr>
      </w:pPr>
      <w:r>
        <w:rPr>
          <w:rFonts w:ascii="Arial" w:cs="Arial" w:eastAsia="Arial" w:hAnsi="Arial"/>
          <w:sz w:val="15"/>
          <w:szCs w:val="15"/>
          <w:b w:val="1"/>
          <w:bCs w:val="1"/>
          <w:color w:val="auto"/>
        </w:rPr>
        <w:t xml:space="preserve">Closing of underwritten public offering of $230 million in common stock. </w:t>
      </w:r>
      <w:r>
        <w:rPr>
          <w:rFonts w:ascii="Arial" w:cs="Arial" w:eastAsia="Arial" w:hAnsi="Arial"/>
          <w:sz w:val="15"/>
          <w:szCs w:val="15"/>
          <w:color w:val="auto"/>
        </w:rPr>
        <w:t>The Company closed a public offering yielding $215.4</w:t>
      </w:r>
      <w:r>
        <w:rPr>
          <w:rFonts w:ascii="Arial" w:cs="Arial" w:eastAsia="Arial" w:hAnsi="Arial"/>
          <w:sz w:val="15"/>
          <w:szCs w:val="15"/>
          <w:b w:val="1"/>
          <w:bCs w:val="1"/>
          <w:color w:val="auto"/>
        </w:rPr>
        <w:t xml:space="preserve"> </w:t>
      </w:r>
      <w:r>
        <w:rPr>
          <w:rFonts w:ascii="Arial" w:cs="Arial" w:eastAsia="Arial" w:hAnsi="Arial"/>
          <w:sz w:val="15"/>
          <w:szCs w:val="15"/>
          <w:color w:val="auto"/>
        </w:rPr>
        <w:t>million in net proceeds to the Company, which included the underwriter’s exercise in full of their option to purchase additional shares. Pliant intends to use the net proceeds from the offering, together with its existing cash, cash equivalents and investments, to develop its ongoing and future preclinical and clinical programs including PLN-74809 (bexotegrast), further develop its integrin targeting platform, to fund working capital, operating expenses and capital expenditures, and for other general corporate purposes.</w:t>
      </w:r>
    </w:p>
    <w:p>
      <w:pPr>
        <w:spacing w:after="0" w:line="46" w:lineRule="exact"/>
        <w:rPr>
          <w:rFonts w:ascii="Arial" w:cs="Arial" w:eastAsia="Arial" w:hAnsi="Arial"/>
          <w:sz w:val="15"/>
          <w:szCs w:val="15"/>
          <w:color w:val="auto"/>
        </w:rPr>
      </w:pPr>
    </w:p>
    <w:p>
      <w:pPr>
        <w:ind w:left="2140" w:right="40" w:hanging="1068"/>
        <w:spacing w:after="0" w:line="264" w:lineRule="auto"/>
        <w:tabs>
          <w:tab w:leader="none" w:pos="2136"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Appointment of Dr. Katharine Knobil to the Company’s Board of Directors. </w:t>
      </w:r>
      <w:r>
        <w:rPr>
          <w:rFonts w:ascii="Arial" w:cs="Arial" w:eastAsia="Arial" w:hAnsi="Arial"/>
          <w:sz w:val="17"/>
          <w:szCs w:val="17"/>
          <w:color w:val="auto"/>
        </w:rPr>
        <w:t>Dr. Knobil brings over 20 years of clinical</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and medical affairs expertise from strategic leadership roles from across the globe to the Company. Dr. Knobil currently serves as the Chief Medical Officer at Agilent Technologies, Inc.</w:t>
      </w:r>
    </w:p>
    <w:p>
      <w:pPr>
        <w:spacing w:after="0" w:line="174" w:lineRule="exact"/>
        <w:rPr>
          <w:sz w:val="20"/>
          <w:szCs w:val="20"/>
          <w:color w:val="auto"/>
        </w:rPr>
      </w:pPr>
    </w:p>
    <w:p>
      <w:pPr>
        <w:ind w:right="20" w:firstLine="1070"/>
        <w:spacing w:after="0" w:line="279" w:lineRule="auto"/>
        <w:rPr>
          <w:sz w:val="20"/>
          <w:szCs w:val="20"/>
          <w:color w:val="auto"/>
        </w:rPr>
      </w:pPr>
      <w:r>
        <w:rPr>
          <w:rFonts w:ascii="Arial" w:cs="Arial" w:eastAsia="Arial" w:hAnsi="Arial"/>
          <w:sz w:val="16"/>
          <w:szCs w:val="16"/>
          <w:color w:val="auto"/>
        </w:rPr>
        <w:t>Since inception, we have had significant operating losses. Our net loss was $30.6 million and $88.3 million for the three and nine months ended September 30, 2022, respectively. As of September 30, 2022, we had an accumulated deficit of $303.4 million and cash, cash equivalents and short-term investments of $360.2 million. We expect to continue to incur net losses for the foreseeable future, and we expect our research and development expenses, general and administrative expenses, and capital expenditures will increase in connection with our ongoing activities, as we:</w:t>
      </w:r>
    </w:p>
    <w:p>
      <w:pPr>
        <w:spacing w:after="0" w:line="61" w:lineRule="exact"/>
        <w:rPr>
          <w:sz w:val="20"/>
          <w:szCs w:val="20"/>
          <w:color w:val="auto"/>
        </w:rPr>
      </w:pPr>
    </w:p>
    <w:p>
      <w:pPr>
        <w:ind w:left="2140" w:hanging="1068"/>
        <w:spacing w:after="0"/>
        <w:tabs>
          <w:tab w:leader="none" w:pos="21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perform research and development activities to identify and develop product candidates;</w:t>
      </w:r>
    </w:p>
    <w:p>
      <w:pPr>
        <w:spacing w:after="0" w:line="110" w:lineRule="exact"/>
        <w:rPr>
          <w:rFonts w:ascii="Arial" w:cs="Arial" w:eastAsia="Arial" w:hAnsi="Arial"/>
          <w:sz w:val="17"/>
          <w:szCs w:val="17"/>
          <w:color w:val="auto"/>
        </w:rPr>
      </w:pPr>
    </w:p>
    <w:p>
      <w:pPr>
        <w:ind w:left="2140" w:hanging="1068"/>
        <w:spacing w:after="0"/>
        <w:tabs>
          <w:tab w:leader="none" w:pos="21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advance product candidates into and through clinical development;</w:t>
      </w:r>
    </w:p>
    <w:p>
      <w:pPr>
        <w:spacing w:after="0" w:line="110" w:lineRule="exact"/>
        <w:rPr>
          <w:rFonts w:ascii="Arial" w:cs="Arial" w:eastAsia="Arial" w:hAnsi="Arial"/>
          <w:sz w:val="17"/>
          <w:szCs w:val="17"/>
          <w:color w:val="auto"/>
        </w:rPr>
      </w:pPr>
    </w:p>
    <w:p>
      <w:pPr>
        <w:ind w:left="2140" w:hanging="1068"/>
        <w:spacing w:after="0"/>
        <w:tabs>
          <w:tab w:leader="none" w:pos="21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require the manufacture of supplies to support research and development, preclinical studies and clinical trials;</w:t>
      </w:r>
    </w:p>
    <w:p>
      <w:pPr>
        <w:spacing w:after="0" w:line="110" w:lineRule="exact"/>
        <w:rPr>
          <w:rFonts w:ascii="Arial" w:cs="Arial" w:eastAsia="Arial" w:hAnsi="Arial"/>
          <w:sz w:val="17"/>
          <w:szCs w:val="17"/>
          <w:color w:val="auto"/>
        </w:rPr>
      </w:pPr>
    </w:p>
    <w:p>
      <w:pPr>
        <w:ind w:left="2140" w:hanging="1068"/>
        <w:spacing w:after="0"/>
        <w:tabs>
          <w:tab w:leader="none" w:pos="21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seek regulatory approvals for any product candidates that successfully complete clinical trials;</w:t>
      </w:r>
    </w:p>
    <w:p>
      <w:pPr>
        <w:spacing w:after="0" w:line="110" w:lineRule="exact"/>
        <w:rPr>
          <w:rFonts w:ascii="Arial" w:cs="Arial" w:eastAsia="Arial" w:hAnsi="Arial"/>
          <w:sz w:val="17"/>
          <w:szCs w:val="17"/>
          <w:color w:val="auto"/>
        </w:rPr>
      </w:pPr>
    </w:p>
    <w:p>
      <w:pPr>
        <w:ind w:left="2140" w:right="1000" w:hanging="1068"/>
        <w:spacing w:after="0" w:line="274" w:lineRule="auto"/>
        <w:tabs>
          <w:tab w:leader="none" w:pos="21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expand our operational, financial and management systems and increase personnel to support our clinical development, manufacturing and commercialization efforts and our operations as a public company;</w:t>
      </w:r>
    </w:p>
    <w:p>
      <w:pPr>
        <w:spacing w:after="0" w:line="63" w:lineRule="exact"/>
        <w:rPr>
          <w:rFonts w:ascii="Arial" w:cs="Arial" w:eastAsia="Arial" w:hAnsi="Arial"/>
          <w:sz w:val="17"/>
          <w:szCs w:val="17"/>
          <w:color w:val="auto"/>
        </w:rPr>
      </w:pPr>
    </w:p>
    <w:p>
      <w:pPr>
        <w:ind w:left="2140" w:hanging="1068"/>
        <w:spacing w:after="0"/>
        <w:tabs>
          <w:tab w:leader="none" w:pos="21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maintain, expand and protect our intellectual property portfolio; and</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25" w:name="page26"/>
    <w:bookmarkEnd w:id="25"/>
    <w:p>
      <w:pPr>
        <w:ind w:left="2140" w:hanging="1068"/>
        <w:spacing w:after="0"/>
        <w:tabs>
          <w:tab w:leader="none" w:pos="21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invest in or in-license other technologies or product candidates.</w:t>
      </w:r>
    </w:p>
    <w:p>
      <w:pPr>
        <w:spacing w:after="0" w:line="309" w:lineRule="exact"/>
        <w:rPr>
          <w:rFonts w:ascii="Arial" w:cs="Arial" w:eastAsia="Arial" w:hAnsi="Arial"/>
          <w:sz w:val="17"/>
          <w:szCs w:val="17"/>
          <w:color w:val="auto"/>
        </w:rPr>
      </w:pPr>
    </w:p>
    <w:p>
      <w:pPr>
        <w:ind w:left="4640"/>
        <w:spacing w:after="0"/>
        <w:rPr>
          <w:rFonts w:ascii="Arial" w:cs="Arial" w:eastAsia="Arial" w:hAnsi="Arial"/>
          <w:sz w:val="17"/>
          <w:szCs w:val="17"/>
          <w:color w:val="auto"/>
        </w:rPr>
      </w:pPr>
      <w:r>
        <w:rPr>
          <w:rFonts w:ascii="Arial" w:cs="Arial" w:eastAsia="Arial" w:hAnsi="Arial"/>
          <w:sz w:val="17"/>
          <w:szCs w:val="17"/>
          <w:b w:val="1"/>
          <w:bCs w:val="1"/>
          <w:color w:val="auto"/>
        </w:rPr>
        <w:t>Components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10" w:lineRule="exact"/>
        <w:rPr>
          <w:sz w:val="20"/>
          <w:szCs w:val="20"/>
          <w:color w:val="auto"/>
        </w:rPr>
      </w:pPr>
    </w:p>
    <w:p>
      <w:pPr>
        <w:ind w:right="20" w:firstLine="1070"/>
        <w:spacing w:after="0" w:line="270" w:lineRule="auto"/>
        <w:rPr>
          <w:sz w:val="20"/>
          <w:szCs w:val="20"/>
          <w:color w:val="auto"/>
        </w:rPr>
      </w:pPr>
      <w:r>
        <w:rPr>
          <w:rFonts w:ascii="Arial" w:cs="Arial" w:eastAsia="Arial" w:hAnsi="Arial"/>
          <w:sz w:val="16"/>
          <w:szCs w:val="16"/>
          <w:color w:val="auto"/>
        </w:rPr>
        <w:t>We have not generated any revenue from product sales and do not expect to do so in the near future. Our revenue to date is derived from a Collaboration and License Agreement with Novartis (the "Novartis Agreement") that was executed in 2019. The Novartis Agreement is for the development and commercialization of PLN-1474 and up to three additional integrin research targets. Under the terms of the Novartis Agreement, we received an upfront license fee payment of $50.0 million for the worldwide, exclusive license to PLN-1474 and an additional $25.0 million upon first-patient dosed in our Phase 1 trial of PLN-1474 in the first quarter of 2020. In the second quarter of 2022 we recognized a $4.0 million target validation fee as Novartis exercised their right to opt-in to a research program and secured an exclusive license to compounds associated with an integrin research target. We are eligible to receive additional milestone payments of up to $387.0 million in total, if defined developmental, regulatory and commercialization milestones are achieved, and tiered royalties on a product-by-product basis based on annual nets sales of products. Additionally, Novartis is providing up to $20.0 million and up to $16.8 million in funding for research and development activities associated with PLN-1474 and integrin research targets, respectively. As of September 30, 2022, we estimate an additional $1.2 million of aggregate research and development funding will be utilized over the effective term of the agreement.</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w:t>
      </w:r>
    </w:p>
    <w:p>
      <w:pPr>
        <w:spacing w:after="0" w:line="110" w:lineRule="exact"/>
        <w:rPr>
          <w:sz w:val="20"/>
          <w:szCs w:val="20"/>
          <w:color w:val="auto"/>
        </w:rPr>
      </w:pPr>
    </w:p>
    <w:p>
      <w:pPr>
        <w:ind w:right="180" w:firstLine="1070"/>
        <w:spacing w:after="0" w:line="274" w:lineRule="auto"/>
        <w:rPr>
          <w:sz w:val="20"/>
          <w:szCs w:val="20"/>
          <w:color w:val="auto"/>
        </w:rPr>
      </w:pPr>
      <w:r>
        <w:rPr>
          <w:rFonts w:ascii="Arial" w:cs="Arial" w:eastAsia="Arial" w:hAnsi="Arial"/>
          <w:sz w:val="17"/>
          <w:szCs w:val="17"/>
          <w:color w:val="auto"/>
        </w:rPr>
        <w:t>Our research and development expenses consist of expenses incurred in connection with the development of our product candidates. Research and development expenses include:</w:t>
      </w:r>
    </w:p>
    <w:p>
      <w:pPr>
        <w:spacing w:after="0" w:line="63" w:lineRule="exact"/>
        <w:rPr>
          <w:sz w:val="20"/>
          <w:szCs w:val="20"/>
          <w:color w:val="auto"/>
        </w:rPr>
      </w:pPr>
    </w:p>
    <w:p>
      <w:pPr>
        <w:ind w:left="2140" w:right="560" w:hanging="1068"/>
        <w:spacing w:after="0" w:line="274" w:lineRule="auto"/>
        <w:tabs>
          <w:tab w:leader="none" w:pos="2136" w:val="left"/>
        </w:tabs>
        <w:numPr>
          <w:ilvl w:val="0"/>
          <w:numId w:val="17"/>
        </w:numPr>
        <w:rPr>
          <w:rFonts w:ascii="Arial" w:cs="Arial" w:eastAsia="Arial" w:hAnsi="Arial"/>
          <w:sz w:val="17"/>
          <w:szCs w:val="17"/>
          <w:color w:val="auto"/>
        </w:rPr>
      </w:pPr>
      <w:r>
        <w:rPr>
          <w:rFonts w:ascii="Arial" w:cs="Arial" w:eastAsia="Arial" w:hAnsi="Arial"/>
          <w:sz w:val="17"/>
          <w:szCs w:val="17"/>
          <w:color w:val="auto"/>
        </w:rPr>
        <w:t>employee-related expenses, which include salaries, benefits and stock-based compensation for our research and development personnel;</w:t>
      </w:r>
    </w:p>
    <w:p>
      <w:pPr>
        <w:spacing w:after="0" w:line="63" w:lineRule="exact"/>
        <w:rPr>
          <w:rFonts w:ascii="Arial" w:cs="Arial" w:eastAsia="Arial" w:hAnsi="Arial"/>
          <w:sz w:val="17"/>
          <w:szCs w:val="17"/>
          <w:color w:val="auto"/>
        </w:rPr>
      </w:pPr>
    </w:p>
    <w:p>
      <w:pPr>
        <w:ind w:left="2140" w:hanging="1068"/>
        <w:spacing w:after="0" w:line="274" w:lineRule="auto"/>
        <w:tabs>
          <w:tab w:leader="none" w:pos="2136"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expenses incurred under agreements with third-party contract organizations for pre-clinical studies, clinical trials and consultants that conduct research and development activities on our behalf;</w:t>
      </w:r>
    </w:p>
    <w:p>
      <w:pPr>
        <w:spacing w:after="0" w:line="63" w:lineRule="exact"/>
        <w:rPr>
          <w:rFonts w:ascii="Arial" w:cs="Arial" w:eastAsia="Arial" w:hAnsi="Arial"/>
          <w:sz w:val="17"/>
          <w:szCs w:val="17"/>
          <w:color w:val="auto"/>
        </w:rPr>
      </w:pPr>
    </w:p>
    <w:p>
      <w:pPr>
        <w:ind w:left="2140" w:hanging="1068"/>
        <w:spacing w:after="0"/>
        <w:tabs>
          <w:tab w:leader="none" w:pos="2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costs associated with the manufacture of supplies to support research and development, preclinical studies and clinical trials;</w:t>
      </w:r>
    </w:p>
    <w:p>
      <w:pPr>
        <w:spacing w:after="0" w:line="121" w:lineRule="exact"/>
        <w:rPr>
          <w:rFonts w:ascii="Arial" w:cs="Arial" w:eastAsia="Arial" w:hAnsi="Arial"/>
          <w:sz w:val="16"/>
          <w:szCs w:val="16"/>
          <w:color w:val="auto"/>
        </w:rPr>
      </w:pPr>
    </w:p>
    <w:p>
      <w:pPr>
        <w:ind w:left="2140" w:hanging="1068"/>
        <w:spacing w:after="0"/>
        <w:tabs>
          <w:tab w:leader="none" w:pos="21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depreciation of laboratory equipment and costs of equipment and supplies;</w:t>
      </w:r>
    </w:p>
    <w:p>
      <w:pPr>
        <w:spacing w:after="0" w:line="110" w:lineRule="exact"/>
        <w:rPr>
          <w:rFonts w:ascii="Arial" w:cs="Arial" w:eastAsia="Arial" w:hAnsi="Arial"/>
          <w:sz w:val="17"/>
          <w:szCs w:val="17"/>
          <w:color w:val="auto"/>
        </w:rPr>
      </w:pPr>
    </w:p>
    <w:p>
      <w:pPr>
        <w:ind w:left="2140" w:hanging="1068"/>
        <w:spacing w:after="0"/>
        <w:tabs>
          <w:tab w:leader="none" w:pos="21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costs associated with technology and intellectual property licenses; and</w:t>
      </w:r>
    </w:p>
    <w:p>
      <w:pPr>
        <w:spacing w:after="0" w:line="110" w:lineRule="exact"/>
        <w:rPr>
          <w:rFonts w:ascii="Arial" w:cs="Arial" w:eastAsia="Arial" w:hAnsi="Arial"/>
          <w:sz w:val="17"/>
          <w:szCs w:val="17"/>
          <w:color w:val="auto"/>
        </w:rPr>
      </w:pPr>
    </w:p>
    <w:p>
      <w:pPr>
        <w:ind w:left="2140" w:hanging="1068"/>
        <w:spacing w:after="0"/>
        <w:tabs>
          <w:tab w:leader="none" w:pos="2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facilities and other allocated expenses, which include expenses for rent and other facility related costs and other supplies.</w:t>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w:t>
      </w:r>
    </w:p>
    <w:p>
      <w:pPr>
        <w:spacing w:after="0" w:line="110" w:lineRule="exact"/>
        <w:rPr>
          <w:sz w:val="20"/>
          <w:szCs w:val="20"/>
          <w:color w:val="auto"/>
        </w:rPr>
      </w:pPr>
    </w:p>
    <w:p>
      <w:pPr>
        <w:ind w:right="220" w:firstLine="1070"/>
        <w:spacing w:after="0" w:line="262" w:lineRule="auto"/>
        <w:rPr>
          <w:sz w:val="20"/>
          <w:szCs w:val="20"/>
          <w:color w:val="auto"/>
        </w:rPr>
      </w:pPr>
      <w:r>
        <w:rPr>
          <w:rFonts w:ascii="Arial" w:cs="Arial" w:eastAsia="Arial" w:hAnsi="Arial"/>
          <w:sz w:val="17"/>
          <w:szCs w:val="17"/>
          <w:color w:val="auto"/>
        </w:rPr>
        <w:t>Our general and administrative expenses consist primarily of salaries, benefits and stock-based compensation for our general and administrative personnel, allocated facilities costs, insurance and other expenses for outside professional services, including legal, marketing, investor relations, human resource and accounting services.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and Other Income (Expense), net</w:t>
      </w:r>
    </w:p>
    <w:p>
      <w:pPr>
        <w:spacing w:after="0" w:line="110" w:lineRule="exact"/>
        <w:rPr>
          <w:sz w:val="20"/>
          <w:szCs w:val="20"/>
          <w:color w:val="auto"/>
        </w:rPr>
      </w:pPr>
    </w:p>
    <w:p>
      <w:pPr>
        <w:ind w:right="220" w:firstLine="1070"/>
        <w:spacing w:after="0" w:line="306" w:lineRule="auto"/>
        <w:rPr>
          <w:sz w:val="20"/>
          <w:szCs w:val="20"/>
          <w:color w:val="auto"/>
        </w:rPr>
      </w:pPr>
      <w:r>
        <w:rPr>
          <w:rFonts w:ascii="Arial" w:cs="Arial" w:eastAsia="Arial" w:hAnsi="Arial"/>
          <w:sz w:val="16"/>
          <w:szCs w:val="16"/>
          <w:color w:val="auto"/>
        </w:rPr>
        <w:t>Our interest and other income (expense), net consists of interest income earned on cash and cash equivalents, money market funds and short-term investments, realized gains and losses on investments and interest expense from a term loan entered into under our Oxford Loan Agreement.</w:t>
      </w:r>
    </w:p>
    <w:p>
      <w:pPr>
        <w:spacing w:after="0" w:line="240"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Financial Operations Overview</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three months ended September 30, 2022 and 2021 (in thousands)</w:t>
      </w: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180"/>
          </w:cols>
          <w:pgMar w:left="320" w:top="955" w:right="399" w:bottom="1440" w:gutter="0" w:footer="0" w:header="0"/>
        </w:sectPr>
      </w:pPr>
    </w:p>
    <w:bookmarkStart w:id="26" w:name="page27"/>
    <w:bookmarkEnd w:id="26"/>
    <w:tbl>
      <w:tblPr>
        <w:tblLayout w:type="fixed"/>
        <w:tblInd w:w="220" w:type="dxa"/>
        <w:tblCellMar>
          <w:top w:w="0" w:type="dxa"/>
          <w:left w:w="0" w:type="dxa"/>
          <w:bottom w:w="0" w:type="dxa"/>
          <w:right w:w="0" w:type="dxa"/>
        </w:tblCellMar>
      </w:tblPr>
      <w:tr>
        <w:trPr>
          <w:trHeight w:val="196"/>
        </w:trPr>
        <w:tc>
          <w:tcPr>
            <w:tcW w:w="634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2700" w:type="dxa"/>
            <w:vAlign w:val="bottom"/>
            <w:tcBorders>
              <w:top w:val="single" w:sz="8" w:color="auto"/>
              <w:bottom w:val="single" w:sz="8" w:color="auto"/>
            </w:tcBorders>
            <w:gridSpan w:val="4"/>
          </w:tcPr>
          <w:p>
            <w:pPr>
              <w:jc w:val="right"/>
              <w:ind w:right="357"/>
              <w:spacing w:after="0"/>
              <w:rPr>
                <w:sz w:val="20"/>
                <w:szCs w:val="20"/>
                <w:color w:val="auto"/>
              </w:rPr>
            </w:pPr>
            <w:r>
              <w:rPr>
                <w:rFonts w:ascii="Arial" w:cs="Arial" w:eastAsia="Arial" w:hAnsi="Arial"/>
                <w:sz w:val="14"/>
                <w:szCs w:val="14"/>
                <w:b w:val="1"/>
                <w:bCs w:val="1"/>
                <w:color w:val="auto"/>
                <w:w w:val="94"/>
              </w:rPr>
              <w:t>Three Months Ended September 30,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84"/>
        </w:trPr>
        <w:tc>
          <w:tcPr>
            <w:tcW w:w="63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 Change</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r>
      <w:tr>
        <w:trPr>
          <w:trHeight w:val="216"/>
        </w:trPr>
        <w:tc>
          <w:tcPr>
            <w:tcW w:w="6340" w:type="dxa"/>
            <w:vAlign w:val="bottom"/>
          </w:tcPr>
          <w:p>
            <w:pPr>
              <w:spacing w:after="0"/>
              <w:rPr>
                <w:sz w:val="20"/>
                <w:szCs w:val="20"/>
                <w:color w:val="auto"/>
              </w:rPr>
            </w:pPr>
            <w:r>
              <w:rPr>
                <w:rFonts w:ascii="Arial" w:cs="Arial" w:eastAsia="Arial" w:hAnsi="Arial"/>
                <w:sz w:val="17"/>
                <w:szCs w:val="17"/>
                <w:color w:val="auto"/>
              </w:rPr>
              <w:t>Operating expenses: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7"/>
        </w:trPr>
        <w:tc>
          <w:tcPr>
            <w:tcW w:w="63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Research and development</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(24,606)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(3,554)</w:t>
            </w:r>
          </w:p>
        </w:tc>
      </w:tr>
      <w:tr>
        <w:trPr>
          <w:trHeight w:val="216"/>
        </w:trPr>
        <w:tc>
          <w:tcPr>
            <w:tcW w:w="634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General and administrative</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(7,671)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(1,152)</w:t>
            </w:r>
          </w:p>
        </w:tc>
      </w:tr>
      <w:tr>
        <w:trPr>
          <w:trHeight w:val="210"/>
        </w:trPr>
        <w:tc>
          <w:tcPr>
            <w:tcW w:w="63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operating expenses</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(33,429)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(28,723)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(4,706)</w:t>
            </w:r>
          </w:p>
        </w:tc>
      </w:tr>
      <w:tr>
        <w:trPr>
          <w:trHeight w:val="209"/>
        </w:trPr>
        <w:tc>
          <w:tcPr>
            <w:tcW w:w="6340" w:type="dxa"/>
            <w:vAlign w:val="bottom"/>
          </w:tcPr>
          <w:p>
            <w:pPr>
              <w:ind w:left="200"/>
              <w:spacing w:after="0"/>
              <w:rPr>
                <w:sz w:val="20"/>
                <w:szCs w:val="20"/>
                <w:color w:val="auto"/>
              </w:rPr>
            </w:pPr>
            <w:r>
              <w:rPr>
                <w:rFonts w:ascii="Arial" w:cs="Arial" w:eastAsia="Arial" w:hAnsi="Arial"/>
                <w:sz w:val="17"/>
                <w:szCs w:val="17"/>
                <w:color w:val="auto"/>
              </w:rPr>
              <w:t>Loss from operations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(31,947)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(27,113)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(4,834)</w:t>
            </w:r>
          </w:p>
        </w:tc>
      </w:tr>
      <w:tr>
        <w:trPr>
          <w:trHeight w:val="217"/>
        </w:trPr>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Interest and other income (expense), net</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1,264</w:t>
            </w:r>
          </w:p>
        </w:tc>
      </w:tr>
      <w:tr>
        <w:trPr>
          <w:trHeight w:val="209"/>
        </w:trPr>
        <w:tc>
          <w:tcPr>
            <w:tcW w:w="6340" w:type="dxa"/>
            <w:vAlign w:val="bottom"/>
          </w:tcPr>
          <w:p>
            <w:pPr>
              <w:ind w:left="200"/>
              <w:spacing w:after="0"/>
              <w:rPr>
                <w:sz w:val="20"/>
                <w:szCs w:val="20"/>
                <w:color w:val="auto"/>
              </w:rPr>
            </w:pPr>
            <w:r>
              <w:rPr>
                <w:rFonts w:ascii="Arial" w:cs="Arial" w:eastAsia="Arial" w:hAnsi="Arial"/>
                <w:sz w:val="17"/>
                <w:szCs w:val="17"/>
                <w:color w:val="auto"/>
              </w:rPr>
              <w:t>Net loss</w:t>
            </w: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(30,615)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(27,045)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(3,570)</w:t>
            </w:r>
          </w:p>
        </w:tc>
      </w:tr>
      <w:tr>
        <w:trPr>
          <w:trHeight w:val="20"/>
        </w:trPr>
        <w:tc>
          <w:tcPr>
            <w:tcW w:w="6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212"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Revenue was $1.5 million for the three months ended September 30, 2022 compared to $1.6 million for the three months ended September 30, 2021.</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The decrease of $0.1 million is attributable to lower research and development services revenue associated with the Novartis Agreement.</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212"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The following table summarizes our research and development expenses for the three months ended September 30, 2022 and 2021 (in thousands):</w:t>
      </w:r>
    </w:p>
    <w:p>
      <w:pPr>
        <w:spacing w:after="0" w:line="130"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w w:val="88"/>
              </w:rPr>
              <w:t>Three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9"/>
        </w:trPr>
        <w:tc>
          <w:tcPr>
            <w:tcW w:w="63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115"/>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4"/>
        </w:trPr>
        <w:tc>
          <w:tcPr>
            <w:tcW w:w="6320" w:type="dxa"/>
            <w:vAlign w:val="bottom"/>
            <w:tcBorders>
              <w:bottom w:val="single" w:sz="8" w:color="CFF0FC"/>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w w:val="83"/>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 Change</w:t>
            </w:r>
          </w:p>
        </w:tc>
      </w:tr>
      <w:tr>
        <w:trPr>
          <w:trHeight w:val="216"/>
        </w:trPr>
        <w:tc>
          <w:tcPr>
            <w:tcW w:w="6320" w:type="dxa"/>
            <w:vAlign w:val="bottom"/>
            <w:shd w:val="clear" w:color="auto" w:fill="CFF0FC"/>
          </w:tcPr>
          <w:p>
            <w:pPr>
              <w:ind w:left="20"/>
              <w:spacing w:after="0"/>
              <w:rPr>
                <w:sz w:val="20"/>
                <w:szCs w:val="20"/>
                <w:color w:val="auto"/>
              </w:rPr>
            </w:pPr>
            <w:r>
              <w:rPr>
                <w:rFonts w:ascii="Arial" w:cs="Arial" w:eastAsia="Arial" w:hAnsi="Arial"/>
                <w:sz w:val="17"/>
                <w:szCs w:val="17"/>
                <w:color w:val="auto"/>
              </w:rPr>
              <w:t>Employee-related expenses</w:t>
            </w:r>
          </w:p>
        </w:tc>
        <w:tc>
          <w:tcPr>
            <w:tcW w:w="860" w:type="dxa"/>
            <w:vAlign w:val="bottom"/>
            <w:shd w:val="clear" w:color="auto" w:fill="CCEEFF"/>
          </w:tcPr>
          <w:p>
            <w:pPr>
              <w:jc w:val="right"/>
              <w:ind w:right="681"/>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7,303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2,529</w:t>
            </w:r>
          </w:p>
        </w:tc>
      </w:tr>
      <w:tr>
        <w:trPr>
          <w:trHeight w:val="166"/>
        </w:trPr>
        <w:tc>
          <w:tcPr>
            <w:tcW w:w="6320" w:type="dxa"/>
            <w:vAlign w:val="bottom"/>
          </w:tcPr>
          <w:p>
            <w:pPr>
              <w:ind w:left="20"/>
              <w:spacing w:after="0" w:line="166" w:lineRule="exact"/>
              <w:rPr>
                <w:sz w:val="20"/>
                <w:szCs w:val="20"/>
                <w:color w:val="auto"/>
              </w:rPr>
            </w:pPr>
            <w:r>
              <w:rPr>
                <w:rFonts w:ascii="Arial" w:cs="Arial" w:eastAsia="Arial" w:hAnsi="Arial"/>
                <w:sz w:val="17"/>
                <w:szCs w:val="17"/>
                <w:color w:val="auto"/>
                <w:w w:val="97"/>
              </w:rPr>
              <w:t>Outside and consulting services for preclinical studies and research and development</w:t>
            </w: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28"/>
        </w:trPr>
        <w:tc>
          <w:tcPr>
            <w:tcW w:w="6320" w:type="dxa"/>
            <w:vAlign w:val="bottom"/>
          </w:tcPr>
          <w:p>
            <w:pPr>
              <w:ind w:left="160"/>
              <w:spacing w:after="0"/>
              <w:rPr>
                <w:sz w:val="20"/>
                <w:szCs w:val="20"/>
                <w:color w:val="auto"/>
              </w:rPr>
            </w:pPr>
            <w:r>
              <w:rPr>
                <w:rFonts w:ascii="Arial" w:cs="Arial" w:eastAsia="Arial" w:hAnsi="Arial"/>
                <w:sz w:val="17"/>
                <w:szCs w:val="17"/>
                <w:color w:val="auto"/>
              </w:rPr>
              <w:t>activities by third-party contract organizations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3,958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3,439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519</w:t>
            </w:r>
          </w:p>
        </w:tc>
      </w:tr>
      <w:tr>
        <w:trPr>
          <w:trHeight w:val="217"/>
        </w:trPr>
        <w:tc>
          <w:tcPr>
            <w:tcW w:w="6320" w:type="dxa"/>
            <w:vAlign w:val="bottom"/>
            <w:shd w:val="clear" w:color="auto" w:fill="CFF0FC"/>
          </w:tcPr>
          <w:p>
            <w:pPr>
              <w:ind w:left="20"/>
              <w:spacing w:after="0"/>
              <w:rPr>
                <w:sz w:val="20"/>
                <w:szCs w:val="20"/>
                <w:color w:val="auto"/>
              </w:rPr>
            </w:pPr>
            <w:r>
              <w:rPr>
                <w:rFonts w:ascii="Arial" w:cs="Arial" w:eastAsia="Arial" w:hAnsi="Arial"/>
                <w:sz w:val="17"/>
                <w:szCs w:val="17"/>
                <w:color w:val="auto"/>
              </w:rPr>
              <w:t>Clinical trials expenses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8,645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(1,315)</w:t>
            </w:r>
          </w:p>
        </w:tc>
      </w:tr>
      <w:tr>
        <w:trPr>
          <w:trHeight w:val="216"/>
        </w:trPr>
        <w:tc>
          <w:tcPr>
            <w:tcW w:w="6320" w:type="dxa"/>
            <w:vAlign w:val="bottom"/>
          </w:tcPr>
          <w:p>
            <w:pPr>
              <w:ind w:left="20"/>
              <w:spacing w:after="0"/>
              <w:rPr>
                <w:sz w:val="20"/>
                <w:szCs w:val="20"/>
                <w:color w:val="auto"/>
              </w:rPr>
            </w:pPr>
            <w:r>
              <w:rPr>
                <w:rFonts w:ascii="Arial" w:cs="Arial" w:eastAsia="Arial" w:hAnsi="Arial"/>
                <w:sz w:val="17"/>
                <w:szCs w:val="17"/>
                <w:color w:val="auto"/>
              </w:rPr>
              <w:t>Depreciation of lab equipment and costs of equipment and supplies</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1,341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1,282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217"/>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Facilities and other allocated expenses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1,744</w:t>
            </w:r>
          </w:p>
        </w:tc>
      </w:tr>
      <w:tr>
        <w:trPr>
          <w:trHeight w:val="216"/>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Technology and intellectual property licenses</w:t>
            </w: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r>
      <w:tr>
        <w:trPr>
          <w:trHeight w:val="234"/>
        </w:trPr>
        <w:tc>
          <w:tcPr>
            <w:tcW w:w="6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Total research and development expenses</w:t>
            </w:r>
          </w:p>
        </w:tc>
        <w:tc>
          <w:tcPr>
            <w:tcW w:w="860" w:type="dxa"/>
            <w:vAlign w:val="bottom"/>
            <w:tcBorders>
              <w:bottom w:val="single" w:sz="8" w:color="auto"/>
            </w:tcBorders>
            <w:shd w:val="clear" w:color="auto" w:fill="CCEEFF"/>
          </w:tcPr>
          <w:p>
            <w:pPr>
              <w:jc w:val="right"/>
              <w:ind w:right="681"/>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24,606</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21,052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3,554</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firstLine="1070"/>
        <w:spacing w:after="0" w:line="258" w:lineRule="auto"/>
        <w:rPr>
          <w:sz w:val="20"/>
          <w:szCs w:val="20"/>
          <w:color w:val="auto"/>
        </w:rPr>
      </w:pPr>
      <w:r>
        <w:rPr>
          <w:rFonts w:ascii="Arial" w:cs="Arial" w:eastAsia="Arial" w:hAnsi="Arial"/>
          <w:sz w:val="17"/>
          <w:szCs w:val="17"/>
          <w:color w:val="auto"/>
        </w:rPr>
        <w:t>Research and development expenses for the three months ended September 30, 2022 was $24.6 million compared to $21.1 million for the three months ended September 30, 2021. The increase of $3.6 million is primarily attributable to employee-related expenses, driven by headcount, salaries and stock-based compensation expense and facilities and other allocated charges. These costs were partially offset by a decrease in clinical trial expenses as significant Phase 1 studies were completed prior to the third quarter of 2022.</w:t>
      </w:r>
    </w:p>
    <w:p>
      <w:pPr>
        <w:spacing w:after="0" w:line="178" w:lineRule="exact"/>
        <w:rPr>
          <w:sz w:val="20"/>
          <w:szCs w:val="20"/>
          <w:color w:val="auto"/>
        </w:rPr>
      </w:pPr>
    </w:p>
    <w:p>
      <w:pPr>
        <w:ind w:right="60" w:firstLine="1070"/>
        <w:spacing w:after="0" w:line="303" w:lineRule="auto"/>
        <w:rPr>
          <w:sz w:val="20"/>
          <w:szCs w:val="20"/>
          <w:color w:val="auto"/>
        </w:rPr>
      </w:pPr>
      <w:r>
        <w:rPr>
          <w:rFonts w:ascii="Arial" w:cs="Arial" w:eastAsia="Arial" w:hAnsi="Arial"/>
          <w:sz w:val="15"/>
          <w:szCs w:val="15"/>
          <w:color w:val="auto"/>
        </w:rPr>
        <w:t>We do not allocate our costs by product candidates or by preclinical programs as these are in early stages of clinical trials or development, and our internal expenses are not allocated between product candidates and programs. Although external third-party costs are allocable between product candidates and programs, we do not perform this allocation. We expect our research and development expenses to increase for the foreseeable future as we continue to invest in research and development activities related to developing our product candidates and our preclinical programs and as they advance into later stages of development.</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110" w:lineRule="exact"/>
        <w:rPr>
          <w:sz w:val="20"/>
          <w:szCs w:val="20"/>
          <w:color w:val="auto"/>
        </w:rPr>
      </w:pPr>
    </w:p>
    <w:p>
      <w:pPr>
        <w:ind w:right="20" w:firstLine="1070"/>
        <w:spacing w:after="0" w:line="313" w:lineRule="auto"/>
        <w:rPr>
          <w:sz w:val="20"/>
          <w:szCs w:val="20"/>
          <w:color w:val="auto"/>
        </w:rPr>
      </w:pPr>
      <w:r>
        <w:rPr>
          <w:rFonts w:ascii="Arial" w:cs="Arial" w:eastAsia="Arial" w:hAnsi="Arial"/>
          <w:sz w:val="15"/>
          <w:szCs w:val="15"/>
          <w:color w:val="auto"/>
        </w:rPr>
        <w:t>General and administrative expenses for the three months ended September 30, 2022 was $8.8 million compared to $7.7 million for the three months ended September 30, 2021. The increase of $1.1 million is primarily attributable to employee-related costs, driven by salaries and stock-based compensation expense, consulting and other professional services expense, and charitable contributions to support academic research associated with fibrosis.</w:t>
      </w:r>
    </w:p>
    <w:p>
      <w:pPr>
        <w:spacing w:after="0" w:line="38" w:lineRule="exact"/>
        <w:rPr>
          <w:sz w:val="20"/>
          <w:szCs w:val="20"/>
          <w:color w:val="auto"/>
        </w:rPr>
      </w:pPr>
    </w:p>
    <w:p>
      <w:pPr>
        <w:ind w:right="440" w:firstLine="1070"/>
        <w:spacing w:after="0" w:line="274" w:lineRule="auto"/>
        <w:rPr>
          <w:sz w:val="20"/>
          <w:szCs w:val="20"/>
          <w:color w:val="auto"/>
        </w:rPr>
      </w:pPr>
      <w:r>
        <w:rPr>
          <w:rFonts w:ascii="Arial" w:cs="Arial" w:eastAsia="Arial" w:hAnsi="Arial"/>
          <w:sz w:val="17"/>
          <w:szCs w:val="17"/>
          <w:color w:val="auto"/>
        </w:rPr>
        <w:t>We expect our general and administrative expenses to increase for the foreseeable future as we continue to build our administrative function to support our growth in operations.</w:t>
      </w: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00"/>
          </w:cols>
          <w:pgMar w:left="320" w:top="960" w:right="379" w:bottom="1440" w:gutter="0" w:footer="0" w:header="0"/>
        </w:sectPr>
      </w:pPr>
    </w:p>
    <w:bookmarkStart w:id="27" w:name="page28"/>
    <w:bookmarkEnd w:id="27"/>
    <w:p>
      <w:pPr>
        <w:spacing w:after="0"/>
        <w:rPr>
          <w:sz w:val="20"/>
          <w:szCs w:val="20"/>
          <w:color w:val="auto"/>
        </w:rPr>
      </w:pPr>
      <w:r>
        <w:rPr>
          <w:rFonts w:ascii="Arial" w:cs="Arial" w:eastAsia="Arial" w:hAnsi="Arial"/>
          <w:sz w:val="17"/>
          <w:szCs w:val="17"/>
          <w:i w:val="1"/>
          <w:iCs w:val="1"/>
          <w:color w:val="auto"/>
        </w:rPr>
        <w:t>Interest and Other Income (Expense), net</w:t>
      </w:r>
    </w:p>
    <w:p>
      <w:pPr>
        <w:spacing w:after="0" w:line="110" w:lineRule="exact"/>
        <w:rPr>
          <w:sz w:val="20"/>
          <w:szCs w:val="20"/>
          <w:color w:val="auto"/>
        </w:rPr>
      </w:pPr>
    </w:p>
    <w:p>
      <w:pPr>
        <w:jc w:val="both"/>
        <w:ind w:right="60" w:firstLine="1070"/>
        <w:spacing w:after="0" w:line="258" w:lineRule="auto"/>
        <w:rPr>
          <w:sz w:val="20"/>
          <w:szCs w:val="20"/>
          <w:color w:val="auto"/>
        </w:rPr>
      </w:pPr>
      <w:r>
        <w:rPr>
          <w:rFonts w:ascii="Arial" w:cs="Arial" w:eastAsia="Arial" w:hAnsi="Arial"/>
          <w:sz w:val="17"/>
          <w:szCs w:val="17"/>
          <w:color w:val="auto"/>
        </w:rPr>
        <w:t>Interest and other income (expense), net for the three months ended September 30, 2022 was $1.3 million compared to $68,000 for the three months ended September 30, 2021. The increase of $1.2 million resulted from higher interest income due to increased yields and an increase in short-term investments due recent financing activities, which was partially offset by interest expense associated with the term loan issued under the Oxford Loan Agreement that was executed in the second quarter 2022.</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nine months ended September 30, 2022 and 2021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220" w:type="dxa"/>
        <w:tblCellMar>
          <w:top w:w="0" w:type="dxa"/>
          <w:left w:w="0" w:type="dxa"/>
          <w:bottom w:w="0" w:type="dxa"/>
          <w:right w:w="0" w:type="dxa"/>
        </w:tblCellMar>
      </w:tblPr>
      <w:tr>
        <w:trPr>
          <w:trHeight w:val="196"/>
        </w:trPr>
        <w:tc>
          <w:tcPr>
            <w:tcW w:w="63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2680" w:type="dxa"/>
            <w:vAlign w:val="bottom"/>
            <w:tcBorders>
              <w:top w:val="single" w:sz="8" w:color="auto"/>
              <w:bottom w:val="single" w:sz="8" w:color="auto"/>
            </w:tcBorders>
            <w:gridSpan w:val="4"/>
          </w:tcPr>
          <w:p>
            <w:pPr>
              <w:jc w:val="right"/>
              <w:ind w:right="397"/>
              <w:spacing w:after="0"/>
              <w:rPr>
                <w:sz w:val="20"/>
                <w:szCs w:val="20"/>
                <w:color w:val="auto"/>
              </w:rPr>
            </w:pPr>
            <w:r>
              <w:rPr>
                <w:rFonts w:ascii="Arial" w:cs="Arial" w:eastAsia="Arial" w:hAnsi="Arial"/>
                <w:sz w:val="14"/>
                <w:szCs w:val="14"/>
                <w:b w:val="1"/>
                <w:bCs w:val="1"/>
                <w:color w:val="auto"/>
                <w:w w:val="94"/>
              </w:rPr>
              <w:t>Nine Months Ended September 30,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84"/>
        </w:trPr>
        <w:tc>
          <w:tcPr>
            <w:tcW w:w="63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 Change</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2,147</w:t>
            </w:r>
          </w:p>
        </w:tc>
      </w:tr>
      <w:tr>
        <w:trPr>
          <w:trHeight w:val="216"/>
        </w:trPr>
        <w:tc>
          <w:tcPr>
            <w:tcW w:w="6340" w:type="dxa"/>
            <w:vAlign w:val="bottom"/>
          </w:tcPr>
          <w:p>
            <w:pPr>
              <w:spacing w:after="0"/>
              <w:rPr>
                <w:sz w:val="20"/>
                <w:szCs w:val="20"/>
                <w:color w:val="auto"/>
              </w:rPr>
            </w:pPr>
            <w:r>
              <w:rPr>
                <w:rFonts w:ascii="Arial" w:cs="Arial" w:eastAsia="Arial" w:hAnsi="Arial"/>
                <w:sz w:val="17"/>
                <w:szCs w:val="17"/>
                <w:color w:val="auto"/>
              </w:rPr>
              <w:t>Operating expenses: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7"/>
        </w:trPr>
        <w:tc>
          <w:tcPr>
            <w:tcW w:w="63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Research and development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(71,822)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(58,797)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(13,025)</w:t>
            </w:r>
          </w:p>
        </w:tc>
      </w:tr>
      <w:tr>
        <w:trPr>
          <w:trHeight w:val="216"/>
        </w:trPr>
        <w:tc>
          <w:tcPr>
            <w:tcW w:w="634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General and administrative</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(25,698)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(19,712)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(5,986)</w:t>
            </w:r>
          </w:p>
        </w:tc>
      </w:tr>
      <w:tr>
        <w:trPr>
          <w:trHeight w:val="210"/>
        </w:trPr>
        <w:tc>
          <w:tcPr>
            <w:tcW w:w="63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(97,520)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(78,509)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(19,011)</w:t>
            </w:r>
          </w:p>
        </w:tc>
      </w:tr>
      <w:tr>
        <w:trPr>
          <w:trHeight w:val="209"/>
        </w:trPr>
        <w:tc>
          <w:tcPr>
            <w:tcW w:w="6340" w:type="dxa"/>
            <w:vAlign w:val="bottom"/>
          </w:tcPr>
          <w:p>
            <w:pPr>
              <w:ind w:left="200"/>
              <w:spacing w:after="0"/>
              <w:rPr>
                <w:sz w:val="20"/>
                <w:szCs w:val="20"/>
                <w:color w:val="auto"/>
              </w:rPr>
            </w:pPr>
            <w:r>
              <w:rPr>
                <w:rFonts w:ascii="Arial" w:cs="Arial" w:eastAsia="Arial" w:hAnsi="Arial"/>
                <w:sz w:val="17"/>
                <w:szCs w:val="17"/>
                <w:color w:val="auto"/>
              </w:rPr>
              <w:t>Loss from operations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(89,800)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(72,936)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(16,864)</w:t>
            </w:r>
          </w:p>
        </w:tc>
      </w:tr>
      <w:tr>
        <w:trPr>
          <w:trHeight w:val="217"/>
        </w:trPr>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Interest and other income (expense), net</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1,335</w:t>
            </w:r>
          </w:p>
        </w:tc>
      </w:tr>
      <w:tr>
        <w:trPr>
          <w:trHeight w:val="209"/>
        </w:trPr>
        <w:tc>
          <w:tcPr>
            <w:tcW w:w="6340" w:type="dxa"/>
            <w:vAlign w:val="bottom"/>
          </w:tcPr>
          <w:p>
            <w:pPr>
              <w:ind w:left="200"/>
              <w:spacing w:after="0"/>
              <w:rPr>
                <w:sz w:val="20"/>
                <w:szCs w:val="20"/>
                <w:color w:val="auto"/>
              </w:rPr>
            </w:pPr>
            <w:r>
              <w:rPr>
                <w:rFonts w:ascii="Arial" w:cs="Arial" w:eastAsia="Arial" w:hAnsi="Arial"/>
                <w:sz w:val="17"/>
                <w:szCs w:val="17"/>
                <w:color w:val="auto"/>
              </w:rPr>
              <w:t>Net loss</w:t>
            </w: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(88,261)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(72,732)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(15,529)</w:t>
            </w:r>
          </w:p>
        </w:tc>
      </w:tr>
      <w:tr>
        <w:trPr>
          <w:trHeight w:val="20"/>
        </w:trPr>
        <w:tc>
          <w:tcPr>
            <w:tcW w:w="6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212" w:lineRule="exact"/>
        <w:rPr>
          <w:sz w:val="20"/>
          <w:szCs w:val="20"/>
          <w:color w:val="auto"/>
        </w:rPr>
      </w:pPr>
    </w:p>
    <w:p>
      <w:pPr>
        <w:jc w:val="both"/>
        <w:ind w:right="60" w:firstLine="1070"/>
        <w:spacing w:after="0" w:line="286" w:lineRule="auto"/>
        <w:rPr>
          <w:sz w:val="20"/>
          <w:szCs w:val="20"/>
          <w:color w:val="auto"/>
        </w:rPr>
      </w:pPr>
      <w:r>
        <w:rPr>
          <w:rFonts w:ascii="Arial" w:cs="Arial" w:eastAsia="Arial" w:hAnsi="Arial"/>
          <w:sz w:val="16"/>
          <w:szCs w:val="16"/>
          <w:color w:val="auto"/>
        </w:rPr>
        <w:t>Revenue was $7.7 million for the nine months ended September 30, 2022 compared to $5.6 million for the nine months ended September 30, 2021. The increase of $2.1 million is attributable to the recognition of a $4.0 million research target validation fee in the second quarter of 2022 which was partially offset by lower research and development services revenue, in each case, associated with the Novartis Agreement.</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212"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The following table summarizes our research and development expenses for the nine months ended September 30, 2022 and 2021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4157345</wp:posOffset>
            </wp:positionH>
            <wp:positionV relativeFrom="paragraph">
              <wp:posOffset>100330</wp:posOffset>
            </wp:positionV>
            <wp:extent cx="18757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spacing w:after="0" w:line="194"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6320" w:type="dxa"/>
            <w:vAlign w:val="bottom"/>
          </w:tcPr>
          <w:p>
            <w:pPr>
              <w:spacing w:after="0"/>
              <w:rPr>
                <w:sz w:val="15"/>
                <w:szCs w:val="15"/>
                <w:color w:val="auto"/>
              </w:rPr>
            </w:pPr>
          </w:p>
        </w:tc>
        <w:tc>
          <w:tcPr>
            <w:tcW w:w="3060" w:type="dxa"/>
            <w:vAlign w:val="bottom"/>
            <w:gridSpan w:val="6"/>
          </w:tcPr>
          <w:p>
            <w:pPr>
              <w:ind w:left="48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3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6"/>
        </w:trPr>
        <w:tc>
          <w:tcPr>
            <w:tcW w:w="6320" w:type="dxa"/>
            <w:vAlign w:val="bottom"/>
            <w:tcBorders>
              <w:bottom w:val="single" w:sz="8" w:color="CFF0FC"/>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FF0FC"/>
          </w:tcPr>
          <w:p>
            <w:pPr>
              <w:ind w:left="20"/>
              <w:spacing w:after="0"/>
              <w:rPr>
                <w:sz w:val="20"/>
                <w:szCs w:val="20"/>
                <w:color w:val="auto"/>
              </w:rPr>
            </w:pPr>
            <w:r>
              <w:rPr>
                <w:rFonts w:ascii="Arial" w:cs="Arial" w:eastAsia="Arial" w:hAnsi="Arial"/>
                <w:sz w:val="17"/>
                <w:szCs w:val="17"/>
                <w:color w:val="auto"/>
              </w:rPr>
              <w:t>Employee-related expenses</w:t>
            </w:r>
          </w:p>
        </w:tc>
        <w:tc>
          <w:tcPr>
            <w:tcW w:w="880" w:type="dxa"/>
            <w:vAlign w:val="bottom"/>
            <w:shd w:val="clear" w:color="auto" w:fill="CCEEFF"/>
          </w:tcPr>
          <w:p>
            <w:pPr>
              <w:jc w:val="right"/>
              <w:ind w:right="70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19,770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4,683</w:t>
            </w:r>
          </w:p>
        </w:tc>
        <w:tc>
          <w:tcPr>
            <w:tcW w:w="0" w:type="dxa"/>
            <w:vAlign w:val="bottom"/>
          </w:tcPr>
          <w:p>
            <w:pPr>
              <w:spacing w:after="0"/>
              <w:rPr>
                <w:sz w:val="1"/>
                <w:szCs w:val="1"/>
                <w:color w:val="auto"/>
              </w:rPr>
            </w:pPr>
          </w:p>
        </w:tc>
      </w:tr>
      <w:tr>
        <w:trPr>
          <w:trHeight w:val="166"/>
        </w:trPr>
        <w:tc>
          <w:tcPr>
            <w:tcW w:w="6320" w:type="dxa"/>
            <w:vAlign w:val="bottom"/>
          </w:tcPr>
          <w:p>
            <w:pPr>
              <w:ind w:left="20"/>
              <w:spacing w:after="0" w:line="166" w:lineRule="exact"/>
              <w:rPr>
                <w:sz w:val="20"/>
                <w:szCs w:val="20"/>
                <w:color w:val="auto"/>
              </w:rPr>
            </w:pPr>
            <w:r>
              <w:rPr>
                <w:rFonts w:ascii="Arial" w:cs="Arial" w:eastAsia="Arial" w:hAnsi="Arial"/>
                <w:sz w:val="17"/>
                <w:szCs w:val="17"/>
                <w:color w:val="auto"/>
                <w:w w:val="97"/>
              </w:rPr>
              <w:t>Outside and consulting services for preclinical studies and research and development</w:t>
            </w: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6320" w:type="dxa"/>
            <w:vAlign w:val="bottom"/>
          </w:tcPr>
          <w:p>
            <w:pPr>
              <w:ind w:left="160"/>
              <w:spacing w:after="0"/>
              <w:rPr>
                <w:sz w:val="20"/>
                <w:szCs w:val="20"/>
                <w:color w:val="auto"/>
              </w:rPr>
            </w:pPr>
            <w:r>
              <w:rPr>
                <w:rFonts w:ascii="Arial" w:cs="Arial" w:eastAsia="Arial" w:hAnsi="Arial"/>
                <w:sz w:val="17"/>
                <w:szCs w:val="17"/>
                <w:color w:val="auto"/>
              </w:rPr>
              <w:t>activities by third-party contract organizations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8"/>
              </w:rPr>
              <w:t>20,770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9,666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11,104</w:t>
            </w:r>
          </w:p>
        </w:tc>
        <w:tc>
          <w:tcPr>
            <w:tcW w:w="0" w:type="dxa"/>
            <w:vAlign w:val="bottom"/>
          </w:tcPr>
          <w:p>
            <w:pPr>
              <w:spacing w:after="0"/>
              <w:rPr>
                <w:sz w:val="1"/>
                <w:szCs w:val="1"/>
                <w:color w:val="auto"/>
              </w:rPr>
            </w:pPr>
          </w:p>
        </w:tc>
      </w:tr>
      <w:tr>
        <w:trPr>
          <w:trHeight w:val="217"/>
        </w:trPr>
        <w:tc>
          <w:tcPr>
            <w:tcW w:w="6320" w:type="dxa"/>
            <w:vAlign w:val="bottom"/>
            <w:shd w:val="clear" w:color="auto" w:fill="CFF0FC"/>
          </w:tcPr>
          <w:p>
            <w:pPr>
              <w:ind w:left="20"/>
              <w:spacing w:after="0"/>
              <w:rPr>
                <w:sz w:val="20"/>
                <w:szCs w:val="20"/>
                <w:color w:val="auto"/>
              </w:rPr>
            </w:pPr>
            <w:r>
              <w:rPr>
                <w:rFonts w:ascii="Arial" w:cs="Arial" w:eastAsia="Arial" w:hAnsi="Arial"/>
                <w:sz w:val="17"/>
                <w:szCs w:val="17"/>
                <w:color w:val="auto"/>
              </w:rPr>
              <w:t>Clinical trials expenses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19,956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25,304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(5,348)</w:t>
            </w: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7"/>
                <w:szCs w:val="17"/>
                <w:color w:val="auto"/>
              </w:rPr>
              <w:t>Depreciation of lab equipment and costs of equipment and supplies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4,377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4,302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17"/>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Facilities and other allocated expenses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2,478</w:t>
            </w:r>
          </w:p>
        </w:tc>
        <w:tc>
          <w:tcPr>
            <w:tcW w:w="0" w:type="dxa"/>
            <w:vAlign w:val="bottom"/>
          </w:tcPr>
          <w:p>
            <w:pPr>
              <w:spacing w:after="0"/>
              <w:rPr>
                <w:sz w:val="1"/>
                <w:szCs w:val="1"/>
                <w:color w:val="auto"/>
              </w:rPr>
            </w:pPr>
          </w:p>
        </w:tc>
      </w:tr>
      <w:tr>
        <w:trPr>
          <w:trHeight w:val="216"/>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Technology and intellectual property licenses</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34"/>
        </w:trPr>
        <w:tc>
          <w:tcPr>
            <w:tcW w:w="6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Total research and development expenses</w:t>
            </w:r>
          </w:p>
        </w:tc>
        <w:tc>
          <w:tcPr>
            <w:tcW w:w="880" w:type="dxa"/>
            <w:vAlign w:val="bottom"/>
            <w:tcBorders>
              <w:bottom w:val="single" w:sz="8" w:color="auto"/>
            </w:tcBorders>
            <w:shd w:val="clear" w:color="auto" w:fill="CCEEFF"/>
          </w:tcPr>
          <w:p>
            <w:pPr>
              <w:jc w:val="right"/>
              <w:ind w:right="704"/>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71,822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58,797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13,025</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firstLine="1070"/>
        <w:spacing w:after="0" w:line="303" w:lineRule="auto"/>
        <w:rPr>
          <w:sz w:val="20"/>
          <w:szCs w:val="20"/>
          <w:color w:val="auto"/>
        </w:rPr>
      </w:pPr>
      <w:r>
        <w:rPr>
          <w:rFonts w:ascii="Arial" w:cs="Arial" w:eastAsia="Arial" w:hAnsi="Arial"/>
          <w:sz w:val="15"/>
          <w:szCs w:val="15"/>
          <w:color w:val="auto"/>
        </w:rPr>
        <w:t>Research and development expenses for the nine months ended September 30, 2022 was $71.8 million compared to $58.8 million for the nine months ended September 30, 2021. The increase of $13.0 million is primarily attributable to third-party costs incurred for the advancement of preclinical programs, notably manufacturing related activities, and employee-related expenses, driven by headcount, salaries and stock-based compensation expense. These increases were partially offset by a reduction in clinical trial expenses of $5.3 million resulting from the completion of certain Phase 1 trials prior to 2022.</w:t>
      </w:r>
    </w:p>
    <w:p>
      <w:pPr>
        <w:spacing w:after="0" w:line="148" w:lineRule="exact"/>
        <w:rPr>
          <w:sz w:val="20"/>
          <w:szCs w:val="20"/>
          <w:color w:val="auto"/>
        </w:rPr>
      </w:pPr>
    </w:p>
    <w:p>
      <w:pPr>
        <w:ind w:right="200" w:firstLine="1070"/>
        <w:spacing w:after="0" w:line="274" w:lineRule="auto"/>
        <w:rPr>
          <w:sz w:val="20"/>
          <w:szCs w:val="20"/>
          <w:color w:val="auto"/>
        </w:rPr>
      </w:pPr>
      <w:r>
        <w:rPr>
          <w:rFonts w:ascii="Arial" w:cs="Arial" w:eastAsia="Arial" w:hAnsi="Arial"/>
          <w:sz w:val="17"/>
          <w:szCs w:val="17"/>
          <w:color w:val="auto"/>
        </w:rPr>
        <w:t>We do not allocate our costs by product candidates or by preclinical programs as these are in early stages of clinical trials or development, and our internal expenses are not allocated between product candidates and programs. Although</w:t>
      </w: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00"/>
          </w:cols>
          <w:pgMar w:left="320" w:top="1159" w:right="379" w:bottom="1440" w:gutter="0" w:footer="0" w:header="0"/>
        </w:sectPr>
      </w:pPr>
    </w:p>
    <w:bookmarkStart w:id="28" w:name="page29"/>
    <w:bookmarkEnd w:id="28"/>
    <w:p>
      <w:pPr>
        <w:ind w:right="140"/>
        <w:spacing w:after="0" w:line="262" w:lineRule="auto"/>
        <w:rPr>
          <w:sz w:val="20"/>
          <w:szCs w:val="20"/>
          <w:color w:val="auto"/>
        </w:rPr>
      </w:pPr>
      <w:r>
        <w:rPr>
          <w:rFonts w:ascii="Arial" w:cs="Arial" w:eastAsia="Arial" w:hAnsi="Arial"/>
          <w:sz w:val="17"/>
          <w:szCs w:val="17"/>
          <w:color w:val="auto"/>
        </w:rPr>
        <w:t>external third-party costs are allocable between product candidates and programs, we do not perform this allocation. We expect our research and development expenses to increase for the foreseeable future as we continue to invest in research and development activities related to developing our product candidates and our preclinical programs and as they advance into later stages of development.</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110" w:lineRule="exact"/>
        <w:rPr>
          <w:sz w:val="20"/>
          <w:szCs w:val="20"/>
          <w:color w:val="auto"/>
        </w:rPr>
      </w:pPr>
    </w:p>
    <w:p>
      <w:pPr>
        <w:ind w:right="40" w:firstLine="1070"/>
        <w:spacing w:after="0" w:line="313" w:lineRule="auto"/>
        <w:rPr>
          <w:sz w:val="20"/>
          <w:szCs w:val="20"/>
          <w:color w:val="auto"/>
        </w:rPr>
      </w:pPr>
      <w:r>
        <w:rPr>
          <w:rFonts w:ascii="Arial" w:cs="Arial" w:eastAsia="Arial" w:hAnsi="Arial"/>
          <w:sz w:val="15"/>
          <w:szCs w:val="15"/>
          <w:color w:val="auto"/>
        </w:rPr>
        <w:t>General and administrative expenses for the nine months ended September 30, 2022 was $25.7 million compared to $19.7 million for the nine months ended September 30, 2021. The increase of $6.0 million is primarily attributable to employee-related costs, driven by salaries and stock-based compensation expense, consulting and other professional services expense, and charitable contributions to support academic research associated with fibrosis.</w:t>
      </w:r>
    </w:p>
    <w:p>
      <w:pPr>
        <w:spacing w:after="0" w:line="38" w:lineRule="exact"/>
        <w:rPr>
          <w:sz w:val="20"/>
          <w:szCs w:val="20"/>
          <w:color w:val="auto"/>
        </w:rPr>
      </w:pPr>
    </w:p>
    <w:p>
      <w:pPr>
        <w:ind w:right="460" w:firstLine="1070"/>
        <w:spacing w:after="0" w:line="274" w:lineRule="auto"/>
        <w:rPr>
          <w:sz w:val="20"/>
          <w:szCs w:val="20"/>
          <w:color w:val="auto"/>
        </w:rPr>
      </w:pPr>
      <w:r>
        <w:rPr>
          <w:rFonts w:ascii="Arial" w:cs="Arial" w:eastAsia="Arial" w:hAnsi="Arial"/>
          <w:sz w:val="17"/>
          <w:szCs w:val="17"/>
          <w:color w:val="auto"/>
        </w:rPr>
        <w:t>We expect our general and administrative expenses to increase for the foreseeable future as we continue to build our administrative function to support our growth in operations.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and Other Income (Expense), net</w:t>
      </w:r>
    </w:p>
    <w:p>
      <w:pPr>
        <w:spacing w:after="0" w:line="110" w:lineRule="exact"/>
        <w:rPr>
          <w:sz w:val="20"/>
          <w:szCs w:val="20"/>
          <w:color w:val="auto"/>
        </w:rPr>
      </w:pPr>
    </w:p>
    <w:p>
      <w:pPr>
        <w:ind w:right="260" w:firstLine="1070"/>
        <w:spacing w:after="0" w:line="258" w:lineRule="auto"/>
        <w:rPr>
          <w:sz w:val="20"/>
          <w:szCs w:val="20"/>
          <w:color w:val="auto"/>
        </w:rPr>
      </w:pPr>
      <w:r>
        <w:rPr>
          <w:rFonts w:ascii="Arial" w:cs="Arial" w:eastAsia="Arial" w:hAnsi="Arial"/>
          <w:sz w:val="17"/>
          <w:szCs w:val="17"/>
          <w:color w:val="auto"/>
        </w:rPr>
        <w:t>Interest and other income (expense), net for the nine months ended September 30, 2022 was $1.5 million compared to $0.2 million for the nine months ended September 30, 2021. The increase of $1.3 million resulted from higher interest income due to increased yields and an increase in short-term investments due recent financing activities, which was partially offset by interest expense associated with the term loan issued under the Oxford Loan Agreement that was executed in the second quarter 2022.</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Overview</w:t>
      </w:r>
    </w:p>
    <w:p>
      <w:pPr>
        <w:spacing w:after="0" w:line="110"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As of September 30, 2022, we had $360.2 million of cash, cash equivalents and short-term investments. Our short-term investments consist of U.S.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Treasury securities, U.S. Government agency securities and highly rated, investment-grade corporate debt securities.</w:t>
      </w:r>
    </w:p>
    <w:p>
      <w:pPr>
        <w:spacing w:after="0" w:line="99" w:lineRule="exact"/>
        <w:rPr>
          <w:sz w:val="20"/>
          <w:szCs w:val="20"/>
          <w:color w:val="auto"/>
        </w:rPr>
      </w:pPr>
    </w:p>
    <w:p>
      <w:pPr>
        <w:ind w:right="140" w:firstLine="1070"/>
        <w:spacing w:after="0" w:line="303" w:lineRule="auto"/>
        <w:rPr>
          <w:sz w:val="20"/>
          <w:szCs w:val="20"/>
          <w:color w:val="auto"/>
        </w:rPr>
      </w:pPr>
      <w:r>
        <w:rPr>
          <w:rFonts w:ascii="Arial" w:cs="Arial" w:eastAsia="Arial" w:hAnsi="Arial"/>
          <w:sz w:val="15"/>
          <w:szCs w:val="15"/>
          <w:color w:val="auto"/>
        </w:rPr>
        <w:t>In May 2022 we entered into a Loan and Security Agreement (the “Oxford Loan Agreement”) with Oxford Finance LLC (or "Oxford"). In October 2022, we amended the Oxford Loan Agreement, extending the time period available to draw on the first two tranches to mid-February 2023. Upon closing of the Oxford Loan Agreement, we drew $10.0 million and we have access to draw an additional $40.0 million through mid-February 2023. A further $50.0 million may become available to us, $25.0 million upon the achievement of a pre-determined development milestone and $25.0 million at Oxford's discretion.</w:t>
      </w:r>
    </w:p>
    <w:p>
      <w:pPr>
        <w:spacing w:after="0" w:line="46" w:lineRule="exact"/>
        <w:rPr>
          <w:sz w:val="20"/>
          <w:szCs w:val="20"/>
          <w:color w:val="auto"/>
        </w:rPr>
      </w:pPr>
    </w:p>
    <w:p>
      <w:pPr>
        <w:jc w:val="both"/>
        <w:ind w:firstLine="1070"/>
        <w:spacing w:after="0" w:line="262" w:lineRule="auto"/>
        <w:rPr>
          <w:sz w:val="20"/>
          <w:szCs w:val="20"/>
          <w:color w:val="auto"/>
        </w:rPr>
      </w:pPr>
      <w:r>
        <w:rPr>
          <w:rFonts w:ascii="Arial" w:cs="Arial" w:eastAsia="Arial" w:hAnsi="Arial"/>
          <w:sz w:val="17"/>
          <w:szCs w:val="17"/>
          <w:color w:val="auto"/>
        </w:rPr>
        <w:t>In July 2022, we completed an underwritten public offering of 12,432,432 shares of common stock, including the exercise in full of the underwriters' option to purchase 1,621,621 additional shares of common stock. The shares were offered at a price to the public of $18.50 per share, resulting in aggregate proceeds of approximately $215.4 million, net of underwriting discounts, commissions and offering expenses.</w:t>
      </w:r>
    </w:p>
    <w:p>
      <w:pPr>
        <w:spacing w:after="0" w:line="73" w:lineRule="exact"/>
        <w:rPr>
          <w:sz w:val="20"/>
          <w:szCs w:val="20"/>
          <w:color w:val="auto"/>
        </w:rPr>
      </w:pPr>
    </w:p>
    <w:p>
      <w:pPr>
        <w:ind w:right="20" w:firstLine="1070"/>
        <w:spacing w:after="0" w:line="256" w:lineRule="auto"/>
        <w:rPr>
          <w:sz w:val="20"/>
          <w:szCs w:val="20"/>
          <w:color w:val="auto"/>
        </w:rPr>
      </w:pPr>
      <w:r>
        <w:rPr>
          <w:rFonts w:ascii="Arial" w:cs="Arial" w:eastAsia="Arial" w:hAnsi="Arial"/>
          <w:sz w:val="17"/>
          <w:szCs w:val="17"/>
          <w:color w:val="auto"/>
        </w:rPr>
        <w:t>We believe that our existing capital resources, together with the proceeds from our July 2022 public offering and term loans available or contingently available to us under the Oxford Loan Agreement, will be sufficient to meet our projected operating requirements to the middle of 2025. We have based these estimates on assumptions that may prove to be wrong, and we could utilize our available capital resources sooner than we currently expect. Further, our operating plan may change, and we may need additional funds to meet operational needs and capital requirements for product development and commercialization sooner than planned.</w:t>
      </w:r>
    </w:p>
    <w:p>
      <w:pPr>
        <w:spacing w:after="0" w:line="78" w:lineRule="exact"/>
        <w:rPr>
          <w:sz w:val="20"/>
          <w:szCs w:val="20"/>
          <w:color w:val="auto"/>
        </w:rPr>
      </w:pPr>
    </w:p>
    <w:p>
      <w:pPr>
        <w:ind w:right="40" w:firstLine="1070"/>
        <w:spacing w:after="0" w:line="255" w:lineRule="auto"/>
        <w:rPr>
          <w:sz w:val="20"/>
          <w:szCs w:val="20"/>
          <w:color w:val="auto"/>
        </w:rPr>
      </w:pPr>
      <w:r>
        <w:rPr>
          <w:rFonts w:ascii="Arial" w:cs="Arial" w:eastAsia="Arial" w:hAnsi="Arial"/>
          <w:sz w:val="16"/>
          <w:szCs w:val="16"/>
          <w:color w:val="auto"/>
        </w:rPr>
        <w:t>Our operations have been financed primarily through the issuance and sale of convertible preferred stock, issuance of common stock and our collaboration with Novartis. During the third quarter of 2021, we entered into a Controlled Equity Offering</w:t>
      </w:r>
      <w:r>
        <w:rPr>
          <w:rFonts w:ascii="Arial" w:cs="Arial" w:eastAsia="Arial" w:hAnsi="Arial"/>
          <w:sz w:val="21"/>
          <w:szCs w:val="21"/>
          <w:color w:val="auto"/>
          <w:vertAlign w:val="superscript"/>
        </w:rPr>
        <w:t>SM</w:t>
      </w:r>
      <w:r>
        <w:rPr>
          <w:rFonts w:ascii="Arial" w:cs="Arial" w:eastAsia="Arial" w:hAnsi="Arial"/>
          <w:sz w:val="16"/>
          <w:szCs w:val="16"/>
          <w:color w:val="auto"/>
        </w:rPr>
        <w:t xml:space="preserve"> Sales Agreement (the “Sales Agreement”) with Cantor Fitzgerald &amp; Co., as sales agent, pursuant to which we may issue and sell up to $150.0 million of shares of common stock from time to time. The issuance and sale of these shares pursuant to the Sales Agreement are deemed an “at-the-market” offering and are registered under the Securities Act of 1933, as amended. We have not issued any shares pursuant to any at-the-market offerings but may do so at a future date.</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Funding Requirements</w:t>
      </w:r>
    </w:p>
    <w:p>
      <w:pPr>
        <w:spacing w:after="0" w:line="110" w:lineRule="exact"/>
        <w:rPr>
          <w:sz w:val="20"/>
          <w:szCs w:val="20"/>
          <w:color w:val="auto"/>
        </w:rPr>
      </w:pPr>
    </w:p>
    <w:p>
      <w:pPr>
        <w:ind w:right="240" w:firstLine="1070"/>
        <w:spacing w:after="0" w:line="342" w:lineRule="auto"/>
        <w:rPr>
          <w:sz w:val="20"/>
          <w:szCs w:val="20"/>
          <w:color w:val="auto"/>
        </w:rPr>
      </w:pPr>
      <w:r>
        <w:rPr>
          <w:rFonts w:ascii="Arial" w:cs="Arial" w:eastAsia="Arial" w:hAnsi="Arial"/>
          <w:sz w:val="15"/>
          <w:szCs w:val="15"/>
          <w:color w:val="auto"/>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spacing w:after="0" w:line="12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Our future funding requirements will depend on many factors, including the following:</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29" w:name="page30"/>
    <w:bookmarkEnd w:id="29"/>
    <w:p>
      <w:pPr>
        <w:ind w:left="1980" w:hanging="908"/>
        <w:spacing w:after="0"/>
        <w:tabs>
          <w:tab w:leader="none" w:pos="1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initiation, progress, timing, costs and results of preclinical studies and clinical trials for our product candidates;</w:t>
      </w:r>
    </w:p>
    <w:p>
      <w:pPr>
        <w:spacing w:after="0" w:line="110" w:lineRule="exact"/>
        <w:rPr>
          <w:rFonts w:ascii="Arial" w:cs="Arial" w:eastAsia="Arial" w:hAnsi="Arial"/>
          <w:sz w:val="17"/>
          <w:szCs w:val="17"/>
          <w:color w:val="auto"/>
        </w:rPr>
      </w:pPr>
    </w:p>
    <w:p>
      <w:pPr>
        <w:ind w:left="1980" w:hanging="908"/>
        <w:spacing w:after="0"/>
        <w:tabs>
          <w:tab w:leader="none" w:pos="1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clinical development plans we establish for these product candidates;</w:t>
      </w:r>
    </w:p>
    <w:p>
      <w:pPr>
        <w:spacing w:after="0" w:line="110" w:lineRule="exact"/>
        <w:rPr>
          <w:rFonts w:ascii="Arial" w:cs="Arial" w:eastAsia="Arial" w:hAnsi="Arial"/>
          <w:sz w:val="17"/>
          <w:szCs w:val="17"/>
          <w:color w:val="auto"/>
        </w:rPr>
      </w:pPr>
    </w:p>
    <w:p>
      <w:pPr>
        <w:ind w:left="1980" w:right="540" w:hanging="908"/>
        <w:spacing w:after="0" w:line="274" w:lineRule="auto"/>
        <w:tabs>
          <w:tab w:leader="none" w:pos="197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timelines of our clinical trials and the overall costs to conduct and complete the clinical trials, which may be impacted by the COVID-19 pandemic;</w:t>
      </w:r>
    </w:p>
    <w:p>
      <w:pPr>
        <w:spacing w:after="0" w:line="63" w:lineRule="exact"/>
        <w:rPr>
          <w:rFonts w:ascii="Arial" w:cs="Arial" w:eastAsia="Arial" w:hAnsi="Arial"/>
          <w:sz w:val="17"/>
          <w:szCs w:val="17"/>
          <w:color w:val="auto"/>
        </w:rPr>
      </w:pPr>
    </w:p>
    <w:p>
      <w:pPr>
        <w:ind w:left="1980" w:hanging="908"/>
        <w:spacing w:after="0"/>
        <w:tabs>
          <w:tab w:leader="none" w:pos="1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number and characteristics of product candidates that we develop;</w:t>
      </w:r>
    </w:p>
    <w:p>
      <w:pPr>
        <w:spacing w:after="0" w:line="110" w:lineRule="exact"/>
        <w:rPr>
          <w:rFonts w:ascii="Arial" w:cs="Arial" w:eastAsia="Arial" w:hAnsi="Arial"/>
          <w:sz w:val="17"/>
          <w:szCs w:val="17"/>
          <w:color w:val="auto"/>
        </w:rPr>
      </w:pPr>
    </w:p>
    <w:p>
      <w:pPr>
        <w:ind w:left="1980" w:right="20" w:hanging="908"/>
        <w:spacing w:after="0" w:line="262" w:lineRule="auto"/>
        <w:tabs>
          <w:tab w:leader="none" w:pos="197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outcome, timing and cost of meeting regulatory requirements established by the U.S. Food and Drug Administration, or FDA, and other comparable foreign regulatory authorities including but not limited to the European Medicines Agency (EMA), the UK Medicines and Healthcare prodcuts Regulatory Agency (MHRA);</w:t>
      </w:r>
    </w:p>
    <w:p>
      <w:pPr>
        <w:spacing w:after="0" w:line="72" w:lineRule="exact"/>
        <w:rPr>
          <w:rFonts w:ascii="Arial" w:cs="Arial" w:eastAsia="Arial" w:hAnsi="Arial"/>
          <w:sz w:val="17"/>
          <w:szCs w:val="17"/>
          <w:color w:val="auto"/>
        </w:rPr>
      </w:pPr>
    </w:p>
    <w:p>
      <w:pPr>
        <w:ind w:left="1980" w:hanging="908"/>
        <w:spacing w:after="0"/>
        <w:tabs>
          <w:tab w:leader="none" w:pos="1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whether we enter into any collaboration agreements and the terms of any such agreements;</w:t>
      </w:r>
    </w:p>
    <w:p>
      <w:pPr>
        <w:spacing w:after="0" w:line="110" w:lineRule="exact"/>
        <w:rPr>
          <w:rFonts w:ascii="Arial" w:cs="Arial" w:eastAsia="Arial" w:hAnsi="Arial"/>
          <w:sz w:val="17"/>
          <w:szCs w:val="17"/>
          <w:color w:val="auto"/>
        </w:rPr>
      </w:pPr>
    </w:p>
    <w:p>
      <w:pPr>
        <w:ind w:left="1980" w:hanging="908"/>
        <w:spacing w:after="0"/>
        <w:tabs>
          <w:tab w:leader="none" w:pos="1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cost of filing, prosecuting, defending and enforcing our patent claims and other intellectual property rights;</w:t>
      </w:r>
    </w:p>
    <w:p>
      <w:pPr>
        <w:spacing w:after="0" w:line="110" w:lineRule="exact"/>
        <w:rPr>
          <w:rFonts w:ascii="Arial" w:cs="Arial" w:eastAsia="Arial" w:hAnsi="Arial"/>
          <w:sz w:val="17"/>
          <w:szCs w:val="17"/>
          <w:color w:val="auto"/>
        </w:rPr>
      </w:pPr>
    </w:p>
    <w:p>
      <w:pPr>
        <w:ind w:left="1980" w:right="380" w:hanging="908"/>
        <w:spacing w:after="0" w:line="274" w:lineRule="auto"/>
        <w:tabs>
          <w:tab w:leader="none" w:pos="197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cost of defending intellectual property disputes, including patent infringement actions brought by third parties against us or our product candidates;</w:t>
      </w:r>
    </w:p>
    <w:p>
      <w:pPr>
        <w:spacing w:after="0" w:line="63" w:lineRule="exact"/>
        <w:rPr>
          <w:rFonts w:ascii="Arial" w:cs="Arial" w:eastAsia="Arial" w:hAnsi="Arial"/>
          <w:sz w:val="17"/>
          <w:szCs w:val="17"/>
          <w:color w:val="auto"/>
        </w:rPr>
      </w:pPr>
    </w:p>
    <w:p>
      <w:pPr>
        <w:ind w:left="1980" w:hanging="908"/>
        <w:spacing w:after="0"/>
        <w:tabs>
          <w:tab w:leader="none" w:pos="1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effect of competing technological and market developments;</w:t>
      </w:r>
    </w:p>
    <w:p>
      <w:pPr>
        <w:spacing w:after="0" w:line="110" w:lineRule="exact"/>
        <w:rPr>
          <w:rFonts w:ascii="Arial" w:cs="Arial" w:eastAsia="Arial" w:hAnsi="Arial"/>
          <w:sz w:val="17"/>
          <w:szCs w:val="17"/>
          <w:color w:val="auto"/>
        </w:rPr>
      </w:pPr>
    </w:p>
    <w:p>
      <w:pPr>
        <w:ind w:left="1980" w:hanging="908"/>
        <w:spacing w:after="0"/>
        <w:tabs>
          <w:tab w:leader="none" w:pos="1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cost and timing of completion of commercial-scale outsourced manufacturing activities;</w:t>
      </w:r>
    </w:p>
    <w:p>
      <w:pPr>
        <w:spacing w:after="0" w:line="110" w:lineRule="exact"/>
        <w:rPr>
          <w:rFonts w:ascii="Arial" w:cs="Arial" w:eastAsia="Arial" w:hAnsi="Arial"/>
          <w:sz w:val="17"/>
          <w:szCs w:val="17"/>
          <w:color w:val="auto"/>
        </w:rPr>
      </w:pPr>
    </w:p>
    <w:p>
      <w:pPr>
        <w:jc w:val="both"/>
        <w:ind w:left="1980" w:right="520" w:hanging="908"/>
        <w:spacing w:after="0" w:line="262" w:lineRule="auto"/>
        <w:tabs>
          <w:tab w:leader="none" w:pos="197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cost and timing of achieving favourable pricing and reimbursement agreements with the pricing authorities in each market of interest, including of securing a positive recommendation after undergoing a health technology assessment by health technology authorities;</w:t>
      </w:r>
    </w:p>
    <w:p>
      <w:pPr>
        <w:spacing w:after="0" w:line="72" w:lineRule="exact"/>
        <w:rPr>
          <w:rFonts w:ascii="Arial" w:cs="Arial" w:eastAsia="Arial" w:hAnsi="Arial"/>
          <w:sz w:val="17"/>
          <w:szCs w:val="17"/>
          <w:color w:val="auto"/>
        </w:rPr>
      </w:pPr>
    </w:p>
    <w:p>
      <w:pPr>
        <w:ind w:left="1980" w:right="240" w:hanging="908"/>
        <w:spacing w:after="0" w:line="274" w:lineRule="auto"/>
        <w:tabs>
          <w:tab w:leader="none" w:pos="197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cost of establishing sales, marketing and distribution capabilities for any product candidates for which we may receive regulatory approval in regions where we choose to commercialize our products on our own; and</w:t>
      </w:r>
    </w:p>
    <w:p>
      <w:pPr>
        <w:spacing w:after="0" w:line="63" w:lineRule="exact"/>
        <w:rPr>
          <w:rFonts w:ascii="Arial" w:cs="Arial" w:eastAsia="Arial" w:hAnsi="Arial"/>
          <w:sz w:val="17"/>
          <w:szCs w:val="17"/>
          <w:color w:val="auto"/>
        </w:rPr>
      </w:pPr>
    </w:p>
    <w:p>
      <w:pPr>
        <w:ind w:left="1980" w:hanging="908"/>
        <w:spacing w:after="0"/>
        <w:tabs>
          <w:tab w:leader="none" w:pos="1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cost of operating as a public company.</w:t>
      </w:r>
    </w:p>
    <w:p>
      <w:pPr>
        <w:spacing w:after="0" w:line="212" w:lineRule="exact"/>
        <w:rPr>
          <w:sz w:val="20"/>
          <w:szCs w:val="20"/>
          <w:color w:val="auto"/>
        </w:rPr>
      </w:pPr>
    </w:p>
    <w:p>
      <w:pPr>
        <w:ind w:firstLine="1070"/>
        <w:spacing w:after="0" w:line="270" w:lineRule="auto"/>
        <w:rPr>
          <w:sz w:val="20"/>
          <w:szCs w:val="20"/>
          <w:color w:val="auto"/>
        </w:rPr>
      </w:pPr>
      <w:r>
        <w:rPr>
          <w:rFonts w:ascii="Arial" w:cs="Arial" w:eastAsia="Arial" w:hAnsi="Arial"/>
          <w:sz w:val="16"/>
          <w:szCs w:val="16"/>
          <w:color w:val="auto"/>
        </w:rPr>
        <w:t>Further, our operating plan may change, and we may need additional funds to meet operational needs and capital requirements for clinical trials and other research and development expenditures. If we need to raise additional capital to fund our operations, funding may not be available to us on acceptable terms, or at all. If we are unable to obtain adequate financing when needed, we may have to delay, reduce the scope of or suspend one or more of our preclinical studies, clinical trials, research and development programs or commercialization efforts. We may seek to raise any necessary additional capital through a combination of public or private equity offerings, debt financings, collaborations and other licensing arrangements. If we raise capital through additional debt financing, we may be subject to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nine months ended September 30, 2022 and 2021</w:t>
      </w:r>
    </w:p>
    <w:p>
      <w:pPr>
        <w:spacing w:after="0" w:line="11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following summarizes our cash flows for the periods indicated (in thousands):</w:t>
      </w:r>
    </w:p>
    <w:p>
      <w:pPr>
        <w:spacing w:after="0" w:line="128" w:lineRule="exact"/>
        <w:rPr>
          <w:sz w:val="20"/>
          <w:szCs w:val="20"/>
          <w:color w:val="auto"/>
        </w:rPr>
      </w:pPr>
    </w:p>
    <w:tbl>
      <w:tblPr>
        <w:tblLayout w:type="fixed"/>
        <w:tblInd w:w="940" w:type="dxa"/>
        <w:tblCellMar>
          <w:top w:w="0" w:type="dxa"/>
          <w:left w:w="0" w:type="dxa"/>
          <w:bottom w:w="0" w:type="dxa"/>
          <w:right w:w="0" w:type="dxa"/>
        </w:tblCellMar>
      </w:tblPr>
      <w:tr>
        <w:trPr>
          <w:trHeight w:val="175"/>
        </w:trPr>
        <w:tc>
          <w:tcPr>
            <w:tcW w:w="6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00" w:type="dxa"/>
            <w:vAlign w:val="bottom"/>
            <w:gridSpan w:val="4"/>
          </w:tcPr>
          <w:p>
            <w:pPr>
              <w:jc w:val="right"/>
              <w:ind w:right="399"/>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24"/>
        </w:trPr>
        <w:tc>
          <w:tcPr>
            <w:tcW w:w="6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76"/>
        </w:trPr>
        <w:tc>
          <w:tcPr>
            <w:tcW w:w="63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operating activities</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(55,578)</w:t>
            </w:r>
          </w:p>
        </w:tc>
      </w:tr>
      <w:tr>
        <w:trPr>
          <w:trHeight w:val="216"/>
        </w:trPr>
        <w:tc>
          <w:tcPr>
            <w:tcW w:w="6360" w:type="dxa"/>
            <w:vAlign w:val="bottom"/>
          </w:tcPr>
          <w:p>
            <w:pPr>
              <w:ind w:left="20"/>
              <w:spacing w:after="0"/>
              <w:rPr>
                <w:sz w:val="20"/>
                <w:szCs w:val="20"/>
                <w:color w:val="auto"/>
              </w:rPr>
            </w:pPr>
            <w:r>
              <w:rPr>
                <w:rFonts w:ascii="Arial" w:cs="Arial" w:eastAsia="Arial" w:hAnsi="Arial"/>
                <w:sz w:val="17"/>
                <w:szCs w:val="17"/>
                <w:color w:val="auto"/>
              </w:rPr>
              <w:t>Net cash (used in) provided by investing activities</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(170,226)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47,916</w:t>
            </w:r>
          </w:p>
        </w:tc>
      </w:tr>
      <w:tr>
        <w:trPr>
          <w:trHeight w:val="217"/>
        </w:trPr>
        <w:tc>
          <w:tcPr>
            <w:tcW w:w="636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17"/>
                <w:szCs w:val="17"/>
                <w:color w:val="auto"/>
              </w:rPr>
              <w:t>226,570</w:t>
            </w:r>
          </w:p>
        </w:tc>
        <w:tc>
          <w:tcPr>
            <w:tcW w:w="1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2,011</w:t>
            </w:r>
          </w:p>
        </w:tc>
      </w:tr>
      <w:tr>
        <w:trPr>
          <w:trHeight w:val="209"/>
        </w:trPr>
        <w:tc>
          <w:tcPr>
            <w:tcW w:w="6360" w:type="dxa"/>
            <w:vAlign w:val="bottom"/>
          </w:tcPr>
          <w:p>
            <w:pPr>
              <w:ind w:left="220"/>
              <w:spacing w:after="0"/>
              <w:rPr>
                <w:sz w:val="20"/>
                <w:szCs w:val="20"/>
                <w:color w:val="auto"/>
              </w:rPr>
            </w:pPr>
            <w:r>
              <w:rPr>
                <w:rFonts w:ascii="Arial" w:cs="Arial" w:eastAsia="Arial" w:hAnsi="Arial"/>
                <w:sz w:val="17"/>
                <w:szCs w:val="17"/>
                <w:color w:val="auto"/>
              </w:rPr>
              <w:t>Net decrease in cash and cash equivalents</w:t>
            </w: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(7,048)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(5,651)</w:t>
            </w:r>
          </w:p>
        </w:tc>
      </w:tr>
      <w:tr>
        <w:trPr>
          <w:trHeight w:val="20"/>
        </w:trPr>
        <w:tc>
          <w:tcPr>
            <w:tcW w:w="6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Used in Operating Activities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30" w:name="page31"/>
    <w:bookmarkEnd w:id="30"/>
    <w:p>
      <w:pPr>
        <w:ind w:right="20" w:firstLine="1070"/>
        <w:spacing w:after="0" w:line="262" w:lineRule="auto"/>
        <w:rPr>
          <w:sz w:val="20"/>
          <w:szCs w:val="20"/>
          <w:color w:val="auto"/>
        </w:rPr>
      </w:pPr>
      <w:r>
        <w:rPr>
          <w:rFonts w:ascii="Arial" w:cs="Arial" w:eastAsia="Arial" w:hAnsi="Arial"/>
          <w:sz w:val="17"/>
          <w:szCs w:val="17"/>
          <w:color w:val="auto"/>
        </w:rPr>
        <w:t>Net cash used in operating activities was $63.4 million for the nine months ended September 30, 2022 compared to $55.6 million for the nine months ended September 30, 2021. The increase in cash used in operating activities of $7.8 million over the prior year is attributable to an increase in the net loss of $15.5 million, the timing of revenue related cash receipts and cash outlay to settle accrued liabilities.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(Used in) Provided by Investing Activities</w:t>
      </w:r>
    </w:p>
    <w:p>
      <w:pPr>
        <w:spacing w:after="0" w:line="110" w:lineRule="exact"/>
        <w:rPr>
          <w:sz w:val="20"/>
          <w:szCs w:val="20"/>
          <w:color w:val="auto"/>
        </w:rPr>
      </w:pPr>
    </w:p>
    <w:p>
      <w:pPr>
        <w:jc w:val="both"/>
        <w:ind w:right="140" w:firstLine="1070"/>
        <w:spacing w:after="0" w:line="313" w:lineRule="auto"/>
        <w:rPr>
          <w:sz w:val="20"/>
          <w:szCs w:val="20"/>
          <w:color w:val="auto"/>
        </w:rPr>
      </w:pPr>
      <w:r>
        <w:rPr>
          <w:rFonts w:ascii="Arial" w:cs="Arial" w:eastAsia="Arial" w:hAnsi="Arial"/>
          <w:sz w:val="15"/>
          <w:szCs w:val="15"/>
          <w:color w:val="auto"/>
        </w:rPr>
        <w:t>Net cash used in investing activities was $170.2 million for the nine months ended September 30, 2022 compared to net cash provided by investing activities of $47.9 million for the same period in 2021. The increase in cash used by investing activities of $218.1 million is attributable to a significant purchase of short-term investments following the Company's financing activities in 2022 coupled with a reduction in maturities or short-term investments as compared to 2021.</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Provided by Financing Activities</w:t>
      </w:r>
    </w:p>
    <w:p>
      <w:pPr>
        <w:spacing w:after="0" w:line="110" w:lineRule="exact"/>
        <w:rPr>
          <w:sz w:val="20"/>
          <w:szCs w:val="20"/>
          <w:color w:val="auto"/>
        </w:rPr>
      </w:pPr>
    </w:p>
    <w:p>
      <w:pPr>
        <w:ind w:right="40" w:firstLine="1070"/>
        <w:spacing w:after="0" w:line="286" w:lineRule="auto"/>
        <w:rPr>
          <w:sz w:val="20"/>
          <w:szCs w:val="20"/>
          <w:color w:val="auto"/>
        </w:rPr>
      </w:pPr>
      <w:r>
        <w:rPr>
          <w:rFonts w:ascii="Arial" w:cs="Arial" w:eastAsia="Arial" w:hAnsi="Arial"/>
          <w:sz w:val="16"/>
          <w:szCs w:val="16"/>
          <w:color w:val="auto"/>
        </w:rPr>
        <w:t>Net cash provided by financing activities was $226.6 million for the nine months ended September 30, 2022 compared to cash provided by financing activities of $2.0 million for the same period in 2021. The increase of $224.6 million is mainly attributable to net proceeds from the Company's public offering of common stock of $215.4 million as well as cash inflows from entering into a term loan under the Oxford Loan Agreement in May 2022.</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Other Commitments</w:t>
      </w:r>
    </w:p>
    <w:p>
      <w:pPr>
        <w:spacing w:after="0" w:line="178" w:lineRule="exact"/>
        <w:rPr>
          <w:sz w:val="20"/>
          <w:szCs w:val="20"/>
          <w:color w:val="auto"/>
        </w:rPr>
      </w:pPr>
    </w:p>
    <w:p>
      <w:pPr>
        <w:ind w:firstLine="1070"/>
        <w:spacing w:after="0" w:line="313" w:lineRule="auto"/>
        <w:rPr>
          <w:sz w:val="20"/>
          <w:szCs w:val="20"/>
          <w:color w:val="auto"/>
        </w:rPr>
      </w:pPr>
      <w:r>
        <w:rPr>
          <w:rFonts w:ascii="Arial" w:cs="Arial" w:eastAsia="Arial" w:hAnsi="Arial"/>
          <w:sz w:val="15"/>
          <w:szCs w:val="15"/>
          <w:color w:val="auto"/>
        </w:rPr>
        <w:t xml:space="preserve">There have been no material changes to our contractual obligations and other commitments as of September 30, 2022, as compared to those disclosed in our Annual Report on Form 10-K for the fiscal year ended December 31, 2021 other than those associated with the Oxford Loan Agreement as described in Item 1, Note 7, </w:t>
      </w:r>
      <w:r>
        <w:rPr>
          <w:rFonts w:ascii="Arial" w:cs="Arial" w:eastAsia="Arial" w:hAnsi="Arial"/>
          <w:sz w:val="15"/>
          <w:szCs w:val="15"/>
          <w:i w:val="1"/>
          <w:iCs w:val="1"/>
          <w:color w:val="auto"/>
        </w:rPr>
        <w:t>Debt</w:t>
      </w:r>
      <w:r>
        <w:rPr>
          <w:rFonts w:ascii="Arial" w:cs="Arial" w:eastAsia="Arial" w:hAnsi="Arial"/>
          <w:sz w:val="15"/>
          <w:szCs w:val="15"/>
          <w:color w:val="auto"/>
        </w:rPr>
        <w:t xml:space="preserve">, and entering into an additional office lease agreement in August 2022 as described in Item 1, </w:t>
      </w:r>
      <w:r>
        <w:rPr>
          <w:rFonts w:ascii="Arial" w:cs="Arial" w:eastAsia="Arial" w:hAnsi="Arial"/>
          <w:sz w:val="15"/>
          <w:szCs w:val="15"/>
          <w:i w:val="1"/>
          <w:iCs w:val="1"/>
          <w:color w:val="auto"/>
        </w:rPr>
        <w:t>Note 16, Leases</w:t>
      </w:r>
      <w:r>
        <w:rPr>
          <w:rFonts w:ascii="Arial" w:cs="Arial" w:eastAsia="Arial" w:hAnsi="Arial"/>
          <w:sz w:val="15"/>
          <w:szCs w:val="15"/>
          <w:color w:val="auto"/>
        </w:rPr>
        <w:t>, in this Report.</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1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During the periods presented, we did not have, nor do we currently have, any off-balance sheet arrangements or holdings in any variable interest</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entities.</w:t>
      </w: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Polices and Estimates</w:t>
      </w:r>
    </w:p>
    <w:p>
      <w:pPr>
        <w:spacing w:after="0" w:line="114" w:lineRule="exact"/>
        <w:rPr>
          <w:sz w:val="20"/>
          <w:szCs w:val="20"/>
          <w:color w:val="auto"/>
        </w:rPr>
      </w:pPr>
    </w:p>
    <w:p>
      <w:pPr>
        <w:ind w:right="40" w:firstLine="1070"/>
        <w:spacing w:after="0" w:line="273"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1" w:lineRule="exact"/>
        <w:rPr>
          <w:sz w:val="20"/>
          <w:szCs w:val="20"/>
          <w:color w:val="auto"/>
        </w:rPr>
      </w:pPr>
    </w:p>
    <w:p>
      <w:pPr>
        <w:ind w:right="300" w:firstLine="1070"/>
        <w:spacing w:after="0" w:line="262" w:lineRule="auto"/>
        <w:rPr>
          <w:sz w:val="20"/>
          <w:szCs w:val="20"/>
          <w:color w:val="auto"/>
        </w:rPr>
      </w:pPr>
      <w:r>
        <w:rPr>
          <w:rFonts w:ascii="Arial" w:cs="Arial" w:eastAsia="Arial" w:hAnsi="Arial"/>
          <w:sz w:val="17"/>
          <w:szCs w:val="17"/>
          <w:color w:val="auto"/>
        </w:rPr>
        <w:t>There have been no material changes to our critical accounting policies and estimates from those described in “Part II, Item 7. Management’s Discussion and Analysis of Financial Condition and Results of Operations” included in our Annual Report on Form 10-K for the fiscal year ended December 31, 2021 filed with the SEC.</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1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See Note 2 to our condensed financial statements appearing elsewhere in this Report for more information.</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Emerging Growth Company Status and JOBS Act Accounting Election</w:t>
      </w:r>
    </w:p>
    <w:p>
      <w:pPr>
        <w:spacing w:after="0" w:line="114" w:lineRule="exact"/>
        <w:rPr>
          <w:sz w:val="20"/>
          <w:szCs w:val="20"/>
          <w:color w:val="auto"/>
        </w:rPr>
      </w:pPr>
    </w:p>
    <w:p>
      <w:pPr>
        <w:ind w:right="60" w:firstLine="611"/>
        <w:spacing w:after="0" w:line="279" w:lineRule="auto"/>
        <w:rPr>
          <w:sz w:val="20"/>
          <w:szCs w:val="20"/>
          <w:color w:val="auto"/>
        </w:rPr>
      </w:pPr>
      <w:r>
        <w:rPr>
          <w:rFonts w:ascii="Arial" w:cs="Arial" w:eastAsia="Arial" w:hAnsi="Arial"/>
          <w:sz w:val="16"/>
          <w:szCs w:val="16"/>
          <w:color w:val="auto"/>
        </w:rPr>
        <w:t>Based on the market value of our common stock held by our non-affiliates as of June 30, 2021, we were considered a “large accelerated filer” on December 31, 2021 and thus lost, and will not regain, our status as an emerging growth company. Additionally, based on the market value of our common stock held by our non-affiliates as of June 30, 2022 we will be considered a "non-accelerated filer" and “smaller reporting company” on December 31, 2022, and thus will not be subject to accelerated filing deadlines nor the requirements of section 404(b) of the Sarbanes-Oxley Act of 2002.</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14" w:lineRule="exact"/>
        <w:rPr>
          <w:sz w:val="20"/>
          <w:szCs w:val="20"/>
          <w:color w:val="auto"/>
        </w:rPr>
      </w:pPr>
    </w:p>
    <w:p>
      <w:pPr>
        <w:ind w:right="60" w:firstLine="1070"/>
        <w:spacing w:after="0" w:line="254" w:lineRule="auto"/>
        <w:rPr>
          <w:sz w:val="20"/>
          <w:szCs w:val="20"/>
          <w:color w:val="auto"/>
        </w:rPr>
      </w:pPr>
      <w:r>
        <w:rPr>
          <w:rFonts w:ascii="Arial" w:cs="Arial" w:eastAsia="Arial" w:hAnsi="Arial"/>
          <w:sz w:val="17"/>
          <w:szCs w:val="17"/>
          <w:color w:val="auto"/>
        </w:rPr>
        <w:t>The primary objectives of our investment activities are to ensure liquidity and to preserve capital. We are exposed to market risks in the ordinary course of our business. These risks primarily include interest rate sensitivities. We had cash, cash equivalents and short-term investments of $360.2 million as of September 30, 2022 which consisted of bank deposits, highly liquid money market funds and short-term investments in U.S. treasury securities, U.S. government agency securities and corporate debt securities. Under the Oxford Loan Agreement, we had a $10.0 million term loan outstanding as of September 30, 2022 which is subject to the movement in interest rates, however the exposure is capped at 2.0%. Due to the short-term maturities of our cash equivalents and short-term investments, an immediate 100 basis point change in interest rates would not have a material effect on the fair market value of our cash equivalents or short-term investments.</w:t>
      </w:r>
    </w:p>
    <w:p>
      <w:pPr>
        <w:spacing w:after="0" w:line="80" w:lineRule="exact"/>
        <w:rPr>
          <w:sz w:val="20"/>
          <w:szCs w:val="20"/>
          <w:color w:val="auto"/>
        </w:rPr>
      </w:pPr>
    </w:p>
    <w:p>
      <w:pPr>
        <w:ind w:right="220" w:firstLine="1070"/>
        <w:spacing w:after="0" w:line="256" w:lineRule="auto"/>
        <w:rPr>
          <w:sz w:val="20"/>
          <w:szCs w:val="20"/>
          <w:color w:val="auto"/>
        </w:rPr>
      </w:pPr>
      <w:r>
        <w:rPr>
          <w:rFonts w:ascii="Arial" w:cs="Arial" w:eastAsia="Arial" w:hAnsi="Arial"/>
          <w:sz w:val="17"/>
          <w:szCs w:val="17"/>
          <w:color w:val="auto"/>
        </w:rPr>
        <w:t>To minimize the risk, we maintain our portfolio of cash equivalents and short-term investments in institutional market funds that are composed of U.S. Treasury and U.S. Treasury-backed repurchase agreements or short-term U.S. Treasury securities, U.S. government agency securities and corporate debt securities. We do not believe that inflation, interest rate changes, or exchange rate fluctuations had a significant impact on our results of operations for any periods presented herein. A hypothetical 10% change in interest rates during the periods presented would not have had a material impact on our condensed financial statements.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14" w:lineRule="exact"/>
        <w:rPr>
          <w:sz w:val="20"/>
          <w:szCs w:val="20"/>
          <w:color w:val="auto"/>
        </w:rPr>
      </w:pPr>
    </w:p>
    <w:p>
      <w:pPr>
        <w:ind w:right="120" w:firstLine="1070"/>
        <w:spacing w:after="0" w:line="298" w:lineRule="auto"/>
        <w:rPr>
          <w:sz w:val="20"/>
          <w:szCs w:val="20"/>
          <w:color w:val="auto"/>
        </w:rPr>
      </w:pPr>
      <w:r>
        <w:rPr>
          <w:rFonts w:ascii="Arial" w:cs="Arial" w:eastAsia="Arial" w:hAnsi="Arial"/>
          <w:sz w:val="15"/>
          <w:szCs w:val="15"/>
          <w:color w:val="auto"/>
        </w:rPr>
        <w:t>As of September 30, 2022, management, with the participation of our Chief Executive Officer and Chief Financial Officer, performed an evaluation of the effectiveness of the design and operation of our disclosure controls and procedures as defined in Rules 13a-15(e) and 15d-15(e) under the Exchange Act. Our disclosure controls and procedures are designed to ensure that information required to be disclosed by us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disclosures.</w:t>
      </w:r>
    </w:p>
    <w:p>
      <w:pPr>
        <w:spacing w:after="0" w:line="152" w:lineRule="exact"/>
        <w:rPr>
          <w:sz w:val="20"/>
          <w:szCs w:val="20"/>
          <w:color w:val="auto"/>
        </w:rPr>
      </w:pPr>
    </w:p>
    <w:p>
      <w:pPr>
        <w:ind w:right="120" w:firstLine="1070"/>
        <w:spacing w:after="0" w:line="258" w:lineRule="auto"/>
        <w:rPr>
          <w:sz w:val="20"/>
          <w:szCs w:val="20"/>
          <w:color w:val="auto"/>
        </w:rPr>
      </w:pPr>
      <w:r>
        <w:rPr>
          <w:rFonts w:ascii="Arial" w:cs="Arial" w:eastAsia="Arial" w:hAnsi="Arial"/>
          <w:sz w:val="17"/>
          <w:szCs w:val="17"/>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September 30, 2022, the design and operation of our disclosure controls and procedures were effective at a reasonable assurance level.</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14" w:lineRule="exact"/>
        <w:rPr>
          <w:sz w:val="20"/>
          <w:szCs w:val="20"/>
          <w:color w:val="auto"/>
        </w:rPr>
      </w:pPr>
    </w:p>
    <w:p>
      <w:pPr>
        <w:ind w:firstLine="1070"/>
        <w:spacing w:after="0" w:line="279" w:lineRule="auto"/>
        <w:rPr>
          <w:sz w:val="20"/>
          <w:szCs w:val="20"/>
          <w:color w:val="auto"/>
        </w:rPr>
      </w:pPr>
      <w:r>
        <w:rPr>
          <w:rFonts w:ascii="Arial" w:cs="Arial" w:eastAsia="Arial" w:hAnsi="Arial"/>
          <w:sz w:val="16"/>
          <w:szCs w:val="16"/>
          <w:color w:val="auto"/>
        </w:rPr>
        <w:t>There was no change in our internal controls over financial reporting identified in connection with the evaluation required by Rule 13a-15(d) and 15d-15(d) under the Exchange Act that occurred during the quarter ended September 30, 2022 that has materially affected, or is reasonably likely to materially affect, our internal control over financial reporting. We considered our internal controls over financial reporting in regards to the impact of COVID-19 and concluded that our controls continue to operate in a remote environment without material effect on our internal controls over financial reporting.</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14" w:lineRule="exact"/>
        <w:rPr>
          <w:sz w:val="20"/>
          <w:szCs w:val="20"/>
          <w:color w:val="auto"/>
        </w:rPr>
      </w:pPr>
    </w:p>
    <w:p>
      <w:pPr>
        <w:jc w:val="both"/>
        <w:ind w:right="120" w:firstLine="1070"/>
        <w:spacing w:after="0" w:line="286" w:lineRule="auto"/>
        <w:rPr>
          <w:sz w:val="20"/>
          <w:szCs w:val="20"/>
          <w:color w:val="auto"/>
        </w:rPr>
      </w:pPr>
      <w:r>
        <w:rPr>
          <w:rFonts w:ascii="Arial" w:cs="Arial" w:eastAsia="Arial" w:hAnsi="Arial"/>
          <w:sz w:val="16"/>
          <w:szCs w:val="16"/>
          <w:color w:val="auto"/>
        </w:rPr>
        <w:t>As of the date of this filing, we are not party to any material legal matters or claims.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16"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i w:val="1"/>
          <w:iCs w:val="1"/>
          <w:color w:val="auto"/>
        </w:rPr>
        <w:t>Our business faces significant risks. If any of the events or circumstances described in the following risks actually occurs, our business may suffer, the trading price of our common stock could decline and our financial condition or results of operations could be harmed. These risks should be read in conjunction with the other information set forth in this quarterly report on Form 10-Q. The risks and uncertainties described below are not the only ones facing us. There may be additional risks faced by</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32" w:name="page33"/>
    <w:bookmarkEnd w:id="32"/>
    <w:p>
      <w:pPr>
        <w:ind w:right="240"/>
        <w:spacing w:after="0" w:line="274" w:lineRule="auto"/>
        <w:rPr>
          <w:sz w:val="20"/>
          <w:szCs w:val="20"/>
          <w:color w:val="auto"/>
        </w:rPr>
      </w:pPr>
      <w:r>
        <w:rPr>
          <w:rFonts w:ascii="Arial" w:cs="Arial" w:eastAsia="Arial" w:hAnsi="Arial"/>
          <w:sz w:val="17"/>
          <w:szCs w:val="17"/>
          <w:i w:val="1"/>
          <w:iCs w:val="1"/>
          <w:color w:val="auto"/>
        </w:rPr>
        <w:t>our business. Other events that we do not currently anticipate or that we currently deem immaterial also may adversely affect our financial condition or results of operations.</w:t>
      </w:r>
    </w:p>
    <w:p>
      <w:pPr>
        <w:spacing w:after="0" w:line="263" w:lineRule="exact"/>
        <w:rPr>
          <w:sz w:val="20"/>
          <w:szCs w:val="20"/>
          <w:color w:val="auto"/>
        </w:rPr>
      </w:pPr>
    </w:p>
    <w:p>
      <w:pPr>
        <w:ind w:left="5000"/>
        <w:spacing w:after="0"/>
        <w:rPr>
          <w:sz w:val="20"/>
          <w:szCs w:val="20"/>
          <w:color w:val="auto"/>
        </w:rPr>
      </w:pPr>
      <w:r>
        <w:rPr>
          <w:rFonts w:ascii="Arial" w:cs="Arial" w:eastAsia="Arial" w:hAnsi="Arial"/>
          <w:sz w:val="17"/>
          <w:szCs w:val="17"/>
          <w:b w:val="1"/>
          <w:bCs w:val="1"/>
          <w:color w:val="auto"/>
        </w:rPr>
        <w:t>RISK FACTORS</w:t>
      </w:r>
    </w:p>
    <w:p>
      <w:pPr>
        <w:spacing w:after="0" w:line="110"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Risks Related to Our Financial Position and Need for Additional Capital</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15"/>
          <w:szCs w:val="15"/>
          <w:b w:val="1"/>
          <w:bCs w:val="1"/>
          <w:i w:val="1"/>
          <w:iCs w:val="1"/>
          <w:color w:val="auto"/>
        </w:rPr>
        <w:t>We have incurred significant net losses since inception and we expect to continue to incur significant net losses for the foreseeable future.</w:t>
      </w:r>
    </w:p>
    <w:p>
      <w:pPr>
        <w:spacing w:after="0" w:line="133" w:lineRule="exact"/>
        <w:rPr>
          <w:sz w:val="20"/>
          <w:szCs w:val="20"/>
          <w:color w:val="auto"/>
        </w:rPr>
      </w:pPr>
    </w:p>
    <w:p>
      <w:pPr>
        <w:ind w:firstLine="917"/>
        <w:spacing w:after="0" w:line="254" w:lineRule="auto"/>
        <w:rPr>
          <w:sz w:val="20"/>
          <w:szCs w:val="20"/>
          <w:color w:val="auto"/>
        </w:rPr>
      </w:pPr>
      <w:r>
        <w:rPr>
          <w:rFonts w:ascii="Arial" w:cs="Arial" w:eastAsia="Arial" w:hAnsi="Arial"/>
          <w:sz w:val="17"/>
          <w:szCs w:val="17"/>
          <w:color w:val="auto"/>
        </w:rPr>
        <w:t>We have incurred significant net losses since our inception and have financed our operations principally through equity and debt financing and our collaboration with Novartis. We continue to incur significant research and development and other expenses related to our ongoing operations. Our net loss was $97.3 million and $41.5 million for the years ended December 31, 2021 and 2020, respectively. As of September 30, 2022, we had an accumulated deficit of $303.4 million. We have devoted substantially all of our resources and efforts to research and development, and we expect that it will be at least several years, if ever, before we generate revenue from product sales. Even if we receive marketing approval for and commercialize one or more of our product candidates, we expect that we will continue to incur substantial research and development and other expenses in order to further develop and, if approved, market additional potential product candidates.</w:t>
      </w:r>
    </w:p>
    <w:p>
      <w:pPr>
        <w:spacing w:after="0" w:line="80"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We expect to continue to incur significant losses for the foreseeable future, and we anticipate that our expenses will increase substantially if, and as, we:</w:t>
      </w:r>
    </w:p>
    <w:p>
      <w:pPr>
        <w:spacing w:after="0" w:line="133" w:lineRule="exact"/>
        <w:rPr>
          <w:sz w:val="20"/>
          <w:szCs w:val="20"/>
          <w:color w:val="auto"/>
        </w:rPr>
      </w:pPr>
    </w:p>
    <w:p>
      <w:pPr>
        <w:ind w:left="2140" w:right="20" w:hanging="1062"/>
        <w:spacing w:after="0" w:line="274" w:lineRule="auto"/>
        <w:tabs>
          <w:tab w:leader="none" w:pos="2136" w:val="left"/>
        </w:tabs>
        <w:numPr>
          <w:ilvl w:val="0"/>
          <w:numId w:val="19"/>
        </w:numPr>
        <w:rPr>
          <w:rFonts w:ascii="Arial" w:cs="Arial" w:eastAsia="Arial" w:hAnsi="Arial"/>
          <w:sz w:val="17"/>
          <w:szCs w:val="17"/>
          <w:color w:val="auto"/>
        </w:rPr>
      </w:pPr>
      <w:r>
        <w:rPr>
          <w:rFonts w:ascii="Arial" w:cs="Arial" w:eastAsia="Arial" w:hAnsi="Arial"/>
          <w:sz w:val="17"/>
          <w:szCs w:val="17"/>
          <w:color w:val="auto"/>
        </w:rPr>
        <w:t>advance our lead product candidate, PLN-74809 (bexotegrast), and our other product candidates through clinical development, and, if successful, later-stage clinical trials;</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discover and develop new product candidates;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advance our preclinical development programs into clinical development;</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further develop manufacturing processes and manufacture our product candidates;</w:t>
      </w:r>
    </w:p>
    <w:p>
      <w:pPr>
        <w:spacing w:after="0" w:line="110" w:lineRule="exact"/>
        <w:rPr>
          <w:rFonts w:ascii="Arial" w:cs="Arial" w:eastAsia="Arial" w:hAnsi="Arial"/>
          <w:sz w:val="17"/>
          <w:szCs w:val="17"/>
          <w:color w:val="auto"/>
        </w:rPr>
      </w:pPr>
    </w:p>
    <w:p>
      <w:pPr>
        <w:ind w:left="2140" w:right="180" w:hanging="1062"/>
        <w:spacing w:after="0" w:line="274" w:lineRule="auto"/>
        <w:tabs>
          <w:tab w:leader="none" w:pos="2136"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experience delays or interruptions to preclinical studies, clinical trials, our receipt of services from our third-party service providers on whom we rely, or our supply chain due to the COVID-19 pandemic;</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seek regulatory approvals for any product candidates that successfully complete clinical trials;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commercialize PLN-74809, our other product candidates and any future product candidates, if approved;</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increase the amount of research and development activities to identify and develop product candidates;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hire additional clinical development, quality control, scientific and management personnel;</w:t>
      </w:r>
    </w:p>
    <w:p>
      <w:pPr>
        <w:spacing w:after="0" w:line="110" w:lineRule="exact"/>
        <w:rPr>
          <w:rFonts w:ascii="Arial" w:cs="Arial" w:eastAsia="Arial" w:hAnsi="Arial"/>
          <w:sz w:val="17"/>
          <w:szCs w:val="17"/>
          <w:color w:val="auto"/>
        </w:rPr>
      </w:pPr>
    </w:p>
    <w:p>
      <w:pPr>
        <w:ind w:left="2140" w:right="520" w:hanging="1062"/>
        <w:spacing w:after="0" w:line="274" w:lineRule="auto"/>
        <w:tabs>
          <w:tab w:leader="none" w:pos="2136"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expand our operational, financial and management systems and increase personnel, including personnel to support our clinical development and manufacturing efforts and our operations as a public company;</w:t>
      </w:r>
    </w:p>
    <w:p>
      <w:pPr>
        <w:spacing w:after="0" w:line="63" w:lineRule="exact"/>
        <w:rPr>
          <w:rFonts w:ascii="Arial" w:cs="Arial" w:eastAsia="Arial" w:hAnsi="Arial"/>
          <w:sz w:val="17"/>
          <w:szCs w:val="17"/>
          <w:color w:val="auto"/>
        </w:rPr>
      </w:pPr>
    </w:p>
    <w:p>
      <w:pPr>
        <w:ind w:left="2140" w:right="200" w:hanging="1062"/>
        <w:spacing w:after="0" w:line="274" w:lineRule="auto"/>
        <w:tabs>
          <w:tab w:leader="none" w:pos="2136" w:val="left"/>
        </w:tabs>
        <w:numPr>
          <w:ilvl w:val="0"/>
          <w:numId w:val="19"/>
        </w:numPr>
        <w:rPr>
          <w:rFonts w:ascii="Arial" w:cs="Arial" w:eastAsia="Arial" w:hAnsi="Arial"/>
          <w:sz w:val="17"/>
          <w:szCs w:val="17"/>
          <w:color w:val="auto"/>
        </w:rPr>
      </w:pPr>
      <w:r>
        <w:rPr>
          <w:rFonts w:ascii="Arial" w:cs="Arial" w:eastAsia="Arial" w:hAnsi="Arial"/>
          <w:sz w:val="17"/>
          <w:szCs w:val="17"/>
          <w:color w:val="auto"/>
        </w:rPr>
        <w:t>establish a sales, marketing, medical affairs and distribution infrastructure to commercialize any products for which we may obtain marketing approval and intend to commercialize on our own or jointly with third parties;</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maintain, expand and protect our intellectual property portfolio;</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invest in or in-license other technologies or product candidates; and</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continue to build out our organization to engage in such activities.</w:t>
      </w:r>
    </w:p>
    <w:p>
      <w:pPr>
        <w:spacing w:after="0" w:line="110" w:lineRule="exact"/>
        <w:rPr>
          <w:sz w:val="20"/>
          <w:szCs w:val="20"/>
          <w:color w:val="auto"/>
        </w:rPr>
      </w:pPr>
    </w:p>
    <w:p>
      <w:pPr>
        <w:ind w:firstLine="917"/>
        <w:spacing w:after="0" w:line="295" w:lineRule="auto"/>
        <w:rPr>
          <w:sz w:val="20"/>
          <w:szCs w:val="20"/>
          <w:color w:val="auto"/>
        </w:rPr>
      </w:pPr>
      <w:r>
        <w:rPr>
          <w:rFonts w:ascii="Arial" w:cs="Arial" w:eastAsia="Arial" w:hAnsi="Arial"/>
          <w:sz w:val="15"/>
          <w:szCs w:val="15"/>
          <w:color w:val="auto"/>
        </w:rPr>
        <w:t>To become and remain profitable, we must develop and eventually commercialize products with significant market potential. This will require us to be successful in a range of challenging activities, including completing preclinical studies and clinical trials, obtaining marketing approval for product candidates, manufacturing, marketing, and selling products for which we may obtain marketing approval and satisfying any post-marketing requirements. We may never succeed in any or all of these activities and, even if we do, we may never generate revenue that is significant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3" w:name="page34"/>
    <w:bookmarkEnd w:id="33"/>
    <w:p>
      <w:pPr>
        <w:jc w:val="both"/>
        <w:ind w:firstLine="917"/>
        <w:spacing w:after="0" w:line="262" w:lineRule="auto"/>
        <w:rPr>
          <w:sz w:val="20"/>
          <w:szCs w:val="20"/>
          <w:color w:val="auto"/>
        </w:rPr>
      </w:pPr>
      <w:r>
        <w:rPr>
          <w:rFonts w:ascii="Arial" w:cs="Arial" w:eastAsia="Arial" w:hAnsi="Arial"/>
          <w:sz w:val="17"/>
          <w:szCs w:val="17"/>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future commercialization efforts or other operations.</w:t>
      </w:r>
    </w:p>
    <w:p>
      <w:pPr>
        <w:spacing w:after="0" w:line="73" w:lineRule="exact"/>
        <w:rPr>
          <w:sz w:val="20"/>
          <w:szCs w:val="20"/>
          <w:color w:val="auto"/>
        </w:rPr>
      </w:pPr>
    </w:p>
    <w:p>
      <w:pPr>
        <w:ind w:right="20" w:firstLine="917"/>
        <w:spacing w:after="0" w:line="272" w:lineRule="auto"/>
        <w:rPr>
          <w:sz w:val="20"/>
          <w:szCs w:val="20"/>
          <w:color w:val="auto"/>
        </w:rPr>
      </w:pPr>
      <w:r>
        <w:rPr>
          <w:rFonts w:ascii="Arial" w:cs="Arial" w:eastAsia="Arial" w:hAnsi="Arial"/>
          <w:sz w:val="16"/>
          <w:szCs w:val="16"/>
          <w:color w:val="auto"/>
        </w:rPr>
        <w:t>Developing biopharmaceutical products, including conducting preclinical studies and clinical trials, is a very time-consuming, expensive, and uncertain process that takes years to complete. Our operations have consumed substantial amounts of cash since inception. We expect our expenses to increase in connection with our ongoing activities, particularly as we conduct our planned clinical trials of PLN-74809 (bexotegrast) and any future product candidates that we may develop, seek regulatory approvals for our product candidates and to launch and commercialize any products for which we receive regulatory approval. We also expect to incur additional costs associated with operating as a public company. Accordingly, we will need to obtain substantial additional funding in order to maintain our continuing operations. If we are unable to raise capital when needed or on acceptable terms, we may be forced to delay, reduce, or eliminate one or more of our research and drug development programs or future commercialization efforts.</w:t>
      </w:r>
    </w:p>
    <w:p>
      <w:pPr>
        <w:spacing w:after="0" w:line="68" w:lineRule="exact"/>
        <w:rPr>
          <w:sz w:val="20"/>
          <w:szCs w:val="20"/>
          <w:color w:val="auto"/>
        </w:rPr>
      </w:pPr>
    </w:p>
    <w:p>
      <w:pPr>
        <w:ind w:right="80" w:firstLine="917"/>
        <w:spacing w:after="0" w:line="292" w:lineRule="auto"/>
        <w:rPr>
          <w:sz w:val="20"/>
          <w:szCs w:val="20"/>
          <w:color w:val="auto"/>
        </w:rPr>
      </w:pPr>
      <w:r>
        <w:rPr>
          <w:rFonts w:ascii="Arial" w:cs="Arial" w:eastAsia="Arial" w:hAnsi="Arial"/>
          <w:sz w:val="15"/>
          <w:szCs w:val="15"/>
          <w:color w:val="auto"/>
        </w:rPr>
        <w:t>As of September 30, 2022, we had approximately $360.2 million in cash, cash equivalents and short-term investments. Based on our current operating plan, we believe that our existing cash, cash equivalents and short-term investments, together with proceeds from the Oxford Loan Agreement executed in the second quarter of 2022 and the secondary offering in July 2022, will be sufficient to fund our anticipated operating expenses and capital expenditure requirements into the middle of 2025. However, our future capital requirements and the period for which our existing resources will support our operations may vary significantly from what we expect, and we will in any event require additional capital in order to complete clinical development of any of our current programs. Our monthly spending levels will vary based on new and ongoing development and corporate activities. Because the length of time and activities associated with development of our product candidates is highly uncertain, we are unable to estimate the actual funds we will require for development, marketing, and commercialization activities. Our future funding requirements, both near and long-term, will depend on many factors, including, but not limited to:</w:t>
      </w:r>
    </w:p>
    <w:p>
      <w:pPr>
        <w:spacing w:after="0" w:line="53" w:lineRule="exact"/>
        <w:rPr>
          <w:sz w:val="20"/>
          <w:szCs w:val="20"/>
          <w:color w:val="auto"/>
        </w:rPr>
      </w:pPr>
    </w:p>
    <w:p>
      <w:pPr>
        <w:ind w:left="2140" w:hanging="1062"/>
        <w:spacing w:after="0"/>
        <w:tabs>
          <w:tab w:leader="none" w:pos="21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initiation, progress, timing, costs and results of preclinical studies and clinical trials for our product candidates;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clinical development plans we establish for these product candidates;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timelines of our clinical trials and the overall costs to conduct and complete the clinical trials due to the COVID-19 pandemic;</w:t>
      </w:r>
    </w:p>
    <w:p>
      <w:pPr>
        <w:spacing w:after="0" w:line="121" w:lineRule="exact"/>
        <w:rPr>
          <w:rFonts w:ascii="Arial" w:cs="Arial" w:eastAsia="Arial" w:hAnsi="Arial"/>
          <w:sz w:val="16"/>
          <w:szCs w:val="16"/>
          <w:color w:val="auto"/>
        </w:rPr>
      </w:pPr>
    </w:p>
    <w:p>
      <w:pPr>
        <w:ind w:left="2140" w:right="40" w:hanging="1062"/>
        <w:spacing w:after="0" w:line="274" w:lineRule="auto"/>
        <w:tabs>
          <w:tab w:leader="none" w:pos="21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cost and capital commitments required for developing manufacturing processes for our product candidates and manufacturing our product candidates at clinical and commercial scales;</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number and characteristics of product candidates that we develop;</w:t>
      </w:r>
    </w:p>
    <w:p>
      <w:pPr>
        <w:spacing w:after="0" w:line="110" w:lineRule="exact"/>
        <w:rPr>
          <w:rFonts w:ascii="Arial" w:cs="Arial" w:eastAsia="Arial" w:hAnsi="Arial"/>
          <w:sz w:val="17"/>
          <w:szCs w:val="17"/>
          <w:color w:val="auto"/>
        </w:rPr>
      </w:pPr>
    </w:p>
    <w:p>
      <w:pPr>
        <w:ind w:left="2140" w:right="260" w:hanging="1062"/>
        <w:spacing w:after="0" w:line="274" w:lineRule="auto"/>
        <w:tabs>
          <w:tab w:leader="none" w:pos="21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outcome, timing and cost of meeting regulatory requirements established by the FDA and other comparable foreign regulatory authorities;</w:t>
      </w:r>
    </w:p>
    <w:p>
      <w:pPr>
        <w:spacing w:after="0" w:line="63" w:lineRule="exact"/>
        <w:rPr>
          <w:rFonts w:ascii="Arial" w:cs="Arial" w:eastAsia="Arial" w:hAnsi="Arial"/>
          <w:sz w:val="17"/>
          <w:szCs w:val="17"/>
          <w:color w:val="auto"/>
        </w:rPr>
      </w:pPr>
    </w:p>
    <w:p>
      <w:pPr>
        <w:ind w:left="2140" w:right="180" w:hanging="1062"/>
        <w:spacing w:after="0" w:line="274" w:lineRule="auto"/>
        <w:tabs>
          <w:tab w:leader="none" w:pos="21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whether we are able to maintain our existing collaboration with Novartis and enter into additional collaboration agreements and the terms of any such agreements;</w:t>
      </w:r>
    </w:p>
    <w:p>
      <w:pPr>
        <w:spacing w:after="0" w:line="63" w:lineRule="exact"/>
        <w:rPr>
          <w:rFonts w:ascii="Arial" w:cs="Arial" w:eastAsia="Arial" w:hAnsi="Arial"/>
          <w:sz w:val="17"/>
          <w:szCs w:val="17"/>
          <w:color w:val="auto"/>
        </w:rPr>
      </w:pPr>
    </w:p>
    <w:p>
      <w:pPr>
        <w:ind w:left="2140" w:right="360" w:hanging="1062"/>
        <w:spacing w:after="0" w:line="274" w:lineRule="auto"/>
        <w:tabs>
          <w:tab w:leader="none" w:pos="21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ability to and timing of achieving a favorable pricing and reimbursement decision by the pricing authorities in the markets of interest;</w:t>
      </w:r>
    </w:p>
    <w:p>
      <w:pPr>
        <w:spacing w:after="0" w:line="63" w:lineRule="exact"/>
        <w:rPr>
          <w:rFonts w:ascii="Arial" w:cs="Arial" w:eastAsia="Arial" w:hAnsi="Arial"/>
          <w:sz w:val="17"/>
          <w:szCs w:val="17"/>
          <w:color w:val="auto"/>
        </w:rPr>
      </w:pPr>
    </w:p>
    <w:p>
      <w:pPr>
        <w:ind w:left="2140" w:right="240" w:hanging="1062"/>
        <w:spacing w:after="0" w:line="274" w:lineRule="auto"/>
        <w:tabs>
          <w:tab w:leader="none" w:pos="21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ability to secure a position recommendation following the health technology assessment by the health technology bodies in the relevant market;</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cost of filing, prosecuting, defending and enforcing our patent claims and other intellectual property rights;</w:t>
      </w:r>
    </w:p>
    <w:p>
      <w:pPr>
        <w:spacing w:after="0" w:line="110" w:lineRule="exact"/>
        <w:rPr>
          <w:rFonts w:ascii="Arial" w:cs="Arial" w:eastAsia="Arial" w:hAnsi="Arial"/>
          <w:sz w:val="17"/>
          <w:szCs w:val="17"/>
          <w:color w:val="auto"/>
        </w:rPr>
      </w:pPr>
    </w:p>
    <w:p>
      <w:pPr>
        <w:ind w:left="2140" w:right="220" w:hanging="1062"/>
        <w:spacing w:after="0" w:line="274" w:lineRule="auto"/>
        <w:tabs>
          <w:tab w:leader="none" w:pos="21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cost of defending intellectual property disputes, including patent infringement actions brought by third parties against us or our product candidates;</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effect of competing technological and market developments;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cost and timing of completion of commercial-scale outsourced manufacturing activities; and</w:t>
      </w:r>
    </w:p>
    <w:p>
      <w:pPr>
        <w:spacing w:after="0" w:line="110" w:lineRule="exact"/>
        <w:rPr>
          <w:rFonts w:ascii="Arial" w:cs="Arial" w:eastAsia="Arial" w:hAnsi="Arial"/>
          <w:sz w:val="17"/>
          <w:szCs w:val="17"/>
          <w:color w:val="auto"/>
        </w:rPr>
      </w:pPr>
    </w:p>
    <w:p>
      <w:pPr>
        <w:ind w:left="2140" w:right="80" w:hanging="1062"/>
        <w:spacing w:after="0" w:line="274" w:lineRule="auto"/>
        <w:tabs>
          <w:tab w:leader="none" w:pos="21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cost of establishing sales, marketing and distribution capabilities for any product candidates for which we may receive regulatory approval in regions where we choose to commercialize our products on our own.</w:t>
      </w:r>
    </w:p>
    <w:p>
      <w:pPr>
        <w:spacing w:after="0" w:line="63" w:lineRule="exact"/>
        <w:rPr>
          <w:sz w:val="20"/>
          <w:szCs w:val="20"/>
          <w:color w:val="auto"/>
        </w:rPr>
      </w:pPr>
    </w:p>
    <w:p>
      <w:pPr>
        <w:ind w:right="80" w:firstLine="917"/>
        <w:spacing w:after="0" w:line="274" w:lineRule="auto"/>
        <w:rPr>
          <w:sz w:val="20"/>
          <w:szCs w:val="20"/>
          <w:color w:val="auto"/>
        </w:rPr>
      </w:pPr>
      <w:r>
        <w:rPr>
          <w:rFonts w:ascii="Arial" w:cs="Arial" w:eastAsia="Arial" w:hAnsi="Arial"/>
          <w:sz w:val="17"/>
          <w:szCs w:val="17"/>
          <w:color w:val="auto"/>
        </w:rPr>
        <w:t>We have borrowed and in the future may borrow additional capital from institutional and commercial banking sources to fund future growth, including pursuant to our Oxford Loan Agreement, or potentially pursuant to new arrangements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34" w:name="page35"/>
    <w:bookmarkEnd w:id="34"/>
    <w:p>
      <w:pPr>
        <w:spacing w:after="0" w:line="287" w:lineRule="auto"/>
        <w:rPr>
          <w:sz w:val="20"/>
          <w:szCs w:val="20"/>
          <w:color w:val="auto"/>
        </w:rPr>
      </w:pPr>
      <w:r>
        <w:rPr>
          <w:rFonts w:ascii="Arial" w:cs="Arial" w:eastAsia="Arial" w:hAnsi="Arial"/>
          <w:sz w:val="15"/>
          <w:szCs w:val="15"/>
          <w:color w:val="auto"/>
        </w:rPr>
        <w:t>with different lenders. In addition, we expect to continue to opportunistically seek access to the equity capital markets to support our development efforts and operations. However, we cannot be certain that additional funding will be available on acceptable terms, or at all. Until we can generate sufficient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affect the rights of our common stockholders. Further, to the extent that we raise additional capital through the sale of common stock or securities convertible or exchangeable into common stock, your ownership interest will be diluted. In addition, any future debt financing may subject us to fixed payment obligations and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intellectual property or other rights to our product candidates, technologies, future revenue streams or research programs or grant licenses on terms that may not be favorable to us. We also may be required to seek collaborators for any of our product candidates at an earlier stage than otherwise would be desirable or relinquish our rights to product candidates or technologies that we otherwise would seek to develop or commercialize ourselves. Market volatility resulting from the COVID-19 pandemic or other financial markets factors could also adversely impact our ability to access capital as and when needed. If we are unable to raise additional capital in sufficient amounts or on terms acceptable to us, we may have to significantly delay, scale back or discontinue the development or commercialization of one or more of our product candidates or one or more of our other research and development initiatives. Any of the above events could significantly harm our business, prospects, financial condition and results of operations and cause the price of our common stock to decline.</w:t>
      </w:r>
    </w:p>
    <w:p>
      <w:pPr>
        <w:spacing w:after="0" w:line="62" w:lineRule="exact"/>
        <w:rPr>
          <w:sz w:val="20"/>
          <w:szCs w:val="20"/>
          <w:color w:val="auto"/>
        </w:rPr>
      </w:pPr>
    </w:p>
    <w:p>
      <w:pPr>
        <w:jc w:val="both"/>
        <w:ind w:firstLine="917"/>
        <w:spacing w:after="0" w:line="262" w:lineRule="auto"/>
        <w:rPr>
          <w:sz w:val="20"/>
          <w:szCs w:val="20"/>
          <w:color w:val="auto"/>
        </w:rPr>
      </w:pPr>
      <w:r>
        <w:rPr>
          <w:rFonts w:ascii="Arial" w:cs="Arial" w:eastAsia="Arial" w:hAnsi="Arial"/>
          <w:sz w:val="17"/>
          <w:szCs w:val="17"/>
          <w:b w:val="1"/>
          <w:bCs w:val="1"/>
          <w:i w:val="1"/>
          <w:iCs w:val="1"/>
          <w:color w:val="auto"/>
        </w:rPr>
        <w:t>Covenants and other provisions in the Oxford Loan Agreement restrict our business and operations in many ways, and if we do not effectively manage our covenants, our financial conditions and results of operations could be adversely affected. In addition, our operations may not provide sufficient cash to meet the repayment obligations of our debt incurred under the Oxford Loan Agreement.</w:t>
      </w:r>
    </w:p>
    <w:p>
      <w:pPr>
        <w:spacing w:after="0" w:line="73" w:lineRule="exact"/>
        <w:rPr>
          <w:sz w:val="20"/>
          <w:szCs w:val="20"/>
          <w:color w:val="auto"/>
        </w:rPr>
      </w:pPr>
    </w:p>
    <w:p>
      <w:pPr>
        <w:ind w:right="240" w:firstLine="917"/>
        <w:spacing w:after="0" w:line="258" w:lineRule="auto"/>
        <w:rPr>
          <w:sz w:val="20"/>
          <w:szCs w:val="20"/>
          <w:color w:val="auto"/>
        </w:rPr>
      </w:pPr>
      <w:r>
        <w:rPr>
          <w:rFonts w:ascii="Arial" w:cs="Arial" w:eastAsia="Arial" w:hAnsi="Arial"/>
          <w:sz w:val="17"/>
          <w:szCs w:val="17"/>
          <w:color w:val="auto"/>
        </w:rPr>
        <w:t>Pursuant to the Oxford Loan Agreement, Oxford has been granted a security interest in substantially all of our assets, excluding intellectual property (but including the right to payments and proceeds of intellectual property), and a negative pledge on substantially all of our intellectual property, subject to customary exceptions. If an event of default occurs under the Oxford Loan Agreement, Oxford may foreclose on its security interest and liquidate some or all of these assets, which would harm our business, financial condition and results of operations.</w:t>
      </w:r>
    </w:p>
    <w:p>
      <w:pPr>
        <w:spacing w:after="0" w:line="76" w:lineRule="exact"/>
        <w:rPr>
          <w:sz w:val="20"/>
          <w:szCs w:val="20"/>
          <w:color w:val="auto"/>
        </w:rPr>
      </w:pPr>
    </w:p>
    <w:p>
      <w:pPr>
        <w:ind w:right="120" w:firstLine="917"/>
        <w:spacing w:after="0" w:line="254" w:lineRule="auto"/>
        <w:rPr>
          <w:sz w:val="20"/>
          <w:szCs w:val="20"/>
          <w:color w:val="auto"/>
        </w:rPr>
      </w:pPr>
      <w:r>
        <w:rPr>
          <w:rFonts w:ascii="Arial" w:cs="Arial" w:eastAsia="Arial" w:hAnsi="Arial"/>
          <w:sz w:val="17"/>
          <w:szCs w:val="17"/>
          <w:color w:val="auto"/>
        </w:rPr>
        <w:t>In the event of a default in connection with our bankruptcy, insolvency, liquidation, or reorganization, Oxford would have a prior right to substantially all of our assets to the exclusion of our general unsecured creditors. Only after satisfying the claims of Oxford and any unsecured creditors would any amount be available for our equity holders.</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The pledge of these assets and other restrictions imposed in the Oxford Loan Agreement may limit our flexibility in raising capital for other purposes. Because substantially all of our assets are pledged to secure the Oxford Loan Agreement obligations, our ability to incur additional indebtedness or to sell or dispose of assets to raise capital may be impaired, which could have an adverse effect on our financial flexibility.</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addition, if we are unable to comply with certain financial and operating restrictions in the Oxford Loan Agreement, we may be limited in our</w:t>
      </w:r>
    </w:p>
    <w:p>
      <w:pPr>
        <w:spacing w:after="0" w:line="58"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business activities and access to credit or may default under the Oxford Loan Agreement. Provisions in the Oxford Loan Agreement impose restrictions or require prior approval on our ability, and the ability of certain of our subsidiaries to, among other things:</w:t>
      </w:r>
    </w:p>
    <w:p>
      <w:pPr>
        <w:spacing w:after="0" w:line="63" w:lineRule="exact"/>
        <w:rPr>
          <w:sz w:val="20"/>
          <w:szCs w:val="20"/>
          <w:color w:val="auto"/>
        </w:rPr>
      </w:pPr>
    </w:p>
    <w:p>
      <w:pPr>
        <w:ind w:left="2140" w:hanging="1068"/>
        <w:spacing w:after="0"/>
        <w:tabs>
          <w:tab w:leader="none" w:pos="21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Incur additional debt;</w:t>
      </w:r>
    </w:p>
    <w:p>
      <w:pPr>
        <w:spacing w:after="0" w:line="110" w:lineRule="exact"/>
        <w:rPr>
          <w:rFonts w:ascii="Arial" w:cs="Arial" w:eastAsia="Arial" w:hAnsi="Arial"/>
          <w:sz w:val="17"/>
          <w:szCs w:val="17"/>
          <w:color w:val="auto"/>
        </w:rPr>
      </w:pPr>
    </w:p>
    <w:p>
      <w:pPr>
        <w:ind w:left="2140" w:hanging="1068"/>
        <w:spacing w:after="0"/>
        <w:tabs>
          <w:tab w:leader="none" w:pos="21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Make certain investments and acquisitions;</w:t>
      </w:r>
    </w:p>
    <w:p>
      <w:pPr>
        <w:spacing w:after="0" w:line="110" w:lineRule="exact"/>
        <w:rPr>
          <w:rFonts w:ascii="Arial" w:cs="Arial" w:eastAsia="Arial" w:hAnsi="Arial"/>
          <w:sz w:val="17"/>
          <w:szCs w:val="17"/>
          <w:color w:val="auto"/>
        </w:rPr>
      </w:pPr>
    </w:p>
    <w:p>
      <w:pPr>
        <w:ind w:left="2140" w:hanging="1068"/>
        <w:spacing w:after="0"/>
        <w:tabs>
          <w:tab w:leader="none" w:pos="21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Guarantee the indebtedness of others or our subsidiaries;</w:t>
      </w:r>
    </w:p>
    <w:p>
      <w:pPr>
        <w:spacing w:after="0" w:line="110" w:lineRule="exact"/>
        <w:rPr>
          <w:rFonts w:ascii="Arial" w:cs="Arial" w:eastAsia="Arial" w:hAnsi="Arial"/>
          <w:sz w:val="17"/>
          <w:szCs w:val="17"/>
          <w:color w:val="auto"/>
        </w:rPr>
      </w:pPr>
    </w:p>
    <w:p>
      <w:pPr>
        <w:ind w:left="2140" w:hanging="1068"/>
        <w:spacing w:after="0"/>
        <w:tabs>
          <w:tab w:leader="none" w:pos="21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Create liens or encumbrances;</w:t>
      </w:r>
    </w:p>
    <w:p>
      <w:pPr>
        <w:spacing w:after="0" w:line="110" w:lineRule="exact"/>
        <w:rPr>
          <w:rFonts w:ascii="Arial" w:cs="Arial" w:eastAsia="Arial" w:hAnsi="Arial"/>
          <w:sz w:val="17"/>
          <w:szCs w:val="17"/>
          <w:color w:val="auto"/>
        </w:rPr>
      </w:pPr>
    </w:p>
    <w:p>
      <w:pPr>
        <w:ind w:left="2140" w:hanging="1068"/>
        <w:spacing w:after="0"/>
        <w:tabs>
          <w:tab w:leader="none" w:pos="21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Engage in new lines of business;</w:t>
      </w:r>
    </w:p>
    <w:p>
      <w:pPr>
        <w:spacing w:after="0" w:line="110" w:lineRule="exact"/>
        <w:rPr>
          <w:rFonts w:ascii="Arial" w:cs="Arial" w:eastAsia="Arial" w:hAnsi="Arial"/>
          <w:sz w:val="17"/>
          <w:szCs w:val="17"/>
          <w:color w:val="auto"/>
        </w:rPr>
      </w:pPr>
    </w:p>
    <w:p>
      <w:pPr>
        <w:ind w:left="2140" w:hanging="1068"/>
        <w:spacing w:after="0"/>
        <w:tabs>
          <w:tab w:leader="none" w:pos="21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Enter into transactions with affiliates;</w:t>
      </w:r>
    </w:p>
    <w:p>
      <w:pPr>
        <w:spacing w:after="0" w:line="110" w:lineRule="exact"/>
        <w:rPr>
          <w:rFonts w:ascii="Arial" w:cs="Arial" w:eastAsia="Arial" w:hAnsi="Arial"/>
          <w:sz w:val="17"/>
          <w:szCs w:val="17"/>
          <w:color w:val="auto"/>
        </w:rPr>
      </w:pPr>
    </w:p>
    <w:p>
      <w:pPr>
        <w:ind w:left="2140" w:hanging="1068"/>
        <w:spacing w:after="0"/>
        <w:tabs>
          <w:tab w:leader="none" w:pos="21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Pay cash dividends and make distributions;</w:t>
      </w:r>
    </w:p>
    <w:p>
      <w:pPr>
        <w:spacing w:after="0" w:line="110" w:lineRule="exact"/>
        <w:rPr>
          <w:rFonts w:ascii="Arial" w:cs="Arial" w:eastAsia="Arial" w:hAnsi="Arial"/>
          <w:sz w:val="17"/>
          <w:szCs w:val="17"/>
          <w:color w:val="auto"/>
        </w:rPr>
      </w:pPr>
    </w:p>
    <w:p>
      <w:pPr>
        <w:ind w:left="2140" w:hanging="1068"/>
        <w:spacing w:after="0"/>
        <w:tabs>
          <w:tab w:leader="none" w:pos="21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Redeem or repurchase capital shares;</w:t>
      </w:r>
    </w:p>
    <w:p>
      <w:pPr>
        <w:spacing w:after="0" w:line="110" w:lineRule="exact"/>
        <w:rPr>
          <w:rFonts w:ascii="Arial" w:cs="Arial" w:eastAsia="Arial" w:hAnsi="Arial"/>
          <w:sz w:val="17"/>
          <w:szCs w:val="17"/>
          <w:color w:val="auto"/>
        </w:rPr>
      </w:pPr>
    </w:p>
    <w:p>
      <w:pPr>
        <w:ind w:left="2140" w:hanging="1068"/>
        <w:spacing w:after="0"/>
        <w:tabs>
          <w:tab w:leader="none" w:pos="21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Sell, lease or transfer certain parts of our business or property, including equity interests of our subsidiaries;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35" w:name="page36"/>
    <w:bookmarkEnd w:id="35"/>
    <w:p>
      <w:pPr>
        <w:ind w:left="2140" w:hanging="1068"/>
        <w:spacing w:after="0"/>
        <w:tabs>
          <w:tab w:leader="none" w:pos="21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Prepay other indebtedness; and</w:t>
      </w:r>
    </w:p>
    <w:p>
      <w:pPr>
        <w:spacing w:after="0" w:line="110" w:lineRule="exact"/>
        <w:rPr>
          <w:rFonts w:ascii="Arial" w:cs="Arial" w:eastAsia="Arial" w:hAnsi="Arial"/>
          <w:sz w:val="17"/>
          <w:szCs w:val="17"/>
          <w:color w:val="auto"/>
        </w:rPr>
      </w:pPr>
    </w:p>
    <w:p>
      <w:pPr>
        <w:ind w:left="2140" w:hanging="1068"/>
        <w:spacing w:after="0"/>
        <w:tabs>
          <w:tab w:leader="none" w:pos="21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Acquire new companies and merge or consolidate.</w:t>
      </w:r>
    </w:p>
    <w:p>
      <w:pPr>
        <w:spacing w:after="0" w:line="148" w:lineRule="exact"/>
        <w:rPr>
          <w:sz w:val="20"/>
          <w:szCs w:val="20"/>
          <w:color w:val="auto"/>
        </w:rPr>
      </w:pPr>
    </w:p>
    <w:p>
      <w:pPr>
        <w:ind w:right="20" w:firstLine="917"/>
        <w:spacing w:after="0" w:line="273" w:lineRule="auto"/>
        <w:rPr>
          <w:sz w:val="20"/>
          <w:szCs w:val="20"/>
          <w:color w:val="auto"/>
        </w:rPr>
      </w:pPr>
      <w:r>
        <w:rPr>
          <w:rFonts w:ascii="Arial" w:cs="Arial" w:eastAsia="Arial" w:hAnsi="Arial"/>
          <w:sz w:val="16"/>
          <w:szCs w:val="16"/>
          <w:color w:val="auto"/>
        </w:rPr>
        <w:t>The Oxford Loan Agreement also contains other customary covenants. We may not be able to comply with these covenants in the future. Our failure to comply with these covenants may result in the declaration of an event of default, which, if not cured or waived, may result in the acceleration of the maturity of indebtedness outstanding under the Oxford Loan Agreement and would require us to pay all amounts outstanding. If the maturity of our indebtedness is accelerated, we may not have sufficient funds then available for repayment or we may not have the ability to borrow or obtain sufficient funds to replace the accelerated indebtedness on terms acceptable to us or at all. Our failure to repay our obligations under the Oxford Loan Agreement would result in Oxford foreclosing on all or a portion of our assets, which could force us to curtail or cease our operations.</w:t>
      </w:r>
    </w:p>
    <w:p>
      <w:pPr>
        <w:spacing w:after="0" w:line="69" w:lineRule="exact"/>
        <w:rPr>
          <w:sz w:val="20"/>
          <w:szCs w:val="20"/>
          <w:color w:val="auto"/>
        </w:rPr>
      </w:pPr>
    </w:p>
    <w:p>
      <w:pPr>
        <w:ind w:firstLine="917"/>
        <w:spacing w:after="0" w:line="274" w:lineRule="auto"/>
        <w:rPr>
          <w:sz w:val="20"/>
          <w:szCs w:val="20"/>
          <w:color w:val="auto"/>
        </w:rPr>
      </w:pPr>
      <w:r>
        <w:rPr>
          <w:rFonts w:ascii="Arial" w:cs="Arial" w:eastAsia="Arial" w:hAnsi="Arial"/>
          <w:sz w:val="17"/>
          <w:szCs w:val="17"/>
          <w:b w:val="1"/>
          <w:bCs w:val="1"/>
          <w:i w:val="1"/>
          <w:iCs w:val="1"/>
          <w:color w:val="auto"/>
        </w:rPr>
        <w:t>The amount of our future losses is uncertain and our quarterly operating results may fluctuate significantly or may fall below the expectations of investors or securities analysts, each of which may cause our stock price to fluctuate or decline.</w:t>
      </w:r>
    </w:p>
    <w:p>
      <w:pPr>
        <w:spacing w:after="0" w:line="63" w:lineRule="exact"/>
        <w:rPr>
          <w:sz w:val="20"/>
          <w:szCs w:val="20"/>
          <w:color w:val="auto"/>
        </w:rPr>
      </w:pPr>
    </w:p>
    <w:p>
      <w:pPr>
        <w:ind w:right="80" w:firstLine="917"/>
        <w:spacing w:after="0" w:line="274" w:lineRule="auto"/>
        <w:rPr>
          <w:sz w:val="20"/>
          <w:szCs w:val="20"/>
          <w:color w:val="auto"/>
        </w:rPr>
      </w:pPr>
      <w:r>
        <w:rPr>
          <w:rFonts w:ascii="Arial" w:cs="Arial" w:eastAsia="Arial" w:hAnsi="Arial"/>
          <w:sz w:val="17"/>
          <w:szCs w:val="17"/>
          <w:color w:val="auto"/>
        </w:rPr>
        <w:t>Our quarterly and annual operating results may fluctuate significantly in the future due to a variety of factors, many of which are outside of our control and may be difficult to predict, including the following:</w:t>
      </w:r>
    </w:p>
    <w:p>
      <w:pPr>
        <w:spacing w:after="0" w:line="63" w:lineRule="exact"/>
        <w:rPr>
          <w:sz w:val="20"/>
          <w:szCs w:val="20"/>
          <w:color w:val="auto"/>
        </w:rPr>
      </w:pPr>
    </w:p>
    <w:p>
      <w:pPr>
        <w:ind w:left="2140" w:right="100" w:hanging="1062"/>
        <w:spacing w:after="0" w:line="274" w:lineRule="auto"/>
        <w:tabs>
          <w:tab w:leader="none" w:pos="21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63" w:lineRule="exact"/>
        <w:rPr>
          <w:rFonts w:ascii="Arial" w:cs="Arial" w:eastAsia="Arial" w:hAnsi="Arial"/>
          <w:sz w:val="17"/>
          <w:szCs w:val="17"/>
          <w:color w:val="auto"/>
        </w:rPr>
      </w:pPr>
    </w:p>
    <w:p>
      <w:pPr>
        <w:ind w:left="2140" w:hanging="1063"/>
        <w:spacing w:after="0"/>
        <w:tabs>
          <w:tab w:leader="none" w:pos="21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successfully recruit and retain subjects for clinical trials, and any delays caused by difficulties in such efforts;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ability to obtain marketing approval for our product candidates, and the timing and scope of any such approvals we may receive;</w:t>
      </w:r>
    </w:p>
    <w:p>
      <w:pPr>
        <w:spacing w:after="0" w:line="133" w:lineRule="exact"/>
        <w:rPr>
          <w:rFonts w:ascii="Arial" w:cs="Arial" w:eastAsia="Arial" w:hAnsi="Arial"/>
          <w:sz w:val="15"/>
          <w:szCs w:val="15"/>
          <w:color w:val="auto"/>
        </w:rPr>
      </w:pPr>
    </w:p>
    <w:p>
      <w:pPr>
        <w:ind w:left="2140" w:right="560" w:hanging="1062"/>
        <w:spacing w:after="0" w:line="274" w:lineRule="auto"/>
        <w:tabs>
          <w:tab w:leader="none" w:pos="21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secure a proper pricing and reimbursement for the products authorized and a positive recommendation by health technology bodies;</w:t>
      </w:r>
    </w:p>
    <w:p>
      <w:pPr>
        <w:spacing w:after="0" w:line="63" w:lineRule="exact"/>
        <w:rPr>
          <w:rFonts w:ascii="Arial" w:cs="Arial" w:eastAsia="Arial" w:hAnsi="Arial"/>
          <w:sz w:val="17"/>
          <w:szCs w:val="17"/>
          <w:color w:val="auto"/>
        </w:rPr>
      </w:pPr>
    </w:p>
    <w:p>
      <w:pPr>
        <w:ind w:left="2140" w:right="100" w:hanging="1062"/>
        <w:spacing w:after="0" w:line="274" w:lineRule="auto"/>
        <w:tabs>
          <w:tab w:leader="none" w:pos="21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timing and cost of, and level of investment in, research and development activities relating to our product candidates, which may change from time to time;</w:t>
      </w:r>
    </w:p>
    <w:p>
      <w:pPr>
        <w:spacing w:after="0" w:line="63" w:lineRule="exact"/>
        <w:rPr>
          <w:rFonts w:ascii="Arial" w:cs="Arial" w:eastAsia="Arial" w:hAnsi="Arial"/>
          <w:sz w:val="17"/>
          <w:szCs w:val="17"/>
          <w:color w:val="auto"/>
        </w:rPr>
      </w:pPr>
    </w:p>
    <w:p>
      <w:pPr>
        <w:ind w:left="2140" w:right="40" w:hanging="1062"/>
        <w:spacing w:after="0" w:line="274" w:lineRule="auto"/>
        <w:tabs>
          <w:tab w:leader="none" w:pos="21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cost of manufacturing our product candidates, which may vary depending on the difficulty of manufacture, quantity of production and the terms of our agreements with manufacturers;</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attract, hire and retain qualified personnel;</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expenditures that we will or may incur to develop additional product candidates;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level of demand for our product candidates should they receive approval, which may vary significantly;</w:t>
      </w:r>
    </w:p>
    <w:p>
      <w:pPr>
        <w:spacing w:after="0" w:line="110" w:lineRule="exact"/>
        <w:rPr>
          <w:rFonts w:ascii="Arial" w:cs="Arial" w:eastAsia="Arial" w:hAnsi="Arial"/>
          <w:sz w:val="17"/>
          <w:szCs w:val="17"/>
          <w:color w:val="auto"/>
        </w:rPr>
      </w:pPr>
    </w:p>
    <w:p>
      <w:pPr>
        <w:ind w:left="2140" w:right="620" w:hanging="1062"/>
        <w:spacing w:after="0" w:line="274" w:lineRule="auto"/>
        <w:tabs>
          <w:tab w:leader="none" w:pos="21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risk/benefit profile, cost and reimbursement policies with respect to our product candidates, if approved, and existing and potential future therapeutics that compete with our product candidates;</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general market conditions or extraordinary external events, such as recessions or the COVID-19 pandemic;</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changing and volatile U.S. and global economic environments; and</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future accounting pronouncements or changes in our accounting policies.</w:t>
      </w:r>
    </w:p>
    <w:p>
      <w:pPr>
        <w:spacing w:after="0" w:line="110" w:lineRule="exact"/>
        <w:rPr>
          <w:sz w:val="20"/>
          <w:szCs w:val="20"/>
          <w:color w:val="auto"/>
        </w:rPr>
      </w:pPr>
    </w:p>
    <w:p>
      <w:pPr>
        <w:ind w:right="120" w:firstLine="917"/>
        <w:spacing w:after="0" w:line="298" w:lineRule="auto"/>
        <w:rPr>
          <w:sz w:val="20"/>
          <w:szCs w:val="20"/>
          <w:color w:val="auto"/>
        </w:rPr>
      </w:pPr>
      <w:r>
        <w:rPr>
          <w:rFonts w:ascii="Arial" w:cs="Arial" w:eastAsia="Arial" w:hAnsi="Arial"/>
          <w:sz w:val="15"/>
          <w:szCs w:val="15"/>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Risks Related to Research and Development and the Biopharmaceutical Industry</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36" w:name="page37"/>
    <w:bookmarkEnd w:id="36"/>
    <w:p>
      <w:pPr>
        <w:ind w:left="920"/>
        <w:spacing w:after="0"/>
        <w:rPr>
          <w:sz w:val="20"/>
          <w:szCs w:val="20"/>
          <w:color w:val="auto"/>
        </w:rPr>
      </w:pPr>
      <w:r>
        <w:rPr>
          <w:rFonts w:ascii="Arial" w:cs="Arial" w:eastAsia="Arial" w:hAnsi="Arial"/>
          <w:sz w:val="17"/>
          <w:szCs w:val="17"/>
          <w:b w:val="1"/>
          <w:bCs w:val="1"/>
          <w:i w:val="1"/>
          <w:iCs w:val="1"/>
          <w:color w:val="auto"/>
        </w:rPr>
        <w:t>We have a limited operating history, which may make it difficult to evaluate our prospects and likelihood of success.</w:t>
      </w:r>
    </w:p>
    <w:p>
      <w:pPr>
        <w:spacing w:after="0" w:line="110" w:lineRule="exact"/>
        <w:rPr>
          <w:sz w:val="20"/>
          <w:szCs w:val="20"/>
          <w:color w:val="auto"/>
        </w:rPr>
      </w:pPr>
    </w:p>
    <w:p>
      <w:pPr>
        <w:ind w:right="20" w:firstLine="917"/>
        <w:spacing w:after="0" w:line="287" w:lineRule="auto"/>
        <w:rPr>
          <w:sz w:val="20"/>
          <w:szCs w:val="20"/>
          <w:color w:val="auto"/>
        </w:rPr>
      </w:pPr>
      <w:r>
        <w:rPr>
          <w:rFonts w:ascii="Arial" w:cs="Arial" w:eastAsia="Arial" w:hAnsi="Arial"/>
          <w:sz w:val="15"/>
          <w:szCs w:val="15"/>
          <w:color w:val="auto"/>
        </w:rPr>
        <w:t>We are a clinical-stage biopharmaceutical company with a limited operating history. We were incorporated in 2015, have no products approved for commercial sale and have not generated any revenue from product sales to date. Our operations to date have been limited to organizing and staffing our company, business planning, raising capital, establishing our intellectual property portfolio and performing research and development of our product candidates and our technology related to transforming growth factor beta, or TGF-β, signaling and integrin biology, medicinal chemistry, translational screening technologies, and clinical insights to discover and develop novel therapies for the treatment of fibrosis. Our approach to the discovery and development of product candidates is unproven, and we do not know whether we will be able to develop any products of commercial value. In addition, our lead product candidate, PLN-74809, is in early clinical development for the treatment of IPF and PSC, and a second product candidate, PLN-1474, is in early clinical development. Both programs will require substantial additional development and clinical research time and resources, either from us or our collaborators, before we would be able to apply for or receive regulatory approvals and begin generating revenue from product sales. We have not yet demonstrated the ability to progress any product candidate through clinical trials. We are still in preclinical and early clinical development and may be unable to obtain regulatory approval, manufacture a commercial scale product, or arrange for a third-party to do so on our behalf, or conduct sales and marketing activities necessary for successful product commercialization. 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and become commercially viable. In addition, as a business with a limited operating history, we may encounter unforeseen expenses, difficulties, complications, delays and other known and unknown factors and risks frequently experienced by early-stage biopharmaceutical companies in rapidly evolving fields. Consequently, we have no meaningful history of operations upon which to evaluate our business, and predictions about our future success or viability may not be as accurate as they could be if we had a longer operating history or a history of successfully developing and commercializing drug products.</w:t>
      </w:r>
    </w:p>
    <w:p>
      <w:pPr>
        <w:spacing w:after="0" w:line="265" w:lineRule="exact"/>
        <w:rPr>
          <w:sz w:val="20"/>
          <w:szCs w:val="20"/>
          <w:color w:val="auto"/>
        </w:rPr>
      </w:pPr>
    </w:p>
    <w:p>
      <w:pPr>
        <w:jc w:val="both"/>
        <w:ind w:firstLine="917"/>
        <w:spacing w:after="0" w:line="262" w:lineRule="auto"/>
        <w:rPr>
          <w:sz w:val="20"/>
          <w:szCs w:val="20"/>
          <w:color w:val="auto"/>
        </w:rPr>
      </w:pPr>
      <w:r>
        <w:rPr>
          <w:rFonts w:ascii="Arial" w:cs="Arial" w:eastAsia="Arial" w:hAnsi="Arial"/>
          <w:sz w:val="17"/>
          <w:szCs w:val="17"/>
          <w:b w:val="1"/>
          <w:bCs w:val="1"/>
          <w:i w:val="1"/>
          <w:iCs w:val="1"/>
          <w:color w:val="auto"/>
        </w:rPr>
        <w:t>Our business is highly dependent on the success of our lead product candidate, PLN-74809 (bexotegrast), as well as PLN-1474 and any other product candidates that we advance into the clinic. All of our product candidates will require significant additional preclinical and clinical development before we may be able to seek regulatory approval for and launch a product commercially.</w:t>
      </w:r>
    </w:p>
    <w:p>
      <w:pPr>
        <w:spacing w:after="0" w:line="73" w:lineRule="exact"/>
        <w:rPr>
          <w:sz w:val="20"/>
          <w:szCs w:val="20"/>
          <w:color w:val="auto"/>
        </w:rPr>
      </w:pPr>
    </w:p>
    <w:p>
      <w:pPr>
        <w:ind w:firstLine="917"/>
        <w:spacing w:after="0" w:line="270" w:lineRule="auto"/>
        <w:rPr>
          <w:sz w:val="20"/>
          <w:szCs w:val="20"/>
          <w:color w:val="auto"/>
        </w:rPr>
      </w:pPr>
      <w:r>
        <w:rPr>
          <w:rFonts w:ascii="Arial" w:cs="Arial" w:eastAsia="Arial" w:hAnsi="Arial"/>
          <w:sz w:val="16"/>
          <w:szCs w:val="16"/>
          <w:color w:val="auto"/>
        </w:rPr>
        <w:t>We currently have no products that are approved for commercial sale and may never be able to develop marketable products. We are very early in our clinical development for both PLN-74809 (bexotegrast) and PLN-1474. Because PLN-74809 (bexotegrast) is our lead product candidate, if PLN-74809 (bexotegrast) encounters safety or efficacy problems, development delays, regulatory issues or other problems, our development plans and business would be significantly harmed. We have completed various Phase 1 trials of PLN-74809 (bexotegrast) and have completed enrollment of two Phase 2a trials in IPF, including INTEGRIS-IPF and a PET imaging trial. We are also conducting a Phase 2a PSC trial which is currently enrolling patients. We are also collaborating with Novartis to develop PLN-1474 for liver fibrosis associated with NASH and have completed a Phase 1a SAD/MAD study evaluating PLN-1474 in healthy volunteers. The IND for this candidate was transferred to Novartis in the first quarter of 2021, and Novartis is responsible for all PLN-1474 development, manufacturing, and commercialization activities after the initial development period. All of the risks and uncertainties that apply to PLN-74809 (bexotegrast) or any candidates that we develop independently apply equally to our collaborator with respect to advancement of PLN-1474. In addition, we also face risks resulting from our reliance on Novartis for development of this candidate. See “Risks Related to Our Reliance on Third Parties.”</w:t>
      </w:r>
    </w:p>
    <w:p>
      <w:pPr>
        <w:spacing w:after="0" w:line="70" w:lineRule="exact"/>
        <w:rPr>
          <w:sz w:val="20"/>
          <w:szCs w:val="20"/>
          <w:color w:val="auto"/>
        </w:rPr>
      </w:pPr>
    </w:p>
    <w:p>
      <w:pPr>
        <w:ind w:right="40" w:firstLine="917"/>
        <w:spacing w:after="0" w:line="256" w:lineRule="auto"/>
        <w:rPr>
          <w:sz w:val="20"/>
          <w:szCs w:val="20"/>
          <w:color w:val="auto"/>
        </w:rPr>
      </w:pPr>
      <w:r>
        <w:rPr>
          <w:rFonts w:ascii="Arial" w:cs="Arial" w:eastAsia="Arial" w:hAnsi="Arial"/>
          <w:sz w:val="17"/>
          <w:szCs w:val="17"/>
          <w:color w:val="auto"/>
        </w:rPr>
        <w:t>Before we can generate any revenue from sales of our lead product candidate, PLN-74809 (bexotegrast), or any of our other product candidates, we must undergo additional preclinical and clinical development, regulatory review, and approval in one or more jurisdictions. In addition, if one or more of our product candidates are approved, we must ensure access to sufficient commercial manufacturing capacity and conduct significant marketing efforts in connection with any commercial launch. These efforts will require substantial investment, and we may not have the financial resources to continue development of our product candidates.</w:t>
      </w:r>
    </w:p>
    <w:p>
      <w:pPr>
        <w:spacing w:after="0" w:line="78" w:lineRule="exact"/>
        <w:rPr>
          <w:sz w:val="20"/>
          <w:szCs w:val="20"/>
          <w:color w:val="auto"/>
        </w:rPr>
      </w:pPr>
    </w:p>
    <w:p>
      <w:pPr>
        <w:ind w:right="180" w:firstLine="917"/>
        <w:spacing w:after="0" w:line="274" w:lineRule="auto"/>
        <w:rPr>
          <w:sz w:val="20"/>
          <w:szCs w:val="20"/>
          <w:color w:val="auto"/>
        </w:rPr>
      </w:pPr>
      <w:r>
        <w:rPr>
          <w:rFonts w:ascii="Arial" w:cs="Arial" w:eastAsia="Arial" w:hAnsi="Arial"/>
          <w:sz w:val="17"/>
          <w:szCs w:val="17"/>
          <w:color w:val="auto"/>
        </w:rPr>
        <w:t>We may experience setbacks that could delay or prevent regulatory approval of, or the extent of regulatory protection or our ability to commercialize, our product candidates, including:</w:t>
      </w:r>
    </w:p>
    <w:p>
      <w:pPr>
        <w:spacing w:after="0" w:line="63" w:lineRule="exact"/>
        <w:rPr>
          <w:sz w:val="20"/>
          <w:szCs w:val="20"/>
          <w:color w:val="auto"/>
        </w:rPr>
      </w:pPr>
    </w:p>
    <w:p>
      <w:pPr>
        <w:ind w:left="2140" w:right="160" w:hanging="1062"/>
        <w:spacing w:after="0" w:line="342" w:lineRule="auto"/>
        <w:tabs>
          <w:tab w:leader="none" w:pos="2136" w:val="left"/>
        </w:tabs>
        <w:numPr>
          <w:ilvl w:val="0"/>
          <w:numId w:val="24"/>
        </w:numPr>
        <w:rPr>
          <w:rFonts w:ascii="Arial" w:cs="Arial" w:eastAsia="Arial" w:hAnsi="Arial"/>
          <w:sz w:val="15"/>
          <w:szCs w:val="15"/>
          <w:color w:val="auto"/>
        </w:rPr>
      </w:pPr>
      <w:r>
        <w:rPr>
          <w:rFonts w:ascii="Arial" w:cs="Arial" w:eastAsia="Arial" w:hAnsi="Arial"/>
          <w:sz w:val="15"/>
          <w:szCs w:val="15"/>
          <w:color w:val="auto"/>
        </w:rPr>
        <w:t>negative or inconclusive results from our preclinical studies or clinical trials or the clinical trials of others for product candidates similar to ours, leading to a decision or requirement to conduct additional preclinical testing or clinical trials or abandon a program;</w:t>
      </w:r>
    </w:p>
    <w:p>
      <w:pPr>
        <w:spacing w:after="0" w:line="17" w:lineRule="exact"/>
        <w:rPr>
          <w:rFonts w:ascii="Arial" w:cs="Arial" w:eastAsia="Arial" w:hAnsi="Arial"/>
          <w:sz w:val="15"/>
          <w:szCs w:val="15"/>
          <w:color w:val="auto"/>
        </w:rPr>
      </w:pPr>
    </w:p>
    <w:p>
      <w:pPr>
        <w:ind w:left="2140" w:right="200" w:hanging="1062"/>
        <w:spacing w:after="0" w:line="274" w:lineRule="auto"/>
        <w:tabs>
          <w:tab w:leader="none" w:pos="2136"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product-related side effects experienced by subjects in our clinical trials or by individuals using drugs or therapeutics similar to our product candidates;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37" w:name="page38"/>
    <w:bookmarkEnd w:id="37"/>
    <w:p>
      <w:pPr>
        <w:ind w:left="2140" w:right="640" w:hanging="1062"/>
        <w:spacing w:after="0" w:line="306" w:lineRule="auto"/>
        <w:tabs>
          <w:tab w:leader="none" w:pos="2136"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40" w:lineRule="exact"/>
        <w:rPr>
          <w:rFonts w:ascii="Arial" w:cs="Arial" w:eastAsia="Arial" w:hAnsi="Arial"/>
          <w:sz w:val="16"/>
          <w:szCs w:val="16"/>
          <w:color w:val="auto"/>
        </w:rPr>
      </w:pPr>
    </w:p>
    <w:p>
      <w:pPr>
        <w:ind w:left="2140" w:hanging="1062"/>
        <w:spacing w:after="0"/>
        <w:tabs>
          <w:tab w:leader="none" w:pos="21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conditions imposed by the FDA or comparable foreign authorities regarding the scope or design of our clinical trials;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delays in enrolling subjects in clinical trials, including due to the COVID-19 pandemic;</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high drop-out rates of subjects from clinical trials;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inadequate supply or quality of product candidates or other materials necessary for the conduct of our clinical trials;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challenges manufacturing our product candidates to regulatory requirements in a cost effective manner;</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greater than anticipated clinical trial costs;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inability to compete with other therapies;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failure to secure or maintain orphan designation in some jurisdictions;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failure to secure an adequate pricing and reimbursement and / or a positive health technology assessment;</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poor efficacy of our product candidates during clinical trials;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unfavorable FDA or other regulatory agency inspection and review of a clinical trial site;</w:t>
      </w:r>
    </w:p>
    <w:p>
      <w:pPr>
        <w:spacing w:after="0" w:line="110" w:lineRule="exact"/>
        <w:rPr>
          <w:rFonts w:ascii="Arial" w:cs="Arial" w:eastAsia="Arial" w:hAnsi="Arial"/>
          <w:sz w:val="17"/>
          <w:szCs w:val="17"/>
          <w:color w:val="auto"/>
        </w:rPr>
      </w:pPr>
    </w:p>
    <w:p>
      <w:pPr>
        <w:ind w:left="2140" w:right="360" w:hanging="1062"/>
        <w:spacing w:after="0" w:line="274" w:lineRule="auto"/>
        <w:tabs>
          <w:tab w:leader="none" w:pos="2136" w:val="left"/>
        </w:tabs>
        <w:numPr>
          <w:ilvl w:val="0"/>
          <w:numId w:val="25"/>
        </w:numPr>
        <w:rPr>
          <w:rFonts w:ascii="Arial" w:cs="Arial" w:eastAsia="Arial" w:hAnsi="Arial"/>
          <w:sz w:val="17"/>
          <w:szCs w:val="17"/>
          <w:color w:val="auto"/>
        </w:rPr>
      </w:pPr>
      <w:r>
        <w:rPr>
          <w:rFonts w:ascii="Arial" w:cs="Arial" w:eastAsia="Arial" w:hAnsi="Arial"/>
          <w:sz w:val="17"/>
          <w:szCs w:val="17"/>
          <w:color w:val="auto"/>
        </w:rPr>
        <w:t>failure of our third-party contractors or investigators to comply with regulatory requirements or otherwise meet their contractual obligations in a timely manner, or at all;</w:t>
      </w:r>
    </w:p>
    <w:p>
      <w:pPr>
        <w:spacing w:after="0" w:line="63" w:lineRule="exact"/>
        <w:rPr>
          <w:rFonts w:ascii="Arial" w:cs="Arial" w:eastAsia="Arial" w:hAnsi="Arial"/>
          <w:sz w:val="17"/>
          <w:szCs w:val="17"/>
          <w:color w:val="auto"/>
        </w:rPr>
      </w:pPr>
    </w:p>
    <w:p>
      <w:pPr>
        <w:ind w:left="2140" w:right="300" w:hanging="1062"/>
        <w:spacing w:after="0" w:line="274" w:lineRule="auto"/>
        <w:tabs>
          <w:tab w:leader="none" w:pos="2136"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delays and changes in regulatory requirements, policy and guidelines, including the imposition of additional regulatory oversight around clinical testing generally or with respect to our technology in particular; or</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varying interpretations of data by the FDA and similar foreign regulatory agencies.</w:t>
      </w:r>
    </w:p>
    <w:p>
      <w:pPr>
        <w:spacing w:after="0" w:line="110" w:lineRule="exact"/>
        <w:rPr>
          <w:sz w:val="20"/>
          <w:szCs w:val="20"/>
          <w:color w:val="auto"/>
        </w:rPr>
      </w:pPr>
    </w:p>
    <w:p>
      <w:pPr>
        <w:ind w:right="100" w:firstLine="917"/>
        <w:spacing w:after="0" w:line="306" w:lineRule="auto"/>
        <w:rPr>
          <w:sz w:val="20"/>
          <w:szCs w:val="20"/>
          <w:color w:val="auto"/>
        </w:rPr>
      </w:pPr>
      <w:r>
        <w:rPr>
          <w:rFonts w:ascii="Arial" w:cs="Arial" w:eastAsia="Arial" w:hAnsi="Arial"/>
          <w:sz w:val="16"/>
          <w:szCs w:val="16"/>
          <w:color w:val="auto"/>
        </w:rPr>
        <w:t>We do not have complete control over many of these factors, including certain aspects of clinical development and the regulatory submission process, potential threats to our intellectual property rights and our manufacturing, marketing, distribution and sales efforts or that of any future collaborator.</w:t>
      </w:r>
    </w:p>
    <w:p>
      <w:pPr>
        <w:spacing w:after="0" w:line="40" w:lineRule="exact"/>
        <w:rPr>
          <w:sz w:val="20"/>
          <w:szCs w:val="20"/>
          <w:color w:val="auto"/>
        </w:rPr>
      </w:pPr>
    </w:p>
    <w:p>
      <w:pPr>
        <w:ind w:right="220" w:firstLine="917"/>
        <w:spacing w:after="0" w:line="274" w:lineRule="auto"/>
        <w:rPr>
          <w:sz w:val="20"/>
          <w:szCs w:val="20"/>
          <w:color w:val="auto"/>
        </w:rPr>
      </w:pPr>
      <w:r>
        <w:rPr>
          <w:rFonts w:ascii="Arial" w:cs="Arial" w:eastAsia="Arial" w:hAnsi="Arial"/>
          <w:sz w:val="17"/>
          <w:szCs w:val="17"/>
          <w:b w:val="1"/>
          <w:bCs w:val="1"/>
          <w:i w:val="1"/>
          <w:iCs w:val="1"/>
          <w:color w:val="auto"/>
        </w:rPr>
        <w:t>Our approach to drug discovery and development in the area of fibrotic diseases, with an initial focus on tissue-specific integrin modulation and TGF-β signaling inhibition, is unproven and may not result in marketable products.</w:t>
      </w:r>
    </w:p>
    <w:p>
      <w:pPr>
        <w:spacing w:after="0" w:line="63" w:lineRule="exact"/>
        <w:rPr>
          <w:sz w:val="20"/>
          <w:szCs w:val="20"/>
          <w:color w:val="auto"/>
        </w:rPr>
      </w:pPr>
    </w:p>
    <w:p>
      <w:pPr>
        <w:ind w:right="20" w:firstLine="917"/>
        <w:spacing w:after="0" w:line="293" w:lineRule="auto"/>
        <w:rPr>
          <w:sz w:val="20"/>
          <w:szCs w:val="20"/>
          <w:color w:val="auto"/>
        </w:rPr>
      </w:pPr>
      <w:r>
        <w:rPr>
          <w:rFonts w:ascii="Arial" w:cs="Arial" w:eastAsia="Arial" w:hAnsi="Arial"/>
          <w:sz w:val="15"/>
          <w:szCs w:val="15"/>
          <w:color w:val="auto"/>
        </w:rPr>
        <w:t>Our approach is designed to discover and develop targeted treatments for fibrosis with an initial focus on the antagonism of tissue-specific TGF-β signaling through the inhibition of integrins known to mediate the release of activated TGF-β in fibrotic tissue. However, although multiple studies are currently underway, to date, this mechanism has not been definitively proven to successfully treat fibrosis. Targeting integrins to treat fibrosis is a novel approach in a rapidly developing field, and there can be no assurance that we will not experience currently unknown problems or delays in developing our product candidates, that such problems or delays will not result in unanticipated costs, or that any such development problems can be solved. We have primarily tested our lead product candidate, PLN-74809, in healthy volunteers. Therefore, we may ultimately discover that our approach and any product candidates resulting therefrom do not possess properties required for therapeutic effectiveness. As a result, we may never succeed in developing a marketable product.</w:t>
      </w:r>
    </w:p>
    <w:p>
      <w:pPr>
        <w:spacing w:after="0" w:line="54" w:lineRule="exact"/>
        <w:rPr>
          <w:sz w:val="20"/>
          <w:szCs w:val="20"/>
          <w:color w:val="auto"/>
        </w:rPr>
      </w:pPr>
    </w:p>
    <w:p>
      <w:pPr>
        <w:ind w:firstLine="917"/>
        <w:spacing w:after="0" w:line="271" w:lineRule="auto"/>
        <w:rPr>
          <w:sz w:val="20"/>
          <w:szCs w:val="20"/>
          <w:color w:val="auto"/>
        </w:rPr>
      </w:pPr>
      <w:r>
        <w:rPr>
          <w:rFonts w:ascii="Arial" w:cs="Arial" w:eastAsia="Arial" w:hAnsi="Arial"/>
          <w:sz w:val="16"/>
          <w:szCs w:val="16"/>
          <w:color w:val="auto"/>
        </w:rPr>
        <w:t>In addition, while we have developed an extensive panel of cell assays and precision cut tissue assays and have utilized animal models to uncover biological pathways, understood gene expression changes and optimized the potency and selectivity of our potential product candidates, there can be no assurance that our technology will yield their intended benefits. While we believe our assays represent a differentiator in our approach to drug development, our approach has not yet been clinically proven to yield results. Our practice of evaluating our product candidates in live human fibrotic tissue samples before advancing them into the clinic is intended to serve as a bridge between animal models and clinical proof-of-concept. However, there can be no assurance that positive results observed from preclinical animal testing and human fibrotic tissue models will be replicated when a program is advanced into clinical development. In addition, our practice of utilizing live human fibrotic tissue as part of our development efforts may become more widespread in the future, and this approach may be adopted and replicated by others, including our competitors.</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00"/>
          </w:cols>
          <w:pgMar w:left="320" w:top="955" w:right="379" w:bottom="1440" w:gutter="0" w:footer="0" w:header="0"/>
        </w:sectPr>
      </w:pPr>
    </w:p>
    <w:bookmarkStart w:id="38" w:name="page39"/>
    <w:bookmarkEnd w:id="38"/>
    <w:p>
      <w:pPr>
        <w:ind w:right="100" w:firstLine="917"/>
        <w:spacing w:after="0" w:line="275" w:lineRule="auto"/>
        <w:rPr>
          <w:sz w:val="20"/>
          <w:szCs w:val="20"/>
          <w:color w:val="auto"/>
        </w:rPr>
      </w:pPr>
      <w:r>
        <w:rPr>
          <w:rFonts w:ascii="Arial" w:cs="Arial" w:eastAsia="Arial" w:hAnsi="Arial"/>
          <w:sz w:val="16"/>
          <w:szCs w:val="16"/>
          <w:color w:val="auto"/>
        </w:rPr>
        <w:t>Studies involving human tissue samples may also be subject to institutional and government human subject privacy policies that may vary by territory. We or our partners who provide us with human tissue samples or conduct tissue and/or animal studies on our behalf, may be found to be in violation of one or more of these regulations or policies and may be subject to closure, censure or other penalties. In some cases, these penalties could materially impact the performance, availability, or validity of studies conducted by us or on our behalf. Even in the absence of violations resulting in penalties, regulatory and other authorities may refuse to authorize the conduct or to accept the results of studies for regulatory or ethical reasons.</w:t>
      </w:r>
    </w:p>
    <w:p>
      <w:pPr>
        <w:spacing w:after="0" w:line="67"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Clinical development involves a lengthy, complex, and expensive process, with an uncertain outcome.</w:t>
      </w:r>
    </w:p>
    <w:p>
      <w:pPr>
        <w:spacing w:after="0" w:line="110" w:lineRule="exact"/>
        <w:rPr>
          <w:sz w:val="20"/>
          <w:szCs w:val="20"/>
          <w:color w:val="auto"/>
        </w:rPr>
      </w:pPr>
    </w:p>
    <w:p>
      <w:pPr>
        <w:ind w:right="140" w:firstLine="917"/>
        <w:spacing w:after="0" w:line="269" w:lineRule="auto"/>
        <w:rPr>
          <w:sz w:val="20"/>
          <w:szCs w:val="20"/>
          <w:color w:val="auto"/>
        </w:rPr>
      </w:pPr>
      <w:r>
        <w:rPr>
          <w:rFonts w:ascii="Arial" w:cs="Arial" w:eastAsia="Arial" w:hAnsi="Arial"/>
          <w:sz w:val="16"/>
          <w:szCs w:val="16"/>
          <w:color w:val="auto"/>
        </w:rPr>
        <w:t>To obtain the requisite regulatory approvals to commercialize any product candidates, we must demonstrate through extensive preclinical studies and clinical trials that our product candidates are safe and effective in humans. Clinical testing is expensive and can take many years to complete, and its outcome is inherently uncertain. In particular, the general approach for FDA approval of a new drug is dispositive data from two well-controlled, Phase 3 clinical trials of the relevant drug in the relevant patient population. Phase 3 clinical trials typically involve hundreds of patients, have significant costs and take years to complete. A product candidate can fail at any stage of testing, even after observing promising signals of activity in earlier preclinical studies or clinical trials. The results of preclinical studies and early clinical trials of our product candidates may not be predictive of the results of later-stage clinical trials. In addition, initial success in clinical trials may not be indicative of results obtained when such trials are completed.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commence clinical trials are never approved as products and there can be no assurance that any of our future clinical trials will ultimately be successful or support further clinical development of PLN-74809 (bexotegrast) or any of our other product candidates. Product candidates that appear promising in the early phases of development may fail to reach the market for several reasons, including:</w:t>
      </w:r>
    </w:p>
    <w:p>
      <w:pPr>
        <w:spacing w:after="0" w:line="70" w:lineRule="exact"/>
        <w:rPr>
          <w:sz w:val="20"/>
          <w:szCs w:val="20"/>
          <w:color w:val="auto"/>
        </w:rPr>
      </w:pPr>
    </w:p>
    <w:p>
      <w:pPr>
        <w:ind w:left="2140" w:right="120" w:hanging="1062"/>
        <w:spacing w:after="0" w:line="274" w:lineRule="auto"/>
        <w:tabs>
          <w:tab w:leader="none" w:pos="2136"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preclinical studies or clinical trials may show the product candidates to be less effective than expected (e.g., a clinical trial could fail to meet its primary endpoint(s)) or to have unacceptable side effects or toxicities;</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failure to establish clinical endpoints that applicable regulatory authorities would consider clinically meaningful;</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failure to receive the necessary regulatory approvals;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development of competing products in the same disease state;</w:t>
      </w:r>
    </w:p>
    <w:p>
      <w:pPr>
        <w:spacing w:after="0" w:line="110" w:lineRule="exact"/>
        <w:rPr>
          <w:rFonts w:ascii="Arial" w:cs="Arial" w:eastAsia="Arial" w:hAnsi="Arial"/>
          <w:sz w:val="17"/>
          <w:szCs w:val="17"/>
          <w:color w:val="auto"/>
        </w:rPr>
      </w:pPr>
    </w:p>
    <w:p>
      <w:pPr>
        <w:ind w:left="2140" w:right="940" w:hanging="1062"/>
        <w:spacing w:after="0" w:line="274" w:lineRule="auto"/>
        <w:tabs>
          <w:tab w:leader="none" w:pos="2136" w:val="left"/>
        </w:tabs>
        <w:numPr>
          <w:ilvl w:val="0"/>
          <w:numId w:val="26"/>
        </w:numPr>
        <w:rPr>
          <w:rFonts w:ascii="Arial" w:cs="Arial" w:eastAsia="Arial" w:hAnsi="Arial"/>
          <w:sz w:val="17"/>
          <w:szCs w:val="17"/>
          <w:color w:val="auto"/>
        </w:rPr>
      </w:pPr>
      <w:r>
        <w:rPr>
          <w:rFonts w:ascii="Arial" w:cs="Arial" w:eastAsia="Arial" w:hAnsi="Arial"/>
          <w:sz w:val="17"/>
          <w:szCs w:val="17"/>
          <w:color w:val="auto"/>
        </w:rPr>
        <w:t>manufacturing costs, formulation issues, pricing or reimbursement issues, or other factors that make a product candidate uneconomical; and</w:t>
      </w:r>
    </w:p>
    <w:p>
      <w:pPr>
        <w:spacing w:after="0" w:line="63" w:lineRule="exact"/>
        <w:rPr>
          <w:rFonts w:ascii="Arial" w:cs="Arial" w:eastAsia="Arial" w:hAnsi="Arial"/>
          <w:sz w:val="17"/>
          <w:szCs w:val="17"/>
          <w:color w:val="auto"/>
        </w:rPr>
      </w:pPr>
    </w:p>
    <w:p>
      <w:pPr>
        <w:ind w:left="2140" w:right="200" w:hanging="1062"/>
        <w:spacing w:after="0" w:line="274" w:lineRule="auto"/>
        <w:tabs>
          <w:tab w:leader="none" w:pos="2136"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proprietary rights of others and their competing products and technologies that may prevent one of our product candidates from being commercialized.</w:t>
      </w:r>
    </w:p>
    <w:p>
      <w:pPr>
        <w:spacing w:after="0" w:line="63" w:lineRule="exact"/>
        <w:rPr>
          <w:sz w:val="20"/>
          <w:szCs w:val="20"/>
          <w:color w:val="auto"/>
        </w:rPr>
      </w:pPr>
    </w:p>
    <w:p>
      <w:pPr>
        <w:ind w:firstLine="917"/>
        <w:spacing w:after="0" w:line="269" w:lineRule="auto"/>
        <w:rPr>
          <w:sz w:val="20"/>
          <w:szCs w:val="20"/>
          <w:color w:val="auto"/>
        </w:rPr>
      </w:pPr>
      <w:r>
        <w:rPr>
          <w:rFonts w:ascii="Arial" w:cs="Arial" w:eastAsia="Arial" w:hAnsi="Arial"/>
          <w:sz w:val="16"/>
          <w:szCs w:val="16"/>
          <w:color w:val="auto"/>
        </w:rPr>
        <w:t>In addition, differences in trial design between early-stage clinical trials and later-stage clinical trials make it difficult to extrapolate the results of earlier clinical trials to later clinical trials. Further, as we rely on novel technologies including sophisticated imaging technologies to generate data relating to our clinical endpoints, there is an increased risk that we may not properly measure, analyze or interpret this data. Moreover, clinical data are often susceptible to varying interpretations and analyses, and many companies that have believed their product candidates performed satisfactorily in clinical trials have nonetheless failed to obtain marketing approval of their products. Additionally, some of our trials are open-label studies, where both the patient and investigator know whether the patient is receiving the investigational product candidate or either an existing approved drug or placebo. Most typically, open-label clinical trials test only the investigational product candidate and sometimes do so at different dose levels. Open-label clinical trials are subject to various limitations that may exaggerate any therapeutic effect as patients in open-label clinical trials are aware when they are receiving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Therefore, it is possible that positive results observed in open-label trials will not be replicated in later placebo-controlled trials.</w:t>
      </w:r>
    </w:p>
    <w:p>
      <w:pPr>
        <w:spacing w:after="0" w:line="75" w:lineRule="exact"/>
        <w:rPr>
          <w:sz w:val="20"/>
          <w:szCs w:val="20"/>
          <w:color w:val="auto"/>
        </w:rPr>
      </w:pPr>
    </w:p>
    <w:p>
      <w:pPr>
        <w:jc w:val="both"/>
        <w:ind w:right="100" w:firstLine="917"/>
        <w:spacing w:after="0" w:line="313" w:lineRule="auto"/>
        <w:rPr>
          <w:sz w:val="20"/>
          <w:szCs w:val="20"/>
          <w:color w:val="auto"/>
        </w:rPr>
      </w:pPr>
      <w:r>
        <w:rPr>
          <w:rFonts w:ascii="Arial" w:cs="Arial" w:eastAsia="Arial" w:hAnsi="Arial"/>
          <w:sz w:val="15"/>
          <w:szCs w:val="15"/>
          <w:color w:val="auto"/>
        </w:rPr>
        <w:t>In addition, the standards that the FDA and comparable foreign regulatory authorities use when regulating us require judgment and can change, which makes it difficult to predict with certainty how they will be applied. Although we are initially focusing our efforts on development of small molecule drug products, we are also considering the development of biological products, including a potential candidate for muscular dystrophies, which could make us subject to additional</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39" w:name="page40"/>
    <w:bookmarkEnd w:id="39"/>
    <w:p>
      <w:pPr>
        <w:spacing w:after="0" w:line="272" w:lineRule="auto"/>
        <w:rPr>
          <w:sz w:val="20"/>
          <w:szCs w:val="20"/>
          <w:color w:val="auto"/>
        </w:rPr>
      </w:pPr>
      <w:r>
        <w:rPr>
          <w:rFonts w:ascii="Arial" w:cs="Arial" w:eastAsia="Arial" w:hAnsi="Arial"/>
          <w:sz w:val="16"/>
          <w:szCs w:val="16"/>
          <w:color w:val="auto"/>
        </w:rPr>
        <w:t>regulatory requirements.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Examples of such regulations include future legislation or administrative action, or changes in FDA policy during the period of product development and FDA regulatory review. It is impossible to predict whether legislative changes will be enacted, or whether FDA or foreign regulations, guidance or interpretations will be changed, or what the impact of such changes, if any, may be. 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candidates that we develop.</w:t>
      </w:r>
    </w:p>
    <w:p>
      <w:pPr>
        <w:spacing w:after="0" w:line="68" w:lineRule="exact"/>
        <w:rPr>
          <w:sz w:val="20"/>
          <w:szCs w:val="20"/>
          <w:color w:val="auto"/>
        </w:rPr>
      </w:pPr>
    </w:p>
    <w:p>
      <w:pPr>
        <w:ind w:right="80" w:firstLine="917"/>
        <w:spacing w:after="0" w:line="298" w:lineRule="auto"/>
        <w:rPr>
          <w:sz w:val="20"/>
          <w:szCs w:val="20"/>
          <w:color w:val="auto"/>
        </w:rPr>
      </w:pPr>
      <w:r>
        <w:rPr>
          <w:rFonts w:ascii="Arial" w:cs="Arial" w:eastAsia="Arial" w:hAnsi="Arial"/>
          <w:sz w:val="15"/>
          <w:szCs w:val="15"/>
          <w:color w:val="auto"/>
        </w:rPr>
        <w:t>If we seek to conduct clinical trials in foreign countries or pursue marketing approvals in foreign jurisdictions, we must comply with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United States and vice versa.</w:t>
      </w:r>
    </w:p>
    <w:p>
      <w:pPr>
        <w:spacing w:after="0" w:line="50" w:lineRule="exact"/>
        <w:rPr>
          <w:sz w:val="20"/>
          <w:szCs w:val="20"/>
          <w:color w:val="auto"/>
        </w:rPr>
      </w:pPr>
    </w:p>
    <w:p>
      <w:pPr>
        <w:ind w:right="40" w:firstLine="917"/>
        <w:spacing w:after="0" w:line="279" w:lineRule="auto"/>
        <w:rPr>
          <w:sz w:val="20"/>
          <w:szCs w:val="20"/>
          <w:color w:val="auto"/>
        </w:rPr>
      </w:pPr>
      <w:r>
        <w:rPr>
          <w:rFonts w:ascii="Arial" w:cs="Arial" w:eastAsia="Arial" w:hAnsi="Arial"/>
          <w:sz w:val="16"/>
          <w:szCs w:val="16"/>
          <w:color w:val="auto"/>
        </w:rPr>
        <w:t>Successful completion of clinical trials is a prerequisite to submitting a marketing application to the FDA and similar marketing applications to comparable foreign regulatory authorities, for each product candidate and, consequently, the ultimate approval and commercial marketing of any product candidates. We may experience negative or inconclusive results, which may result in our deciding, or our being required by regulators, to conduct additional clinical studies or trials or abandon some or all of our product development programs, which could have a material adverse effect on our business.</w:t>
      </w:r>
    </w:p>
    <w:p>
      <w:pPr>
        <w:spacing w:after="0" w:line="61" w:lineRule="exact"/>
        <w:rPr>
          <w:sz w:val="20"/>
          <w:szCs w:val="20"/>
          <w:color w:val="auto"/>
        </w:rPr>
      </w:pPr>
    </w:p>
    <w:p>
      <w:pPr>
        <w:ind w:right="180" w:firstLine="917"/>
        <w:spacing w:after="0" w:line="274" w:lineRule="auto"/>
        <w:rPr>
          <w:sz w:val="20"/>
          <w:szCs w:val="20"/>
          <w:color w:val="auto"/>
        </w:rPr>
      </w:pPr>
      <w:r>
        <w:rPr>
          <w:rFonts w:ascii="Arial" w:cs="Arial" w:eastAsia="Arial" w:hAnsi="Arial"/>
          <w:sz w:val="17"/>
          <w:szCs w:val="17"/>
          <w:b w:val="1"/>
          <w:bCs w:val="1"/>
          <w:i w:val="1"/>
          <w:iCs w:val="1"/>
          <w:color w:val="auto"/>
        </w:rPr>
        <w:t>We may incur additional costs or experience delays in completing, or ultimately be unable to complete, the development and commercialization of PLN-74809 (bexotegrast) or any other product candidates.</w:t>
      </w:r>
    </w:p>
    <w:p>
      <w:pPr>
        <w:spacing w:after="0" w:line="63" w:lineRule="exact"/>
        <w:rPr>
          <w:sz w:val="20"/>
          <w:szCs w:val="20"/>
          <w:color w:val="auto"/>
        </w:rPr>
      </w:pPr>
    </w:p>
    <w:p>
      <w:pPr>
        <w:ind w:firstLine="917"/>
        <w:spacing w:after="0" w:line="262" w:lineRule="auto"/>
        <w:rPr>
          <w:sz w:val="20"/>
          <w:szCs w:val="20"/>
          <w:color w:val="auto"/>
        </w:rPr>
      </w:pPr>
      <w:r>
        <w:rPr>
          <w:rFonts w:ascii="Arial" w:cs="Arial" w:eastAsia="Arial" w:hAnsi="Arial"/>
          <w:sz w:val="17"/>
          <w:szCs w:val="17"/>
          <w:color w:val="auto"/>
        </w:rPr>
        <w:t>We may experience delays in initiating or completing clinical trials. We also may experience numerous unforeseen events during, or as a result of, any future clinical trials that could delay or prevent our ability to receive marketing approval or commercialize PLN-74809 (bexotegrast) or any other product candidates, including:</w:t>
      </w:r>
    </w:p>
    <w:p>
      <w:pPr>
        <w:spacing w:after="0" w:line="73" w:lineRule="exact"/>
        <w:rPr>
          <w:sz w:val="20"/>
          <w:szCs w:val="20"/>
          <w:color w:val="auto"/>
        </w:rPr>
      </w:pPr>
    </w:p>
    <w:p>
      <w:pPr>
        <w:ind w:left="2140" w:right="380" w:hanging="1062"/>
        <w:spacing w:after="0" w:line="274" w:lineRule="auto"/>
        <w:tabs>
          <w:tab w:leader="none" w:pos="21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regulators or institutional review boards, or IRBs, or ethics committees may not authorize us or our investigators to commence a clinical trial or conduct a clinical trial at a prospective trial site;</w:t>
      </w:r>
    </w:p>
    <w:p>
      <w:pPr>
        <w:spacing w:after="0" w:line="63" w:lineRule="exact"/>
        <w:rPr>
          <w:rFonts w:ascii="Arial" w:cs="Arial" w:eastAsia="Arial" w:hAnsi="Arial"/>
          <w:sz w:val="17"/>
          <w:szCs w:val="17"/>
          <w:color w:val="auto"/>
        </w:rPr>
      </w:pPr>
    </w:p>
    <w:p>
      <w:pPr>
        <w:ind w:left="2140" w:hanging="1062"/>
        <w:spacing w:after="0" w:line="262" w:lineRule="auto"/>
        <w:tabs>
          <w:tab w:leader="none" w:pos="21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FDA or other comparable regulatory authorities may disagree with our clinical trial design, including with respect to dosing levels administered in our planned clinical trials, which may delay or prevent us from initiating our clinical trials with our originally intended trial design;</w:t>
      </w:r>
    </w:p>
    <w:p>
      <w:pPr>
        <w:spacing w:after="0" w:line="72" w:lineRule="exact"/>
        <w:rPr>
          <w:rFonts w:ascii="Arial" w:cs="Arial" w:eastAsia="Arial" w:hAnsi="Arial"/>
          <w:sz w:val="17"/>
          <w:szCs w:val="17"/>
          <w:color w:val="auto"/>
        </w:rPr>
      </w:pPr>
    </w:p>
    <w:p>
      <w:pPr>
        <w:ind w:left="2140" w:right="300" w:hanging="1062"/>
        <w:spacing w:after="0" w:line="342" w:lineRule="auto"/>
        <w:tabs>
          <w:tab w:leader="none" w:pos="2136"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may experience delays in reaching, or fail to reach, agreement on acceptable terms with prospective trial sites and prospective CROs, which can be subject to extensive negotiation and may vary significantly among different CROs and trial sites;</w:t>
      </w:r>
    </w:p>
    <w:p>
      <w:pPr>
        <w:spacing w:after="0" w:line="17" w:lineRule="exact"/>
        <w:rPr>
          <w:rFonts w:ascii="Arial" w:cs="Arial" w:eastAsia="Arial" w:hAnsi="Arial"/>
          <w:sz w:val="15"/>
          <w:szCs w:val="15"/>
          <w:color w:val="auto"/>
        </w:rPr>
      </w:pPr>
    </w:p>
    <w:p>
      <w:pPr>
        <w:ind w:left="2140" w:right="20" w:hanging="1062"/>
        <w:spacing w:after="0" w:line="274" w:lineRule="auto"/>
        <w:tabs>
          <w:tab w:leader="none" w:pos="21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number of subjects required for clinical trials of any product candidates may be larger than we anticipate or subjects may drop out of these clinical trials or fail to return for post-treatment follow-up at a higher rate than we anticipate;</w:t>
      </w:r>
    </w:p>
    <w:p>
      <w:pPr>
        <w:spacing w:after="0" w:line="63" w:lineRule="exact"/>
        <w:rPr>
          <w:rFonts w:ascii="Arial" w:cs="Arial" w:eastAsia="Arial" w:hAnsi="Arial"/>
          <w:sz w:val="17"/>
          <w:szCs w:val="17"/>
          <w:color w:val="auto"/>
        </w:rPr>
      </w:pPr>
    </w:p>
    <w:p>
      <w:pPr>
        <w:ind w:left="2140" w:right="220" w:hanging="1062"/>
        <w:spacing w:after="0" w:line="262" w:lineRule="auto"/>
        <w:tabs>
          <w:tab w:leader="none" w:pos="21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72" w:lineRule="exact"/>
        <w:rPr>
          <w:rFonts w:ascii="Arial" w:cs="Arial" w:eastAsia="Arial" w:hAnsi="Arial"/>
          <w:sz w:val="17"/>
          <w:szCs w:val="17"/>
          <w:color w:val="auto"/>
        </w:rPr>
      </w:pPr>
    </w:p>
    <w:p>
      <w:pPr>
        <w:ind w:left="2140" w:hanging="1062"/>
        <w:spacing w:after="0" w:line="313" w:lineRule="auto"/>
        <w:tabs>
          <w:tab w:leader="none" w:pos="2136" w:val="left"/>
        </w:tabs>
        <w:numPr>
          <w:ilvl w:val="0"/>
          <w:numId w:val="27"/>
        </w:numPr>
        <w:rPr>
          <w:rFonts w:ascii="Arial" w:cs="Arial" w:eastAsia="Arial" w:hAnsi="Arial"/>
          <w:sz w:val="15"/>
          <w:szCs w:val="15"/>
          <w:color w:val="auto"/>
        </w:rPr>
      </w:pPr>
      <w:r>
        <w:rPr>
          <w:rFonts w:ascii="Arial" w:cs="Arial" w:eastAsia="Arial" w:hAnsi="Arial"/>
          <w:sz w:val="15"/>
          <w:szCs w:val="15"/>
          <w:color w:val="auto"/>
        </w:rPr>
        <w:t>due to the impact of the COVID-19 pandemic, we have experienced, and may continue to experience, delays and interruptions to our preclinical studies and clinical trials, we may experience delays or interruptions to our manufacturing supply chain, or we could suffer delays in reaching, or we may fail to reach, agreement on acceptable terms with third-party service providers on whom we rely;</w:t>
      </w:r>
    </w:p>
    <w:p>
      <w:pPr>
        <w:spacing w:after="0" w:line="38" w:lineRule="exact"/>
        <w:rPr>
          <w:rFonts w:ascii="Arial" w:cs="Arial" w:eastAsia="Arial" w:hAnsi="Arial"/>
          <w:sz w:val="15"/>
          <w:szCs w:val="15"/>
          <w:color w:val="auto"/>
        </w:rPr>
      </w:pPr>
    </w:p>
    <w:p>
      <w:pPr>
        <w:ind w:left="2140" w:right="160" w:hanging="1062"/>
        <w:spacing w:after="0" w:line="274" w:lineRule="auto"/>
        <w:tabs>
          <w:tab w:leader="none" w:pos="21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additional delays and interruptions to our clinical trials could extend the duration of the trials and increase the overall costs to finish the trials as our fixed costs are not substantially reduced during delays;</w:t>
      </w:r>
    </w:p>
    <w:p>
      <w:pPr>
        <w:spacing w:after="0" w:line="63" w:lineRule="exact"/>
        <w:rPr>
          <w:rFonts w:ascii="Arial" w:cs="Arial" w:eastAsia="Arial" w:hAnsi="Arial"/>
          <w:sz w:val="17"/>
          <w:szCs w:val="17"/>
          <w:color w:val="auto"/>
        </w:rPr>
      </w:pPr>
    </w:p>
    <w:p>
      <w:pPr>
        <w:ind w:left="2140" w:right="280" w:hanging="1062"/>
        <w:spacing w:after="0" w:line="286" w:lineRule="auto"/>
        <w:tabs>
          <w:tab w:leader="none" w:pos="2136"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may elect to, or regulators, IRBs, Data Safety Monitoring Boards, or DSMBs, or ethics committees may require that we or our investigators, suspend or terminate clinical research or trials for various reasons, including noncompliance with regulatory requirements or a finding that the participants are being exposed to unacceptable health risks;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40" w:name="page41"/>
    <w:bookmarkEnd w:id="40"/>
    <w:p>
      <w:pPr>
        <w:ind w:left="2140" w:hanging="1062"/>
        <w:spacing w:after="0" w:line="274" w:lineRule="auto"/>
        <w:tabs>
          <w:tab w:leader="none" w:pos="2136"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may not have the financial resources available to begin and complete the planned trials, or the cost of clinical trials of any product candidates may be greater than we anticipate;</w:t>
      </w:r>
    </w:p>
    <w:p>
      <w:pPr>
        <w:spacing w:after="0" w:line="63" w:lineRule="exact"/>
        <w:rPr>
          <w:rFonts w:ascii="Arial" w:cs="Arial" w:eastAsia="Arial" w:hAnsi="Arial"/>
          <w:sz w:val="17"/>
          <w:szCs w:val="17"/>
          <w:color w:val="auto"/>
        </w:rPr>
      </w:pPr>
    </w:p>
    <w:p>
      <w:pPr>
        <w:ind w:left="2140" w:right="180" w:hanging="1062"/>
        <w:spacing w:after="0" w:line="274" w:lineRule="auto"/>
        <w:tabs>
          <w:tab w:leader="none" w:pos="2136"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supply or quality of our product candidates or other materials necessary to conduct clinical trials of our product candidates may be insufficient or inadequate to initiate or complete a given clinical trial; and</w:t>
      </w:r>
    </w:p>
    <w:p>
      <w:pPr>
        <w:spacing w:after="0" w:line="63" w:lineRule="exact"/>
        <w:rPr>
          <w:rFonts w:ascii="Arial" w:cs="Arial" w:eastAsia="Arial" w:hAnsi="Arial"/>
          <w:sz w:val="17"/>
          <w:szCs w:val="17"/>
          <w:color w:val="auto"/>
        </w:rPr>
      </w:pPr>
    </w:p>
    <w:p>
      <w:pPr>
        <w:ind w:left="2140" w:right="260" w:hanging="1062"/>
        <w:spacing w:after="0" w:line="274" w:lineRule="auto"/>
        <w:tabs>
          <w:tab w:leader="none" w:pos="2136"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FDA or other comparable foreign regulatory authorities may require us to submit additional data such as long-term toxicology studies, or impose other requirements before permitting us to initiate a clinical trial.</w:t>
      </w:r>
    </w:p>
    <w:p>
      <w:pPr>
        <w:spacing w:after="0" w:line="63" w:lineRule="exact"/>
        <w:rPr>
          <w:sz w:val="20"/>
          <w:szCs w:val="20"/>
          <w:color w:val="auto"/>
        </w:rPr>
      </w:pPr>
    </w:p>
    <w:p>
      <w:pPr>
        <w:ind w:right="20" w:firstLine="917"/>
        <w:spacing w:after="0" w:line="254" w:lineRule="auto"/>
        <w:rPr>
          <w:sz w:val="20"/>
          <w:szCs w:val="20"/>
          <w:color w:val="auto"/>
        </w:rPr>
      </w:pPr>
      <w:r>
        <w:rPr>
          <w:rFonts w:ascii="Arial" w:cs="Arial" w:eastAsia="Arial" w:hAnsi="Arial"/>
          <w:sz w:val="17"/>
          <w:szCs w:val="17"/>
          <w:color w:val="auto"/>
        </w:rPr>
        <w:t>Our product development costs will increase if we experience additional delays in clinical testing or in obtaining marketing approvals. We do not know whether any of our clinical trials will begin as planned, will need to be restructured or will be completed on schedule, or at all. If we do not achieve our product development goals in the timeframes we announce and expect, the approval and commercialization of our product candidates may be delayed or prevented entirely.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spacing w:after="0" w:line="80" w:lineRule="exact"/>
        <w:rPr>
          <w:sz w:val="20"/>
          <w:szCs w:val="20"/>
          <w:color w:val="auto"/>
        </w:rPr>
      </w:pPr>
    </w:p>
    <w:p>
      <w:pPr>
        <w:ind w:right="480" w:firstLine="917"/>
        <w:spacing w:after="0" w:line="379" w:lineRule="auto"/>
        <w:rPr>
          <w:sz w:val="20"/>
          <w:szCs w:val="20"/>
          <w:color w:val="auto"/>
        </w:rPr>
      </w:pPr>
      <w:r>
        <w:rPr>
          <w:rFonts w:ascii="Arial" w:cs="Arial" w:eastAsia="Arial" w:hAnsi="Arial"/>
          <w:sz w:val="14"/>
          <w:szCs w:val="14"/>
          <w:b w:val="1"/>
          <w:bCs w:val="1"/>
          <w:i w:val="1"/>
          <w:iCs w:val="1"/>
          <w:color w:val="auto"/>
        </w:rPr>
        <w:t>Our ongoing and future clinical trials may reveal significant adverse events or unexpected drug-drug interactions not seen in our preclinical studies and may result in a safety profile that could delay or prevent regulatory approval or market acceptance of any of our product candidates.</w:t>
      </w:r>
    </w:p>
    <w:p>
      <w:pPr>
        <w:spacing w:after="0" w:line="1" w:lineRule="exact"/>
        <w:rPr>
          <w:sz w:val="20"/>
          <w:szCs w:val="20"/>
          <w:color w:val="auto"/>
        </w:rPr>
      </w:pPr>
    </w:p>
    <w:p>
      <w:pPr>
        <w:ind w:right="60" w:firstLine="917"/>
        <w:spacing w:after="0" w:line="292" w:lineRule="auto"/>
        <w:rPr>
          <w:sz w:val="20"/>
          <w:szCs w:val="20"/>
          <w:color w:val="auto"/>
        </w:rPr>
      </w:pPr>
      <w:r>
        <w:rPr>
          <w:rFonts w:ascii="Arial" w:cs="Arial" w:eastAsia="Arial" w:hAnsi="Arial"/>
          <w:sz w:val="15"/>
          <w:szCs w:val="15"/>
          <w:color w:val="auto"/>
        </w:rPr>
        <w:t>We completed our Phase 1a clinical trial of our lead product candidate PLN-74809 (bexotegrast) in healthy volunteers, and, with the exception of a number of reported minor adverse events, the product candidate was observed to be generally well-tolerated across all doses in 71 trial participants. In addition, we recently completed three cohorts of a Phase 2a clinical trial of PLN-74809 (bexotegrast) in patients with IPF, in which the product candidate was observed to be well-tolerated over a 12-week treatment period in the 67 patients treated with PLN-74809 (bexotegrast). However, if significant adverse events or other side effects are observed in any of our ongoing or future clinical trials, we may have difficulty recruiting patients to our clinical trials, patients may drop out of our trials, or we may be required to abandon the trials or our development efforts altogether. In addition, in our ongoing Phase 2a clinical trials, we are evaluating PLN-74809 (bexotegrast) administered with approved IPF agents. As a result, we may encounter unexpected drug-drug interactions in our planned trials, and may be required to further test these candidates, including in drug-drug interaction studies, which may be expensive, time-consuming and result in delays to our programs.</w:t>
      </w:r>
    </w:p>
    <w:p>
      <w:pPr>
        <w:spacing w:after="0" w:line="53" w:lineRule="exact"/>
        <w:rPr>
          <w:sz w:val="20"/>
          <w:szCs w:val="20"/>
          <w:color w:val="auto"/>
        </w:rPr>
      </w:pPr>
    </w:p>
    <w:p>
      <w:pPr>
        <w:ind w:right="140" w:firstLine="917"/>
        <w:spacing w:after="0" w:line="313" w:lineRule="auto"/>
        <w:rPr>
          <w:sz w:val="20"/>
          <w:szCs w:val="20"/>
          <w:color w:val="auto"/>
        </w:rPr>
      </w:pPr>
      <w:r>
        <w:rPr>
          <w:rFonts w:ascii="Arial" w:cs="Arial" w:eastAsia="Arial" w:hAnsi="Arial"/>
          <w:sz w:val="15"/>
          <w:szCs w:val="15"/>
          <w:color w:val="auto"/>
        </w:rPr>
        <w:t>Some potential therapeutics developed in the biopharmaceutical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of the approved product due to its tolerability versus other therapies.</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5"/>
          <w:szCs w:val="15"/>
          <w:b w:val="1"/>
          <w:bCs w:val="1"/>
          <w:i w:val="1"/>
          <w:iCs w:val="1"/>
          <w:color w:val="auto"/>
        </w:rPr>
        <w:t>If we encounter difficulties enrolling patients in our clinical trials, our clinical development activities could be delayed or otherwise adversely</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affected.</w:t>
      </w:r>
    </w:p>
    <w:p>
      <w:pPr>
        <w:spacing w:after="0" w:line="99" w:lineRule="exact"/>
        <w:rPr>
          <w:sz w:val="20"/>
          <w:szCs w:val="20"/>
          <w:color w:val="auto"/>
        </w:rPr>
      </w:pPr>
    </w:p>
    <w:p>
      <w:pPr>
        <w:jc w:val="both"/>
        <w:ind w:right="40" w:firstLine="917"/>
        <w:spacing w:after="0" w:line="262" w:lineRule="auto"/>
        <w:rPr>
          <w:sz w:val="20"/>
          <w:szCs w:val="20"/>
          <w:color w:val="auto"/>
        </w:rPr>
      </w:pPr>
      <w:r>
        <w:rPr>
          <w:rFonts w:ascii="Arial" w:cs="Arial" w:eastAsia="Arial" w:hAnsi="Arial"/>
          <w:sz w:val="17"/>
          <w:szCs w:val="17"/>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trial until its conclusion. The enrollment of patients depends on many factors, including:</w:t>
      </w:r>
    </w:p>
    <w:p>
      <w:pPr>
        <w:spacing w:after="0" w:line="73" w:lineRule="exact"/>
        <w:rPr>
          <w:sz w:val="20"/>
          <w:szCs w:val="20"/>
          <w:color w:val="auto"/>
        </w:rPr>
      </w:pPr>
    </w:p>
    <w:p>
      <w:pPr>
        <w:ind w:left="2140" w:hanging="1062"/>
        <w:spacing w:after="0"/>
        <w:tabs>
          <w:tab w:leader="none" w:pos="21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patient eligibility and exclusion criteria defined in the protocol;</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size of the patient population required for analysis of the trial’s primary endpoints and the process for identifying patients;</w:t>
      </w:r>
    </w:p>
    <w:p>
      <w:pPr>
        <w:spacing w:after="0" w:line="121" w:lineRule="exact"/>
        <w:rPr>
          <w:rFonts w:ascii="Arial" w:cs="Arial" w:eastAsia="Arial" w:hAnsi="Arial"/>
          <w:sz w:val="16"/>
          <w:szCs w:val="16"/>
          <w:color w:val="auto"/>
        </w:rPr>
      </w:pPr>
    </w:p>
    <w:p>
      <w:pPr>
        <w:ind w:left="2140" w:right="40" w:hanging="1062"/>
        <w:spacing w:after="0" w:line="274" w:lineRule="auto"/>
        <w:tabs>
          <w:tab w:leader="none" w:pos="21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willingness or availability (including legality under any future or reinstated COVID-19 shelter-in-place regulations) of patients to participate in our trials (including due to fears of contracting COVID-19);</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proximity of patients to trial sites;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design of the trial;</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ability to recruit clinical trial investigators with the appropriate competencies and experience;</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5" w:right="359" w:bottom="1440" w:gutter="0" w:footer="0" w:header="0"/>
        </w:sectPr>
      </w:pPr>
    </w:p>
    <w:bookmarkStart w:id="41" w:name="page42"/>
    <w:bookmarkEnd w:id="41"/>
    <w:p>
      <w:pPr>
        <w:ind w:left="2140" w:hanging="1062"/>
        <w:spacing w:after="0" w:line="306" w:lineRule="auto"/>
        <w:tabs>
          <w:tab w:leader="none" w:pos="2136" w:val="left"/>
        </w:tabs>
        <w:numPr>
          <w:ilvl w:val="0"/>
          <w:numId w:val="30"/>
        </w:numPr>
        <w:rPr>
          <w:rFonts w:ascii="Arial" w:cs="Arial" w:eastAsia="Arial" w:hAnsi="Arial"/>
          <w:sz w:val="16"/>
          <w:szCs w:val="16"/>
          <w:color w:val="auto"/>
        </w:rPr>
      </w:pPr>
      <w:r>
        <w:rPr>
          <w:rFonts w:ascii="Arial" w:cs="Arial" w:eastAsia="Arial" w:hAnsi="Arial"/>
          <w:sz w:val="16"/>
          <w:szCs w:val="16"/>
          <w:color w:val="auto"/>
        </w:rPr>
        <w:t>clinicians’ and patients’ perceptions as to the potential advantages and risks of the product candidate being studied in relation to other available therapies, including any new products that may be approved for the indications we are investigating;</w:t>
      </w:r>
    </w:p>
    <w:p>
      <w:pPr>
        <w:spacing w:after="0" w:line="40" w:lineRule="exact"/>
        <w:rPr>
          <w:rFonts w:ascii="Arial" w:cs="Arial" w:eastAsia="Arial" w:hAnsi="Arial"/>
          <w:sz w:val="16"/>
          <w:szCs w:val="16"/>
          <w:color w:val="auto"/>
        </w:rPr>
      </w:pPr>
    </w:p>
    <w:p>
      <w:pPr>
        <w:ind w:left="2140" w:hanging="1062"/>
        <w:spacing w:after="0"/>
        <w:tabs>
          <w:tab w:leader="none" w:pos="21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availability of competing commercially available therapies and other competing product candidates’ clinical trials;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ability to obtain and maintain patient informed consents; and</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risk that patients enrolled in clinical trials will drop out of the trials before completion.</w:t>
      </w:r>
    </w:p>
    <w:p>
      <w:pPr>
        <w:spacing w:after="0" w:line="110" w:lineRule="exact"/>
        <w:rPr>
          <w:sz w:val="20"/>
          <w:szCs w:val="20"/>
          <w:color w:val="auto"/>
        </w:rPr>
      </w:pPr>
    </w:p>
    <w:p>
      <w:pPr>
        <w:ind w:right="40" w:firstLine="917"/>
        <w:spacing w:after="0" w:line="253" w:lineRule="auto"/>
        <w:rPr>
          <w:sz w:val="20"/>
          <w:szCs w:val="20"/>
          <w:color w:val="auto"/>
        </w:rPr>
      </w:pPr>
      <w:r>
        <w:rPr>
          <w:rFonts w:ascii="Arial" w:cs="Arial" w:eastAsia="Arial" w:hAnsi="Arial"/>
          <w:sz w:val="17"/>
          <w:szCs w:val="17"/>
          <w:color w:val="auto"/>
        </w:rPr>
        <w:t>For example, we are initially developing PLN-74809 (bexotegrast) for the treatment of IPF and PSC, each of which is an orphan indication. In the United States, IPF is estimated to affect approximately 140,000 patients, while PSC is estimated to affect approximately 30,000 to 45,000 patients. As a result, we may encounter difficulties enrolling subjects in our clinical trials of PLN-74809 (bexotegrast) due, in part, to the small size of these patient populations. Moreover, our Phase 2a PET imaging IPF trial is being conducted at a single site, which could limit the availability of IPF patients at the site and may slow enrollment in that specific trial.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w:t>
      </w:r>
    </w:p>
    <w:p>
      <w:pPr>
        <w:spacing w:after="0" w:line="81" w:lineRule="exact"/>
        <w:rPr>
          <w:sz w:val="20"/>
          <w:szCs w:val="20"/>
          <w:color w:val="auto"/>
        </w:rPr>
      </w:pPr>
    </w:p>
    <w:p>
      <w:pPr>
        <w:ind w:right="80" w:firstLine="917"/>
        <w:spacing w:after="0" w:line="270" w:lineRule="auto"/>
        <w:rPr>
          <w:sz w:val="20"/>
          <w:szCs w:val="20"/>
          <w:color w:val="auto"/>
        </w:rPr>
      </w:pPr>
      <w:r>
        <w:rPr>
          <w:rFonts w:ascii="Arial" w:cs="Arial" w:eastAsia="Arial" w:hAnsi="Arial"/>
          <w:sz w:val="16"/>
          <w:szCs w:val="16"/>
          <w:color w:val="auto"/>
        </w:rPr>
        <w:t>Further, timely enrollment in clinical trials is reliant on clinical trial sites which may be adversely affected by global health matters, including, among other things, pandemics. For example, our clinical trial sites have been affected by the COVID-19 pandemic. Commencement of enrollment of our clinical trials of PLN-74809 in IPF and PSC was delayed. While these trials have resumed patient enrollment, and in some cases completed enrollment, we believe we have experienced and may continue to experience slower than expected enrollment due to the pandemic. Also, while the Phase 1 trial of PLN-1474 has completed, this trial experienced delays due to COVID-19. In addition, after enrollment in these trials, if patients contract COVID-19 during participation in our trials or are subject to isolation or shelter-in-place restrictions, this may cause them to drop out of our trials, miss scheduled doses or follow-up visits or otherwise fail to follow trial protocols. If patients are unable to follow the trial protocols or if our trial results are otherwise disputed due to the effects of the COVID-19 pandemic or actions taken to mitigate its spread, the integrity of data from our trials may be compromised or not accepted by the FDA or other regulatory authorities, which would represent a significant setback for the applicable program.</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Some factors from the COVID-19 pandemic that we believe may adversely affect enrollment in our trials include:</w:t>
      </w:r>
    </w:p>
    <w:p>
      <w:pPr>
        <w:spacing w:after="0" w:line="110" w:lineRule="exact"/>
        <w:rPr>
          <w:sz w:val="20"/>
          <w:szCs w:val="20"/>
          <w:color w:val="auto"/>
        </w:rPr>
      </w:pPr>
    </w:p>
    <w:p>
      <w:pPr>
        <w:ind w:left="2140" w:right="280" w:hanging="1062"/>
        <w:spacing w:after="0" w:line="262" w:lineRule="auto"/>
        <w:tabs>
          <w:tab w:leader="none" w:pos="2136"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diversion of healthcare resources away from the conduct of clinical trial matters to focus on pandemic concerns, including the attention of infectious disease physicians serving as our clinical trial investigators, hospitals serving as our clinical trial sites and hospital staff supporting the conduct of our clinical trials;</w:t>
      </w:r>
    </w:p>
    <w:p>
      <w:pPr>
        <w:spacing w:after="0" w:line="72" w:lineRule="exact"/>
        <w:rPr>
          <w:rFonts w:ascii="Arial" w:cs="Arial" w:eastAsia="Arial" w:hAnsi="Arial"/>
          <w:sz w:val="17"/>
          <w:szCs w:val="17"/>
          <w:color w:val="auto"/>
        </w:rPr>
      </w:pPr>
    </w:p>
    <w:p>
      <w:pPr>
        <w:ind w:left="2140" w:right="140" w:hanging="1062"/>
        <w:spacing w:after="0" w:line="262" w:lineRule="auto"/>
        <w:tabs>
          <w:tab w:leader="none" w:pos="2136" w:val="left"/>
        </w:tabs>
        <w:numPr>
          <w:ilvl w:val="0"/>
          <w:numId w:val="31"/>
        </w:numPr>
        <w:rPr>
          <w:rFonts w:ascii="Arial" w:cs="Arial" w:eastAsia="Arial" w:hAnsi="Arial"/>
          <w:sz w:val="17"/>
          <w:szCs w:val="17"/>
          <w:color w:val="auto"/>
        </w:rPr>
      </w:pPr>
      <w:r>
        <w:rPr>
          <w:rFonts w:ascii="Arial" w:cs="Arial" w:eastAsia="Arial" w:hAnsi="Arial"/>
          <w:sz w:val="17"/>
          <w:szCs w:val="17"/>
          <w:color w:val="auto"/>
        </w:rPr>
        <w:t>given that our clinical trials target respiratory indications, patients who would otherwise be candidates for enrollment in our clinical trials, may become infected with coronavirus, which may kill some patients and render others too ill to participate, limiting the available pool of participants for our trials;</w:t>
      </w:r>
    </w:p>
    <w:p>
      <w:pPr>
        <w:spacing w:after="0" w:line="72" w:lineRule="exact"/>
        <w:rPr>
          <w:rFonts w:ascii="Arial" w:cs="Arial" w:eastAsia="Arial" w:hAnsi="Arial"/>
          <w:sz w:val="17"/>
          <w:szCs w:val="17"/>
          <w:color w:val="auto"/>
        </w:rPr>
      </w:pPr>
    </w:p>
    <w:p>
      <w:pPr>
        <w:ind w:left="2140" w:right="300" w:hanging="1062"/>
        <w:spacing w:after="0" w:line="274" w:lineRule="auto"/>
        <w:tabs>
          <w:tab w:leader="none" w:pos="2136"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inability of patients to come to hospitals and universities to participate in our trial, which may force us to conduct our trials in patients’ homes, rendering the trials more difficult and costly to conduct;</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limitations on travel that interrupt key trial activities, such as clinical trial site initiations and monitoring;</w:t>
      </w:r>
    </w:p>
    <w:p>
      <w:pPr>
        <w:spacing w:after="0" w:line="110" w:lineRule="exact"/>
        <w:rPr>
          <w:rFonts w:ascii="Arial" w:cs="Arial" w:eastAsia="Arial" w:hAnsi="Arial"/>
          <w:sz w:val="17"/>
          <w:szCs w:val="17"/>
          <w:color w:val="auto"/>
        </w:rPr>
      </w:pPr>
    </w:p>
    <w:p>
      <w:pPr>
        <w:ind w:left="2140" w:right="120" w:hanging="1062"/>
        <w:spacing w:after="0" w:line="274" w:lineRule="auto"/>
        <w:tabs>
          <w:tab w:leader="none" w:pos="2136"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interruption in global shipping affecting the transport of clinical trial materials, such as investigational drug product and comparator drugs used in our trials; and</w:t>
      </w:r>
    </w:p>
    <w:p>
      <w:pPr>
        <w:spacing w:after="0" w:line="63" w:lineRule="exact"/>
        <w:rPr>
          <w:rFonts w:ascii="Arial" w:cs="Arial" w:eastAsia="Arial" w:hAnsi="Arial"/>
          <w:sz w:val="17"/>
          <w:szCs w:val="17"/>
          <w:color w:val="auto"/>
        </w:rPr>
      </w:pPr>
    </w:p>
    <w:p>
      <w:pPr>
        <w:ind w:left="2140" w:right="160" w:hanging="1062"/>
        <w:spacing w:after="0" w:line="274" w:lineRule="auto"/>
        <w:tabs>
          <w:tab w:leader="none" w:pos="2136" w:val="left"/>
        </w:tabs>
        <w:numPr>
          <w:ilvl w:val="0"/>
          <w:numId w:val="31"/>
        </w:numPr>
        <w:rPr>
          <w:rFonts w:ascii="Arial" w:cs="Arial" w:eastAsia="Arial" w:hAnsi="Arial"/>
          <w:sz w:val="17"/>
          <w:szCs w:val="17"/>
          <w:color w:val="auto"/>
        </w:rPr>
      </w:pPr>
      <w:r>
        <w:rPr>
          <w:rFonts w:ascii="Arial" w:cs="Arial" w:eastAsia="Arial" w:hAnsi="Arial"/>
          <w:sz w:val="17"/>
          <w:szCs w:val="17"/>
          <w:color w:val="auto"/>
        </w:rPr>
        <w:t>employee furlough days that delay necessary interactions with local regulators, ethics committees and other important agencies and contractors.</w:t>
      </w:r>
    </w:p>
    <w:p>
      <w:pPr>
        <w:spacing w:after="0" w:line="63" w:lineRule="exact"/>
        <w:rPr>
          <w:sz w:val="20"/>
          <w:szCs w:val="20"/>
          <w:color w:val="auto"/>
        </w:rPr>
      </w:pPr>
    </w:p>
    <w:p>
      <w:pPr>
        <w:ind w:right="20" w:firstLine="917"/>
        <w:spacing w:after="0" w:line="274" w:lineRule="auto"/>
        <w:rPr>
          <w:sz w:val="20"/>
          <w:szCs w:val="20"/>
          <w:color w:val="auto"/>
        </w:rPr>
      </w:pPr>
      <w:r>
        <w:rPr>
          <w:rFonts w:ascii="Arial" w:cs="Arial" w:eastAsia="Arial" w:hAnsi="Arial"/>
          <w:sz w:val="17"/>
          <w:szCs w:val="17"/>
          <w:color w:val="auto"/>
        </w:rPr>
        <w:t>The global outbreak of the COVID-19 pandemic continues to evolve and the conduct of our trials may continue to be adversely affected, despite efforts to mitigate this impact.</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The design or execution of our ongoing and future clinical trials may not support marketing approval.</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5" w:right="359" w:bottom="1440" w:gutter="0" w:footer="0" w:header="0"/>
        </w:sectPr>
      </w:pPr>
    </w:p>
    <w:bookmarkStart w:id="42" w:name="page43"/>
    <w:bookmarkEnd w:id="42"/>
    <w:p>
      <w:pPr>
        <w:ind w:right="60" w:firstLine="917"/>
        <w:spacing w:after="0" w:line="253" w:lineRule="auto"/>
        <w:rPr>
          <w:sz w:val="20"/>
          <w:szCs w:val="20"/>
          <w:color w:val="auto"/>
        </w:rPr>
      </w:pPr>
      <w:r>
        <w:rPr>
          <w:rFonts w:ascii="Arial" w:cs="Arial" w:eastAsia="Arial" w:hAnsi="Arial"/>
          <w:sz w:val="17"/>
          <w:szCs w:val="17"/>
          <w:color w:val="auto"/>
        </w:rPr>
        <w:t>The design or execution of a clinical trial can determine whether its results will support marketing approval, and flaws in the design or execution of a clinical trial may not become apparent until the clinical trial is well advanced. We recently completed enrollment of two Phase 2a trials of PLN-74809 (bexotegrast) in IPF. In the first of these trials, the study is designed to enroll IPF patients and utilize a positron emission tomography, or PET, ligand to measure αvß6 target engagement by PLN-74809 (bexotegrast) in the lungs post-treatment. The second trial is a six-month and up to 48-week double-blind placebo-controlled trial to evaluate safety, tolerability and PK of a 320mg dose of PLN-74809 (bexotegrast). It is possible that we may need to amend our clinical trial, which would require us to resubmit our clinical trial protocols to competent authorities and ethics committees for reexamination, and may impact the costs, timing, or successful completion of such clinical trial. In addition, we may desire to test PLN-74809 (bexotegrast) at doses exceeding those evaluated in our Phase 1a trial and may not be able to do so.</w:t>
      </w:r>
    </w:p>
    <w:p>
      <w:pPr>
        <w:spacing w:after="0" w:line="83" w:lineRule="exact"/>
        <w:rPr>
          <w:sz w:val="20"/>
          <w:szCs w:val="20"/>
          <w:color w:val="auto"/>
        </w:rPr>
      </w:pPr>
    </w:p>
    <w:p>
      <w:pPr>
        <w:ind w:right="20" w:firstLine="917"/>
        <w:spacing w:after="0" w:line="258" w:lineRule="auto"/>
        <w:rPr>
          <w:sz w:val="20"/>
          <w:szCs w:val="20"/>
          <w:color w:val="auto"/>
        </w:rPr>
      </w:pPr>
      <w:r>
        <w:rPr>
          <w:rFonts w:ascii="Arial" w:cs="Arial" w:eastAsia="Arial" w:hAnsi="Arial"/>
          <w:sz w:val="17"/>
          <w:szCs w:val="17"/>
          <w:color w:val="auto"/>
        </w:rPr>
        <w:t>Additionally, in some instances, there can be significant variability in safety or efficacy results between different trials with the same product candidate due to numerous factors, including differences in trial protocols, size and type of the patient populations, variable adherence to the dosing regimen or other protocol requirements and the rate of dropout among clinical trial participants. We do not know whether any clinical trials we conduct will demonstrate consistent or adequate efficacy and safety to obtain marketing approval to market our product candidates.</w:t>
      </w:r>
    </w:p>
    <w:p>
      <w:pPr>
        <w:spacing w:after="0" w:line="76" w:lineRule="exact"/>
        <w:rPr>
          <w:sz w:val="20"/>
          <w:szCs w:val="20"/>
          <w:color w:val="auto"/>
        </w:rPr>
      </w:pPr>
    </w:p>
    <w:p>
      <w:pPr>
        <w:ind w:right="40" w:firstLine="917"/>
        <w:spacing w:after="0" w:line="271" w:lineRule="auto"/>
        <w:rPr>
          <w:sz w:val="20"/>
          <w:szCs w:val="20"/>
          <w:color w:val="auto"/>
        </w:rPr>
      </w:pPr>
      <w:r>
        <w:rPr>
          <w:rFonts w:ascii="Arial" w:cs="Arial" w:eastAsia="Arial" w:hAnsi="Arial"/>
          <w:sz w:val="16"/>
          <w:szCs w:val="16"/>
          <w:color w:val="auto"/>
        </w:rPr>
        <w:t>Further, the FDA and comparable foreign regulatory authorities have substantial discretion in the approval process and in determining when or whether marketing approval will be obtained for any of our product candidates. Our product candidates may not be approved even if they achieve their primary endpoints in future Phase 3 clinical trials or registrational trials. The FDA or comparable foreign regulatory authorities may disagree with our trial designs and our interpretation of data from preclinical studies or clinical trials. In addition, any of these regulatory authorities may change requirements for the approval of a product candidate even after reviewing and providing comments or advice on a protocol for a pivotal Phase 3 or registrational clinical trial. In addition, any of these regulatory authorities may also approve a product candidate for fewer or more limited indications than we request or may grant approval contingent on the performance of costly post-marketing clinical trials. The FDA or comparable foreign regulatory authorities may not approve the labeling claims that we believe would be necessary or desirable for the successful commercialization of our product candidates, if approved.</w:t>
      </w:r>
    </w:p>
    <w:p>
      <w:pPr>
        <w:spacing w:after="0" w:line="70" w:lineRule="exact"/>
        <w:rPr>
          <w:sz w:val="20"/>
          <w:szCs w:val="20"/>
          <w:color w:val="auto"/>
        </w:rPr>
      </w:pPr>
    </w:p>
    <w:p>
      <w:pPr>
        <w:ind w:right="620" w:firstLine="917"/>
        <w:spacing w:after="0" w:line="274" w:lineRule="auto"/>
        <w:rPr>
          <w:sz w:val="20"/>
          <w:szCs w:val="20"/>
          <w:color w:val="auto"/>
        </w:rPr>
      </w:pPr>
      <w:r>
        <w:rPr>
          <w:rFonts w:ascii="Arial" w:cs="Arial" w:eastAsia="Arial" w:hAnsi="Arial"/>
          <w:sz w:val="17"/>
          <w:szCs w:val="17"/>
          <w:color w:val="auto"/>
        </w:rPr>
        <w:t>Delays in patient enrollment may result in increased costs or may affect the timing or outcome of our future clinical trials, which could prevent completion of these trials and adversely affect our ability to advance the development of our product candidates.</w:t>
      </w:r>
    </w:p>
    <w:p>
      <w:pPr>
        <w:spacing w:after="0" w:line="63" w:lineRule="exact"/>
        <w:rPr>
          <w:sz w:val="20"/>
          <w:szCs w:val="20"/>
          <w:color w:val="auto"/>
        </w:rPr>
      </w:pPr>
    </w:p>
    <w:p>
      <w:pPr>
        <w:ind w:right="340" w:firstLine="917"/>
        <w:spacing w:after="0" w:line="258" w:lineRule="auto"/>
        <w:rPr>
          <w:sz w:val="20"/>
          <w:szCs w:val="20"/>
          <w:color w:val="auto"/>
        </w:rPr>
      </w:pPr>
      <w:r>
        <w:rPr>
          <w:rFonts w:ascii="Arial" w:cs="Arial" w:eastAsia="Arial" w:hAnsi="Arial"/>
          <w:sz w:val="17"/>
          <w:szCs w:val="17"/>
          <w:b w:val="1"/>
          <w:bCs w:val="1"/>
          <w:i w:val="1"/>
          <w:iCs w:val="1"/>
          <w:color w:val="auto"/>
        </w:rPr>
        <w:t>Although we have received U.S. orphan drug designation for PLN-74809 (bexotegrast) for IPF and PSC indications and EEA orphan drug designation for PLN-74809 (bexotegrast) for PSC, we may be unable to obtain and maintain orphan drug designation for our other product candidates and, even if we obtain such designation, we may not be able to realize the benefits of such designation, including potential marketing exclusivity of our product candidates, if approved.</w:t>
      </w:r>
    </w:p>
    <w:p>
      <w:pPr>
        <w:spacing w:after="0" w:line="76" w:lineRule="exact"/>
        <w:rPr>
          <w:sz w:val="20"/>
          <w:szCs w:val="20"/>
          <w:color w:val="auto"/>
        </w:rPr>
      </w:pPr>
    </w:p>
    <w:p>
      <w:pPr>
        <w:ind w:right="40" w:firstLine="917"/>
        <w:spacing w:after="0" w:line="289" w:lineRule="auto"/>
        <w:rPr>
          <w:sz w:val="20"/>
          <w:szCs w:val="20"/>
          <w:color w:val="auto"/>
        </w:rPr>
      </w:pPr>
      <w:r>
        <w:rPr>
          <w:rFonts w:ascii="Arial" w:cs="Arial" w:eastAsia="Arial" w:hAnsi="Arial"/>
          <w:sz w:val="15"/>
          <w:szCs w:val="15"/>
          <w:color w:val="auto"/>
        </w:rPr>
        <w:t>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order to obtain orphan designation in the European Economic Area, or EEA, the product must fulfill certain challenging criteria. Under Article 3 of Regulation (EC) 141/2000, a medicinal product may be designated as an orphan medicinal product if it meets the following criteria: (1) such product is intended for the diagnosis, prevention or treatment of a life-threatening or chronically debilitating condition; (2) either the prevalence of such condition must not be more than five in 10,000 persons in the EU when the application is made, or without the benefits derived from orphan status, it must be unlikely that the marketing of the medicine would generate sufficient return in the EU to justify the investment needed for its development; and (3) there exists no satisfactory method of diagnosis, prevention or treatment of such condition authorized for marketing in the EU or if such a method exists, the product will be of significant benefit to those affected by the condition, as defined in Regulation (EC) 847/2000.</w:t>
      </w:r>
    </w:p>
    <w:p>
      <w:pPr>
        <w:spacing w:after="0" w:line="58" w:lineRule="exact"/>
        <w:rPr>
          <w:sz w:val="20"/>
          <w:szCs w:val="20"/>
          <w:color w:val="auto"/>
        </w:rPr>
      </w:pPr>
    </w:p>
    <w:p>
      <w:pPr>
        <w:ind w:firstLine="917"/>
        <w:spacing w:after="0" w:line="258" w:lineRule="auto"/>
        <w:rPr>
          <w:sz w:val="20"/>
          <w:szCs w:val="20"/>
          <w:color w:val="auto"/>
        </w:rPr>
      </w:pPr>
      <w:r>
        <w:rPr>
          <w:rFonts w:ascii="Arial" w:cs="Arial" w:eastAsia="Arial" w:hAnsi="Arial"/>
          <w:sz w:val="17"/>
          <w:szCs w:val="17"/>
          <w:color w:val="auto"/>
        </w:rPr>
        <w:t>Although we have received U.S. orphan drug designation for PLN-74809 for IPF and PSC and EEA orphan drug designation for PLN-74809 (bexotegrast) for PSC, the designation of any of our product candidates as an orphan drug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w:t>
      </w:r>
    </w:p>
    <w:p>
      <w:pPr>
        <w:spacing w:after="0" w:line="76" w:lineRule="exact"/>
        <w:rPr>
          <w:sz w:val="20"/>
          <w:szCs w:val="20"/>
          <w:color w:val="auto"/>
        </w:rPr>
      </w:pPr>
    </w:p>
    <w:p>
      <w:pPr>
        <w:ind w:right="20" w:firstLine="917"/>
        <w:spacing w:after="0" w:line="262" w:lineRule="auto"/>
        <w:rPr>
          <w:sz w:val="20"/>
          <w:szCs w:val="20"/>
          <w:color w:val="auto"/>
        </w:rPr>
      </w:pPr>
      <w:r>
        <w:rPr>
          <w:rFonts w:ascii="Arial" w:cs="Arial" w:eastAsia="Arial" w:hAnsi="Arial"/>
          <w:sz w:val="17"/>
          <w:szCs w:val="17"/>
          <w:color w:val="auto"/>
        </w:rPr>
        <w:t>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a similar</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43" w:name="page44"/>
    <w:bookmarkEnd w:id="43"/>
    <w:p>
      <w:pPr>
        <w:ind w:right="60"/>
        <w:spacing w:after="0" w:line="256" w:lineRule="auto"/>
        <w:rPr>
          <w:sz w:val="20"/>
          <w:szCs w:val="20"/>
          <w:color w:val="auto"/>
        </w:rPr>
      </w:pPr>
      <w:r>
        <w:rPr>
          <w:rFonts w:ascii="Arial" w:cs="Arial" w:eastAsia="Arial" w:hAnsi="Arial"/>
          <w:sz w:val="17"/>
          <w:szCs w:val="17"/>
          <w:color w:val="auto"/>
        </w:rPr>
        <w:t>medicinal product treating the same indication for that marketing exclusivity period, except in limited circumstances. The applicable period is seven years in the United States and ten years in the EEA. The ten year period of market exclusivity in the EEA can be extended by a further two years if the product qualifies for a pediatric extension, but can be reduced to a period of six years if the orphan designation criteria are no-longer met after the fifth year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78" w:lineRule="exact"/>
        <w:rPr>
          <w:sz w:val="20"/>
          <w:szCs w:val="20"/>
          <w:color w:val="auto"/>
        </w:rPr>
      </w:pPr>
    </w:p>
    <w:p>
      <w:pPr>
        <w:ind w:right="120" w:firstLine="917"/>
        <w:spacing w:after="0" w:line="258" w:lineRule="auto"/>
        <w:rPr>
          <w:sz w:val="20"/>
          <w:szCs w:val="20"/>
          <w:color w:val="auto"/>
        </w:rPr>
      </w:pPr>
      <w:r>
        <w:rPr>
          <w:rFonts w:ascii="Arial" w:cs="Arial" w:eastAsia="Arial" w:hAnsi="Arial"/>
          <w:sz w:val="17"/>
          <w:szCs w:val="17"/>
          <w:color w:val="auto"/>
        </w:rPr>
        <w:t>Even if we obtain orphan drug exclusivity for a product candidate, that exclusivity may not effectively protect the product candidate from competition because different drugs can be approved for the same condition in the United States or EEA. Even after an orphan drug is approved, the FDA or EMA may subsequently approve another drug for the same condition if the FDA or EMA, as applicable, concludes that the latter drug is not a similar medicinal product or is clinically superior in that it is shown to be safer, more effective or makes a major contribution to patient care.</w:t>
      </w:r>
    </w:p>
    <w:p>
      <w:pPr>
        <w:spacing w:after="0" w:line="76" w:lineRule="exact"/>
        <w:rPr>
          <w:sz w:val="20"/>
          <w:szCs w:val="20"/>
          <w:color w:val="auto"/>
        </w:rPr>
      </w:pPr>
    </w:p>
    <w:p>
      <w:pPr>
        <w:ind w:right="480" w:firstLine="917"/>
        <w:spacing w:after="0" w:line="342" w:lineRule="auto"/>
        <w:rPr>
          <w:sz w:val="20"/>
          <w:szCs w:val="20"/>
          <w:color w:val="auto"/>
        </w:rPr>
      </w:pPr>
      <w:r>
        <w:rPr>
          <w:rFonts w:ascii="Arial" w:cs="Arial" w:eastAsia="Arial" w:hAnsi="Arial"/>
          <w:sz w:val="15"/>
          <w:szCs w:val="15"/>
          <w:b w:val="1"/>
          <w:bCs w:val="1"/>
          <w:i w:val="1"/>
          <w:iCs w:val="1"/>
          <w:color w:val="auto"/>
        </w:rPr>
        <w:t>A Fast Track designation by the FDA, even if granted for other current or future product candidates, may not lead to a faster development or regulatory review, licensure process and does not increase the likelihood that our product candidates will receive marketing licensure.</w:t>
      </w:r>
    </w:p>
    <w:p>
      <w:pPr>
        <w:spacing w:after="0" w:line="18" w:lineRule="exact"/>
        <w:rPr>
          <w:sz w:val="20"/>
          <w:szCs w:val="20"/>
          <w:color w:val="auto"/>
        </w:rPr>
      </w:pPr>
    </w:p>
    <w:p>
      <w:pPr>
        <w:ind w:firstLine="917"/>
        <w:spacing w:after="0" w:line="269" w:lineRule="auto"/>
        <w:rPr>
          <w:sz w:val="20"/>
          <w:szCs w:val="20"/>
          <w:color w:val="auto"/>
        </w:rPr>
      </w:pPr>
      <w:r>
        <w:rPr>
          <w:rFonts w:ascii="Arial" w:cs="Arial" w:eastAsia="Arial" w:hAnsi="Arial"/>
          <w:sz w:val="16"/>
          <w:szCs w:val="16"/>
          <w:color w:val="auto"/>
        </w:rPr>
        <w:t>We may seek Fast Track designation for one or more of our future product candidates. In April 2022, PLN-74809 (bexotegrast) received Fast Track designation for the treatment of IPF. If a drug product is intended for the treatment of a serious or life-threatening disease or condition and it demonstrates the potential to address unmet medical needs for such a disease or condition, the drug sponsor may apply for FDA Fast Track designation for a particular indication. We may seek Fast Track designation for our product candidates, but there is no assurance that the FDA will grant this designation to any of our proposed product candidates. Marketing applications submitted by sponsors of products in Fast Track development may qualify for priority review under the policies and procedures offered by the FDA, but the Fast Track designation does not assure any such qualification or ultimate marketing licensure by the FDA. The FDA has broad discretion whether or not to grant Fast Track designation, so even if we believe a particular product candidate is eligible for this designation, there can be no assurance that the FDA would decide to grant it. Even if we do receive Fast Track designation, we may not experience a faster development process, review or licensure compared to conventional FDA procedures or pathways and receiving a Fast Track designation does not provide assurance of ultimate FDA licensure. In addition, the FDA may withdraw Fast Track designation if it believes that the designation is no longer supported by data from our clinical development program. In addition, the FDA may withdraw any Fast Track designation at any time.</w:t>
      </w:r>
    </w:p>
    <w:p>
      <w:pPr>
        <w:spacing w:after="0" w:line="75"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Changes in methods of product candidate manufacturing or formulation may result in additional costs or delay.</w:t>
      </w:r>
    </w:p>
    <w:p>
      <w:pPr>
        <w:spacing w:after="0" w:line="110" w:lineRule="exact"/>
        <w:rPr>
          <w:sz w:val="20"/>
          <w:szCs w:val="20"/>
          <w:color w:val="auto"/>
        </w:rPr>
      </w:pPr>
    </w:p>
    <w:p>
      <w:pPr>
        <w:ind w:right="20" w:firstLine="917"/>
        <w:spacing w:after="0" w:line="295" w:lineRule="auto"/>
        <w:rPr>
          <w:sz w:val="20"/>
          <w:szCs w:val="20"/>
          <w:color w:val="auto"/>
        </w:rPr>
      </w:pPr>
      <w:r>
        <w:rPr>
          <w:rFonts w:ascii="Arial" w:cs="Arial" w:eastAsia="Arial" w:hAnsi="Arial"/>
          <w:sz w:val="15"/>
          <w:szCs w:val="15"/>
          <w:color w:val="auto"/>
        </w:rPr>
        <w:t>As product candidates progress through preclinical to late-stage clinical trials to marketing approval and commercialization, it is common that various aspects of the development program, such as manufacturing methods and formulation, are altered along the way in an effort to optimize yield,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spacing w:after="0" w:line="52" w:lineRule="exact"/>
        <w:rPr>
          <w:sz w:val="20"/>
          <w:szCs w:val="20"/>
          <w:color w:val="auto"/>
        </w:rPr>
      </w:pPr>
    </w:p>
    <w:p>
      <w:pPr>
        <w:ind w:right="80" w:firstLine="917"/>
        <w:spacing w:after="0" w:line="270" w:lineRule="auto"/>
        <w:rPr>
          <w:sz w:val="20"/>
          <w:szCs w:val="20"/>
          <w:color w:val="auto"/>
        </w:rPr>
      </w:pPr>
      <w:r>
        <w:rPr>
          <w:rFonts w:ascii="Arial" w:cs="Arial" w:eastAsia="Arial" w:hAnsi="Arial"/>
          <w:sz w:val="16"/>
          <w:szCs w:val="16"/>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obtain marketing approval for any of our product candidates, there is no assurance that our manufacturers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Additionally, if we advance a biological candidate into IND-enabling studies, the manufacturing processes for biological products is more complex and expensive than with small molecule products and additional manufacturing suppliers may be needed to manufacture clinical supplies for these programs. If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We may not be successful in our efforts to identify or discover additional product candidates in the future.</w:t>
      </w:r>
    </w:p>
    <w:p>
      <w:pPr>
        <w:spacing w:after="0" w:line="110" w:lineRule="exact"/>
        <w:rPr>
          <w:sz w:val="20"/>
          <w:szCs w:val="20"/>
          <w:color w:val="auto"/>
        </w:rPr>
      </w:pPr>
    </w:p>
    <w:p>
      <w:pPr>
        <w:ind w:right="740" w:firstLine="917"/>
        <w:spacing w:after="0" w:line="274" w:lineRule="auto"/>
        <w:rPr>
          <w:sz w:val="20"/>
          <w:szCs w:val="20"/>
          <w:color w:val="auto"/>
        </w:rPr>
      </w:pPr>
      <w:r>
        <w:rPr>
          <w:rFonts w:ascii="Arial" w:cs="Arial" w:eastAsia="Arial" w:hAnsi="Arial"/>
          <w:sz w:val="17"/>
          <w:szCs w:val="17"/>
          <w:color w:val="auto"/>
        </w:rPr>
        <w:t>Our research programs may initially show promise in identifying potential product candidates, yet fail to yield product candidates for clinical development for a number of reasons, including:</w:t>
      </w:r>
    </w:p>
    <w:p>
      <w:pPr>
        <w:spacing w:after="0" w:line="63" w:lineRule="exact"/>
        <w:rPr>
          <w:sz w:val="20"/>
          <w:szCs w:val="20"/>
          <w:color w:val="auto"/>
        </w:rPr>
      </w:pPr>
    </w:p>
    <w:p>
      <w:pPr>
        <w:ind w:left="5540" w:right="120" w:hanging="4462"/>
        <w:spacing w:after="0" w:line="915" w:lineRule="auto"/>
        <w:tabs>
          <w:tab w:leader="none" w:pos="2144"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inability to design such product candidates with the pharmacological properties that we desire or attractive pharmacokinetics; or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-295910</wp:posOffset>
            </wp:positionV>
            <wp:extent cx="7165340"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44" w:name="page45"/>
    <w:bookmarkEnd w:id="44"/>
    <w:p>
      <w:pPr>
        <w:ind w:left="2140" w:right="220" w:hanging="1062"/>
        <w:spacing w:after="0" w:line="274" w:lineRule="auto"/>
        <w:tabs>
          <w:tab w:leader="none" w:pos="2136" w:val="left"/>
        </w:tabs>
        <w:numPr>
          <w:ilvl w:val="0"/>
          <w:numId w:val="33"/>
        </w:numPr>
        <w:rPr>
          <w:rFonts w:ascii="Arial" w:cs="Arial" w:eastAsia="Arial" w:hAnsi="Arial"/>
          <w:sz w:val="17"/>
          <w:szCs w:val="17"/>
          <w:color w:val="auto"/>
        </w:rPr>
      </w:pPr>
      <w:r>
        <w:rPr>
          <w:rFonts w:ascii="Arial" w:cs="Arial" w:eastAsia="Arial" w:hAnsi="Arial"/>
          <w:sz w:val="17"/>
          <w:szCs w:val="17"/>
          <w:color w:val="auto"/>
        </w:rPr>
        <w:t>potential product candidates may, on further study, be shown to have harmful side effects or other characteristics that indicate that they are unlikely to be medicines that will receive marketing approval and achieve market acceptance.</w:t>
      </w:r>
    </w:p>
    <w:p>
      <w:pPr>
        <w:spacing w:after="0" w:line="63" w:lineRule="exact"/>
        <w:rPr>
          <w:sz w:val="20"/>
          <w:szCs w:val="20"/>
          <w:color w:val="auto"/>
        </w:rPr>
      </w:pPr>
    </w:p>
    <w:p>
      <w:pPr>
        <w:ind w:firstLine="917"/>
        <w:spacing w:after="0" w:line="262" w:lineRule="auto"/>
        <w:rPr>
          <w:sz w:val="20"/>
          <w:szCs w:val="20"/>
          <w:color w:val="auto"/>
        </w:rPr>
      </w:pPr>
      <w:r>
        <w:rPr>
          <w:rFonts w:ascii="Arial" w:cs="Arial" w:eastAsia="Arial" w:hAnsi="Arial"/>
          <w:sz w:val="17"/>
          <w:szCs w:val="17"/>
          <w:color w:val="auto"/>
        </w:rPr>
        <w:t>Research programs to identify new product candidates require substantial technical, financial, and human resources. If we are unable to identify suitable compounds for preclinical and clinical development, we will not be able to obtain product revenue in future periods, which likely would result in significant harm to our financial position and adversely impact our stock price.</w:t>
      </w:r>
    </w:p>
    <w:p>
      <w:pPr>
        <w:spacing w:after="0" w:line="73" w:lineRule="exact"/>
        <w:rPr>
          <w:sz w:val="20"/>
          <w:szCs w:val="20"/>
          <w:color w:val="auto"/>
        </w:rPr>
      </w:pPr>
    </w:p>
    <w:p>
      <w:pPr>
        <w:ind w:right="620" w:firstLine="917"/>
        <w:spacing w:after="0" w:line="274" w:lineRule="auto"/>
        <w:rPr>
          <w:sz w:val="20"/>
          <w:szCs w:val="20"/>
          <w:color w:val="auto"/>
        </w:rPr>
      </w:pPr>
      <w:r>
        <w:rPr>
          <w:rFonts w:ascii="Arial" w:cs="Arial" w:eastAsia="Arial" w:hAnsi="Arial"/>
          <w:sz w:val="17"/>
          <w:szCs w:val="17"/>
          <w:b w:val="1"/>
          <w:bCs w:val="1"/>
          <w:i w:val="1"/>
          <w:iCs w:val="1"/>
          <w:color w:val="auto"/>
        </w:rPr>
        <w:t>Due to our limited resources and access to capital, we must make decisions on the allocation of resources to certain programs and product candidates; these decisions may prove to be wrong and may adversely affect our business.</w:t>
      </w:r>
    </w:p>
    <w:p>
      <w:pPr>
        <w:spacing w:after="0" w:line="63" w:lineRule="exact"/>
        <w:rPr>
          <w:sz w:val="20"/>
          <w:szCs w:val="20"/>
          <w:color w:val="auto"/>
        </w:rPr>
      </w:pPr>
    </w:p>
    <w:p>
      <w:pPr>
        <w:ind w:right="60" w:firstLine="917"/>
        <w:spacing w:after="0" w:line="295" w:lineRule="auto"/>
        <w:rPr>
          <w:sz w:val="20"/>
          <w:szCs w:val="20"/>
          <w:color w:val="auto"/>
        </w:rPr>
      </w:pPr>
      <w:r>
        <w:rPr>
          <w:rFonts w:ascii="Arial" w:cs="Arial" w:eastAsia="Arial" w:hAnsi="Arial"/>
          <w:sz w:val="15"/>
          <w:szCs w:val="15"/>
          <w:color w:val="auto"/>
        </w:rPr>
        <w:t>We have limited financial and human resources and intend to initially focus on research programs and product candidates for a limited set of indications. As a result, we may forgo or delay pursuit of opportunities with other product candidates or for other indications that later prove to have greater commercial potential or a greater likelihood of success. In addition, we seek to accelerate our development timelines, including by initiating certain clinical trials of our product candidates before earlier-stage studies have been completed. This approach may cause us to commit significant resources to prepare for and conduct later-stage trials for one or more product candidates that subsequently fail earlier-stage clinical testing. Therefore, our resource allocation decisions may cause us to fail to capitalize on viable commercial products or profitable market opportunities or expend resources on product candidates that are not viable.</w:t>
      </w:r>
    </w:p>
    <w:p>
      <w:pPr>
        <w:spacing w:after="0" w:line="52" w:lineRule="exact"/>
        <w:rPr>
          <w:sz w:val="20"/>
          <w:szCs w:val="20"/>
          <w:color w:val="auto"/>
        </w:rPr>
      </w:pPr>
    </w:p>
    <w:p>
      <w:pPr>
        <w:ind w:right="60" w:firstLine="917"/>
        <w:spacing w:after="0" w:line="286" w:lineRule="auto"/>
        <w:rPr>
          <w:sz w:val="20"/>
          <w:szCs w:val="20"/>
          <w:color w:val="auto"/>
        </w:rPr>
      </w:pPr>
      <w:r>
        <w:rPr>
          <w:rFonts w:ascii="Arial" w:cs="Arial" w:eastAsia="Arial" w:hAnsi="Arial"/>
          <w:sz w:val="16"/>
          <w:szCs w:val="16"/>
          <w:color w:val="auto"/>
        </w:rPr>
        <w:t>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55" w:lineRule="exact"/>
        <w:rPr>
          <w:sz w:val="20"/>
          <w:szCs w:val="20"/>
          <w:color w:val="auto"/>
        </w:rPr>
      </w:pPr>
    </w:p>
    <w:p>
      <w:pPr>
        <w:ind w:right="940" w:firstLine="917"/>
        <w:spacing w:after="0" w:line="274" w:lineRule="auto"/>
        <w:rPr>
          <w:sz w:val="20"/>
          <w:szCs w:val="20"/>
          <w:color w:val="auto"/>
        </w:rPr>
      </w:pPr>
      <w:r>
        <w:rPr>
          <w:rFonts w:ascii="Arial" w:cs="Arial" w:eastAsia="Arial" w:hAnsi="Arial"/>
          <w:sz w:val="17"/>
          <w:szCs w:val="17"/>
          <w:b w:val="1"/>
          <w:bCs w:val="1"/>
          <w:i w:val="1"/>
          <w:iCs w:val="1"/>
          <w:color w:val="auto"/>
        </w:rPr>
        <w:t>If product liability lawsuits are brought against us, we may incur substantial financial or other liabilities and may be required to limit commercialization of our product candidates.</w:t>
      </w:r>
    </w:p>
    <w:p>
      <w:pPr>
        <w:spacing w:after="0" w:line="63" w:lineRule="exact"/>
        <w:rPr>
          <w:sz w:val="20"/>
          <w:szCs w:val="20"/>
          <w:color w:val="auto"/>
        </w:rPr>
      </w:pPr>
    </w:p>
    <w:p>
      <w:pPr>
        <w:ind w:right="20" w:firstLine="917"/>
        <w:spacing w:after="0" w:line="254" w:lineRule="auto"/>
        <w:rPr>
          <w:sz w:val="20"/>
          <w:szCs w:val="20"/>
          <w:color w:val="auto"/>
        </w:rPr>
      </w:pPr>
      <w:r>
        <w:rPr>
          <w:rFonts w:ascii="Arial" w:cs="Arial" w:eastAsia="Arial" w:hAnsi="Arial"/>
          <w:sz w:val="17"/>
          <w:szCs w:val="17"/>
          <w:color w:val="auto"/>
        </w:rPr>
        <w:t>We face an inherent risk of product liability as a result of testing PLN-74809 and any of our other product candidates in clinical trials and will face an even greater risk if we commercialize any products. For example, we may be sued if our product candidates cause or are perceived to cause injury or are found to be otherwise unsuitable during clinical trials,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80" w:lineRule="exact"/>
        <w:rPr>
          <w:sz w:val="20"/>
          <w:szCs w:val="20"/>
          <w:color w:val="auto"/>
        </w:rPr>
      </w:pPr>
    </w:p>
    <w:p>
      <w:pPr>
        <w:ind w:left="2140" w:hanging="1062"/>
        <w:spacing w:after="0"/>
        <w:tabs>
          <w:tab w:leader="none" w:pos="21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inability to bring a product candidate to the market;</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decreased demand for our products;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injury to our reputation;</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withdrawal of clinical trial participants and inability to continue clinical trials;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initiation of investigations by regulators;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fines, injunctions or criminal penalties;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costs to defend the related litigation;</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diversion of management’s time and our resources;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substantial monetary awards to trial participants;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product recalls, withdrawals or labeling, marketing or promotional restrictions;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loss of revenue;</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exhaustion of any available insurance and our capital resources;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inability to commercialize any product candidate, if approved; and</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decline in our share price.</w:t>
      </w:r>
    </w:p>
    <w:p>
      <w:pPr>
        <w:spacing w:after="0" w:line="110" w:lineRule="exact"/>
        <w:rPr>
          <w:sz w:val="20"/>
          <w:szCs w:val="20"/>
          <w:color w:val="auto"/>
        </w:rPr>
      </w:pPr>
    </w:p>
    <w:p>
      <w:pPr>
        <w:ind w:right="180" w:firstLine="917"/>
        <w:spacing w:after="0" w:line="274" w:lineRule="auto"/>
        <w:rPr>
          <w:sz w:val="20"/>
          <w:szCs w:val="20"/>
          <w:color w:val="auto"/>
        </w:rPr>
      </w:pPr>
      <w:r>
        <w:rPr>
          <w:rFonts w:ascii="Arial" w:cs="Arial" w:eastAsia="Arial" w:hAnsi="Arial"/>
          <w:sz w:val="17"/>
          <w:szCs w:val="17"/>
          <w:color w:val="auto"/>
        </w:rPr>
        <w:t>Our inability to obtain sufficient product liability insurance at an acceptable cost to protect against potential product liability claims could prevent or inhibit the commercialization of products we develop. We will need to obtain</w:t>
      </w:r>
    </w:p>
    <w:p>
      <w:pPr>
        <w:spacing w:after="0" w:line="200" w:lineRule="exact"/>
        <w:rPr>
          <w:sz w:val="20"/>
          <w:szCs w:val="20"/>
          <w:color w:val="auto"/>
        </w:rPr>
      </w:pPr>
    </w:p>
    <w:p>
      <w:pPr>
        <w:spacing w:after="0" w:line="28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180"/>
          </w:cols>
          <w:pgMar w:left="320" w:top="955" w:right="399" w:bottom="1440" w:gutter="0" w:footer="0" w:header="0"/>
        </w:sectPr>
      </w:pPr>
    </w:p>
    <w:bookmarkStart w:id="45" w:name="page46"/>
    <w:bookmarkEnd w:id="45"/>
    <w:p>
      <w:pPr>
        <w:ind w:right="20"/>
        <w:spacing w:after="0" w:line="273" w:lineRule="auto"/>
        <w:rPr>
          <w:sz w:val="20"/>
          <w:szCs w:val="20"/>
          <w:color w:val="auto"/>
        </w:rPr>
      </w:pPr>
      <w:r>
        <w:rPr>
          <w:rFonts w:ascii="Arial" w:cs="Arial" w:eastAsia="Arial" w:hAnsi="Arial"/>
          <w:sz w:val="16"/>
          <w:szCs w:val="16"/>
          <w:color w:val="auto"/>
        </w:rPr>
        <w:t>additional insurance for clinical trials as PLN-74809 (bexotegrast) continues clinical development and as additional product candidates enter the clinic. However, we may be unable to obtain, or may obtain on unfavorable terms, clinical trial insurance in amounts adequate to cover any liabilities from any of our clinical trials.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69"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We face substantial competition, which may result in others discovering, developing, or commercializing products before or more successfully than</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w:t>
      </w:r>
    </w:p>
    <w:p>
      <w:pPr>
        <w:spacing w:after="0" w:line="99" w:lineRule="exact"/>
        <w:rPr>
          <w:sz w:val="20"/>
          <w:szCs w:val="20"/>
          <w:color w:val="auto"/>
        </w:rPr>
      </w:pPr>
    </w:p>
    <w:p>
      <w:pPr>
        <w:ind w:right="100" w:firstLine="917"/>
        <w:spacing w:after="0" w:line="303" w:lineRule="auto"/>
        <w:rPr>
          <w:sz w:val="20"/>
          <w:szCs w:val="20"/>
          <w:color w:val="auto"/>
        </w:rPr>
      </w:pPr>
      <w:r>
        <w:rPr>
          <w:rFonts w:ascii="Arial" w:cs="Arial" w:eastAsia="Arial" w:hAnsi="Arial"/>
          <w:sz w:val="15"/>
          <w:szCs w:val="15"/>
          <w:color w:val="auto"/>
        </w:rPr>
        <w:t>The development and commercialization of new drug products is highly competitive. We may face competition with respect to any product candidates that we seek to develop or commercialize in the future from major biopharmaceutical companies, specialty biopharmaceutical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46" w:lineRule="exact"/>
        <w:rPr>
          <w:sz w:val="20"/>
          <w:szCs w:val="20"/>
          <w:color w:val="auto"/>
        </w:rPr>
      </w:pPr>
    </w:p>
    <w:p>
      <w:pPr>
        <w:ind w:right="260" w:firstLine="917"/>
        <w:spacing w:after="0" w:line="310" w:lineRule="auto"/>
        <w:rPr>
          <w:sz w:val="20"/>
          <w:szCs w:val="20"/>
          <w:color w:val="auto"/>
        </w:rPr>
      </w:pPr>
      <w:r>
        <w:rPr>
          <w:rFonts w:ascii="Arial" w:cs="Arial" w:eastAsia="Arial" w:hAnsi="Arial"/>
          <w:sz w:val="15"/>
          <w:szCs w:val="15"/>
          <w:color w:val="auto"/>
        </w:rPr>
        <w:t>There are a number of biopharmaceutical and biotechnology companies that are currently pursuing the development of products for the treatment of fibrosis. Companies that we are aware of that are targeting the treatment of various fibrosis indications through inhibiting various parts of the TGF-β pathway</w:t>
      </w:r>
    </w:p>
    <w:p>
      <w:pPr>
        <w:spacing w:after="0" w:line="306" w:lineRule="auto"/>
        <w:rPr>
          <w:sz w:val="20"/>
          <w:szCs w:val="20"/>
          <w:color w:val="auto"/>
        </w:rPr>
      </w:pPr>
      <w:r>
        <w:rPr>
          <w:rFonts w:ascii="Arial" w:cs="Arial" w:eastAsia="Arial" w:hAnsi="Arial"/>
          <w:sz w:val="16"/>
          <w:szCs w:val="16"/>
          <w:color w:val="auto"/>
        </w:rPr>
        <w:t>include companies with significant financial resources such as AbbVie Inc., AstraZeneca plc, Bristol Myers Squibb Co., Corbus Pharmaceutical, DiCE Therapeutics, Inc., FibroGen, Inc., Gilead Sciences, Inc., Galapagos NV, Morphic Therapeutics, Inc., Novartis AG, and Takeda Pharmaceutical Company.</w:t>
      </w:r>
    </w:p>
    <w:p>
      <w:pPr>
        <w:spacing w:after="0" w:line="40" w:lineRule="exact"/>
        <w:rPr>
          <w:sz w:val="20"/>
          <w:szCs w:val="20"/>
          <w:color w:val="auto"/>
        </w:rPr>
      </w:pPr>
    </w:p>
    <w:p>
      <w:pPr>
        <w:ind w:right="60" w:firstLine="917"/>
        <w:spacing w:after="0" w:line="262" w:lineRule="auto"/>
        <w:rPr>
          <w:sz w:val="20"/>
          <w:szCs w:val="20"/>
          <w:color w:val="auto"/>
        </w:rPr>
      </w:pPr>
      <w:r>
        <w:rPr>
          <w:rFonts w:ascii="Arial" w:cs="Arial" w:eastAsia="Arial" w:hAnsi="Arial"/>
          <w:sz w:val="17"/>
          <w:szCs w:val="17"/>
          <w:color w:val="auto"/>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w:t>
      </w:r>
    </w:p>
    <w:p>
      <w:pPr>
        <w:spacing w:after="0" w:line="73" w:lineRule="exact"/>
        <w:rPr>
          <w:sz w:val="20"/>
          <w:szCs w:val="20"/>
          <w:color w:val="auto"/>
        </w:rPr>
      </w:pPr>
    </w:p>
    <w:p>
      <w:pPr>
        <w:ind w:firstLine="917"/>
        <w:spacing w:after="0" w:line="269" w:lineRule="auto"/>
        <w:rPr>
          <w:sz w:val="20"/>
          <w:szCs w:val="20"/>
          <w:color w:val="auto"/>
        </w:rPr>
      </w:pPr>
      <w:r>
        <w:rPr>
          <w:rFonts w:ascii="Arial" w:cs="Arial" w:eastAsia="Arial" w:hAnsi="Arial"/>
          <w:sz w:val="16"/>
          <w:szCs w:val="16"/>
          <w:color w:val="auto"/>
        </w:rPr>
        <w:t>Mergers and acquisitions in the biopharmaceutical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more convenient or less expensive than any products that we may develop. Furthermore, products currently approved for other indications could be discovered to be effective treatments of fibrosis as well, which could give such products significant regulatory and market timing advantages over PLN-74809 (bexotegrast) or other product candidates that we may identify. Our competitors also may obtain FDA or other regulatory approval for their products more rapidly than we may obtain approval for ours,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competitors. The availability of competitive products could limit the demand, and the price we are able to charge, for any products that we may develop and commercialize.</w:t>
      </w:r>
    </w:p>
    <w:p>
      <w:pPr>
        <w:spacing w:after="0" w:line="68"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Risks Related to Marketing, Reimbursement, Healthcare Regulations and Ongoing Regulatory Compliance</w:t>
      </w:r>
    </w:p>
    <w:p>
      <w:pPr>
        <w:spacing w:after="0" w:line="114" w:lineRule="exact"/>
        <w:rPr>
          <w:sz w:val="20"/>
          <w:szCs w:val="20"/>
          <w:color w:val="auto"/>
        </w:rPr>
      </w:pPr>
    </w:p>
    <w:p>
      <w:pPr>
        <w:ind w:right="60" w:firstLine="917"/>
        <w:spacing w:after="0" w:line="274" w:lineRule="auto"/>
        <w:rPr>
          <w:sz w:val="20"/>
          <w:szCs w:val="20"/>
          <w:color w:val="auto"/>
        </w:rPr>
      </w:pPr>
      <w:r>
        <w:rPr>
          <w:rFonts w:ascii="Arial" w:cs="Arial" w:eastAsia="Arial" w:hAnsi="Arial"/>
          <w:sz w:val="17"/>
          <w:szCs w:val="17"/>
          <w:b w:val="1"/>
          <w:bCs w:val="1"/>
          <w:i w:val="1"/>
          <w:iCs w:val="1"/>
          <w:color w:val="auto"/>
        </w:rPr>
        <w:t>Even if a product candidate we develop receives marketing approval, it may fail to achieve the degree of market acceptance by physicians, patients, third-party payors and others in the medical community necessary for commercial success.</w:t>
      </w:r>
    </w:p>
    <w:p>
      <w:pPr>
        <w:spacing w:after="0" w:line="63" w:lineRule="exact"/>
        <w:rPr>
          <w:sz w:val="20"/>
          <w:szCs w:val="20"/>
          <w:color w:val="auto"/>
        </w:rPr>
      </w:pPr>
    </w:p>
    <w:p>
      <w:pPr>
        <w:ind w:right="160" w:firstLine="917"/>
        <w:spacing w:after="0" w:line="258" w:lineRule="auto"/>
        <w:rPr>
          <w:sz w:val="20"/>
          <w:szCs w:val="20"/>
          <w:color w:val="auto"/>
        </w:rPr>
      </w:pPr>
      <w:r>
        <w:rPr>
          <w:rFonts w:ascii="Arial" w:cs="Arial" w:eastAsia="Arial" w:hAnsi="Arial"/>
          <w:sz w:val="17"/>
          <w:szCs w:val="17"/>
          <w:color w:val="auto"/>
        </w:rPr>
        <w:t>Even if PLN-74809 (bexotegrast) or any other product candidate we develop receives marketing approval, it may nonetheless fail to gain sufficient market acceptance by physicians, patients and third-party payors. In addition, the availability of coverage by third-party payors may be affected by existing and future health care reform measures designed to reduce the cost of health care. If the product candidates we develop do not achieve an adequate level of acceptance, we may not generate significant product revenues and we may not become profitable.</w:t>
      </w:r>
    </w:p>
    <w:p>
      <w:pPr>
        <w:spacing w:after="0" w:line="7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The degree of market acceptance of any product candidate, if approved for commercial sale, will depend on a number of factors, including:</w:t>
      </w:r>
    </w:p>
    <w:p>
      <w:pPr>
        <w:spacing w:after="0" w:line="134" w:lineRule="exact"/>
        <w:rPr>
          <w:sz w:val="20"/>
          <w:szCs w:val="20"/>
          <w:color w:val="auto"/>
        </w:rPr>
      </w:pPr>
    </w:p>
    <w:p>
      <w:pPr>
        <w:ind w:left="2140" w:hanging="1062"/>
        <w:spacing w:after="0"/>
        <w:tabs>
          <w:tab w:leader="none" w:pos="2140" w:val="left"/>
        </w:tabs>
        <w:numPr>
          <w:ilvl w:val="0"/>
          <w:numId w:val="35"/>
        </w:numPr>
        <w:rPr>
          <w:rFonts w:ascii="Arial" w:cs="Arial" w:eastAsia="Arial" w:hAnsi="Arial"/>
          <w:sz w:val="20"/>
          <w:szCs w:val="20"/>
          <w:color w:val="auto"/>
        </w:rPr>
      </w:pPr>
      <w:r>
        <w:rPr>
          <w:rFonts w:ascii="Arial" w:cs="Arial" w:eastAsia="Arial" w:hAnsi="Arial"/>
          <w:sz w:val="17"/>
          <w:szCs w:val="17"/>
          <w:color w:val="auto"/>
        </w:rPr>
        <w:t>efficacy and potential advantages compared to alternative treatments;</w:t>
      </w:r>
    </w:p>
    <w:p>
      <w:pPr>
        <w:spacing w:after="0" w:line="90" w:lineRule="exact"/>
        <w:rPr>
          <w:rFonts w:ascii="Arial" w:cs="Arial" w:eastAsia="Arial" w:hAnsi="Arial"/>
          <w:sz w:val="20"/>
          <w:szCs w:val="20"/>
          <w:color w:val="auto"/>
        </w:rPr>
      </w:pPr>
    </w:p>
    <w:p>
      <w:pPr>
        <w:ind w:left="2140" w:hanging="1062"/>
        <w:spacing w:after="0"/>
        <w:tabs>
          <w:tab w:leader="none" w:pos="21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ability to offer our products, if approved, for sale at competitive prices;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5" w:right="359" w:bottom="1440" w:gutter="0" w:footer="0" w:header="0"/>
        </w:sectPr>
      </w:pPr>
    </w:p>
    <w:bookmarkStart w:id="46" w:name="page47"/>
    <w:bookmarkEnd w:id="46"/>
    <w:p>
      <w:pPr>
        <w:ind w:left="2140" w:hanging="1062"/>
        <w:spacing w:after="0"/>
        <w:tabs>
          <w:tab w:leader="none" w:pos="21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convenience and ease of administration compared to alternative treatments;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willingness of the target patient population to try new therapies and of physicians to prescribe these therapies;</w:t>
      </w:r>
    </w:p>
    <w:p>
      <w:pPr>
        <w:spacing w:after="0" w:line="110" w:lineRule="exact"/>
        <w:rPr>
          <w:rFonts w:ascii="Arial" w:cs="Arial" w:eastAsia="Arial" w:hAnsi="Arial"/>
          <w:sz w:val="17"/>
          <w:szCs w:val="17"/>
          <w:color w:val="auto"/>
        </w:rPr>
      </w:pPr>
    </w:p>
    <w:p>
      <w:pPr>
        <w:ind w:left="2140" w:right="80" w:hanging="1062"/>
        <w:spacing w:after="0" w:line="274" w:lineRule="auto"/>
        <w:tabs>
          <w:tab w:leader="none" w:pos="2136"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recommendations with respect to our product candidates in guidelines published by various scientific organizations applicable to us and our product candidates;</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strength of marketing and distribution support;</w:t>
      </w:r>
    </w:p>
    <w:p>
      <w:pPr>
        <w:spacing w:after="0" w:line="110" w:lineRule="exact"/>
        <w:rPr>
          <w:rFonts w:ascii="Arial" w:cs="Arial" w:eastAsia="Arial" w:hAnsi="Arial"/>
          <w:sz w:val="17"/>
          <w:szCs w:val="17"/>
          <w:color w:val="auto"/>
        </w:rPr>
      </w:pPr>
    </w:p>
    <w:p>
      <w:pPr>
        <w:ind w:left="2140" w:right="20" w:hanging="1062"/>
        <w:spacing w:after="0" w:line="274" w:lineRule="auto"/>
        <w:tabs>
          <w:tab w:leader="none" w:pos="2136"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ability to obtain sufficient third-party coverage and adequate reimbursement and a positive recommendation by health technology bodies; and</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prevalence and severity of any side effects.</w:t>
      </w:r>
    </w:p>
    <w:p>
      <w:pPr>
        <w:spacing w:after="0" w:line="110" w:lineRule="exact"/>
        <w:rPr>
          <w:sz w:val="20"/>
          <w:szCs w:val="20"/>
          <w:color w:val="auto"/>
        </w:rPr>
      </w:pPr>
    </w:p>
    <w:p>
      <w:pPr>
        <w:ind w:right="280" w:firstLine="917"/>
        <w:spacing w:after="0" w:line="274" w:lineRule="auto"/>
        <w:rPr>
          <w:sz w:val="20"/>
          <w:szCs w:val="20"/>
          <w:color w:val="auto"/>
        </w:rPr>
      </w:pPr>
      <w:r>
        <w:rPr>
          <w:rFonts w:ascii="Arial" w:cs="Arial" w:eastAsia="Arial" w:hAnsi="Arial"/>
          <w:sz w:val="17"/>
          <w:szCs w:val="17"/>
          <w:color w:val="auto"/>
        </w:rPr>
        <w:t>If government and other third-party payors do not provide coverage and adequate reimbursement levels for any products we commercialize, market acceptance and commercial success would be reduced.</w:t>
      </w:r>
    </w:p>
    <w:p>
      <w:pPr>
        <w:spacing w:after="0" w:line="63" w:lineRule="exact"/>
        <w:rPr>
          <w:sz w:val="20"/>
          <w:szCs w:val="20"/>
          <w:color w:val="auto"/>
        </w:rPr>
      </w:pPr>
    </w:p>
    <w:p>
      <w:pPr>
        <w:ind w:right="60" w:firstLine="917"/>
        <w:spacing w:after="0" w:line="274" w:lineRule="auto"/>
        <w:rPr>
          <w:sz w:val="20"/>
          <w:szCs w:val="20"/>
          <w:color w:val="auto"/>
        </w:rPr>
      </w:pPr>
      <w:r>
        <w:rPr>
          <w:rFonts w:ascii="Arial" w:cs="Arial" w:eastAsia="Arial" w:hAnsi="Arial"/>
          <w:sz w:val="17"/>
          <w:szCs w:val="17"/>
          <w:b w:val="1"/>
          <w:bCs w:val="1"/>
          <w:i w:val="1"/>
          <w:iCs w:val="1"/>
          <w:color w:val="auto"/>
        </w:rPr>
        <w:t>Coverage and reimbursement may be limited or unavailable in certain market segments for our product candidates, if approved, which could make it difficult for us to sell any product candidates profitably.</w:t>
      </w:r>
    </w:p>
    <w:p>
      <w:pPr>
        <w:spacing w:after="0" w:line="63" w:lineRule="exact"/>
        <w:rPr>
          <w:sz w:val="20"/>
          <w:szCs w:val="20"/>
          <w:color w:val="auto"/>
        </w:rPr>
      </w:pPr>
    </w:p>
    <w:p>
      <w:pPr>
        <w:ind w:right="80" w:firstLine="917"/>
        <w:spacing w:after="0" w:line="292" w:lineRule="auto"/>
        <w:rPr>
          <w:sz w:val="20"/>
          <w:szCs w:val="20"/>
          <w:color w:val="auto"/>
        </w:rPr>
      </w:pPr>
      <w:r>
        <w:rPr>
          <w:rFonts w:ascii="Arial" w:cs="Arial" w:eastAsia="Arial" w:hAnsi="Arial"/>
          <w:sz w:val="15"/>
          <w:szCs w:val="15"/>
          <w:color w:val="auto"/>
        </w:rPr>
        <w:t>Significant uncertainty exists as to the coverage and reimbursement status of any products for which we may obtain regulatory approval. In the United States, sales of any products for which we may receive regulatory marketing approval will depend, in part, on the availability of coverage and adequacy of reimbursement from third-party payors. Third-party payors include government authorities such as Medicare, Medicaid, TRICARE, and the Veterans Administration, managed care providers, private health insurers, and other organizations. 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is critical to new product acceptance. Patients are unlikely to use our product candidates unless coverage is provided, and reimbursement is adequate to cover a significant portion of the cost. We cannot be sure that coverage and adequate reimbursement will be available for any product that we may develop and, if reimbursement is available, what the level of reimbursement will be.</w:t>
      </w:r>
    </w:p>
    <w:p>
      <w:pPr>
        <w:spacing w:after="0" w:line="53" w:lineRule="exact"/>
        <w:rPr>
          <w:sz w:val="20"/>
          <w:szCs w:val="20"/>
          <w:color w:val="auto"/>
        </w:rPr>
      </w:pPr>
    </w:p>
    <w:p>
      <w:pPr>
        <w:ind w:right="220" w:firstLine="917"/>
        <w:spacing w:after="0" w:line="342" w:lineRule="auto"/>
        <w:rPr>
          <w:sz w:val="20"/>
          <w:szCs w:val="20"/>
          <w:color w:val="auto"/>
        </w:rPr>
      </w:pPr>
      <w:r>
        <w:rPr>
          <w:rFonts w:ascii="Arial" w:cs="Arial" w:eastAsia="Arial" w:hAnsi="Arial"/>
          <w:sz w:val="15"/>
          <w:szCs w:val="15"/>
          <w:color w:val="auto"/>
        </w:rPr>
        <w:t>Government authorities and other third-party payors decide which drugs and treatments they will cover and the amount of reimbursement. Coverage and reimbursement by a third-party payor may depend upon a number of factors, including the third-party payor’s determination that use of a product is:</w:t>
      </w:r>
    </w:p>
    <w:p>
      <w:pPr>
        <w:spacing w:after="0" w:line="41" w:lineRule="exact"/>
        <w:rPr>
          <w:sz w:val="20"/>
          <w:szCs w:val="20"/>
          <w:color w:val="auto"/>
        </w:rPr>
      </w:pPr>
    </w:p>
    <w:p>
      <w:pPr>
        <w:ind w:left="2140" w:hanging="1062"/>
        <w:spacing w:after="0"/>
        <w:tabs>
          <w:tab w:leader="none" w:pos="2140" w:val="left"/>
        </w:tabs>
        <w:numPr>
          <w:ilvl w:val="0"/>
          <w:numId w:val="37"/>
        </w:numPr>
        <w:rPr>
          <w:rFonts w:ascii="Arial" w:cs="Arial" w:eastAsia="Arial" w:hAnsi="Arial"/>
          <w:sz w:val="20"/>
          <w:szCs w:val="20"/>
          <w:color w:val="auto"/>
        </w:rPr>
      </w:pPr>
      <w:r>
        <w:rPr>
          <w:rFonts w:ascii="Arial" w:cs="Arial" w:eastAsia="Arial" w:hAnsi="Arial"/>
          <w:sz w:val="17"/>
          <w:szCs w:val="17"/>
          <w:color w:val="auto"/>
        </w:rPr>
        <w:t>a covered benefit under its health plan;</w:t>
      </w:r>
    </w:p>
    <w:p>
      <w:pPr>
        <w:spacing w:after="0" w:line="90" w:lineRule="exact"/>
        <w:rPr>
          <w:rFonts w:ascii="Arial" w:cs="Arial" w:eastAsia="Arial" w:hAnsi="Arial"/>
          <w:sz w:val="20"/>
          <w:szCs w:val="20"/>
          <w:color w:val="auto"/>
        </w:rPr>
      </w:pPr>
    </w:p>
    <w:p>
      <w:pPr>
        <w:ind w:left="2140" w:hanging="1062"/>
        <w:spacing w:after="0"/>
        <w:tabs>
          <w:tab w:leader="none" w:pos="21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safe, effective and medically necessary;</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appropriate for the specific patient;</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cost-effective; and</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neither experimental nor investigational.</w:t>
      </w:r>
    </w:p>
    <w:p>
      <w:pPr>
        <w:spacing w:after="0" w:line="110" w:lineRule="exact"/>
        <w:rPr>
          <w:sz w:val="20"/>
          <w:szCs w:val="20"/>
          <w:color w:val="auto"/>
        </w:rPr>
      </w:pPr>
    </w:p>
    <w:p>
      <w:pPr>
        <w:ind w:left="920"/>
        <w:spacing w:after="0"/>
        <w:rPr>
          <w:sz w:val="20"/>
          <w:szCs w:val="20"/>
          <w:color w:val="auto"/>
        </w:rPr>
      </w:pPr>
      <w:r>
        <w:rPr>
          <w:rFonts w:ascii="Arial" w:cs="Arial" w:eastAsia="Arial" w:hAnsi="Arial"/>
          <w:sz w:val="15"/>
          <w:szCs w:val="15"/>
          <w:color w:val="auto"/>
        </w:rPr>
        <w:t>In the United States, but also outside the United States, no uniform policy of coverage and reimbursement for products exists among third-party payors.</w:t>
      </w:r>
    </w:p>
    <w:p>
      <w:pPr>
        <w:spacing w:after="0" w:line="133" w:lineRule="exact"/>
        <w:rPr>
          <w:sz w:val="20"/>
          <w:szCs w:val="20"/>
          <w:color w:val="auto"/>
        </w:rPr>
      </w:pPr>
    </w:p>
    <w:p>
      <w:pPr>
        <w:jc w:val="both"/>
        <w:ind w:right="100" w:firstLine="917"/>
        <w:spacing w:after="0" w:line="286" w:lineRule="auto"/>
        <w:rPr>
          <w:sz w:val="20"/>
          <w:szCs w:val="20"/>
          <w:color w:val="auto"/>
        </w:rPr>
      </w:pPr>
      <w:r>
        <w:rPr>
          <w:rFonts w:ascii="Arial" w:cs="Arial" w:eastAsia="Arial" w:hAnsi="Arial"/>
          <w:sz w:val="15"/>
          <w:szCs w:val="15"/>
          <w:color w:val="auto"/>
        </w:rPr>
        <w:t>Coverage and reimbursement for products may vary depending on the payor, the insurance plan, and other factors.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A primary trend in the healthcare industry is cost containment as government authorities and third-party payors have attempted to control costs by limiting coverage and the amount of reimbursement available for certain medications. Even if we obtain coverage for a given product, the resulting reimbursement payment rates might not be adequate for us to achieve or sustain profitability or may require co-payments that patients find unacceptably high.</w:t>
      </w:r>
    </w:p>
    <w:p>
      <w:pPr>
        <w:spacing w:after="0" w:line="1" w:lineRule="exact"/>
        <w:rPr>
          <w:sz w:val="20"/>
          <w:szCs w:val="20"/>
          <w:color w:val="auto"/>
        </w:rPr>
      </w:pPr>
    </w:p>
    <w:p>
      <w:pPr>
        <w:ind w:right="220"/>
        <w:spacing w:after="0" w:line="255" w:lineRule="auto"/>
        <w:rPr>
          <w:sz w:val="20"/>
          <w:szCs w:val="20"/>
          <w:color w:val="auto"/>
        </w:rPr>
      </w:pPr>
      <w:r>
        <w:rPr>
          <w:rFonts w:ascii="Arial" w:cs="Arial" w:eastAsia="Arial" w:hAnsi="Arial"/>
          <w:sz w:val="17"/>
          <w:szCs w:val="17"/>
          <w:color w:val="auto"/>
        </w:rPr>
        <w:t>Additionally, third-party payors may not cover, or provide adequate reimbursement for, long-term follow-up evaluations required following the use of product candidates, once approved. It is difficult to predict at this time what third-party payors will decide with respect to the coverage and reimbursement for our product candidates, if approved.</w:t>
      </w:r>
    </w:p>
    <w:p>
      <w:pPr>
        <w:spacing w:after="0" w:line="79" w:lineRule="exact"/>
        <w:rPr>
          <w:sz w:val="20"/>
          <w:szCs w:val="20"/>
          <w:color w:val="auto"/>
        </w:rPr>
      </w:pPr>
    </w:p>
    <w:p>
      <w:pPr>
        <w:ind w:right="20" w:firstLine="917"/>
        <w:spacing w:after="0" w:line="275" w:lineRule="auto"/>
        <w:rPr>
          <w:sz w:val="20"/>
          <w:szCs w:val="20"/>
          <w:color w:val="auto"/>
        </w:rPr>
      </w:pPr>
      <w:r>
        <w:rPr>
          <w:rFonts w:ascii="Arial" w:cs="Arial" w:eastAsia="Arial" w:hAnsi="Arial"/>
          <w:sz w:val="16"/>
          <w:szCs w:val="16"/>
          <w:color w:val="auto"/>
        </w:rPr>
        <w:t>A primary trend in the United States and European health care industry is toward cost containment, as government authorities, third-party payors, and others have attempted to control costs by limiting coverage and the amount of reimbursement available for certain treatments. Such third-party payers, including Medicare, may question the coverage of, and challenge the prices charged for medical products, and many third-party payers limit coverage and reimbursement for newly approved health care products. Moreover, reimbursement, if available, may vary according to the use of the product and the clinical setting in which it is used, may be based on reimbursement levels already set for lower cost products and may be</w:t>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5" w:right="359" w:bottom="1440" w:gutter="0" w:footer="0" w:header="0"/>
        </w:sectPr>
      </w:pPr>
    </w:p>
    <w:bookmarkStart w:id="47" w:name="page48"/>
    <w:bookmarkEnd w:id="47"/>
    <w:p>
      <w:pPr>
        <w:spacing w:after="0"/>
        <w:rPr>
          <w:sz w:val="20"/>
          <w:szCs w:val="20"/>
          <w:color w:val="auto"/>
        </w:rPr>
      </w:pPr>
      <w:r>
        <w:rPr>
          <w:rFonts w:ascii="Arial" w:cs="Arial" w:eastAsia="Arial" w:hAnsi="Arial"/>
          <w:sz w:val="15"/>
          <w:szCs w:val="15"/>
          <w:color w:val="auto"/>
        </w:rPr>
        <w:t>incorporated into existing payments for other services. Net prices for products may be reduced by mandatory discounts or rebates required by government healthcare</w:t>
      </w:r>
    </w:p>
    <w:p>
      <w:pPr>
        <w:spacing w:after="0" w:line="69" w:lineRule="exact"/>
        <w:rPr>
          <w:sz w:val="20"/>
          <w:szCs w:val="20"/>
          <w:color w:val="auto"/>
        </w:rPr>
      </w:pPr>
    </w:p>
    <w:p>
      <w:pPr>
        <w:ind w:right="320"/>
        <w:spacing w:after="0" w:line="262" w:lineRule="auto"/>
        <w:rPr>
          <w:sz w:val="20"/>
          <w:szCs w:val="20"/>
          <w:color w:val="auto"/>
        </w:rPr>
      </w:pPr>
      <w:r>
        <w:rPr>
          <w:rFonts w:ascii="Arial" w:cs="Arial" w:eastAsia="Arial" w:hAnsi="Arial"/>
          <w:sz w:val="17"/>
          <w:szCs w:val="17"/>
          <w:color w:val="auto"/>
        </w:rPr>
        <w:t>programs or private payers, by any future laws limiting drug prices. If we are unable to promptly obtain coverage and adequate reimbursement rates from both government-funded and private payers for any approved products that we develop there could be a material adverse effect on our operating results, our ability to raise capital needed to commercialize products and our overall financial condition.</w:t>
      </w:r>
    </w:p>
    <w:p>
      <w:pPr>
        <w:spacing w:after="0" w:line="73" w:lineRule="exact"/>
        <w:rPr>
          <w:sz w:val="20"/>
          <w:szCs w:val="20"/>
          <w:color w:val="auto"/>
        </w:rPr>
      </w:pPr>
    </w:p>
    <w:p>
      <w:pPr>
        <w:ind w:right="260" w:firstLine="917"/>
        <w:spacing w:after="0" w:line="313" w:lineRule="auto"/>
        <w:rPr>
          <w:sz w:val="20"/>
          <w:szCs w:val="20"/>
          <w:color w:val="auto"/>
        </w:rPr>
      </w:pPr>
      <w:r>
        <w:rPr>
          <w:rFonts w:ascii="Arial" w:cs="Arial" w:eastAsia="Arial" w:hAnsi="Arial"/>
          <w:sz w:val="15"/>
          <w:szCs w:val="15"/>
          <w:color w:val="auto"/>
        </w:rPr>
        <w:t>Changes to these current laws and state and federal healthcare reform measures that may be adopted in the future that impact coverage and reimbursement for drug or biologic products may result in additional reductions in Medicare and other healthcare funding and otherwise affect the prices we may obtain for any product candidates for which we may obtain regulatory approval or the frequency with which any such product candidate is prescribed or used.</w:t>
      </w:r>
    </w:p>
    <w:p>
      <w:pPr>
        <w:spacing w:after="0" w:line="267" w:lineRule="exact"/>
        <w:rPr>
          <w:sz w:val="20"/>
          <w:szCs w:val="20"/>
          <w:color w:val="auto"/>
        </w:rPr>
      </w:pPr>
    </w:p>
    <w:p>
      <w:pPr>
        <w:ind w:right="280" w:firstLine="917"/>
        <w:spacing w:after="0" w:line="274" w:lineRule="auto"/>
        <w:rPr>
          <w:sz w:val="20"/>
          <w:szCs w:val="20"/>
          <w:color w:val="auto"/>
        </w:rPr>
      </w:pPr>
      <w:r>
        <w:rPr>
          <w:rFonts w:ascii="Arial" w:cs="Arial" w:eastAsia="Arial" w:hAnsi="Arial"/>
          <w:sz w:val="17"/>
          <w:szCs w:val="17"/>
          <w:b w:val="1"/>
          <w:bCs w:val="1"/>
          <w:i w:val="1"/>
          <w:iCs w:val="1"/>
          <w:color w:val="auto"/>
        </w:rPr>
        <w:t>Even if we obtain FDA approval of any of our product candidates, we may never obtain approval or commercialize such products outside of the United States, which would limit our ability to realize their full market potential.</w:t>
      </w:r>
    </w:p>
    <w:p>
      <w:pPr>
        <w:spacing w:after="0" w:line="63" w:lineRule="exact"/>
        <w:rPr>
          <w:sz w:val="20"/>
          <w:szCs w:val="20"/>
          <w:color w:val="auto"/>
        </w:rPr>
      </w:pPr>
    </w:p>
    <w:p>
      <w:pPr>
        <w:ind w:firstLine="917"/>
        <w:spacing w:after="0" w:line="290" w:lineRule="auto"/>
        <w:rPr>
          <w:sz w:val="20"/>
          <w:szCs w:val="20"/>
          <w:color w:val="auto"/>
        </w:rPr>
      </w:pPr>
      <w:r>
        <w:rPr>
          <w:rFonts w:ascii="Arial" w:cs="Arial" w:eastAsia="Arial" w:hAnsi="Arial"/>
          <w:sz w:val="15"/>
          <w:szCs w:val="15"/>
          <w:color w:val="auto"/>
        </w:rPr>
        <w:t>In order to market any products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spacing w:after="0" w:line="55" w:lineRule="exact"/>
        <w:rPr>
          <w:sz w:val="20"/>
          <w:szCs w:val="20"/>
          <w:color w:val="auto"/>
        </w:rPr>
      </w:pPr>
    </w:p>
    <w:p>
      <w:pPr>
        <w:ind w:firstLine="917"/>
        <w:spacing w:after="0" w:line="262" w:lineRule="auto"/>
        <w:rPr>
          <w:sz w:val="20"/>
          <w:szCs w:val="20"/>
          <w:color w:val="auto"/>
        </w:rPr>
      </w:pPr>
      <w:r>
        <w:rPr>
          <w:rFonts w:ascii="Arial" w:cs="Arial" w:eastAsia="Arial" w:hAnsi="Arial"/>
          <w:sz w:val="17"/>
          <w:szCs w:val="17"/>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products, we may not be able to generate product revenue.</w:t>
      </w:r>
    </w:p>
    <w:p>
      <w:pPr>
        <w:spacing w:after="0" w:line="73" w:lineRule="exact"/>
        <w:rPr>
          <w:sz w:val="20"/>
          <w:szCs w:val="20"/>
          <w:color w:val="auto"/>
        </w:rPr>
      </w:pPr>
    </w:p>
    <w:p>
      <w:pPr>
        <w:ind w:firstLine="917"/>
        <w:spacing w:after="0" w:line="288" w:lineRule="auto"/>
        <w:rPr>
          <w:sz w:val="20"/>
          <w:szCs w:val="20"/>
          <w:color w:val="auto"/>
        </w:rPr>
      </w:pPr>
      <w:r>
        <w:rPr>
          <w:rFonts w:ascii="Arial" w:cs="Arial" w:eastAsia="Arial" w:hAnsi="Arial"/>
          <w:sz w:val="15"/>
          <w:szCs w:val="15"/>
          <w:color w:val="auto"/>
        </w:rPr>
        <w:t>We have no internal sales, marketing, or distribution capabilities, nor have we commercialized a product. If any of our product candidates ultimately receives regulatory approval, we expect to establish a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60" w:lineRule="exact"/>
        <w:rPr>
          <w:sz w:val="20"/>
          <w:szCs w:val="20"/>
          <w:color w:val="auto"/>
        </w:rPr>
      </w:pPr>
    </w:p>
    <w:p>
      <w:pPr>
        <w:ind w:right="60" w:firstLine="917"/>
        <w:spacing w:after="0" w:line="262" w:lineRule="auto"/>
        <w:rPr>
          <w:sz w:val="20"/>
          <w:szCs w:val="20"/>
          <w:color w:val="auto"/>
        </w:rPr>
      </w:pPr>
      <w:r>
        <w:rPr>
          <w:rFonts w:ascii="Arial" w:cs="Arial" w:eastAsia="Arial" w:hAnsi="Arial"/>
          <w:sz w:val="17"/>
          <w:szCs w:val="17"/>
          <w:b w:val="1"/>
          <w:bCs w:val="1"/>
          <w:i w:val="1"/>
          <w:iCs w:val="1"/>
          <w:color w:val="auto"/>
        </w:rPr>
        <w:t>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73" w:lineRule="exact"/>
        <w:rPr>
          <w:sz w:val="20"/>
          <w:szCs w:val="20"/>
          <w:color w:val="auto"/>
        </w:rPr>
      </w:pPr>
    </w:p>
    <w:p>
      <w:pPr>
        <w:ind w:right="60" w:firstLine="917"/>
        <w:spacing w:after="0" w:line="275" w:lineRule="auto"/>
        <w:rPr>
          <w:sz w:val="20"/>
          <w:szCs w:val="20"/>
          <w:color w:val="auto"/>
        </w:rPr>
      </w:pPr>
      <w:r>
        <w:rPr>
          <w:rFonts w:ascii="Arial" w:cs="Arial" w:eastAsia="Arial" w:hAnsi="Arial"/>
          <w:sz w:val="16"/>
          <w:szCs w:val="16"/>
          <w:color w:val="auto"/>
        </w:rPr>
        <w:t>Healthcare providers, physicians and third-party payors in the United States and elsewhere play a primary role in the recommendation and prescription of biopharmaceutical products. Arrangements with third-party payors and customers can expose biopharmaceutical manufacturers to broadly applicable fraud and abuse and other healthcare laws and regulations, as detailed in Part I, Item 1 - Business - Government Regulation - Other Healthcare Laws in our Annual Report on form 10-K for the year ended December 31, 2021. In particular, the research of our product candidates, as well as the promotion, sales and marketing of healthcare items and services, and certain business arrangements in the healthcare industry, are subject to</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5" w:right="359" w:bottom="1440" w:gutter="0" w:footer="0" w:header="0"/>
        </w:sectPr>
      </w:pPr>
    </w:p>
    <w:bookmarkStart w:id="48" w:name="page49"/>
    <w:bookmarkEnd w:id="48"/>
    <w:p>
      <w:pPr>
        <w:ind w:right="260"/>
        <w:spacing w:after="0" w:line="258" w:lineRule="auto"/>
        <w:rPr>
          <w:sz w:val="20"/>
          <w:szCs w:val="20"/>
          <w:color w:val="auto"/>
        </w:rPr>
      </w:pPr>
      <w:r>
        <w:rPr>
          <w:rFonts w:ascii="Arial" w:cs="Arial" w:eastAsia="Arial" w:hAnsi="Arial"/>
          <w:sz w:val="17"/>
          <w:szCs w:val="17"/>
          <w:color w:val="auto"/>
        </w:rPr>
        <w:t>extensive laws designed to prevent fraud, kickbacks, self-dealing and other abusive practices. These laws and regulations may restrict or prohibit a wide range of pricing, discounting, marketing and promotion, structuring and commission(s), certain customer incentive programs, remuneration provided to health care professionals and their affiliates, charitable donations and other business arrangements generally. Activities subject to these laws also involve the improper use of information obtained in the course of patient recruitment for clinical trials.</w:t>
      </w:r>
    </w:p>
    <w:p>
      <w:pPr>
        <w:spacing w:after="0" w:line="76" w:lineRule="exact"/>
        <w:rPr>
          <w:sz w:val="20"/>
          <w:szCs w:val="20"/>
          <w:color w:val="auto"/>
        </w:rPr>
      </w:pPr>
    </w:p>
    <w:p>
      <w:pPr>
        <w:ind w:right="300" w:firstLine="917"/>
        <w:spacing w:after="0" w:line="274" w:lineRule="auto"/>
        <w:rPr>
          <w:sz w:val="20"/>
          <w:szCs w:val="20"/>
          <w:color w:val="auto"/>
        </w:rPr>
      </w:pPr>
      <w:r>
        <w:rPr>
          <w:rFonts w:ascii="Arial" w:cs="Arial" w:eastAsia="Arial" w:hAnsi="Arial"/>
          <w:sz w:val="17"/>
          <w:szCs w:val="17"/>
          <w:color w:val="auto"/>
        </w:rPr>
        <w:t>The distribution of biopharmaceutical products is subject to additional requirements and regulations, including extensive record-keeping, licensing, storage and security requirements intended to prevent the unauthorized sale of biopharmaceutical products.</w:t>
      </w:r>
    </w:p>
    <w:p>
      <w:pPr>
        <w:spacing w:after="0" w:line="63" w:lineRule="exact"/>
        <w:rPr>
          <w:sz w:val="20"/>
          <w:szCs w:val="20"/>
          <w:color w:val="auto"/>
        </w:rPr>
      </w:pPr>
    </w:p>
    <w:p>
      <w:pPr>
        <w:ind w:right="260" w:firstLine="917"/>
        <w:spacing w:after="0" w:line="262" w:lineRule="auto"/>
        <w:rPr>
          <w:sz w:val="20"/>
          <w:szCs w:val="20"/>
          <w:color w:val="auto"/>
        </w:rPr>
      </w:pPr>
      <w:r>
        <w:rPr>
          <w:rFonts w:ascii="Arial" w:cs="Arial" w:eastAsia="Arial" w:hAnsi="Arial"/>
          <w:sz w:val="17"/>
          <w:szCs w:val="17"/>
          <w:color w:val="auto"/>
        </w:rPr>
        <w:t>The scope and enforcement of each of these laws is uncertain and subject to rapid change in the current environment of healthcare reform. Ensuring business arrangements comply with applicable healthcare laws, as well as responding to possible investigations by government authorities, can be time- and resource-consuming and can divert a company’s attention from the business.</w:t>
      </w:r>
    </w:p>
    <w:p>
      <w:pPr>
        <w:spacing w:after="0" w:line="73" w:lineRule="exact"/>
        <w:rPr>
          <w:sz w:val="20"/>
          <w:szCs w:val="20"/>
          <w:color w:val="auto"/>
        </w:rPr>
      </w:pPr>
    </w:p>
    <w:p>
      <w:pPr>
        <w:ind w:firstLine="917"/>
        <w:spacing w:after="0" w:line="290" w:lineRule="auto"/>
        <w:rPr>
          <w:sz w:val="20"/>
          <w:szCs w:val="20"/>
          <w:color w:val="auto"/>
        </w:rPr>
      </w:pPr>
      <w:r>
        <w:rPr>
          <w:rFonts w:ascii="Arial" w:cs="Arial" w:eastAsia="Arial" w:hAnsi="Arial"/>
          <w:sz w:val="15"/>
          <w:szCs w:val="15"/>
          <w:color w:val="auto"/>
        </w:rPr>
        <w:t>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reputational harm,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any of the physicians or other healthcare providers or entities with whom we expect to do business is found to be not in compliance with applicable laws, they may be subject to significant criminal, civil or administrative sanctions, including exclusions from government funded healthcare programs. Any action for violation of these laws, even if successfully defended, could cause a biopharmaceutical manufacturer to incur significant legal expenses and divert management’s attention from the operation of the business. Prohibitions or restrictions on sales or withdrawal of future marketed products could materially affect business in an adverse way.</w:t>
      </w:r>
    </w:p>
    <w:p>
      <w:pPr>
        <w:spacing w:after="0" w:line="55" w:lineRule="exact"/>
        <w:rPr>
          <w:sz w:val="20"/>
          <w:szCs w:val="20"/>
          <w:color w:val="auto"/>
        </w:rPr>
      </w:pPr>
    </w:p>
    <w:p>
      <w:pPr>
        <w:jc w:val="both"/>
        <w:ind w:right="260" w:firstLine="917"/>
        <w:spacing w:after="0" w:line="262" w:lineRule="auto"/>
        <w:rPr>
          <w:sz w:val="20"/>
          <w:szCs w:val="20"/>
          <w:color w:val="auto"/>
        </w:rPr>
      </w:pPr>
      <w:r>
        <w:rPr>
          <w:rFonts w:ascii="Arial" w:cs="Arial" w:eastAsia="Arial" w:hAnsi="Arial"/>
          <w:sz w:val="17"/>
          <w:szCs w:val="17"/>
          <w:b w:val="1"/>
          <w:bCs w:val="1"/>
          <w:i w:val="1"/>
          <w:iCs w:val="1"/>
          <w:color w:val="auto"/>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73" w:lineRule="exact"/>
        <w:rPr>
          <w:sz w:val="20"/>
          <w:szCs w:val="20"/>
          <w:color w:val="auto"/>
        </w:rPr>
      </w:pPr>
    </w:p>
    <w:p>
      <w:pPr>
        <w:ind w:right="20" w:firstLine="917"/>
        <w:spacing w:after="0" w:line="256" w:lineRule="auto"/>
        <w:rPr>
          <w:sz w:val="20"/>
          <w:szCs w:val="20"/>
          <w:color w:val="auto"/>
        </w:rPr>
      </w:pPr>
      <w:r>
        <w:rPr>
          <w:rFonts w:ascii="Arial" w:cs="Arial" w:eastAsia="Arial" w:hAnsi="Arial"/>
          <w:sz w:val="17"/>
          <w:szCs w:val="17"/>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current Good Manufacturing Practice, or cGMP, and Good Clinical Practice, or GCP, requirements for any clinical trials that we conduct post-approval.</w:t>
      </w:r>
    </w:p>
    <w:p>
      <w:pPr>
        <w:spacing w:after="0" w:line="78" w:lineRule="exact"/>
        <w:rPr>
          <w:sz w:val="20"/>
          <w:szCs w:val="20"/>
          <w:color w:val="auto"/>
        </w:rPr>
      </w:pPr>
    </w:p>
    <w:p>
      <w:pPr>
        <w:ind w:right="180" w:firstLine="917"/>
        <w:spacing w:after="0" w:line="256" w:lineRule="auto"/>
        <w:rPr>
          <w:sz w:val="20"/>
          <w:szCs w:val="20"/>
          <w:color w:val="auto"/>
        </w:rPr>
      </w:pPr>
      <w:r>
        <w:rPr>
          <w:rFonts w:ascii="Arial" w:cs="Arial" w:eastAsia="Arial" w:hAnsi="Arial"/>
          <w:sz w:val="17"/>
          <w:szCs w:val="17"/>
          <w:color w:val="auto"/>
        </w:rPr>
        <w:t>Manufacturers and their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78" w:lineRule="exact"/>
        <w:rPr>
          <w:sz w:val="20"/>
          <w:szCs w:val="20"/>
          <w:color w:val="auto"/>
        </w:rPr>
      </w:pPr>
    </w:p>
    <w:p>
      <w:pPr>
        <w:ind w:right="20" w:firstLine="917"/>
        <w:spacing w:after="0" w:line="272" w:lineRule="auto"/>
        <w:rPr>
          <w:sz w:val="20"/>
          <w:szCs w:val="20"/>
          <w:color w:val="auto"/>
        </w:rPr>
      </w:pPr>
      <w:r>
        <w:rPr>
          <w:rFonts w:ascii="Arial" w:cs="Arial" w:eastAsia="Arial" w:hAnsi="Arial"/>
          <w:sz w:val="16"/>
          <w:szCs w:val="16"/>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risk evaluation and mitigation strategies, or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w:t>
      </w:r>
    </w:p>
    <w:p>
      <w:pPr>
        <w:spacing w:after="0" w:line="68" w:lineRule="exact"/>
        <w:rPr>
          <w:sz w:val="20"/>
          <w:szCs w:val="20"/>
          <w:color w:val="auto"/>
        </w:rPr>
      </w:pPr>
    </w:p>
    <w:p>
      <w:pPr>
        <w:ind w:firstLine="917"/>
        <w:spacing w:after="0" w:line="279" w:lineRule="auto"/>
        <w:rPr>
          <w:sz w:val="20"/>
          <w:szCs w:val="20"/>
          <w:color w:val="auto"/>
        </w:rPr>
      </w:pPr>
      <w:r>
        <w:rPr>
          <w:rFonts w:ascii="Arial" w:cs="Arial" w:eastAsia="Arial" w:hAnsi="Arial"/>
          <w:sz w:val="16"/>
          <w:szCs w:val="16"/>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w:t>
      </w: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5" w:right="359" w:bottom="1440" w:gutter="0" w:footer="0" w:header="0"/>
        </w:sectPr>
      </w:pPr>
    </w:p>
    <w:bookmarkStart w:id="49" w:name="page50"/>
    <w:bookmarkEnd w:id="49"/>
    <w:p>
      <w:pPr>
        <w:spacing w:after="0"/>
        <w:rPr>
          <w:sz w:val="20"/>
          <w:szCs w:val="20"/>
          <w:color w:val="auto"/>
        </w:rPr>
      </w:pPr>
      <w:r>
        <w:rPr>
          <w:rFonts w:ascii="Arial" w:cs="Arial" w:eastAsia="Arial" w:hAnsi="Arial"/>
          <w:sz w:val="17"/>
          <w:szCs w:val="17"/>
          <w:color w:val="auto"/>
        </w:rPr>
        <w:t>or imposition of distribution restrictions or other restrictions under a REMS program. Other potential consequences include, among other things:</w:t>
      </w:r>
    </w:p>
    <w:p>
      <w:pPr>
        <w:spacing w:after="0" w:line="148" w:lineRule="exact"/>
        <w:rPr>
          <w:sz w:val="20"/>
          <w:szCs w:val="20"/>
          <w:color w:val="auto"/>
        </w:rPr>
      </w:pPr>
    </w:p>
    <w:p>
      <w:pPr>
        <w:ind w:left="2140" w:right="40" w:hanging="1062"/>
        <w:spacing w:after="0" w:line="236" w:lineRule="auto"/>
        <w:tabs>
          <w:tab w:leader="none" w:pos="2135" w:val="left"/>
        </w:tabs>
        <w:numPr>
          <w:ilvl w:val="0"/>
          <w:numId w:val="38"/>
        </w:numPr>
        <w:rPr>
          <w:rFonts w:ascii="Arial" w:cs="Arial" w:eastAsia="Arial" w:hAnsi="Arial"/>
          <w:sz w:val="20"/>
          <w:szCs w:val="20"/>
          <w:color w:val="auto"/>
        </w:rPr>
      </w:pPr>
      <w:r>
        <w:rPr>
          <w:rFonts w:ascii="Arial" w:cs="Arial" w:eastAsia="Arial" w:hAnsi="Arial"/>
          <w:sz w:val="17"/>
          <w:szCs w:val="17"/>
          <w:color w:val="auto"/>
        </w:rPr>
        <w:t>restrictions on the marketing or manufacturing of our products, withdrawal of the product from the market or voluntary or mandatory product recalls;</w:t>
      </w:r>
    </w:p>
    <w:p>
      <w:pPr>
        <w:spacing w:after="0" w:line="91" w:lineRule="exact"/>
        <w:rPr>
          <w:rFonts w:ascii="Arial" w:cs="Arial" w:eastAsia="Arial" w:hAnsi="Arial"/>
          <w:sz w:val="20"/>
          <w:szCs w:val="20"/>
          <w:color w:val="auto"/>
        </w:rPr>
      </w:pPr>
    </w:p>
    <w:p>
      <w:pPr>
        <w:ind w:left="2140" w:hanging="1062"/>
        <w:spacing w:after="0"/>
        <w:tabs>
          <w:tab w:leader="none" w:pos="21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fines, warning letters or holds on clinical trials;</w:t>
      </w:r>
    </w:p>
    <w:p>
      <w:pPr>
        <w:spacing w:after="0" w:line="110" w:lineRule="exact"/>
        <w:rPr>
          <w:rFonts w:ascii="Arial" w:cs="Arial" w:eastAsia="Arial" w:hAnsi="Arial"/>
          <w:sz w:val="17"/>
          <w:szCs w:val="17"/>
          <w:color w:val="auto"/>
        </w:rPr>
      </w:pPr>
    </w:p>
    <w:p>
      <w:pPr>
        <w:ind w:left="2140" w:right="120" w:hanging="1062"/>
        <w:spacing w:after="0" w:line="274" w:lineRule="auto"/>
        <w:tabs>
          <w:tab w:leader="none" w:pos="2136"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refusal by the FDA to approve pending applications or supplements to approved applications filed by us or suspension or revocation of license approvals;</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voluntary or mandatory product recalls and related publicity requirements;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total or partial suspension of production;</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product seizure or detention or refusal to permit the import or export of our product candidates; and</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110" w:lineRule="exact"/>
        <w:rPr>
          <w:sz w:val="20"/>
          <w:szCs w:val="20"/>
          <w:color w:val="auto"/>
        </w:rPr>
      </w:pPr>
    </w:p>
    <w:p>
      <w:pPr>
        <w:ind w:right="80" w:firstLine="917"/>
        <w:spacing w:after="0" w:line="292" w:lineRule="auto"/>
        <w:rPr>
          <w:sz w:val="20"/>
          <w:szCs w:val="20"/>
          <w:color w:val="auto"/>
        </w:rPr>
      </w:pPr>
      <w:r>
        <w:rPr>
          <w:rFonts w:ascii="Arial" w:cs="Arial" w:eastAsia="Arial" w:hAnsi="Arial"/>
          <w:sz w:val="15"/>
          <w:szCs w:val="15"/>
          <w:color w:val="auto"/>
        </w:rPr>
        <w:t>The FDA strictly regulates marketing, labeling, advertising, and promotion of products that are placed on the market. Products may be promoted only for the approved indications and in accordance with the provisions of the approved label. However, companies may share truthful and not misleading information that is not inconsistent with the labeling. The FDA and other agencies actively enforce the laws and regulations prohibiting the promotion of off-label uses and a company that is found to have improperly promoted off-label uses may be subject to significant liability.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53" w:lineRule="exact"/>
        <w:rPr>
          <w:sz w:val="20"/>
          <w:szCs w:val="20"/>
          <w:color w:val="auto"/>
        </w:rPr>
      </w:pPr>
    </w:p>
    <w:p>
      <w:pPr>
        <w:ind w:left="920"/>
        <w:spacing w:after="0"/>
        <w:rPr>
          <w:sz w:val="20"/>
          <w:szCs w:val="20"/>
          <w:color w:val="auto"/>
        </w:rPr>
      </w:pPr>
      <w:r>
        <w:rPr>
          <w:rFonts w:ascii="Arial" w:cs="Arial" w:eastAsia="Arial" w:hAnsi="Arial"/>
          <w:sz w:val="15"/>
          <w:szCs w:val="15"/>
          <w:b w:val="1"/>
          <w:bCs w:val="1"/>
          <w:i w:val="1"/>
          <w:iCs w:val="1"/>
          <w:color w:val="auto"/>
        </w:rPr>
        <w:t>Ongoing healthcare legislative and regulatory reform measures may have a material adverse effect on our business and results of operations.</w:t>
      </w:r>
    </w:p>
    <w:p>
      <w:pPr>
        <w:spacing w:after="0" w:line="133" w:lineRule="exact"/>
        <w:rPr>
          <w:sz w:val="20"/>
          <w:szCs w:val="20"/>
          <w:color w:val="auto"/>
        </w:rPr>
      </w:pPr>
    </w:p>
    <w:p>
      <w:pPr>
        <w:ind w:firstLine="917"/>
        <w:spacing w:after="0" w:line="279" w:lineRule="auto"/>
        <w:rPr>
          <w:sz w:val="20"/>
          <w:szCs w:val="20"/>
          <w:color w:val="auto"/>
        </w:rPr>
      </w:pPr>
      <w:r>
        <w:rPr>
          <w:rFonts w:ascii="Arial" w:cs="Arial" w:eastAsia="Arial" w:hAnsi="Arial"/>
          <w:sz w:val="16"/>
          <w:szCs w:val="16"/>
          <w:color w:val="auto"/>
        </w:rPr>
        <w:t>Changes in regulations, statutes or the interpretation of existing regulations governing the regulatory clearance or approval, manufacture, and marketing of regulated products or the pricing, coverage and reimbursement thereof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61" w:lineRule="exact"/>
        <w:rPr>
          <w:sz w:val="20"/>
          <w:szCs w:val="20"/>
          <w:color w:val="auto"/>
        </w:rPr>
      </w:pPr>
    </w:p>
    <w:p>
      <w:pPr>
        <w:ind w:firstLine="917"/>
        <w:spacing w:after="0" w:line="292" w:lineRule="auto"/>
        <w:rPr>
          <w:sz w:val="20"/>
          <w:szCs w:val="20"/>
          <w:color w:val="auto"/>
        </w:rPr>
      </w:pPr>
      <w:r>
        <w:rPr>
          <w:rFonts w:ascii="Arial" w:cs="Arial" w:eastAsia="Arial" w:hAnsi="Arial"/>
          <w:sz w:val="15"/>
          <w:szCs w:val="15"/>
          <w:color w:val="auto"/>
        </w:rPr>
        <w:t>In the United States, there have been and continue to be a number of legislative initiatives to contain healthcare costs, as detailed in Part I, Item 1 – Business – Government Regulation – Current and Future Healthcare Reform Legislation in our annual Report on Form 10-K for the year ended December 31, 2021. Most recently, in August 2022, President Biden signed into law the Inflation Reduction Act of 2022, which implements substantial changes to the Medicare program, including drug pricing reforms and changes to the Medicare Part D benefit design. Among other reforms, the Inflation Reduction Act of 2022 imposes inflation rebates on drug manufacturers for products reimbursed under Medicare Parts B and D if the prices of those products increase faster than inflation beginning in 2023; implements changes to the Medicare Part D benefit that, beginning in 2025, will cap benefit annual out-of-pocket spending at $2,000, with new discount obligations for pharmaceutical manufacturers; and, beginning in 2026, establishes a “maximum fair price” for a fixed number of pharmaceutical and biological products covered under Medicare Parts B and D following a price negotiation process with the Centers for Medicare and Medicaid Services</w:t>
      </w:r>
    </w:p>
    <w:p>
      <w:pPr>
        <w:spacing w:after="0" w:line="53" w:lineRule="exact"/>
        <w:rPr>
          <w:sz w:val="20"/>
          <w:szCs w:val="20"/>
          <w:color w:val="auto"/>
        </w:rPr>
      </w:pPr>
    </w:p>
    <w:p>
      <w:pPr>
        <w:ind w:right="100" w:firstLine="917"/>
        <w:spacing w:after="0" w:line="256" w:lineRule="auto"/>
        <w:rPr>
          <w:sz w:val="20"/>
          <w:szCs w:val="20"/>
          <w:color w:val="auto"/>
        </w:rPr>
      </w:pPr>
      <w:r>
        <w:rPr>
          <w:rFonts w:ascii="Arial" w:cs="Arial" w:eastAsia="Arial" w:hAnsi="Arial"/>
          <w:sz w:val="17"/>
          <w:szCs w:val="17"/>
          <w:color w:val="auto"/>
        </w:rPr>
        <w:t>We cannot predict the likelihood, nature, or extent of health reform initiatives that may arise from future legislation or administrative action. However, we expect these initiatives to increase pressure on drug pricing. Further, certain broader legislation that is not targeted to the health care industry may nonetheless adversely affect our profitability.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78" w:lineRule="exact"/>
        <w:rPr>
          <w:sz w:val="20"/>
          <w:szCs w:val="20"/>
          <w:color w:val="auto"/>
        </w:rPr>
      </w:pPr>
    </w:p>
    <w:p>
      <w:pPr>
        <w:ind w:right="100" w:firstLine="917"/>
        <w:spacing w:after="0" w:line="313" w:lineRule="auto"/>
        <w:rPr>
          <w:sz w:val="20"/>
          <w:szCs w:val="20"/>
          <w:color w:val="auto"/>
        </w:rPr>
      </w:pPr>
      <w:r>
        <w:rPr>
          <w:rFonts w:ascii="Arial" w:cs="Arial" w:eastAsia="Arial" w:hAnsi="Arial"/>
          <w:sz w:val="15"/>
          <w:szCs w:val="15"/>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50" w:name="page51"/>
    <w:bookmarkEnd w:id="50"/>
    <w:p>
      <w:pPr>
        <w:jc w:val="both"/>
        <w:ind w:right="120" w:firstLine="917"/>
        <w:spacing w:after="0" w:line="279"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61" w:lineRule="exact"/>
        <w:rPr>
          <w:sz w:val="20"/>
          <w:szCs w:val="20"/>
          <w:color w:val="auto"/>
        </w:rPr>
      </w:pPr>
    </w:p>
    <w:p>
      <w:pPr>
        <w:ind w:right="60" w:firstLine="917"/>
        <w:spacing w:after="0" w:line="286" w:lineRule="auto"/>
        <w:rPr>
          <w:sz w:val="20"/>
          <w:szCs w:val="20"/>
          <w:color w:val="auto"/>
        </w:rPr>
      </w:pPr>
      <w:r>
        <w:rPr>
          <w:rFonts w:ascii="Arial" w:cs="Arial" w:eastAsia="Arial" w:hAnsi="Arial"/>
          <w:sz w:val="15"/>
          <w:szCs w:val="15"/>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employees and stop critical activities. Separately, since March 2020 when foreign and domestic inspections were largely placed on hold due to the COVID-19 pandemic, the FDA has been working to resume routine surveillance, bioresearch monitoring and pre-approval inspections on a prioritized basis. The FDA has developed a rating system to assist in determining when and where it is safest to conduct prioritized domestic inspections and resumed inspections in China and India in early 2021. In April 2021, the FDA issued guidance for industry formally announcing plans to employ remote interactive evaluations, using risk management methods, to meet user fee commitments and goal dates. Should the FDA determine that an inspection is necessary for approval and an inspection cannot be completed during the review cycle due to restrictions on travel, and the FDA does not determine a remote interactive evaluation to be appropriate, the agency has stated that it generally intends to issue a complete response letter. Further, if there is inadequate information to make a determination on the acceptability of a facility, the FDA may defer action on the application until an inspection can be completed. Additionally, as of March 18, 2021, the FDA noted it is continuing to ensure timely reviews of applications for medical products during the COVID-19 pandemic in line with its user fee performance goals and conducting mission critical domestic and foreign inspections to ensure compliance of manufacturing facilities with the FDA quality standards. Acknowledging the need for transparency an planning for the resumption of inspection activities, FDA released a roadmap plan in May 2021, and an update in November 2021, to address FDA’s risk-based approach to addressing postponed inspection work and its goal of transitioning back to conducting domestic surveillance inspections as quickly as possible. However, the FDA may not be able to continue its current pace and approval timelines could be extended, including where a pre-approval inspection or an inspection of clinical sites is required and due to the COVID-19 pandemic and travel restrictions FDA is unable to complete such required inspections during the review period. Ongoing surges in COVID-19 case numbers with the emergence of new variants (e.g., the Omicron variant in late 2021) have contributed to interruptions in FDA’s surveillance capabilities. In light of high positivity rates and hospitalizations, FDA made temporary changes in late 2021, including temporarily postponing certain inspection activities from December 29, 2021 to January 19, 2022, and extended to February 4, 2022. Accordingly, during the COVID-19 pandemic, several companies have announced receipt of complete response letters due to the FDA's inability to complete required inspections for their applications. However, as of February 7, 2022, FDA has resumed conducting domestic surveillance inspections. FDA has also indicated that it may continue to utilize remote regulatory assessments for some of its regulatory oversight activities.</w:t>
      </w:r>
    </w:p>
    <w:p>
      <w:pPr>
        <w:spacing w:after="0" w:line="62" w:lineRule="exact"/>
        <w:rPr>
          <w:sz w:val="20"/>
          <w:szCs w:val="20"/>
          <w:color w:val="auto"/>
        </w:rPr>
      </w:pPr>
    </w:p>
    <w:p>
      <w:pPr>
        <w:ind w:right="60" w:firstLine="917"/>
        <w:spacing w:after="0" w:line="275" w:lineRule="auto"/>
        <w:rPr>
          <w:sz w:val="20"/>
          <w:szCs w:val="20"/>
          <w:color w:val="auto"/>
        </w:rPr>
      </w:pPr>
      <w:r>
        <w:rPr>
          <w:rFonts w:ascii="Arial" w:cs="Arial" w:eastAsia="Arial" w:hAnsi="Arial"/>
          <w:sz w:val="16"/>
          <w:szCs w:val="16"/>
          <w:color w:val="auto"/>
        </w:rPr>
        <w:t>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67"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Drug marketing and reimbursement regulations may materially affect our ability to market and secure reimbursement for our products.</w:t>
      </w:r>
    </w:p>
    <w:p>
      <w:pPr>
        <w:spacing w:after="0" w:line="21" w:lineRule="exact"/>
        <w:rPr>
          <w:sz w:val="20"/>
          <w:szCs w:val="20"/>
          <w:color w:val="auto"/>
        </w:rPr>
      </w:pPr>
    </w:p>
    <w:p>
      <w:pPr>
        <w:ind w:firstLine="917"/>
        <w:spacing w:after="0" w:line="234" w:lineRule="auto"/>
        <w:rPr>
          <w:sz w:val="20"/>
          <w:szCs w:val="20"/>
          <w:color w:val="auto"/>
        </w:rPr>
      </w:pPr>
      <w:r>
        <w:rPr>
          <w:rFonts w:ascii="Arial" w:cs="Arial" w:eastAsia="Arial" w:hAnsi="Arial"/>
          <w:sz w:val="17"/>
          <w:szCs w:val="17"/>
          <w:color w:val="auto"/>
        </w:rPr>
        <w:t>We intend to seek approval to market our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 the pricing of drugs is subject to governmental control and other market regulations which could put pressure on the pricing and usage of our product candidates. In these countries, pricing negotiations with governmental authorities can take considerable time after obtaining marketing approval of a product candidate. Furthermore, in many European countries (including the UK), effective access to the market depends on whether the product obtains a positive recommendation from the relevant health technology assessment body. In addition, market acceptance and sales of our product candidates will depend significantly on the availability of adequate coverage and reimbursement from third-party payors for our product candidates and may be affected by existing and future health care reform measures.</w:t>
      </w:r>
    </w:p>
    <w:p>
      <w:pPr>
        <w:spacing w:after="0" w:line="91" w:lineRule="exact"/>
        <w:rPr>
          <w:sz w:val="20"/>
          <w:szCs w:val="20"/>
          <w:color w:val="auto"/>
        </w:rPr>
      </w:pPr>
    </w:p>
    <w:p>
      <w:pPr>
        <w:ind w:right="200" w:firstLine="917"/>
        <w:spacing w:after="0" w:line="258" w:lineRule="auto"/>
        <w:rPr>
          <w:sz w:val="20"/>
          <w:szCs w:val="20"/>
          <w:color w:val="auto"/>
        </w:rPr>
      </w:pPr>
      <w:r>
        <w:rPr>
          <w:rFonts w:ascii="Arial" w:cs="Arial" w:eastAsia="Arial" w:hAnsi="Arial"/>
          <w:sz w:val="17"/>
          <w:szCs w:val="17"/>
          <w:color w:val="auto"/>
        </w:rPr>
        <w:t>Much like the federal Anti-Kickback Statute prohibition in the United States, the provision of benefits or advantages to induce or reward improper performance generally to induce or encourage the prescription, recommendation, endorsement, purchase, supply, order or use of medicinal products is also prohibited in the EU. The provision of benefits or advantages to induce or reward improper performance generally is governed by the national anti-bribery laws of EU Member</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51" w:name="page52"/>
    <w:bookmarkEnd w:id="51"/>
    <w:p>
      <w:pPr>
        <w:ind w:right="40"/>
        <w:spacing w:after="0" w:line="256" w:lineRule="auto"/>
        <w:rPr>
          <w:sz w:val="20"/>
          <w:szCs w:val="20"/>
          <w:color w:val="auto"/>
        </w:rPr>
      </w:pPr>
      <w:r>
        <w:rPr>
          <w:rFonts w:ascii="Arial" w:cs="Arial" w:eastAsia="Arial" w:hAnsi="Arial"/>
          <w:sz w:val="17"/>
          <w:szCs w:val="17"/>
          <w:color w:val="auto"/>
        </w:rPr>
        <w:t>States, and in respect of the UK (which is no longer a member of the EU), the Bribery Act 2010.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w:t>
      </w:r>
    </w:p>
    <w:p>
      <w:pPr>
        <w:spacing w:after="0" w:line="78" w:lineRule="exact"/>
        <w:rPr>
          <w:sz w:val="20"/>
          <w:szCs w:val="20"/>
          <w:color w:val="auto"/>
        </w:rPr>
      </w:pPr>
    </w:p>
    <w:p>
      <w:pPr>
        <w:ind w:right="200" w:firstLine="917"/>
        <w:spacing w:after="0" w:line="256" w:lineRule="auto"/>
        <w:rPr>
          <w:sz w:val="20"/>
          <w:szCs w:val="20"/>
          <w:color w:val="auto"/>
        </w:rPr>
      </w:pPr>
      <w:r>
        <w:rPr>
          <w:rFonts w:ascii="Arial" w:cs="Arial" w:eastAsia="Arial" w:hAnsi="Arial"/>
          <w:sz w:val="17"/>
          <w:szCs w:val="17"/>
          <w:color w:val="auto"/>
        </w:rPr>
        <w:t>Payments made to physicians in certain EU Member States and more generally throughout Europe (including in the UK) and other countries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78" w:lineRule="exact"/>
        <w:rPr>
          <w:sz w:val="20"/>
          <w:szCs w:val="20"/>
          <w:color w:val="auto"/>
        </w:rPr>
      </w:pPr>
    </w:p>
    <w:p>
      <w:pPr>
        <w:ind w:right="60" w:firstLine="917"/>
        <w:spacing w:after="0" w:line="269" w:lineRule="auto"/>
        <w:rPr>
          <w:sz w:val="20"/>
          <w:szCs w:val="20"/>
          <w:color w:val="auto"/>
        </w:rPr>
      </w:pPr>
      <w:r>
        <w:rPr>
          <w:rFonts w:ascii="Arial" w:cs="Arial" w:eastAsia="Arial" w:hAnsi="Arial"/>
          <w:sz w:val="16"/>
          <w:szCs w:val="16"/>
          <w:color w:val="auto"/>
        </w:rPr>
        <w:t>In addition, in most foreign countries, including the EEA, the proposed pricing for a drug must be approved before it may be lawfully marketed. The requirements governing drug pricing and reimbursement are the prerogative of the Member States and it varies widely from country to country. For example, the EU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study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biopharmaceutical products will allow favorable reimbursement and pricing arrangements for any of our products. Historically, products launched in the EU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Additional laws and regulations governing international operations could negatively impact or restrict our operations.</w:t>
      </w:r>
    </w:p>
    <w:p>
      <w:pPr>
        <w:spacing w:after="0" w:line="110" w:lineRule="exact"/>
        <w:rPr>
          <w:sz w:val="20"/>
          <w:szCs w:val="20"/>
          <w:color w:val="auto"/>
        </w:rPr>
      </w:pPr>
    </w:p>
    <w:p>
      <w:pPr>
        <w:ind w:firstLine="917"/>
        <w:spacing w:after="0" w:line="254" w:lineRule="auto"/>
        <w:rPr>
          <w:sz w:val="20"/>
          <w:szCs w:val="20"/>
          <w:color w:val="auto"/>
        </w:rPr>
      </w:pPr>
      <w:r>
        <w:rPr>
          <w:rFonts w:ascii="Arial" w:cs="Arial" w:eastAsia="Arial" w:hAnsi="Arial"/>
          <w:sz w:val="17"/>
          <w:szCs w:val="17"/>
          <w:color w:val="auto"/>
        </w:rPr>
        <w:t>If we expand our operations outside of the United States, we must dedicate additional resources to comply with numerous laws and regulations in each jurisdiction in which we plan to operate. The U.S. Foreign Corrupt Practices Act, or the FCPA, prohibits any U.S. individual or business entity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80" w:lineRule="exact"/>
        <w:rPr>
          <w:sz w:val="20"/>
          <w:szCs w:val="20"/>
          <w:color w:val="auto"/>
        </w:rPr>
      </w:pPr>
    </w:p>
    <w:p>
      <w:pPr>
        <w:ind w:right="300" w:firstLine="917"/>
        <w:spacing w:after="0" w:line="279" w:lineRule="auto"/>
        <w:rPr>
          <w:sz w:val="20"/>
          <w:szCs w:val="20"/>
          <w:color w:val="auto"/>
        </w:rPr>
      </w:pPr>
      <w:r>
        <w:rPr>
          <w:rFonts w:ascii="Arial" w:cs="Arial" w:eastAsia="Arial" w:hAnsi="Arial"/>
          <w:sz w:val="16"/>
          <w:szCs w:val="16"/>
          <w:color w:val="auto"/>
        </w:rPr>
        <w:t>Compliance with the FCPA is expensive and difficult, particularly in countries in which corruption is a recognized problem. In addition, the FCPA presents particular challenges in the biopharmaceutical industry, because, in many countries, hospitals are operated by the government, and doctors and other hospital employees are considered foreign officials. Certain payments to hospitals and healthcare providers in connection with clinical trials and other work have been deemed to be improper payments to government officials and have led to FCPA enforcement actions.</w:t>
      </w:r>
    </w:p>
    <w:p>
      <w:pPr>
        <w:spacing w:after="0" w:line="61" w:lineRule="exact"/>
        <w:rPr>
          <w:sz w:val="20"/>
          <w:szCs w:val="20"/>
          <w:color w:val="auto"/>
        </w:rPr>
      </w:pPr>
    </w:p>
    <w:p>
      <w:pPr>
        <w:ind w:firstLine="917"/>
        <w:spacing w:after="0" w:line="256" w:lineRule="auto"/>
        <w:rPr>
          <w:sz w:val="20"/>
          <w:szCs w:val="20"/>
          <w:color w:val="auto"/>
        </w:rPr>
      </w:pPr>
      <w:r>
        <w:rPr>
          <w:rFonts w:ascii="Arial" w:cs="Arial" w:eastAsia="Arial" w:hAnsi="Arial"/>
          <w:sz w:val="17"/>
          <w:szCs w:val="17"/>
          <w:color w:val="auto"/>
        </w:rPr>
        <w:t>Various laws, regulations and executive orders also restrict the use and dissemination outside of the United States, or the sharing with certain non-U.S. nationals, of information products classified for national security purposes, as well as certain products, technology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78" w:lineRule="exact"/>
        <w:rPr>
          <w:sz w:val="20"/>
          <w:szCs w:val="20"/>
          <w:color w:val="auto"/>
        </w:rPr>
      </w:pPr>
    </w:p>
    <w:p>
      <w:pPr>
        <w:ind w:right="420" w:firstLine="917"/>
        <w:spacing w:after="0" w:line="262" w:lineRule="auto"/>
        <w:rPr>
          <w:sz w:val="20"/>
          <w:szCs w:val="20"/>
          <w:color w:val="auto"/>
        </w:rPr>
      </w:pPr>
      <w:r>
        <w:rPr>
          <w:rFonts w:ascii="Arial" w:cs="Arial" w:eastAsia="Arial" w:hAnsi="Arial"/>
          <w:sz w:val="17"/>
          <w:szCs w:val="17"/>
          <w:color w:val="auto"/>
        </w:rPr>
        <w:t>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FCPA’s accounting provisions.</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We are subject to certain U.S. and foreign anti-corruption, anti-money laundering, export control, sanctions, and other trade laws and regulations.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can face serious consequences for violations.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52" w:name="page53"/>
    <w:bookmarkEnd w:id="52"/>
    <w:p>
      <w:pPr>
        <w:ind w:right="20" w:firstLine="917"/>
        <w:spacing w:after="0" w:line="270" w:lineRule="auto"/>
        <w:rPr>
          <w:sz w:val="20"/>
          <w:szCs w:val="20"/>
          <w:color w:val="auto"/>
        </w:rPr>
      </w:pPr>
      <w:r>
        <w:rPr>
          <w:rFonts w:ascii="Arial" w:cs="Arial" w:eastAsia="Arial" w:hAnsi="Arial"/>
          <w:sz w:val="16"/>
          <w:szCs w:val="16"/>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69"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114" w:lineRule="exact"/>
        <w:rPr>
          <w:sz w:val="20"/>
          <w:szCs w:val="20"/>
          <w:color w:val="auto"/>
        </w:rPr>
      </w:pPr>
    </w:p>
    <w:p>
      <w:pPr>
        <w:ind w:right="680" w:firstLine="917"/>
        <w:spacing w:after="0" w:line="274" w:lineRule="auto"/>
        <w:rPr>
          <w:sz w:val="20"/>
          <w:szCs w:val="20"/>
          <w:color w:val="auto"/>
        </w:rPr>
      </w:pPr>
      <w:r>
        <w:rPr>
          <w:rFonts w:ascii="Arial" w:cs="Arial" w:eastAsia="Arial" w:hAnsi="Arial"/>
          <w:sz w:val="17"/>
          <w:szCs w:val="17"/>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63" w:lineRule="exact"/>
        <w:rPr>
          <w:sz w:val="20"/>
          <w:szCs w:val="20"/>
          <w:color w:val="auto"/>
        </w:rPr>
      </w:pPr>
    </w:p>
    <w:p>
      <w:pPr>
        <w:ind w:right="40" w:firstLine="917"/>
        <w:spacing w:after="0" w:line="272" w:lineRule="auto"/>
        <w:rPr>
          <w:sz w:val="20"/>
          <w:szCs w:val="20"/>
          <w:color w:val="auto"/>
        </w:rPr>
      </w:pPr>
      <w:r>
        <w:rPr>
          <w:rFonts w:ascii="Arial" w:cs="Arial" w:eastAsia="Arial" w:hAnsi="Arial"/>
          <w:sz w:val="16"/>
          <w:szCs w:val="16"/>
          <w:color w:val="auto"/>
        </w:rPr>
        <w:t>Our business will depend in large part on obtaining and maintaining patent, trademark and trade secret protection of our proprietary technologies and our product candidates, their respective components, synthetic intermediates,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and whether a court would issue an injunctive remedy.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68" w:lineRule="exact"/>
        <w:rPr>
          <w:sz w:val="20"/>
          <w:szCs w:val="20"/>
          <w:color w:val="auto"/>
        </w:rPr>
      </w:pPr>
    </w:p>
    <w:p>
      <w:pPr>
        <w:ind w:right="20" w:firstLine="917"/>
        <w:spacing w:after="0" w:line="256" w:lineRule="auto"/>
        <w:rPr>
          <w:sz w:val="20"/>
          <w:szCs w:val="20"/>
          <w:color w:val="auto"/>
        </w:rPr>
      </w:pPr>
      <w:r>
        <w:rPr>
          <w:rFonts w:ascii="Arial" w:cs="Arial" w:eastAsia="Arial" w:hAnsi="Arial"/>
          <w:sz w:val="17"/>
          <w:szCs w:val="17"/>
          <w:color w:val="auto"/>
        </w:rPr>
        <w:t>The patenting process is expensive and time-consuming, and we may not be able to file and prosecute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spacing w:after="0" w:line="78" w:lineRule="exact"/>
        <w:rPr>
          <w:sz w:val="20"/>
          <w:szCs w:val="20"/>
          <w:color w:val="auto"/>
        </w:rPr>
      </w:pPr>
    </w:p>
    <w:p>
      <w:pPr>
        <w:ind w:firstLine="917"/>
        <w:spacing w:after="0" w:line="271" w:lineRule="auto"/>
        <w:rPr>
          <w:sz w:val="20"/>
          <w:szCs w:val="20"/>
          <w:color w:val="auto"/>
        </w:rPr>
      </w:pPr>
      <w:r>
        <w:rPr>
          <w:rFonts w:ascii="Arial" w:cs="Arial" w:eastAsia="Arial" w:hAnsi="Arial"/>
          <w:sz w:val="16"/>
          <w:szCs w:val="16"/>
          <w:color w:val="auto"/>
        </w:rPr>
        <w:t>The strength of patents in the biotechnology and biopharmaceutical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our product candidates,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spacing w:after="0" w:line="70" w:lineRule="exact"/>
        <w:rPr>
          <w:sz w:val="20"/>
          <w:szCs w:val="20"/>
          <w:color w:val="auto"/>
        </w:rPr>
      </w:pPr>
    </w:p>
    <w:p>
      <w:pPr>
        <w:ind w:right="260" w:firstLine="917"/>
        <w:spacing w:after="0" w:line="274" w:lineRule="auto"/>
        <w:rPr>
          <w:sz w:val="20"/>
          <w:szCs w:val="20"/>
          <w:color w:val="auto"/>
        </w:rPr>
      </w:pPr>
      <w:r>
        <w:rPr>
          <w:rFonts w:ascii="Arial" w:cs="Arial" w:eastAsia="Arial" w:hAnsi="Arial"/>
          <w:sz w:val="17"/>
          <w:szCs w:val="17"/>
          <w:color w:val="auto"/>
        </w:rPr>
        <w:t>We cannot be certain that we were the first to file any patent application related to our technology, including our product candidates, and, if we were not, we may be precluded from obtaining patent protection for our technology, including our product candidates.</w:t>
      </w:r>
    </w:p>
    <w:p>
      <w:pPr>
        <w:spacing w:after="0" w:line="63" w:lineRule="exact"/>
        <w:rPr>
          <w:sz w:val="20"/>
          <w:szCs w:val="20"/>
          <w:color w:val="auto"/>
        </w:rPr>
      </w:pPr>
    </w:p>
    <w:p>
      <w:pPr>
        <w:ind w:right="40" w:firstLine="917"/>
        <w:spacing w:after="0" w:line="298" w:lineRule="auto"/>
        <w:rPr>
          <w:sz w:val="20"/>
          <w:szCs w:val="20"/>
          <w:color w:val="auto"/>
        </w:rPr>
      </w:pPr>
      <w:r>
        <w:rPr>
          <w:rFonts w:ascii="Arial" w:cs="Arial" w:eastAsia="Arial" w:hAnsi="Arial"/>
          <w:sz w:val="15"/>
          <w:szCs w:val="15"/>
          <w:color w:val="auto"/>
        </w:rPr>
        <w:t>We cannot be certain that we were the first to invent the inventions covered by pending patent applications and, if we are not, we may be subject to priority disputes. Furthermore, for United States applications in which all claims are entitled to a priority date before March 16, 2013, an interference proceeding can be provoked by a third-party or instituted by the United States Patent and Trademark Office, or USPTO, to determine who was the first to invent any of the subject matter covered by the patent claims of our applications. Similarly, for United States applications in which at least one claim is not entitled to a priority date before March 16, 2013, derivation proceedings can be instituted to determine whether the subject matter of a patent claim was derived from a prior inventor’s disclosure.</w:t>
      </w:r>
    </w:p>
    <w:p>
      <w:pPr>
        <w:spacing w:after="0" w:line="50" w:lineRule="exact"/>
        <w:rPr>
          <w:sz w:val="20"/>
          <w:szCs w:val="20"/>
          <w:color w:val="auto"/>
        </w:rPr>
      </w:pPr>
    </w:p>
    <w:p>
      <w:pPr>
        <w:ind w:right="20" w:firstLine="917"/>
        <w:spacing w:after="0" w:line="275" w:lineRule="auto"/>
        <w:rPr>
          <w:sz w:val="20"/>
          <w:szCs w:val="20"/>
          <w:color w:val="auto"/>
        </w:rPr>
      </w:pPr>
      <w:r>
        <w:rPr>
          <w:rFonts w:ascii="Arial" w:cs="Arial" w:eastAsia="Arial" w:hAnsi="Arial"/>
          <w:sz w:val="16"/>
          <w:szCs w:val="16"/>
          <w:color w:val="auto"/>
        </w:rPr>
        <w:t>We may be required to disclaim part or all of the term of certain patents or all of the term of certain patent applications.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our product candidates, or would be found by a court to be infringed by</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53" w:name="page54"/>
    <w:bookmarkEnd w:id="53"/>
    <w:p>
      <w:pPr>
        <w:ind w:right="260"/>
        <w:spacing w:after="0" w:line="256" w:lineRule="auto"/>
        <w:rPr>
          <w:sz w:val="20"/>
          <w:szCs w:val="20"/>
          <w:color w:val="auto"/>
        </w:rPr>
      </w:pPr>
      <w:r>
        <w:rPr>
          <w:rFonts w:ascii="Arial" w:cs="Arial" w:eastAsia="Arial" w:hAnsi="Arial"/>
          <w:sz w:val="17"/>
          <w:szCs w:val="17"/>
          <w:color w:val="auto"/>
        </w:rPr>
        <w:t>a competitor’s technology or product. We may analyze patents or patent applications of our competitors that we believe are relevant to our activities and consider that we are free to operate in relation to our product candidates, but our competitors may obtain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spacing w:after="0" w:line="78" w:lineRule="exact"/>
        <w:rPr>
          <w:sz w:val="20"/>
          <w:szCs w:val="20"/>
          <w:color w:val="auto"/>
        </w:rPr>
      </w:pPr>
    </w:p>
    <w:p>
      <w:pPr>
        <w:ind w:firstLine="917"/>
        <w:spacing w:after="0" w:line="269" w:lineRule="auto"/>
        <w:rPr>
          <w:sz w:val="20"/>
          <w:szCs w:val="20"/>
          <w:color w:val="auto"/>
        </w:rPr>
      </w:pPr>
      <w:r>
        <w:rPr>
          <w:rFonts w:ascii="Arial" w:cs="Arial" w:eastAsia="Arial" w:hAnsi="Arial"/>
          <w:sz w:val="16"/>
          <w:szCs w:val="16"/>
          <w:color w:val="auto"/>
        </w:rPr>
        <w:t>Recent or future patent reform legislation could increase the uncertainties and costs surrounding the prosecution of our patent applications and the enforcement or defense of our issued patents. Under the Leahy-Smith America Invents Act, or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75" w:lineRule="exact"/>
        <w:rPr>
          <w:sz w:val="20"/>
          <w:szCs w:val="20"/>
          <w:color w:val="auto"/>
        </w:rPr>
      </w:pPr>
    </w:p>
    <w:p>
      <w:pPr>
        <w:ind w:right="480" w:firstLine="917"/>
        <w:spacing w:after="0" w:line="274" w:lineRule="auto"/>
        <w:rPr>
          <w:sz w:val="20"/>
          <w:szCs w:val="20"/>
          <w:color w:val="auto"/>
        </w:rPr>
      </w:pPr>
      <w:r>
        <w:rPr>
          <w:rFonts w:ascii="Arial" w:cs="Arial" w:eastAsia="Arial" w:hAnsi="Arial"/>
          <w:sz w:val="17"/>
          <w:szCs w:val="17"/>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01" w:lineRule="exact"/>
        <w:rPr>
          <w:sz w:val="20"/>
          <w:szCs w:val="20"/>
          <w:color w:val="auto"/>
        </w:rPr>
      </w:pPr>
    </w:p>
    <w:p>
      <w:pPr>
        <w:ind w:left="2140" w:right="80" w:hanging="1062"/>
        <w:spacing w:after="0" w:line="236" w:lineRule="auto"/>
        <w:tabs>
          <w:tab w:leader="none" w:pos="2135" w:val="left"/>
        </w:tabs>
        <w:numPr>
          <w:ilvl w:val="0"/>
          <w:numId w:val="39"/>
        </w:numPr>
        <w:rPr>
          <w:rFonts w:ascii="Arial" w:cs="Arial" w:eastAsia="Arial" w:hAnsi="Arial"/>
          <w:sz w:val="20"/>
          <w:szCs w:val="20"/>
          <w:color w:val="auto"/>
        </w:rPr>
      </w:pPr>
      <w:r>
        <w:rPr>
          <w:rFonts w:ascii="Arial" w:cs="Arial" w:eastAsia="Arial" w:hAnsi="Arial"/>
          <w:sz w:val="17"/>
          <w:szCs w:val="17"/>
          <w:color w:val="auto"/>
        </w:rPr>
        <w:t>others may be able to make or use compounds that are similar to the compositions of our product candidates but that are not covered by the claims of our patents or those of our licensors;</w:t>
      </w:r>
    </w:p>
    <w:p>
      <w:pPr>
        <w:spacing w:after="0" w:line="91" w:lineRule="exact"/>
        <w:rPr>
          <w:rFonts w:ascii="Arial" w:cs="Arial" w:eastAsia="Arial" w:hAnsi="Arial"/>
          <w:sz w:val="20"/>
          <w:szCs w:val="20"/>
          <w:color w:val="auto"/>
        </w:rPr>
      </w:pPr>
    </w:p>
    <w:p>
      <w:pPr>
        <w:ind w:left="2140" w:right="60" w:hanging="1062"/>
        <w:spacing w:after="0" w:line="274" w:lineRule="auto"/>
        <w:tabs>
          <w:tab w:leader="none" w:pos="2136"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or our licensors, as the case may be, might not have been the first to file patent applications for these inventions;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technologies or duplicate any of our technologies;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it is possible that our pending patent applications will not result in issued patents;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may not be able to extend the patent term in some jurisdictions;</w:t>
      </w:r>
    </w:p>
    <w:p>
      <w:pPr>
        <w:spacing w:after="0" w:line="110" w:lineRule="exact"/>
        <w:rPr>
          <w:rFonts w:ascii="Arial" w:cs="Arial" w:eastAsia="Arial" w:hAnsi="Arial"/>
          <w:sz w:val="17"/>
          <w:szCs w:val="17"/>
          <w:color w:val="auto"/>
        </w:rPr>
      </w:pPr>
    </w:p>
    <w:p>
      <w:pPr>
        <w:ind w:left="2140" w:right="160" w:hanging="1062"/>
        <w:spacing w:after="0" w:line="274" w:lineRule="auto"/>
        <w:tabs>
          <w:tab w:leader="none" w:pos="2136" w:val="left"/>
        </w:tabs>
        <w:numPr>
          <w:ilvl w:val="0"/>
          <w:numId w:val="39"/>
        </w:numPr>
        <w:rPr>
          <w:rFonts w:ascii="Arial" w:cs="Arial" w:eastAsia="Arial" w:hAnsi="Arial"/>
          <w:sz w:val="17"/>
          <w:szCs w:val="17"/>
          <w:color w:val="auto"/>
        </w:rPr>
      </w:pPr>
      <w:r>
        <w:rPr>
          <w:rFonts w:ascii="Arial" w:cs="Arial" w:eastAsia="Arial" w:hAnsi="Arial"/>
          <w:sz w:val="17"/>
          <w:szCs w:val="17"/>
          <w:color w:val="auto"/>
        </w:rPr>
        <w:t>it is possible that there are prior public disclosures that could invalidate our or our licensors’ patents, as the case may be, or parts of our or their patents;</w:t>
      </w:r>
    </w:p>
    <w:p>
      <w:pPr>
        <w:spacing w:after="0" w:line="63" w:lineRule="exact"/>
        <w:rPr>
          <w:rFonts w:ascii="Arial" w:cs="Arial" w:eastAsia="Arial" w:hAnsi="Arial"/>
          <w:sz w:val="17"/>
          <w:szCs w:val="17"/>
          <w:color w:val="auto"/>
        </w:rPr>
      </w:pPr>
    </w:p>
    <w:p>
      <w:pPr>
        <w:ind w:left="2140" w:right="180" w:hanging="1062"/>
        <w:spacing w:after="0" w:line="274" w:lineRule="auto"/>
        <w:tabs>
          <w:tab w:leader="none" w:pos="2136" w:val="left"/>
        </w:tabs>
        <w:numPr>
          <w:ilvl w:val="0"/>
          <w:numId w:val="39"/>
        </w:numPr>
        <w:rPr>
          <w:rFonts w:ascii="Arial" w:cs="Arial" w:eastAsia="Arial" w:hAnsi="Arial"/>
          <w:sz w:val="17"/>
          <w:szCs w:val="17"/>
          <w:color w:val="auto"/>
        </w:rPr>
      </w:pPr>
      <w:r>
        <w:rPr>
          <w:rFonts w:ascii="Arial" w:cs="Arial" w:eastAsia="Arial" w:hAnsi="Arial"/>
          <w:sz w:val="17"/>
          <w:szCs w:val="17"/>
          <w:color w:val="auto"/>
        </w:rPr>
        <w:t>it is possible that others may circumvent our owned or in-licensed patents or regulatory intellectual property rights such as our data protection, orphan market exclusivity and others;</w:t>
      </w:r>
    </w:p>
    <w:p>
      <w:pPr>
        <w:spacing w:after="0" w:line="63" w:lineRule="exact"/>
        <w:rPr>
          <w:rFonts w:ascii="Arial" w:cs="Arial" w:eastAsia="Arial" w:hAnsi="Arial"/>
          <w:sz w:val="17"/>
          <w:szCs w:val="17"/>
          <w:color w:val="auto"/>
        </w:rPr>
      </w:pPr>
    </w:p>
    <w:p>
      <w:pPr>
        <w:ind w:left="2140" w:right="360" w:hanging="1062"/>
        <w:spacing w:after="0" w:line="274" w:lineRule="auto"/>
        <w:tabs>
          <w:tab w:leader="none" w:pos="2136" w:val="left"/>
        </w:tabs>
        <w:numPr>
          <w:ilvl w:val="0"/>
          <w:numId w:val="39"/>
        </w:numPr>
        <w:rPr>
          <w:rFonts w:ascii="Arial" w:cs="Arial" w:eastAsia="Arial" w:hAnsi="Arial"/>
          <w:sz w:val="17"/>
          <w:szCs w:val="17"/>
          <w:color w:val="auto"/>
        </w:rPr>
      </w:pPr>
      <w:r>
        <w:rPr>
          <w:rFonts w:ascii="Arial" w:cs="Arial" w:eastAsia="Arial" w:hAnsi="Arial"/>
          <w:sz w:val="17"/>
          <w:szCs w:val="17"/>
          <w:color w:val="auto"/>
        </w:rPr>
        <w:t>it is possible that there are unpublished applications or patent applications maintained in secrecy that may later issue with claims covering our products or technology similar to ours;</w:t>
      </w:r>
    </w:p>
    <w:p>
      <w:pPr>
        <w:spacing w:after="0" w:line="63" w:lineRule="exact"/>
        <w:rPr>
          <w:rFonts w:ascii="Arial" w:cs="Arial" w:eastAsia="Arial" w:hAnsi="Arial"/>
          <w:sz w:val="17"/>
          <w:szCs w:val="17"/>
          <w:color w:val="auto"/>
        </w:rPr>
      </w:pPr>
    </w:p>
    <w:p>
      <w:pPr>
        <w:ind w:left="2140" w:right="280" w:hanging="1062"/>
        <w:spacing w:after="0" w:line="274" w:lineRule="auto"/>
        <w:tabs>
          <w:tab w:leader="none" w:pos="2136"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laws of foreign countries may not protect our or our licensors’, as the case may be, proprietary rights to the same extent as the laws of the United States;</w:t>
      </w:r>
    </w:p>
    <w:p>
      <w:pPr>
        <w:spacing w:after="0" w:line="63" w:lineRule="exact"/>
        <w:rPr>
          <w:rFonts w:ascii="Arial" w:cs="Arial" w:eastAsia="Arial" w:hAnsi="Arial"/>
          <w:sz w:val="17"/>
          <w:szCs w:val="17"/>
          <w:color w:val="auto"/>
        </w:rPr>
      </w:pPr>
    </w:p>
    <w:p>
      <w:pPr>
        <w:ind w:left="2140" w:right="740" w:hanging="1062"/>
        <w:spacing w:after="0" w:line="274" w:lineRule="auto"/>
        <w:tabs>
          <w:tab w:leader="none" w:pos="2136"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claims of our owned or in-licensed issued patents or patent applications, if and when issued, may not cover our product candidates;</w:t>
      </w:r>
    </w:p>
    <w:p>
      <w:pPr>
        <w:spacing w:after="0" w:line="63" w:lineRule="exact"/>
        <w:rPr>
          <w:rFonts w:ascii="Arial" w:cs="Arial" w:eastAsia="Arial" w:hAnsi="Arial"/>
          <w:sz w:val="17"/>
          <w:szCs w:val="17"/>
          <w:color w:val="auto"/>
        </w:rPr>
      </w:pPr>
    </w:p>
    <w:p>
      <w:pPr>
        <w:ind w:left="2140" w:right="140" w:hanging="1062"/>
        <w:spacing w:after="0" w:line="274" w:lineRule="auto"/>
        <w:tabs>
          <w:tab w:leader="none" w:pos="2136"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owned or in-licensed issued patents may not provide us with any competitive advantages, may be narrowed in scope, or be held invalid or unenforceable as a result of legal challenges by third parties;</w:t>
      </w:r>
    </w:p>
    <w:p>
      <w:pPr>
        <w:spacing w:after="0" w:line="63" w:lineRule="exact"/>
        <w:rPr>
          <w:rFonts w:ascii="Arial" w:cs="Arial" w:eastAsia="Arial" w:hAnsi="Arial"/>
          <w:sz w:val="17"/>
          <w:szCs w:val="17"/>
          <w:color w:val="auto"/>
        </w:rPr>
      </w:pPr>
    </w:p>
    <w:p>
      <w:pPr>
        <w:jc w:val="both"/>
        <w:ind w:left="2140" w:right="80" w:hanging="1062"/>
        <w:spacing w:after="0" w:line="262" w:lineRule="auto"/>
        <w:tabs>
          <w:tab w:leader="none" w:pos="2136"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5" w:right="359" w:bottom="1440" w:gutter="0" w:footer="0" w:header="0"/>
        </w:sectPr>
      </w:pPr>
    </w:p>
    <w:bookmarkStart w:id="54" w:name="page55"/>
    <w:bookmarkEnd w:id="54"/>
    <w:p>
      <w:pPr>
        <w:ind w:left="2140" w:right="340" w:hanging="1062"/>
        <w:spacing w:after="0" w:line="262" w:lineRule="auto"/>
        <w:tabs>
          <w:tab w:leader="none" w:pos="2136" w:val="left"/>
        </w:tabs>
        <w:numPr>
          <w:ilvl w:val="0"/>
          <w:numId w:val="40"/>
        </w:numPr>
        <w:rPr>
          <w:rFonts w:ascii="Arial" w:cs="Arial" w:eastAsia="Arial" w:hAnsi="Arial"/>
          <w:sz w:val="17"/>
          <w:szCs w:val="17"/>
          <w:color w:val="auto"/>
        </w:rPr>
      </w:pPr>
      <w:r>
        <w:rPr>
          <w:rFonts w:ascii="Arial" w:cs="Arial" w:eastAsia="Arial" w:hAnsi="Arial"/>
          <w:sz w:val="17"/>
          <w:szCs w:val="17"/>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72" w:lineRule="exact"/>
        <w:rPr>
          <w:rFonts w:ascii="Arial" w:cs="Arial" w:eastAsia="Arial" w:hAnsi="Arial"/>
          <w:sz w:val="17"/>
          <w:szCs w:val="17"/>
          <w:color w:val="auto"/>
        </w:rPr>
      </w:pPr>
    </w:p>
    <w:p>
      <w:pPr>
        <w:ind w:left="2140" w:right="380" w:hanging="1062"/>
        <w:spacing w:after="0" w:line="274" w:lineRule="auto"/>
        <w:tabs>
          <w:tab w:leader="none" w:pos="2136"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have engaged in scientific collaborations in the past and will continue to do so in the future. Such collaborators may develop adjacent or competing products to ours that are outside the scope of our patents;</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may not develop additional proprietary technologies for which we can obtain patent protection;</w:t>
      </w:r>
    </w:p>
    <w:p>
      <w:pPr>
        <w:spacing w:after="0" w:line="110" w:lineRule="exact"/>
        <w:rPr>
          <w:rFonts w:ascii="Arial" w:cs="Arial" w:eastAsia="Arial" w:hAnsi="Arial"/>
          <w:sz w:val="17"/>
          <w:szCs w:val="17"/>
          <w:color w:val="auto"/>
        </w:rPr>
      </w:pPr>
    </w:p>
    <w:p>
      <w:pPr>
        <w:ind w:left="2140" w:right="20" w:hanging="1062"/>
        <w:spacing w:after="0" w:line="274" w:lineRule="auto"/>
        <w:tabs>
          <w:tab w:leader="none" w:pos="2136" w:val="left"/>
        </w:tabs>
        <w:numPr>
          <w:ilvl w:val="0"/>
          <w:numId w:val="40"/>
        </w:numPr>
        <w:rPr>
          <w:rFonts w:ascii="Arial" w:cs="Arial" w:eastAsia="Arial" w:hAnsi="Arial"/>
          <w:sz w:val="17"/>
          <w:szCs w:val="17"/>
          <w:color w:val="auto"/>
        </w:rPr>
      </w:pPr>
      <w:r>
        <w:rPr>
          <w:rFonts w:ascii="Arial" w:cs="Arial" w:eastAsia="Arial" w:hAnsi="Arial"/>
          <w:sz w:val="17"/>
          <w:szCs w:val="17"/>
          <w:color w:val="auto"/>
        </w:rPr>
        <w:t>it is possible that product candidates or diagnostic tests we develop may be covered by third parties’ patents or other exclusive rights; or</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patents of others may have an adverse effect on our business.</w:t>
      </w:r>
    </w:p>
    <w:p>
      <w:pPr>
        <w:spacing w:after="0" w:line="110" w:lineRule="exact"/>
        <w:rPr>
          <w:sz w:val="20"/>
          <w:szCs w:val="20"/>
          <w:color w:val="auto"/>
        </w:rPr>
      </w:pPr>
    </w:p>
    <w:p>
      <w:pPr>
        <w:ind w:right="140" w:firstLine="917"/>
        <w:spacing w:after="0" w:line="342" w:lineRule="auto"/>
        <w:rPr>
          <w:sz w:val="20"/>
          <w:szCs w:val="20"/>
          <w:color w:val="auto"/>
        </w:rPr>
      </w:pPr>
      <w:r>
        <w:rPr>
          <w:rFonts w:ascii="Arial" w:cs="Arial" w:eastAsia="Arial" w:hAnsi="Arial"/>
          <w:sz w:val="15"/>
          <w:szCs w:val="15"/>
          <w:b w:val="1"/>
          <w:bCs w:val="1"/>
          <w:i w:val="1"/>
          <w:iCs w:val="1"/>
          <w:color w:val="auto"/>
        </w:rPr>
        <w:t>We may enter into license or other collaboration agreements in the future that may impose certain obligations on us. If we fail to comply with our obligations under such future agreements with third parties, we could lose license rights that may be important to our future business.</w:t>
      </w:r>
    </w:p>
    <w:p>
      <w:pPr>
        <w:spacing w:after="0" w:line="18" w:lineRule="exact"/>
        <w:rPr>
          <w:sz w:val="20"/>
          <w:szCs w:val="20"/>
          <w:color w:val="auto"/>
        </w:rPr>
      </w:pPr>
    </w:p>
    <w:p>
      <w:pPr>
        <w:ind w:right="60" w:firstLine="917"/>
        <w:spacing w:after="0" w:line="303" w:lineRule="auto"/>
        <w:rPr>
          <w:sz w:val="20"/>
          <w:szCs w:val="20"/>
          <w:color w:val="auto"/>
        </w:rPr>
      </w:pPr>
      <w:r>
        <w:rPr>
          <w:rFonts w:ascii="Arial" w:cs="Arial" w:eastAsia="Arial" w:hAnsi="Arial"/>
          <w:sz w:val="15"/>
          <w:szCs w:val="15"/>
          <w:color w:val="auto"/>
        </w:rPr>
        <w:t>In connection with our efforts to expand our pipeline of product candidates, we may enter into certain licenses or other collaboration agreements in the future pertaining to the in-license of rights to additional candidates. Such agreements may impose various diligence, milestone payment, royalty, insurance, or other obligations on us, subject to antitrust law restrictions. If we fail to comply with these obligations, our licensor or collaboration partners may have the right to terminate the relevant agreement, in which event we would not be able to develop or market the products covered by such licensed intellectual property.</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Moreover, disputes may arise regarding intellectual property subject to a licensing agreement, including:</w:t>
      </w:r>
    </w:p>
    <w:p>
      <w:pPr>
        <w:spacing w:after="0" w:line="134" w:lineRule="exact"/>
        <w:rPr>
          <w:sz w:val="20"/>
          <w:szCs w:val="20"/>
          <w:color w:val="auto"/>
        </w:rPr>
      </w:pPr>
    </w:p>
    <w:p>
      <w:pPr>
        <w:ind w:left="2140" w:hanging="1062"/>
        <w:spacing w:after="0"/>
        <w:tabs>
          <w:tab w:leader="none" w:pos="2140" w:val="left"/>
        </w:tabs>
        <w:numPr>
          <w:ilvl w:val="0"/>
          <w:numId w:val="41"/>
        </w:numPr>
        <w:rPr>
          <w:rFonts w:ascii="Arial" w:cs="Arial" w:eastAsia="Arial" w:hAnsi="Arial"/>
          <w:sz w:val="20"/>
          <w:szCs w:val="20"/>
          <w:color w:val="auto"/>
        </w:rPr>
      </w:pPr>
      <w:r>
        <w:rPr>
          <w:rFonts w:ascii="Arial" w:cs="Arial" w:eastAsia="Arial" w:hAnsi="Arial"/>
          <w:sz w:val="17"/>
          <w:szCs w:val="17"/>
          <w:color w:val="auto"/>
        </w:rPr>
        <w:t>the scope of rights granted under the license agreement and other interpretation-related issues;</w:t>
      </w:r>
    </w:p>
    <w:p>
      <w:pPr>
        <w:spacing w:after="0" w:line="90" w:lineRule="exact"/>
        <w:rPr>
          <w:rFonts w:ascii="Arial" w:cs="Arial" w:eastAsia="Arial" w:hAnsi="Arial"/>
          <w:sz w:val="20"/>
          <w:szCs w:val="20"/>
          <w:color w:val="auto"/>
        </w:rPr>
      </w:pPr>
    </w:p>
    <w:p>
      <w:pPr>
        <w:ind w:left="2140" w:right="440" w:hanging="1062"/>
        <w:spacing w:after="0" w:line="274" w:lineRule="auto"/>
        <w:tabs>
          <w:tab w:leader="none" w:pos="2136"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extent to which our product candidates, technology and processes infringe on intellectual property of the licensor that is not subject to the licensing agreement;</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sublicensing of patent and other rights under our collaborative development relationships;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diligence obligations under the license agreement and what activities satisfy those diligence obligations;</w:t>
      </w:r>
    </w:p>
    <w:p>
      <w:pPr>
        <w:spacing w:after="0" w:line="110" w:lineRule="exact"/>
        <w:rPr>
          <w:rFonts w:ascii="Arial" w:cs="Arial" w:eastAsia="Arial" w:hAnsi="Arial"/>
          <w:sz w:val="17"/>
          <w:szCs w:val="17"/>
          <w:color w:val="auto"/>
        </w:rPr>
      </w:pPr>
    </w:p>
    <w:p>
      <w:pPr>
        <w:ind w:left="2140" w:right="220" w:hanging="1062"/>
        <w:spacing w:after="0" w:line="274" w:lineRule="auto"/>
        <w:tabs>
          <w:tab w:leader="none" w:pos="2136"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inventorship and ownership of inventions and know-how resulting from the joint creation or use of intellectual property by our licensors and us and our partners; and</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priority of invention of patented technology.</w:t>
      </w:r>
    </w:p>
    <w:p>
      <w:pPr>
        <w:spacing w:after="0" w:line="110" w:lineRule="exact"/>
        <w:rPr>
          <w:sz w:val="20"/>
          <w:szCs w:val="20"/>
          <w:color w:val="auto"/>
        </w:rPr>
      </w:pPr>
    </w:p>
    <w:p>
      <w:pPr>
        <w:ind w:right="80" w:firstLine="917"/>
        <w:spacing w:after="0" w:line="254" w:lineRule="auto"/>
        <w:rPr>
          <w:sz w:val="20"/>
          <w:szCs w:val="20"/>
          <w:color w:val="auto"/>
        </w:rPr>
      </w:pPr>
      <w:r>
        <w:rPr>
          <w:rFonts w:ascii="Arial" w:cs="Arial" w:eastAsia="Arial" w:hAnsi="Arial"/>
          <w:sz w:val="17"/>
          <w:szCs w:val="17"/>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80" w:lineRule="exact"/>
        <w:rPr>
          <w:sz w:val="20"/>
          <w:szCs w:val="20"/>
          <w:color w:val="auto"/>
        </w:rPr>
      </w:pPr>
    </w:p>
    <w:p>
      <w:pPr>
        <w:ind w:firstLine="917"/>
        <w:spacing w:after="0" w:line="255" w:lineRule="auto"/>
        <w:rPr>
          <w:sz w:val="20"/>
          <w:szCs w:val="20"/>
          <w:color w:val="auto"/>
        </w:rPr>
      </w:pPr>
      <w:r>
        <w:rPr>
          <w:rFonts w:ascii="Arial" w:cs="Arial" w:eastAsia="Arial" w:hAnsi="Arial"/>
          <w:sz w:val="17"/>
          <w:szCs w:val="17"/>
          <w:color w:val="auto"/>
        </w:rPr>
        <w:t>In addition, we may have limited control over the maintenance and prosecution of these in-licensed patents and patent applications, or any other intellectual property that may be related to our in-licensed intellectual property. For example, we cannot be certain that such activities by any future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our business and competitive position would be harmed.</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5" w:right="359" w:bottom="1440" w:gutter="0" w:footer="0" w:header="0"/>
        </w:sectPr>
      </w:pPr>
    </w:p>
    <w:bookmarkStart w:id="55" w:name="page56"/>
    <w:bookmarkEnd w:id="55"/>
    <w:p>
      <w:pPr>
        <w:ind w:right="20" w:firstLine="917"/>
        <w:spacing w:after="0" w:line="288" w:lineRule="auto"/>
        <w:rPr>
          <w:sz w:val="20"/>
          <w:szCs w:val="20"/>
          <w:color w:val="auto"/>
        </w:rPr>
      </w:pPr>
      <w:r>
        <w:rPr>
          <w:rFonts w:ascii="Arial" w:cs="Arial" w:eastAsia="Arial" w:hAnsi="Arial"/>
          <w:sz w:val="15"/>
          <w:szCs w:val="15"/>
          <w:color w:val="auto"/>
        </w:rPr>
        <w:t>In addition to patent protection, we rely heavily upon know-how and trade secret protection, as well as non-disclosure agreements and invention assignment agreements with our employees, consultants and third 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For example, our clinical development strategy includes the testing of live tissue samples, and our techniques for preserving and testing these samples are proprietary and confidential. If one or more third parties obtain or are otherwise able to replicate these techniques, an important feature and differentiator of our clinical development strategy will become available to potential competitors. If any of our confidential or proprietary information, such as our trade secrets, were to be disclosed or misappropriated, or if any such information was independently developed by a competitor, our competitive position could be harmed.</w:t>
      </w:r>
    </w:p>
    <w:p>
      <w:pPr>
        <w:spacing w:after="0" w:line="63" w:lineRule="exact"/>
        <w:rPr>
          <w:sz w:val="20"/>
          <w:szCs w:val="20"/>
          <w:color w:val="auto"/>
        </w:rPr>
      </w:pPr>
    </w:p>
    <w:p>
      <w:pPr>
        <w:ind w:firstLine="917"/>
        <w:spacing w:after="0" w:line="303" w:lineRule="auto"/>
        <w:rPr>
          <w:sz w:val="20"/>
          <w:szCs w:val="20"/>
          <w:color w:val="auto"/>
        </w:rPr>
      </w:pPr>
      <w:r>
        <w:rPr>
          <w:rFonts w:ascii="Arial" w:cs="Arial" w:eastAsia="Arial" w:hAnsi="Arial"/>
          <w:sz w:val="15"/>
          <w:szCs w:val="15"/>
          <w:color w:val="auto"/>
        </w:rPr>
        <w:t>In addition, courts outside the United States are sometimes less willing to protect trade secrets. If we choose to go to court to stop a third-party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spacing w:after="0" w:line="46" w:lineRule="exact"/>
        <w:rPr>
          <w:sz w:val="20"/>
          <w:szCs w:val="20"/>
          <w:color w:val="auto"/>
        </w:rPr>
      </w:pPr>
    </w:p>
    <w:p>
      <w:pPr>
        <w:ind w:right="100" w:firstLine="917"/>
        <w:spacing w:after="0" w:line="253" w:lineRule="auto"/>
        <w:rPr>
          <w:sz w:val="20"/>
          <w:szCs w:val="20"/>
          <w:color w:val="auto"/>
        </w:rPr>
      </w:pPr>
      <w:r>
        <w:rPr>
          <w:rFonts w:ascii="Arial" w:cs="Arial" w:eastAsia="Arial" w:hAnsi="Arial"/>
          <w:sz w:val="17"/>
          <w:szCs w:val="17"/>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by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w:t>
      </w:r>
    </w:p>
    <w:p>
      <w:pPr>
        <w:spacing w:after="0" w:line="81"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Third-party claims of intellectual property infringement may prevent or delay our product discovery and development efforts.</w:t>
      </w:r>
    </w:p>
    <w:p>
      <w:pPr>
        <w:spacing w:after="0" w:line="110" w:lineRule="exact"/>
        <w:rPr>
          <w:sz w:val="20"/>
          <w:szCs w:val="20"/>
          <w:color w:val="auto"/>
        </w:rPr>
      </w:pPr>
    </w:p>
    <w:p>
      <w:pPr>
        <w:ind w:right="80" w:firstLine="917"/>
        <w:spacing w:after="0" w:line="269" w:lineRule="auto"/>
        <w:rPr>
          <w:sz w:val="20"/>
          <w:szCs w:val="20"/>
          <w:color w:val="auto"/>
        </w:rPr>
      </w:pPr>
      <w:r>
        <w:rPr>
          <w:rFonts w:ascii="Arial" w:cs="Arial" w:eastAsia="Arial" w:hAnsi="Arial"/>
          <w:sz w:val="16"/>
          <w:szCs w:val="16"/>
          <w:color w:val="auto"/>
        </w:rPr>
        <w:t>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 challenging patents, including interference, derivation, inter partes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biopharmaceutical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7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If a third-party claims that we infringe its intellectual property rights, we may face a number of issues, including, but not limited to:</w:t>
      </w:r>
    </w:p>
    <w:p>
      <w:pPr>
        <w:spacing w:after="0" w:line="148" w:lineRule="exact"/>
        <w:rPr>
          <w:sz w:val="20"/>
          <w:szCs w:val="20"/>
          <w:color w:val="auto"/>
        </w:rPr>
      </w:pPr>
    </w:p>
    <w:p>
      <w:pPr>
        <w:ind w:left="2140" w:right="100" w:hanging="1062"/>
        <w:spacing w:after="0" w:line="236" w:lineRule="auto"/>
        <w:tabs>
          <w:tab w:leader="none" w:pos="2135" w:val="left"/>
        </w:tabs>
        <w:numPr>
          <w:ilvl w:val="0"/>
          <w:numId w:val="42"/>
        </w:numPr>
        <w:rPr>
          <w:rFonts w:ascii="Arial" w:cs="Arial" w:eastAsia="Arial" w:hAnsi="Arial"/>
          <w:sz w:val="20"/>
          <w:szCs w:val="20"/>
          <w:color w:val="auto"/>
        </w:rPr>
      </w:pPr>
      <w:r>
        <w:rPr>
          <w:rFonts w:ascii="Arial" w:cs="Arial" w:eastAsia="Arial" w:hAnsi="Arial"/>
          <w:sz w:val="17"/>
          <w:szCs w:val="17"/>
          <w:color w:val="auto"/>
        </w:rPr>
        <w:t>infringement and other intellectual property claims which, regardless of merit, may be expensive and time-consuming to litigate and may divert our management’s attention from our core business;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5" w:right="359" w:bottom="1440" w:gutter="0" w:footer="0" w:header="0"/>
        </w:sectPr>
      </w:pPr>
    </w:p>
    <w:bookmarkStart w:id="56" w:name="page57"/>
    <w:bookmarkEnd w:id="56"/>
    <w:p>
      <w:pPr>
        <w:ind w:left="2140" w:right="100" w:hanging="1062"/>
        <w:spacing w:after="0" w:line="262" w:lineRule="auto"/>
        <w:tabs>
          <w:tab w:leader="none" w:pos="2136" w:val="left"/>
        </w:tabs>
        <w:numPr>
          <w:ilvl w:val="0"/>
          <w:numId w:val="43"/>
        </w:numPr>
        <w:rPr>
          <w:rFonts w:ascii="Arial" w:cs="Arial" w:eastAsia="Arial" w:hAnsi="Arial"/>
          <w:sz w:val="17"/>
          <w:szCs w:val="17"/>
          <w:color w:val="auto"/>
        </w:rPr>
      </w:pPr>
      <w:r>
        <w:rPr>
          <w:rFonts w:ascii="Arial" w:cs="Arial" w:eastAsia="Arial" w:hAnsi="Arial"/>
          <w:sz w:val="17"/>
          <w:szCs w:val="17"/>
          <w:color w:val="auto"/>
        </w:rPr>
        <w:t>substantial damages for infringement, which we may have to pay if a court decides that the product candidate or technology at issue infringes on or violates the third-party’s rights, and, if the court finds that the infringement was willful, we could be ordered to pay treble damages and the patent owner’s attorneys’ fees;</w:t>
      </w:r>
    </w:p>
    <w:p>
      <w:pPr>
        <w:spacing w:after="0" w:line="72" w:lineRule="exact"/>
        <w:rPr>
          <w:rFonts w:ascii="Arial" w:cs="Arial" w:eastAsia="Arial" w:hAnsi="Arial"/>
          <w:sz w:val="17"/>
          <w:szCs w:val="17"/>
          <w:color w:val="auto"/>
        </w:rPr>
      </w:pPr>
    </w:p>
    <w:p>
      <w:pPr>
        <w:ind w:left="2140" w:right="240" w:hanging="1062"/>
        <w:spacing w:after="0" w:line="274" w:lineRule="auto"/>
        <w:tabs>
          <w:tab w:leader="none" w:pos="2136"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court prohibiting us from developing, manufacturing, marketing or selling our product candidates, or from using our proprietary technologies, unless the third-party licenses its product rights to us, which it is not required to do;</w:t>
      </w:r>
    </w:p>
    <w:p>
      <w:pPr>
        <w:spacing w:after="0" w:line="63" w:lineRule="exact"/>
        <w:rPr>
          <w:rFonts w:ascii="Arial" w:cs="Arial" w:eastAsia="Arial" w:hAnsi="Arial"/>
          <w:sz w:val="17"/>
          <w:szCs w:val="17"/>
          <w:color w:val="auto"/>
        </w:rPr>
      </w:pPr>
    </w:p>
    <w:p>
      <w:pPr>
        <w:jc w:val="both"/>
        <w:ind w:left="2140" w:right="300" w:hanging="1062"/>
        <w:spacing w:after="0" w:line="262" w:lineRule="auto"/>
        <w:tabs>
          <w:tab w:leader="none" w:pos="2136" w:val="left"/>
        </w:tabs>
        <w:numPr>
          <w:ilvl w:val="0"/>
          <w:numId w:val="43"/>
        </w:numPr>
        <w:rPr>
          <w:rFonts w:ascii="Arial" w:cs="Arial" w:eastAsia="Arial" w:hAnsi="Arial"/>
          <w:sz w:val="17"/>
          <w:szCs w:val="17"/>
          <w:color w:val="auto"/>
        </w:rPr>
      </w:pPr>
      <w:r>
        <w:rPr>
          <w:rFonts w:ascii="Arial" w:cs="Arial" w:eastAsia="Arial" w:hAnsi="Arial"/>
          <w:sz w:val="17"/>
          <w:szCs w:val="17"/>
          <w:color w:val="auto"/>
        </w:rPr>
        <w:t>if a license is available from a third-party,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p>
      <w:pPr>
        <w:spacing w:after="0" w:line="72" w:lineRule="exact"/>
        <w:rPr>
          <w:rFonts w:ascii="Arial" w:cs="Arial" w:eastAsia="Arial" w:hAnsi="Arial"/>
          <w:sz w:val="17"/>
          <w:szCs w:val="17"/>
          <w:color w:val="auto"/>
        </w:rPr>
      </w:pPr>
    </w:p>
    <w:p>
      <w:pPr>
        <w:ind w:left="2140" w:right="520" w:hanging="1062"/>
        <w:spacing w:after="0" w:line="274" w:lineRule="auto"/>
        <w:tabs>
          <w:tab w:leader="none" w:pos="2136"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redesigning our product candidates or processes so they do not infringe, which may not be possible or may require substantial monetary expenditures and time.</w:t>
      </w:r>
    </w:p>
    <w:p>
      <w:pPr>
        <w:spacing w:after="0" w:line="63" w:lineRule="exact"/>
        <w:rPr>
          <w:sz w:val="20"/>
          <w:szCs w:val="20"/>
          <w:color w:val="auto"/>
        </w:rPr>
      </w:pPr>
    </w:p>
    <w:p>
      <w:pPr>
        <w:ind w:right="60" w:firstLine="917"/>
        <w:spacing w:after="0" w:line="275" w:lineRule="auto"/>
        <w:rPr>
          <w:sz w:val="20"/>
          <w:szCs w:val="20"/>
          <w:color w:val="auto"/>
        </w:rPr>
      </w:pPr>
      <w:r>
        <w:rPr>
          <w:rFonts w:ascii="Arial" w:cs="Arial" w:eastAsia="Arial" w:hAnsi="Arial"/>
          <w:sz w:val="16"/>
          <w:szCs w:val="16"/>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spacing w:after="0" w:line="67" w:lineRule="exact"/>
        <w:rPr>
          <w:sz w:val="20"/>
          <w:szCs w:val="20"/>
          <w:color w:val="auto"/>
        </w:rPr>
      </w:pPr>
    </w:p>
    <w:p>
      <w:pPr>
        <w:ind w:right="40" w:firstLine="917"/>
        <w:spacing w:after="0" w:line="306" w:lineRule="auto"/>
        <w:rPr>
          <w:sz w:val="20"/>
          <w:szCs w:val="20"/>
          <w:color w:val="auto"/>
        </w:rPr>
      </w:pPr>
      <w:r>
        <w:rPr>
          <w:rFonts w:ascii="Arial" w:cs="Arial" w:eastAsia="Arial" w:hAnsi="Arial"/>
          <w:sz w:val="16"/>
          <w:szCs w:val="16"/>
          <w:b w:val="1"/>
          <w:bCs w:val="1"/>
          <w:i w:val="1"/>
          <w:iCs w:val="1"/>
          <w:color w:val="auto"/>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spacing w:after="0" w:line="40" w:lineRule="exact"/>
        <w:rPr>
          <w:sz w:val="20"/>
          <w:szCs w:val="20"/>
          <w:color w:val="auto"/>
        </w:rPr>
      </w:pPr>
    </w:p>
    <w:p>
      <w:pPr>
        <w:ind w:right="60" w:firstLine="917"/>
        <w:spacing w:after="0" w:line="295" w:lineRule="auto"/>
        <w:rPr>
          <w:sz w:val="20"/>
          <w:szCs w:val="20"/>
          <w:color w:val="auto"/>
        </w:rPr>
      </w:pPr>
      <w:r>
        <w:rPr>
          <w:rFonts w:ascii="Arial" w:cs="Arial" w:eastAsia="Arial" w:hAnsi="Arial"/>
          <w:sz w:val="15"/>
          <w:szCs w:val="15"/>
          <w:color w:val="auto"/>
        </w:rPr>
        <w:t>We collaborate with several institutions, universities, medical centers, physicians, and researchers in scientific matters and expect to continue to enter into additional collaboration agreements. In certain cases, we do not have written agreements with these collaborators, or the written agreements we have do not cover intellectual property rights. Also, we rely on numerous third parties to provide us with tissue samples and biological materials that we use to conduct our research activities and develop our product candidates. If we cannot successfully negotiate sufficient ownership and commercial rights to any inventions that result from our use of a third-party collaborator’s materials, or if disputes arise with respect to the intellectual property developed with the use of a collaborator’s samples, or data developed in a collaborator’s study, we may be limited in our ability to capitalize on the market potential of these inventions or developments.</w:t>
      </w:r>
    </w:p>
    <w:p>
      <w:pPr>
        <w:spacing w:after="0" w:line="52"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Third parties may assert that we are employing their proprietary technology without authorization.</w:t>
      </w:r>
    </w:p>
    <w:p>
      <w:pPr>
        <w:spacing w:after="0" w:line="110" w:lineRule="exact"/>
        <w:rPr>
          <w:sz w:val="20"/>
          <w:szCs w:val="20"/>
          <w:color w:val="auto"/>
        </w:rPr>
      </w:pPr>
    </w:p>
    <w:p>
      <w:pPr>
        <w:ind w:right="20" w:firstLine="917"/>
        <w:spacing w:after="0" w:line="269" w:lineRule="auto"/>
        <w:rPr>
          <w:sz w:val="20"/>
          <w:szCs w:val="20"/>
          <w:color w:val="auto"/>
        </w:rPr>
      </w:pPr>
      <w:r>
        <w:rPr>
          <w:rFonts w:ascii="Arial" w:cs="Arial" w:eastAsia="Arial" w:hAnsi="Arial"/>
          <w:sz w:val="16"/>
          <w:szCs w:val="16"/>
          <w:color w:val="auto"/>
        </w:rPr>
        <w:t>There may be third-party patents of which we are currently unaware with claims to compositions of matter, materials, formulations, methods of manufacture or methods for treatment that encompass the composition, use or manufacture of our product candidates. There may be currently pending patent applications of which we are currently unaware which may later result in issued patents that our product candidates or their use or manufacture may infringe. In addition, third parties may obtain patents in the future and claim that use of our technologies infringes upon these patents. If any third-party patent were held by a court of competent jurisdiction to cover our product candidates, intermediates used in the manufacture of our product candidates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72" w:lineRule="exact"/>
        <w:rPr>
          <w:sz w:val="20"/>
          <w:szCs w:val="20"/>
          <w:color w:val="auto"/>
        </w:rPr>
      </w:pPr>
    </w:p>
    <w:p>
      <w:pPr>
        <w:ind w:firstLine="917"/>
        <w:spacing w:after="0" w:line="255" w:lineRule="auto"/>
        <w:rPr>
          <w:sz w:val="20"/>
          <w:szCs w:val="20"/>
          <w:color w:val="auto"/>
        </w:rPr>
      </w:pPr>
      <w:r>
        <w:rPr>
          <w:rFonts w:ascii="Arial" w:cs="Arial" w:eastAsia="Arial" w:hAnsi="Arial"/>
          <w:sz w:val="17"/>
          <w:szCs w:val="17"/>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00"/>
          </w:cols>
          <w:pgMar w:left="320" w:top="955" w:right="379" w:bottom="1440" w:gutter="0" w:footer="0" w:header="0"/>
        </w:sectPr>
      </w:pPr>
    </w:p>
    <w:bookmarkStart w:id="57" w:name="page58"/>
    <w:bookmarkEnd w:id="57"/>
    <w:p>
      <w:pPr>
        <w:jc w:val="both"/>
        <w:ind w:right="80"/>
        <w:spacing w:after="0" w:line="262" w:lineRule="auto"/>
        <w:rPr>
          <w:sz w:val="20"/>
          <w:szCs w:val="20"/>
          <w:color w:val="auto"/>
        </w:rPr>
      </w:pPr>
      <w:r>
        <w:rPr>
          <w:rFonts w:ascii="Arial" w:cs="Arial" w:eastAsia="Arial" w:hAnsi="Arial"/>
          <w:sz w:val="17"/>
          <w:szCs w:val="17"/>
          <w:color w:val="auto"/>
        </w:rPr>
        <w:t>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5"/>
          <w:szCs w:val="15"/>
          <w:b w:val="1"/>
          <w:bCs w:val="1"/>
          <w:i w:val="1"/>
          <w:iCs w:val="1"/>
          <w:color w:val="auto"/>
        </w:rPr>
        <w:t>Third parties may assert that our employees or consultants have wrongfully used or disclosed confidential information or misappropriated trade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secrets.</w:t>
      </w:r>
    </w:p>
    <w:p>
      <w:pPr>
        <w:spacing w:after="0" w:line="99" w:lineRule="exact"/>
        <w:rPr>
          <w:sz w:val="20"/>
          <w:szCs w:val="20"/>
          <w:color w:val="auto"/>
        </w:rPr>
      </w:pPr>
    </w:p>
    <w:p>
      <w:pPr>
        <w:ind w:right="20" w:firstLine="917"/>
        <w:spacing w:after="0" w:line="268" w:lineRule="auto"/>
        <w:rPr>
          <w:sz w:val="20"/>
          <w:szCs w:val="20"/>
          <w:color w:val="auto"/>
        </w:rPr>
      </w:pPr>
      <w:r>
        <w:rPr>
          <w:rFonts w:ascii="Arial" w:cs="Arial" w:eastAsia="Arial" w:hAnsi="Arial"/>
          <w:sz w:val="16"/>
          <w:szCs w:val="16"/>
          <w:color w:val="auto"/>
        </w:rPr>
        <w:t>As is common in the biotechnology and biopharmaceutical industries, we employ individuals who were previously employed at universities or other biotechnology or biopharmaceutical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We may not be successful in obtaining or maintaining necessary rights to develop any future product candidates on acceptable terms.</w:t>
      </w:r>
    </w:p>
    <w:p>
      <w:pPr>
        <w:spacing w:after="0" w:line="122" w:lineRule="exact"/>
        <w:rPr>
          <w:sz w:val="20"/>
          <w:szCs w:val="20"/>
          <w:color w:val="auto"/>
        </w:rPr>
      </w:pPr>
    </w:p>
    <w:p>
      <w:pPr>
        <w:ind w:right="120" w:firstLine="917"/>
        <w:spacing w:after="0" w:line="274" w:lineRule="auto"/>
        <w:rPr>
          <w:sz w:val="20"/>
          <w:szCs w:val="20"/>
          <w:color w:val="auto"/>
        </w:rPr>
      </w:pPr>
      <w:r>
        <w:rPr>
          <w:rFonts w:ascii="Arial" w:cs="Arial" w:eastAsia="Arial" w:hAnsi="Arial"/>
          <w:sz w:val="17"/>
          <w:szCs w:val="17"/>
          <w:color w:val="auto"/>
        </w:rPr>
        <w:t>Because our programs may involve additional product candidates that may require the use of proprietary rights held by third parties, the growth of our business may depend in part on our ability to acquire, in-license or use these proprietary rights.</w:t>
      </w:r>
    </w:p>
    <w:p>
      <w:pPr>
        <w:spacing w:after="0" w:line="63" w:lineRule="exact"/>
        <w:rPr>
          <w:sz w:val="20"/>
          <w:szCs w:val="20"/>
          <w:color w:val="auto"/>
        </w:rPr>
      </w:pPr>
    </w:p>
    <w:p>
      <w:pPr>
        <w:ind w:right="20" w:firstLine="917"/>
        <w:spacing w:after="0" w:line="271" w:lineRule="auto"/>
        <w:rPr>
          <w:sz w:val="20"/>
          <w:szCs w:val="20"/>
          <w:color w:val="auto"/>
        </w:rPr>
      </w:pPr>
      <w:r>
        <w:rPr>
          <w:rFonts w:ascii="Arial" w:cs="Arial" w:eastAsia="Arial" w:hAnsi="Arial"/>
          <w:sz w:val="16"/>
          <w:szCs w:val="16"/>
          <w:color w:val="auto"/>
        </w:rPr>
        <w:t>Our product candidates may also require specific formulations to work effectively and efficiently, and these rights may be held by others. We may develop products containing our compounds and pre-existing biopharmaceutical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70" w:lineRule="exact"/>
        <w:rPr>
          <w:sz w:val="20"/>
          <w:szCs w:val="20"/>
          <w:color w:val="auto"/>
        </w:rPr>
      </w:pPr>
    </w:p>
    <w:p>
      <w:pPr>
        <w:ind w:firstLine="917"/>
        <w:spacing w:after="0" w:line="273" w:lineRule="auto"/>
        <w:rPr>
          <w:sz w:val="20"/>
          <w:szCs w:val="20"/>
          <w:color w:val="auto"/>
        </w:rPr>
      </w:pPr>
      <w:r>
        <w:rPr>
          <w:rFonts w:ascii="Arial" w:cs="Arial" w:eastAsia="Arial" w:hAnsi="Arial"/>
          <w:sz w:val="16"/>
          <w:szCs w:val="16"/>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an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69" w:lineRule="exact"/>
        <w:rPr>
          <w:sz w:val="20"/>
          <w:szCs w:val="20"/>
          <w:color w:val="auto"/>
        </w:rPr>
      </w:pPr>
    </w:p>
    <w:p>
      <w:pPr>
        <w:ind w:firstLine="917"/>
        <w:spacing w:after="0" w:line="298" w:lineRule="auto"/>
        <w:rPr>
          <w:sz w:val="20"/>
          <w:szCs w:val="20"/>
          <w:color w:val="auto"/>
        </w:rPr>
      </w:pPr>
      <w:r>
        <w:rPr>
          <w:rFonts w:ascii="Arial" w:cs="Arial" w:eastAsia="Arial" w:hAnsi="Arial"/>
          <w:sz w:val="15"/>
          <w:szCs w:val="15"/>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58" w:name="page59"/>
    <w:bookmarkEnd w:id="58"/>
    <w:p>
      <w:pPr>
        <w:ind w:right="340" w:firstLine="917"/>
        <w:spacing w:after="0" w:line="274" w:lineRule="auto"/>
        <w:rPr>
          <w:sz w:val="20"/>
          <w:szCs w:val="20"/>
          <w:color w:val="auto"/>
        </w:rPr>
      </w:pPr>
      <w:r>
        <w:rPr>
          <w:rFonts w:ascii="Arial" w:cs="Arial" w:eastAsia="Arial" w:hAnsi="Arial"/>
          <w:sz w:val="17"/>
          <w:szCs w:val="17"/>
          <w:b w:val="1"/>
          <w:bCs w:val="1"/>
          <w:i w:val="1"/>
          <w:iCs w:val="1"/>
          <w:color w:val="auto"/>
        </w:rPr>
        <w:t>We may be involved in lawsuits to protect or enforce our patents or the patents of our licensors, which could be expensive, time-consuming and unsuccessful.</w:t>
      </w:r>
    </w:p>
    <w:p>
      <w:pPr>
        <w:spacing w:after="0" w:line="63" w:lineRule="exact"/>
        <w:rPr>
          <w:sz w:val="20"/>
          <w:szCs w:val="20"/>
          <w:color w:val="auto"/>
        </w:rPr>
      </w:pPr>
    </w:p>
    <w:p>
      <w:pPr>
        <w:ind w:firstLine="917"/>
        <w:spacing w:after="0" w:line="273" w:lineRule="auto"/>
        <w:rPr>
          <w:sz w:val="20"/>
          <w:szCs w:val="20"/>
          <w:color w:val="auto"/>
        </w:rPr>
      </w:pPr>
      <w:r>
        <w:rPr>
          <w:rFonts w:ascii="Arial" w:cs="Arial" w:eastAsia="Arial" w:hAnsi="Arial"/>
          <w:sz w:val="16"/>
          <w:szCs w:val="16"/>
          <w:color w:val="auto"/>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69" w:lineRule="exact"/>
        <w:rPr>
          <w:sz w:val="20"/>
          <w:szCs w:val="20"/>
          <w:color w:val="auto"/>
        </w:rPr>
      </w:pPr>
    </w:p>
    <w:p>
      <w:pPr>
        <w:jc w:val="both"/>
        <w:ind w:right="100" w:firstLine="917"/>
        <w:spacing w:after="0" w:line="313" w:lineRule="auto"/>
        <w:rPr>
          <w:sz w:val="20"/>
          <w:szCs w:val="20"/>
          <w:color w:val="auto"/>
        </w:rPr>
      </w:pPr>
      <w:r>
        <w:rPr>
          <w:rFonts w:ascii="Arial" w:cs="Arial" w:eastAsia="Arial" w:hAnsi="Arial"/>
          <w:sz w:val="15"/>
          <w:szCs w:val="15"/>
          <w:color w:val="auto"/>
        </w:rPr>
        <w:t>We may choose to challenge the patentability of claims in a third-party’s U.S. patent by requesting that the USPTO review the patent claims in an ex-parte re-examination, inter partes review or post-grant review proceedings. These proceedings are expensive and may consume our time or other resources. We may choose to challenge a third-party’s patent in patent opposition proceedings in the European Patent Office, or EPO, or other foreign patent office.</w:t>
      </w:r>
    </w:p>
    <w:p>
      <w:pPr>
        <w:spacing w:after="0" w:line="38" w:lineRule="exact"/>
        <w:rPr>
          <w:sz w:val="20"/>
          <w:szCs w:val="20"/>
          <w:color w:val="auto"/>
        </w:rPr>
      </w:pPr>
    </w:p>
    <w:p>
      <w:pPr>
        <w:jc w:val="both"/>
        <w:ind w:right="160" w:firstLine="917"/>
        <w:spacing w:after="0" w:line="262" w:lineRule="auto"/>
        <w:rPr>
          <w:sz w:val="20"/>
          <w:szCs w:val="20"/>
          <w:color w:val="auto"/>
        </w:rPr>
      </w:pPr>
      <w:r>
        <w:rPr>
          <w:rFonts w:ascii="Arial" w:cs="Arial" w:eastAsia="Arial" w:hAnsi="Arial"/>
          <w:sz w:val="17"/>
          <w:szCs w:val="17"/>
          <w:color w:val="auto"/>
        </w:rPr>
        <w:t>The costs of these opposition proceedings could be substantial and may consume our time or other resources. If we fail to obtain a favorable result at the USPTO, EPO or other patent office then we may be exposed to litigation by a third-party alleging that the patent may be infringed by our product candidates or proprietary technologies.</w:t>
      </w:r>
    </w:p>
    <w:p>
      <w:pPr>
        <w:spacing w:after="0" w:line="73" w:lineRule="exact"/>
        <w:rPr>
          <w:sz w:val="20"/>
          <w:szCs w:val="20"/>
          <w:color w:val="auto"/>
        </w:rPr>
      </w:pPr>
    </w:p>
    <w:p>
      <w:pPr>
        <w:ind w:right="60" w:firstLine="917"/>
        <w:spacing w:after="0" w:line="270" w:lineRule="auto"/>
        <w:rPr>
          <w:sz w:val="20"/>
          <w:szCs w:val="20"/>
          <w:color w:val="auto"/>
        </w:rPr>
      </w:pPr>
      <w:r>
        <w:rPr>
          <w:rFonts w:ascii="Arial" w:cs="Arial" w:eastAsia="Arial" w:hAnsi="Arial"/>
          <w:sz w:val="16"/>
          <w:szCs w:val="16"/>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United States. If we or one of our licensors is a party to an interference or derivation proceeding involving a U.S. patent application on inventions owned by or in-licensed to us, we may incur substantial costs, divert management’s time and expend other resources, even if we are successful.</w:t>
      </w:r>
    </w:p>
    <w:p>
      <w:pPr>
        <w:spacing w:after="0" w:line="69" w:lineRule="exact"/>
        <w:rPr>
          <w:sz w:val="20"/>
          <w:szCs w:val="20"/>
          <w:color w:val="auto"/>
        </w:rPr>
      </w:pPr>
    </w:p>
    <w:p>
      <w:pPr>
        <w:ind w:firstLine="917"/>
        <w:spacing w:after="0" w:line="293" w:lineRule="auto"/>
        <w:rPr>
          <w:sz w:val="20"/>
          <w:szCs w:val="20"/>
          <w:color w:val="auto"/>
        </w:rPr>
      </w:pPr>
      <w:r>
        <w:rPr>
          <w:rFonts w:ascii="Arial" w:cs="Arial" w:eastAsia="Arial" w:hAnsi="Arial"/>
          <w:sz w:val="15"/>
          <w:szCs w:val="15"/>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54" w:lineRule="exact"/>
        <w:rPr>
          <w:sz w:val="20"/>
          <w:szCs w:val="20"/>
          <w:color w:val="auto"/>
        </w:rPr>
      </w:pPr>
    </w:p>
    <w:p>
      <w:pPr>
        <w:ind w:right="80" w:firstLine="917"/>
        <w:spacing w:after="0" w:line="258"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76" w:lineRule="exact"/>
        <w:rPr>
          <w:sz w:val="20"/>
          <w:szCs w:val="20"/>
          <w:color w:val="auto"/>
        </w:rPr>
      </w:pPr>
    </w:p>
    <w:p>
      <w:pPr>
        <w:ind w:right="120" w:firstLine="917"/>
        <w:spacing w:after="0" w:line="379" w:lineRule="auto"/>
        <w:rPr>
          <w:sz w:val="20"/>
          <w:szCs w:val="20"/>
          <w:color w:val="auto"/>
        </w:rPr>
      </w:pPr>
      <w:r>
        <w:rPr>
          <w:rFonts w:ascii="Arial" w:cs="Arial" w:eastAsia="Arial" w:hAnsi="Arial"/>
          <w:sz w:val="14"/>
          <w:szCs w:val="14"/>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 w:lineRule="exact"/>
        <w:rPr>
          <w:sz w:val="20"/>
          <w:szCs w:val="20"/>
          <w:color w:val="auto"/>
        </w:rPr>
      </w:pPr>
    </w:p>
    <w:p>
      <w:pPr>
        <w:ind w:right="60" w:firstLine="917"/>
        <w:spacing w:after="0" w:line="293" w:lineRule="auto"/>
        <w:rPr>
          <w:sz w:val="20"/>
          <w:szCs w:val="20"/>
          <w:color w:val="auto"/>
        </w:rPr>
      </w:pPr>
      <w:r>
        <w:rPr>
          <w:rFonts w:ascii="Arial" w:cs="Arial" w:eastAsia="Arial" w:hAnsi="Arial"/>
          <w:sz w:val="15"/>
          <w:szCs w:val="15"/>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color w:val="auto"/>
        </w:rPr>
        <w:t>jeopardize patent rights. In such an event, our competitors might be able to enter the market, which would have a material adverse effect on our business.</w:t>
      </w:r>
    </w:p>
    <w:p>
      <w:pPr>
        <w:spacing w:after="0" w:line="122" w:lineRule="exact"/>
        <w:rPr>
          <w:sz w:val="20"/>
          <w:szCs w:val="20"/>
          <w:color w:val="auto"/>
        </w:rPr>
      </w:pPr>
    </w:p>
    <w:p>
      <w:pPr>
        <w:ind w:left="920"/>
        <w:spacing w:after="0"/>
        <w:rPr>
          <w:sz w:val="20"/>
          <w:szCs w:val="20"/>
          <w:color w:val="auto"/>
        </w:rPr>
      </w:pPr>
      <w:r>
        <w:rPr>
          <w:rFonts w:ascii="Arial" w:cs="Arial" w:eastAsia="Arial" w:hAnsi="Arial"/>
          <w:sz w:val="15"/>
          <w:szCs w:val="15"/>
          <w:b w:val="1"/>
          <w:bCs w:val="1"/>
          <w:i w:val="1"/>
          <w:iCs w:val="1"/>
          <w:color w:val="auto"/>
        </w:rPr>
        <w:t>Any patents covering our product candidates could be found invalid or unenforceable if challenged in court or the USPTO (or foreign patent</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offices).</w:t>
      </w:r>
    </w:p>
    <w:p>
      <w:pPr>
        <w:spacing w:after="0" w:line="99" w:lineRule="exact"/>
        <w:rPr>
          <w:sz w:val="20"/>
          <w:szCs w:val="20"/>
          <w:color w:val="auto"/>
        </w:rPr>
      </w:pPr>
    </w:p>
    <w:p>
      <w:pPr>
        <w:ind w:firstLine="917"/>
        <w:spacing w:after="0" w:line="269" w:lineRule="auto"/>
        <w:rPr>
          <w:sz w:val="20"/>
          <w:szCs w:val="20"/>
          <w:color w:val="auto"/>
        </w:rPr>
      </w:pPr>
      <w:r>
        <w:rPr>
          <w:rFonts w:ascii="Arial" w:cs="Arial" w:eastAsia="Arial" w:hAnsi="Arial"/>
          <w:sz w:val="16"/>
          <w:szCs w:val="16"/>
          <w:color w:val="auto"/>
        </w:rPr>
        <w:t>If we or one of our licensors initiate legal proceedings against a third-party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inter partes review,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75" w:lineRule="exact"/>
        <w:rPr>
          <w:sz w:val="20"/>
          <w:szCs w:val="20"/>
          <w:color w:val="auto"/>
        </w:rPr>
      </w:pPr>
    </w:p>
    <w:p>
      <w:pPr>
        <w:ind w:firstLine="917"/>
        <w:spacing w:after="0" w:line="298" w:lineRule="auto"/>
        <w:rPr>
          <w:sz w:val="20"/>
          <w:szCs w:val="20"/>
          <w:color w:val="auto"/>
        </w:rPr>
      </w:pPr>
      <w:r>
        <w:rPr>
          <w:rFonts w:ascii="Arial" w:cs="Arial" w:eastAsia="Arial" w:hAnsi="Arial"/>
          <w:sz w:val="15"/>
          <w:szCs w:val="15"/>
          <w:color w:val="auto"/>
        </w:rPr>
        <w:t>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results of operations, financial condition and prospects. We own pending patent applications covering our proprietary technologies or our product candidates that if issued as patents are expected to expire from 2037 through 2043, without taking into account any possible patent term adjustments or extensions. However, we cannot be assured that the USPTO, EPO or other relevant foreign patent offices will grant any of these patent applications.</w:t>
      </w:r>
    </w:p>
    <w:p>
      <w:pPr>
        <w:spacing w:after="0" w:line="50" w:lineRule="exact"/>
        <w:rPr>
          <w:sz w:val="20"/>
          <w:szCs w:val="20"/>
          <w:color w:val="auto"/>
        </w:rPr>
      </w:pPr>
    </w:p>
    <w:p>
      <w:pPr>
        <w:ind w:right="460" w:firstLine="917"/>
        <w:spacing w:after="0" w:line="274" w:lineRule="auto"/>
        <w:rPr>
          <w:sz w:val="20"/>
          <w:szCs w:val="20"/>
          <w:color w:val="auto"/>
        </w:rPr>
      </w:pPr>
      <w:r>
        <w:rPr>
          <w:rFonts w:ascii="Arial" w:cs="Arial" w:eastAsia="Arial" w:hAnsi="Arial"/>
          <w:sz w:val="17"/>
          <w:szCs w:val="17"/>
          <w:b w:val="1"/>
          <w:bCs w:val="1"/>
          <w:i w:val="1"/>
          <w:iCs w:val="1"/>
          <w:color w:val="auto"/>
        </w:rPr>
        <w:t>Changes in patent law in the U.S. and in foreign jurisdictions could diminish the value of patents in general, thereby impairing our ability to protect our products.</w:t>
      </w:r>
    </w:p>
    <w:p>
      <w:pPr>
        <w:spacing w:after="0" w:line="63" w:lineRule="exact"/>
        <w:rPr>
          <w:sz w:val="20"/>
          <w:szCs w:val="20"/>
          <w:color w:val="auto"/>
        </w:rPr>
      </w:pPr>
    </w:p>
    <w:p>
      <w:pPr>
        <w:ind w:right="20" w:firstLine="917"/>
        <w:spacing w:after="0" w:line="290" w:lineRule="auto"/>
        <w:rPr>
          <w:sz w:val="20"/>
          <w:szCs w:val="20"/>
          <w:color w:val="auto"/>
        </w:rPr>
      </w:pPr>
      <w:r>
        <w:rPr>
          <w:rFonts w:ascii="Arial" w:cs="Arial" w:eastAsia="Arial" w:hAnsi="Arial"/>
          <w:sz w:val="15"/>
          <w:szCs w:val="15"/>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16, 2013, in the United States, the first to invent the claimed invention was entitled to the patent, while outside the United States, the first to file a patent application was entitled to the patent. On March 16,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third-party was the first to invent the claimed invention. A third-party that files a patent application in the USPTO on or after March 16, 2013, but before us could therefore be awarded a patent covering an invention of ours even if we had made the invention before it was made by such third-party.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 candidates or (ii) invent any of the inventions claimed in our or our licensor’s patents or patent applications.</w:t>
      </w:r>
    </w:p>
    <w:p>
      <w:pPr>
        <w:spacing w:after="0" w:line="55" w:lineRule="exact"/>
        <w:rPr>
          <w:sz w:val="20"/>
          <w:szCs w:val="20"/>
          <w:color w:val="auto"/>
        </w:rPr>
      </w:pPr>
    </w:p>
    <w:p>
      <w:pPr>
        <w:ind w:right="40" w:firstLine="917"/>
        <w:spacing w:after="0" w:line="270" w:lineRule="auto"/>
        <w:rPr>
          <w:sz w:val="20"/>
          <w:szCs w:val="20"/>
          <w:color w:val="auto"/>
        </w:rPr>
      </w:pPr>
      <w:r>
        <w:rPr>
          <w:rFonts w:ascii="Arial" w:cs="Arial" w:eastAsia="Arial" w:hAnsi="Arial"/>
          <w:sz w:val="16"/>
          <w:szCs w:val="16"/>
          <w:color w:val="auto"/>
        </w:rPr>
        <w:t>The America Invents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inter-partes review, and derivation proceedings. Because of a lower evidentiary standard in USPTO proceedings compared to the evidentiary standard in United States federal courts necessary to invalidate a patent claim, a third-party could potentially provide evidence in a USPTO proceeding sufficient for the USPTO to hold a claim invalid even though the same evidence would be insufficient to invalidate the claim if first presented in a district court action. Accordingly, a third-party may attempt to use the USPTO procedures to invalidate our patent claims that would not have been invalidated if first challenged by the third-party as a defendant in a district court action.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spacing w:after="0" w:line="70" w:lineRule="exact"/>
        <w:rPr>
          <w:sz w:val="20"/>
          <w:szCs w:val="20"/>
          <w:color w:val="auto"/>
        </w:rPr>
      </w:pPr>
    </w:p>
    <w:p>
      <w:pPr>
        <w:ind w:right="60" w:firstLine="917"/>
        <w:spacing w:after="0" w:line="262" w:lineRule="auto"/>
        <w:rPr>
          <w:sz w:val="20"/>
          <w:szCs w:val="20"/>
          <w:color w:val="auto"/>
        </w:rPr>
      </w:pPr>
      <w:r>
        <w:rPr>
          <w:rFonts w:ascii="Arial" w:cs="Arial" w:eastAsia="Arial" w:hAnsi="Arial"/>
          <w:sz w:val="17"/>
          <w:szCs w:val="17"/>
          <w:color w:val="auto"/>
        </w:rPr>
        <w:t>In addition, the patent positions of companies in the development and commercialization of biopharmaceuticals are particularly uncertain. Recent U.S. Supreme Court rulings have narrowed the scope of patent protection available in certain circumstances and weakened the rights of patent owners in certain situations. This combination of events has created</w:t>
      </w: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00"/>
          </w:cols>
          <w:pgMar w:left="320" w:top="955" w:right="379" w:bottom="1440" w:gutter="0" w:footer="0" w:header="0"/>
        </w:sectPr>
      </w:pPr>
    </w:p>
    <w:bookmarkStart w:id="60" w:name="page61"/>
    <w:bookmarkEnd w:id="60"/>
    <w:p>
      <w:pPr>
        <w:ind w:right="20"/>
        <w:spacing w:after="0" w:line="262" w:lineRule="auto"/>
        <w:rPr>
          <w:sz w:val="20"/>
          <w:szCs w:val="20"/>
          <w:color w:val="auto"/>
        </w:rPr>
      </w:pPr>
      <w:r>
        <w:rPr>
          <w:rFonts w:ascii="Arial" w:cs="Arial" w:eastAsia="Arial" w:hAnsi="Arial"/>
          <w:sz w:val="17"/>
          <w:szCs w:val="17"/>
          <w:color w:val="auto"/>
        </w:rPr>
        <w:t>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We have limited foreign intellectual property rights and may not be able to protect our intellectual property rights throughout the world.</w:t>
      </w:r>
    </w:p>
    <w:p>
      <w:pPr>
        <w:spacing w:after="0" w:line="122" w:lineRule="exact"/>
        <w:rPr>
          <w:sz w:val="20"/>
          <w:szCs w:val="20"/>
          <w:color w:val="auto"/>
        </w:rPr>
      </w:pPr>
    </w:p>
    <w:p>
      <w:pPr>
        <w:ind w:right="40" w:firstLine="917"/>
        <w:spacing w:after="0" w:line="292" w:lineRule="auto"/>
        <w:rPr>
          <w:sz w:val="20"/>
          <w:szCs w:val="20"/>
          <w:color w:val="auto"/>
        </w:rPr>
      </w:pPr>
      <w:r>
        <w:rPr>
          <w:rFonts w:ascii="Arial" w:cs="Arial" w:eastAsia="Arial" w:hAnsi="Arial"/>
          <w:sz w:val="15"/>
          <w:szCs w:val="15"/>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53" w:lineRule="exact"/>
        <w:rPr>
          <w:sz w:val="20"/>
          <w:szCs w:val="20"/>
          <w:color w:val="auto"/>
        </w:rPr>
      </w:pPr>
    </w:p>
    <w:p>
      <w:pPr>
        <w:ind w:right="100" w:firstLine="917"/>
        <w:spacing w:after="0" w:line="27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 candidates for an adequate amount of time.</w:t>
      </w:r>
    </w:p>
    <w:p>
      <w:pPr>
        <w:spacing w:after="0" w:line="110" w:lineRule="exact"/>
        <w:rPr>
          <w:sz w:val="20"/>
          <w:szCs w:val="20"/>
          <w:color w:val="auto"/>
        </w:rPr>
      </w:pPr>
    </w:p>
    <w:p>
      <w:pPr>
        <w:ind w:right="40" w:firstLine="917"/>
        <w:spacing w:after="0" w:line="273" w:lineRule="auto"/>
        <w:rPr>
          <w:sz w:val="20"/>
          <w:szCs w:val="20"/>
          <w:color w:val="auto"/>
        </w:rPr>
      </w:pPr>
      <w:r>
        <w:rPr>
          <w:rFonts w:ascii="Arial" w:cs="Arial" w:eastAsia="Arial" w:hAnsi="Arial"/>
          <w:sz w:val="16"/>
          <w:szCs w:val="16"/>
          <w:color w:val="auto"/>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69" w:lineRule="exact"/>
        <w:rPr>
          <w:sz w:val="20"/>
          <w:szCs w:val="20"/>
          <w:color w:val="auto"/>
        </w:rPr>
      </w:pPr>
    </w:p>
    <w:p>
      <w:pPr>
        <w:ind w:right="80" w:firstLine="917"/>
        <w:spacing w:after="0" w:line="274" w:lineRule="auto"/>
        <w:rPr>
          <w:sz w:val="20"/>
          <w:szCs w:val="20"/>
          <w:color w:val="auto"/>
        </w:rPr>
      </w:pPr>
      <w:r>
        <w:rPr>
          <w:rFonts w:ascii="Arial" w:cs="Arial" w:eastAsia="Arial" w:hAnsi="Arial"/>
          <w:sz w:val="17"/>
          <w:szCs w:val="17"/>
          <w:color w:val="auto"/>
        </w:rPr>
        <w:t>At the EU level, the Court of Justice of the European Union (CJEU) has recently narrowed the availability of patent term extension for second medical use therefore affecting the scope of patent protection available.</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If we do not obtain patent term extension and data exclusivity for any product candidates we may develop, our business may be materially harmed.</w:t>
      </w:r>
    </w:p>
    <w:p>
      <w:pPr>
        <w:spacing w:after="0" w:line="145" w:lineRule="exact"/>
        <w:rPr>
          <w:sz w:val="20"/>
          <w:szCs w:val="20"/>
          <w:color w:val="auto"/>
        </w:rPr>
      </w:pPr>
    </w:p>
    <w:p>
      <w:pPr>
        <w:ind w:firstLine="917"/>
        <w:spacing w:after="0" w:line="270" w:lineRule="auto"/>
        <w:rPr>
          <w:sz w:val="20"/>
          <w:szCs w:val="20"/>
          <w:color w:val="auto"/>
        </w:rPr>
      </w:pPr>
      <w:r>
        <w:rPr>
          <w:rFonts w:ascii="Arial" w:cs="Arial" w:eastAsia="Arial" w:hAnsi="Arial"/>
          <w:sz w:val="16"/>
          <w:szCs w:val="16"/>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within the EU, regulatory protections afforded to medicinal products such as data exclusivity, marketing protection, market exclusivity for</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61" w:name="page62"/>
    <w:bookmarkEnd w:id="61"/>
    <w:p>
      <w:pPr>
        <w:ind w:right="120"/>
        <w:spacing w:after="0" w:line="313" w:lineRule="auto"/>
        <w:rPr>
          <w:sz w:val="20"/>
          <w:szCs w:val="20"/>
          <w:color w:val="auto"/>
        </w:rPr>
      </w:pPr>
      <w:r>
        <w:rPr>
          <w:rFonts w:ascii="Arial" w:cs="Arial" w:eastAsia="Arial" w:hAnsi="Arial"/>
          <w:sz w:val="15"/>
          <w:szCs w:val="15"/>
          <w:color w:val="auto"/>
        </w:rPr>
        <w:t>orphan indications and pediatric extensions are currently under review and could be curtailed in future years. If we are unable to obtain patent term extension or the term of any such extension is less than we request, or if data exclusivity or other regulatory protections are reduced, our competitors may obtain approval of competing products following our patent expiration, and our business, financial condition, results of operations, and prospects could be materially harmed.</w:t>
      </w:r>
    </w:p>
    <w:p>
      <w:pPr>
        <w:spacing w:after="0" w:line="38" w:lineRule="exact"/>
        <w:rPr>
          <w:sz w:val="20"/>
          <w:szCs w:val="20"/>
          <w:color w:val="auto"/>
        </w:rPr>
      </w:pPr>
    </w:p>
    <w:p>
      <w:pPr>
        <w:ind w:right="100" w:firstLine="917"/>
        <w:spacing w:after="0" w:line="274"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3" w:lineRule="exact"/>
        <w:rPr>
          <w:sz w:val="20"/>
          <w:szCs w:val="20"/>
          <w:color w:val="auto"/>
        </w:rPr>
      </w:pPr>
    </w:p>
    <w:p>
      <w:pPr>
        <w:ind w:firstLine="917"/>
        <w:spacing w:after="0" w:line="258" w:lineRule="auto"/>
        <w:rPr>
          <w:sz w:val="20"/>
          <w:szCs w:val="20"/>
          <w:color w:val="auto"/>
        </w:rPr>
      </w:pPr>
      <w:r>
        <w:rPr>
          <w:rFonts w:ascii="Arial" w:cs="Arial" w:eastAsia="Arial" w:hAnsi="Arial"/>
          <w:sz w:val="17"/>
          <w:szCs w:val="17"/>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Intellectual property rights do not necessarily address all potential threats to our competitive advantage.</w:t>
      </w:r>
    </w:p>
    <w:p>
      <w:pPr>
        <w:spacing w:after="0" w:line="20" w:lineRule="exact"/>
        <w:rPr>
          <w:sz w:val="20"/>
          <w:szCs w:val="20"/>
          <w:color w:val="auto"/>
        </w:rPr>
      </w:pPr>
    </w:p>
    <w:p>
      <w:pPr>
        <w:ind w:right="480" w:firstLine="409"/>
        <w:spacing w:after="0" w:line="244"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26" w:lineRule="exact"/>
        <w:rPr>
          <w:sz w:val="20"/>
          <w:szCs w:val="20"/>
          <w:color w:val="auto"/>
        </w:rPr>
      </w:pPr>
    </w:p>
    <w:p>
      <w:pPr>
        <w:ind w:left="2140" w:right="120" w:hanging="1062"/>
        <w:spacing w:after="0" w:line="236" w:lineRule="auto"/>
        <w:tabs>
          <w:tab w:leader="none" w:pos="2135" w:val="left"/>
        </w:tabs>
        <w:numPr>
          <w:ilvl w:val="0"/>
          <w:numId w:val="44"/>
        </w:numPr>
        <w:rPr>
          <w:rFonts w:ascii="Arial" w:cs="Arial" w:eastAsia="Arial" w:hAnsi="Arial"/>
          <w:sz w:val="20"/>
          <w:szCs w:val="20"/>
          <w:color w:val="auto"/>
        </w:rPr>
      </w:pPr>
      <w:r>
        <w:rPr>
          <w:rFonts w:ascii="Arial" w:cs="Arial" w:eastAsia="Arial" w:hAnsi="Arial"/>
          <w:sz w:val="17"/>
          <w:szCs w:val="17"/>
          <w:color w:val="auto"/>
        </w:rPr>
        <w:t>others may be able to make drug candidates that are similar to ours but that are not covered by the claims of the patents that we own or have exclusively licensed;</w:t>
      </w:r>
    </w:p>
    <w:p>
      <w:pPr>
        <w:spacing w:after="0" w:line="91" w:lineRule="exact"/>
        <w:rPr>
          <w:rFonts w:ascii="Arial" w:cs="Arial" w:eastAsia="Arial" w:hAnsi="Arial"/>
          <w:sz w:val="20"/>
          <w:szCs w:val="20"/>
          <w:color w:val="auto"/>
        </w:rPr>
      </w:pPr>
    </w:p>
    <w:p>
      <w:pPr>
        <w:ind w:left="2140" w:right="500" w:hanging="1062"/>
        <w:spacing w:after="0" w:line="274" w:lineRule="auto"/>
        <w:tabs>
          <w:tab w:leader="none" w:pos="2136"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or our licensors or future collaborators might not have been the first to make the inventions covered by the issued patent or pending patent application that we own or have exclusively licensed;</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we or our licensors or future collaborators might not have been the first to file patent applications covering certain of our inventions;</w:t>
      </w:r>
    </w:p>
    <w:p>
      <w:pPr>
        <w:spacing w:after="0" w:line="133" w:lineRule="exact"/>
        <w:rPr>
          <w:rFonts w:ascii="Arial" w:cs="Arial" w:eastAsia="Arial" w:hAnsi="Arial"/>
          <w:sz w:val="15"/>
          <w:szCs w:val="15"/>
          <w:color w:val="auto"/>
        </w:rPr>
      </w:pPr>
    </w:p>
    <w:p>
      <w:pPr>
        <w:ind w:left="2140" w:right="340" w:hanging="1062"/>
        <w:spacing w:after="0" w:line="274" w:lineRule="auto"/>
        <w:tabs>
          <w:tab w:leader="none" w:pos="2136" w:val="left"/>
        </w:tabs>
        <w:numPr>
          <w:ilvl w:val="0"/>
          <w:numId w:val="44"/>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technologies or duplicate any of our technologies without infringing our intellectual property rights;</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it is possible that our pending patent applications will not lead to issued patents;</w:t>
      </w:r>
    </w:p>
    <w:p>
      <w:pPr>
        <w:spacing w:after="0" w:line="110" w:lineRule="exact"/>
        <w:rPr>
          <w:rFonts w:ascii="Arial" w:cs="Arial" w:eastAsia="Arial" w:hAnsi="Arial"/>
          <w:sz w:val="17"/>
          <w:szCs w:val="17"/>
          <w:color w:val="auto"/>
        </w:rPr>
      </w:pPr>
    </w:p>
    <w:p>
      <w:pPr>
        <w:ind w:left="2140" w:right="160" w:hanging="1062"/>
        <w:spacing w:after="0" w:line="274" w:lineRule="auto"/>
        <w:tabs>
          <w:tab w:leader="none" w:pos="2136" w:val="left"/>
        </w:tabs>
        <w:numPr>
          <w:ilvl w:val="0"/>
          <w:numId w:val="44"/>
        </w:numPr>
        <w:rPr>
          <w:rFonts w:ascii="Arial" w:cs="Arial" w:eastAsia="Arial" w:hAnsi="Arial"/>
          <w:sz w:val="17"/>
          <w:szCs w:val="17"/>
          <w:color w:val="auto"/>
        </w:rPr>
      </w:pPr>
      <w:r>
        <w:rPr>
          <w:rFonts w:ascii="Arial" w:cs="Arial" w:eastAsia="Arial" w:hAnsi="Arial"/>
          <w:sz w:val="17"/>
          <w:szCs w:val="17"/>
          <w:color w:val="auto"/>
        </w:rPr>
        <w:t>issued patents that we own or have exclusively licensed may be held invalid or unenforceable, as a result of legal challenges by our competitors;</w:t>
      </w:r>
    </w:p>
    <w:p>
      <w:pPr>
        <w:spacing w:after="0" w:line="63" w:lineRule="exact"/>
        <w:rPr>
          <w:rFonts w:ascii="Arial" w:cs="Arial" w:eastAsia="Arial" w:hAnsi="Arial"/>
          <w:sz w:val="17"/>
          <w:szCs w:val="17"/>
          <w:color w:val="auto"/>
        </w:rPr>
      </w:pPr>
    </w:p>
    <w:p>
      <w:pPr>
        <w:ind w:left="2140" w:right="120" w:hanging="1062"/>
        <w:spacing w:after="0" w:line="306" w:lineRule="auto"/>
        <w:tabs>
          <w:tab w:leader="none" w:pos="2136"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40" w:lineRule="exact"/>
        <w:rPr>
          <w:rFonts w:ascii="Arial" w:cs="Arial" w:eastAsia="Arial" w:hAnsi="Arial"/>
          <w:sz w:val="16"/>
          <w:szCs w:val="16"/>
          <w:color w:val="auto"/>
        </w:rPr>
      </w:pPr>
    </w:p>
    <w:p>
      <w:pPr>
        <w:ind w:left="2140" w:hanging="1062"/>
        <w:spacing w:after="0"/>
        <w:tabs>
          <w:tab w:leader="none" w:pos="21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may not develop additional proprietary technologies that are patentable;</w:t>
      </w:r>
    </w:p>
    <w:p>
      <w:pPr>
        <w:spacing w:after="0" w:line="110" w:lineRule="exact"/>
        <w:rPr>
          <w:rFonts w:ascii="Arial" w:cs="Arial" w:eastAsia="Arial" w:hAnsi="Arial"/>
          <w:sz w:val="17"/>
          <w:szCs w:val="17"/>
          <w:color w:val="auto"/>
        </w:rPr>
      </w:pPr>
    </w:p>
    <w:p>
      <w:pPr>
        <w:ind w:left="2140" w:right="140" w:hanging="1062"/>
        <w:spacing w:after="0" w:line="262" w:lineRule="auto"/>
        <w:tabs>
          <w:tab w:leader="none" w:pos="2136"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cannot predict the scope of protection of any patent issuing based on our patent applications, including whether the patent applications that we own or in-license will result in issued patents with claims that cover our drug candidates, drug products or uses thereof in the United States or in other foreign countries;</w:t>
      </w:r>
    </w:p>
    <w:p>
      <w:pPr>
        <w:spacing w:after="0" w:line="72" w:lineRule="exact"/>
        <w:rPr>
          <w:rFonts w:ascii="Arial" w:cs="Arial" w:eastAsia="Arial" w:hAnsi="Arial"/>
          <w:sz w:val="17"/>
          <w:szCs w:val="17"/>
          <w:color w:val="auto"/>
        </w:rPr>
      </w:pPr>
    </w:p>
    <w:p>
      <w:pPr>
        <w:ind w:left="2140" w:right="140" w:hanging="1062"/>
        <w:spacing w:after="0" w:line="274" w:lineRule="auto"/>
        <w:tabs>
          <w:tab w:leader="none" w:pos="2136"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claims of any patent issuing based on our patent applications may not provide protection against competitors or any competitive advantages, or may be challenged by third parties;</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if enforced, a court may not hold that our patents are valid, enforceable and/or infringed;</w:t>
      </w:r>
    </w:p>
    <w:p>
      <w:pPr>
        <w:spacing w:after="0" w:line="110" w:lineRule="exact"/>
        <w:rPr>
          <w:rFonts w:ascii="Arial" w:cs="Arial" w:eastAsia="Arial" w:hAnsi="Arial"/>
          <w:sz w:val="17"/>
          <w:szCs w:val="17"/>
          <w:color w:val="auto"/>
        </w:rPr>
      </w:pPr>
    </w:p>
    <w:p>
      <w:pPr>
        <w:ind w:left="2140" w:right="500" w:hanging="1062"/>
        <w:spacing w:after="0" w:line="274" w:lineRule="auto"/>
        <w:tabs>
          <w:tab w:leader="none" w:pos="2136"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may need to initiate litigation or administrative proceedings to enforce and/or defend our patent rights which will be costly whether we win or lose;</w:t>
      </w:r>
    </w:p>
    <w:p>
      <w:pPr>
        <w:spacing w:after="0" w:line="63" w:lineRule="exact"/>
        <w:rPr>
          <w:rFonts w:ascii="Arial" w:cs="Arial" w:eastAsia="Arial" w:hAnsi="Arial"/>
          <w:sz w:val="17"/>
          <w:szCs w:val="17"/>
          <w:color w:val="auto"/>
        </w:rPr>
      </w:pPr>
    </w:p>
    <w:p>
      <w:pPr>
        <w:ind w:left="2140" w:right="680" w:hanging="1062"/>
        <w:spacing w:after="0" w:line="274" w:lineRule="auto"/>
        <w:tabs>
          <w:tab w:leader="none" w:pos="2136"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may choose not to file a patent application in order to maintain certain trade secrets or know-how, and a third-party may subsequently file a patent application covering such intellectual property;</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may fail to adequately protect and police our trademarks and trade secrets;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other parties may independently develop the technology covered by our trade secrets; and</w:t>
      </w:r>
    </w:p>
    <w:p>
      <w:pPr>
        <w:spacing w:after="0" w:line="110" w:lineRule="exact"/>
        <w:rPr>
          <w:rFonts w:ascii="Arial" w:cs="Arial" w:eastAsia="Arial" w:hAnsi="Arial"/>
          <w:sz w:val="17"/>
          <w:szCs w:val="17"/>
          <w:color w:val="auto"/>
        </w:rPr>
      </w:pPr>
    </w:p>
    <w:p>
      <w:pPr>
        <w:ind w:left="2140" w:right="80" w:hanging="1062"/>
        <w:spacing w:after="0" w:line="274" w:lineRule="auto"/>
        <w:tabs>
          <w:tab w:leader="none" w:pos="2136"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patents of others may have an adverse effect on our business, including if others obtain patents claiming subject matter similar to or improving that covered by our patents and patent applications.</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5" w:right="359" w:bottom="1440" w:gutter="0" w:footer="0" w:header="0"/>
        </w:sectPr>
      </w:pPr>
    </w:p>
    <w:bookmarkStart w:id="62" w:name="page63"/>
    <w:bookmarkEnd w:id="62"/>
    <w:p>
      <w:pPr>
        <w:ind w:left="920"/>
        <w:spacing w:after="0"/>
        <w:rPr>
          <w:sz w:val="20"/>
          <w:szCs w:val="20"/>
          <w:color w:val="auto"/>
        </w:rPr>
      </w:pPr>
      <w:r>
        <w:rPr>
          <w:rFonts w:ascii="Arial" w:cs="Arial" w:eastAsia="Arial" w:hAnsi="Arial"/>
          <w:sz w:val="17"/>
          <w:szCs w:val="17"/>
          <w:color w:val="auto"/>
        </w:rPr>
        <w:t>Should any of these events occur, they could significantly harm our business, financial condition, results of operations, and prospects.</w:t>
      </w:r>
    </w:p>
    <w:p>
      <w:pPr>
        <w:spacing w:after="0" w:line="200" w:lineRule="exact"/>
        <w:rPr>
          <w:sz w:val="20"/>
          <w:szCs w:val="20"/>
          <w:color w:val="auto"/>
        </w:rPr>
      </w:pPr>
    </w:p>
    <w:p>
      <w:pPr>
        <w:spacing w:after="0" w:line="237"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Risks Related to Our Reliance on Third Parties</w:t>
      </w:r>
    </w:p>
    <w:p>
      <w:pPr>
        <w:spacing w:after="0" w:line="114" w:lineRule="exact"/>
        <w:rPr>
          <w:sz w:val="20"/>
          <w:szCs w:val="20"/>
          <w:color w:val="auto"/>
        </w:rPr>
      </w:pPr>
    </w:p>
    <w:p>
      <w:pPr>
        <w:ind w:right="280" w:firstLine="917"/>
        <w:spacing w:after="0" w:line="303" w:lineRule="auto"/>
        <w:rPr>
          <w:sz w:val="20"/>
          <w:szCs w:val="20"/>
          <w:color w:val="auto"/>
        </w:rPr>
      </w:pPr>
      <w:r>
        <w:rPr>
          <w:rFonts w:ascii="Arial" w:cs="Arial" w:eastAsia="Arial" w:hAnsi="Arial"/>
          <w:sz w:val="15"/>
          <w:szCs w:val="15"/>
          <w:b w:val="1"/>
          <w:bCs w:val="1"/>
          <w:i w:val="1"/>
          <w:iCs w:val="1"/>
          <w:color w:val="auto"/>
        </w:rPr>
        <w:t>We have entered into a collaboration agreement with Novartis for the development of PLN-1474, and may in the future seek to enter into collaborations with third parties for the development and commercialization of other product candidates. If we fail to enter into such collaborations, or if our collaborations are not successful, we may be unable to continue development of such product candidates, we would not receive any contemplated milestone payments or royalties, and we could fail to capitalize on the market potential of such product candidates.</w:t>
      </w:r>
    </w:p>
    <w:p>
      <w:pPr>
        <w:spacing w:after="0" w:line="46" w:lineRule="exact"/>
        <w:rPr>
          <w:sz w:val="20"/>
          <w:szCs w:val="20"/>
          <w:color w:val="auto"/>
        </w:rPr>
      </w:pPr>
    </w:p>
    <w:p>
      <w:pPr>
        <w:ind w:right="40" w:firstLine="917"/>
        <w:spacing w:after="0" w:line="293" w:lineRule="auto"/>
        <w:rPr>
          <w:sz w:val="20"/>
          <w:szCs w:val="20"/>
          <w:color w:val="auto"/>
        </w:rPr>
      </w:pPr>
      <w:r>
        <w:rPr>
          <w:rFonts w:ascii="Arial" w:cs="Arial" w:eastAsia="Arial" w:hAnsi="Arial"/>
          <w:sz w:val="15"/>
          <w:szCs w:val="15"/>
          <w:color w:val="auto"/>
        </w:rPr>
        <w:t>In October 2019, we entered into a license and collaboration agreement with Novartis for the development and commercialization of our then preclinical product candidate, PLN-1474, and up to three integrin research targets. In December 2019, we received an upfront license payment of $50.0 million for the worldwide exclusive license to PLN-1474 and have subsequently earned $29.0 million of the $416.0 million developmental, regulatory and commercial milestones under the arrangement. Pursuant to the Novartis Agreement, we expect to receive research and development funding totaling up to $20.0 million for PLN-1474 development services and funding of up to $16.8 million for optional research and development services on the integrin research targets. Additionally, we are eligible to receive tiered royalties, on a product-by-product basis based on annual net sales of products, at percentages ranging from high-single digits to low teens of the applicable licensed products and mid-single digits to high-single digits for any products resulting from the research programs.</w:t>
      </w:r>
    </w:p>
    <w:p>
      <w:pPr>
        <w:spacing w:after="0" w:line="54" w:lineRule="exact"/>
        <w:rPr>
          <w:sz w:val="20"/>
          <w:szCs w:val="20"/>
          <w:color w:val="auto"/>
        </w:rPr>
      </w:pPr>
    </w:p>
    <w:p>
      <w:pPr>
        <w:ind w:right="80" w:firstLine="917"/>
        <w:spacing w:after="0" w:line="303" w:lineRule="auto"/>
        <w:rPr>
          <w:sz w:val="20"/>
          <w:szCs w:val="20"/>
          <w:color w:val="auto"/>
        </w:rPr>
      </w:pPr>
      <w:r>
        <w:rPr>
          <w:rFonts w:ascii="Arial" w:cs="Arial" w:eastAsia="Arial" w:hAnsi="Arial"/>
          <w:sz w:val="15"/>
          <w:szCs w:val="15"/>
          <w:color w:val="auto"/>
        </w:rPr>
        <w:t>The IND application candidate was transferred to Novartis in the first quarter of 2021, and Novartis is responsible for all PLN-1474 development, manufacturing, and commercialization activities after the initial development period. As a result, we are reliant on Novartis and its efforts and capabilities with respect to the advancement of this candidate. If we or our collaborators are unable to successfully advance the development of our product candidates, including PLN-1474, or achieve milestones, revenue and cash resources from milestone payments under our collaboration agreements will be substantially less than expected.</w:t>
      </w:r>
    </w:p>
    <w:p>
      <w:pPr>
        <w:spacing w:after="0" w:line="46" w:lineRule="exact"/>
        <w:rPr>
          <w:sz w:val="20"/>
          <w:szCs w:val="20"/>
          <w:color w:val="auto"/>
        </w:rPr>
      </w:pPr>
    </w:p>
    <w:p>
      <w:pPr>
        <w:ind w:right="60" w:firstLine="917"/>
        <w:spacing w:after="0" w:line="258" w:lineRule="auto"/>
        <w:rPr>
          <w:sz w:val="20"/>
          <w:szCs w:val="20"/>
          <w:color w:val="auto"/>
        </w:rPr>
      </w:pPr>
      <w:r>
        <w:rPr>
          <w:rFonts w:ascii="Arial" w:cs="Arial" w:eastAsia="Arial" w:hAnsi="Arial"/>
          <w:sz w:val="17"/>
          <w:szCs w:val="17"/>
          <w:color w:val="auto"/>
        </w:rPr>
        <w:t>In addition, to the extent that any of our existing or future collaborators were to terminate a collaboration agreement, we may be forced to independently develop these product candidates, including funding preclinical or clinical trials, assuming marketing and distribution costs and defending intellectual property rights, or, in certain instances, abandon product candidates altogether, any of which could result in a change to our business plan and a material and adverse effect on our business, financial condition, results of operations and prospects.</w:t>
      </w:r>
    </w:p>
    <w:p>
      <w:pPr>
        <w:spacing w:after="0" w:line="76" w:lineRule="exact"/>
        <w:rPr>
          <w:sz w:val="20"/>
          <w:szCs w:val="20"/>
          <w:color w:val="auto"/>
        </w:rPr>
      </w:pPr>
    </w:p>
    <w:p>
      <w:pPr>
        <w:ind w:right="100" w:firstLine="917"/>
        <w:spacing w:after="0" w:line="262" w:lineRule="auto"/>
        <w:rPr>
          <w:sz w:val="20"/>
          <w:szCs w:val="20"/>
          <w:color w:val="auto"/>
        </w:rPr>
      </w:pPr>
      <w:r>
        <w:rPr>
          <w:rFonts w:ascii="Arial" w:cs="Arial" w:eastAsia="Arial" w:hAnsi="Arial"/>
          <w:sz w:val="17"/>
          <w:szCs w:val="17"/>
          <w:b w:val="1"/>
          <w:bCs w:val="1"/>
          <w:i w:val="1"/>
          <w:iCs w:val="1"/>
          <w:color w:val="auto"/>
        </w:rPr>
        <w:t>We rely on third parties to conduct certain aspects of our preclinical studies and clinical trials. If these third parties do not successfully carry out their contractual duties, meet expected deadlines or comply with regulatory requirements, we may not be able to obtain regulatory approval of or commercialize any potential product candidates.</w:t>
      </w:r>
    </w:p>
    <w:p>
      <w:pPr>
        <w:spacing w:after="0" w:line="73" w:lineRule="exact"/>
        <w:rPr>
          <w:sz w:val="20"/>
          <w:szCs w:val="20"/>
          <w:color w:val="auto"/>
        </w:rPr>
      </w:pPr>
    </w:p>
    <w:p>
      <w:pPr>
        <w:ind w:right="60" w:firstLine="917"/>
        <w:spacing w:after="0" w:line="262" w:lineRule="auto"/>
        <w:rPr>
          <w:sz w:val="20"/>
          <w:szCs w:val="20"/>
          <w:color w:val="auto"/>
        </w:rPr>
      </w:pPr>
      <w:r>
        <w:rPr>
          <w:rFonts w:ascii="Arial" w:cs="Arial" w:eastAsia="Arial" w:hAnsi="Arial"/>
          <w:sz w:val="17"/>
          <w:szCs w:val="17"/>
          <w:color w:val="auto"/>
        </w:rPr>
        <w:t>We depend upon third parties to conduct certain aspects of our preclinical studies and clinical trials, under agreements with universities, medical institutions, CROs, strategic collaborators and others. We expect to have to negotiate budgets and contracts with such third parties, which may result in delays to our development timelines and increased costs.</w:t>
      </w:r>
    </w:p>
    <w:p>
      <w:pPr>
        <w:spacing w:after="0" w:line="73" w:lineRule="exact"/>
        <w:rPr>
          <w:sz w:val="20"/>
          <w:szCs w:val="20"/>
          <w:color w:val="auto"/>
        </w:rPr>
      </w:pPr>
    </w:p>
    <w:p>
      <w:pPr>
        <w:ind w:firstLine="917"/>
        <w:spacing w:after="0" w:line="290" w:lineRule="auto"/>
        <w:rPr>
          <w:sz w:val="20"/>
          <w:szCs w:val="20"/>
          <w:color w:val="auto"/>
        </w:rPr>
      </w:pPr>
      <w:r>
        <w:rPr>
          <w:rFonts w:ascii="Arial" w:cs="Arial" w:eastAsia="Arial" w:hAnsi="Arial"/>
          <w:sz w:val="15"/>
          <w:szCs w:val="15"/>
          <w:color w:val="auto"/>
        </w:rPr>
        <w:t>We will rely especially heavily on third parties over the course of our clinical trials, and, as a result, will have limited control over the clinical investigators and limited visibility into their day-to-day activities, including with respect to their compliance with the approved clinical protocol. Nevertheless, we are responsible for ensuring that each of our trials is conducted in accordance with the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 candidates in clinical development. Regulatory authorities enforce these GCP requirements through periodic inspections of trial sponsors, clinical investigators and trial sites. If we or any of these third parties fail to comply with applicable GCP requirements, the clinical data generated in our clinical trials may be deemed unreliable and the FDA or comparable foreign regulatory authorities may require us to suspend or terminate these trials or perform additional preclinical studies or clinical trials before approving our marketing applications. We cannot be certain that, upon inspection, such regulatory authorities will determine that any of our clinical trials comply with the GCP requirements.</w:t>
      </w:r>
    </w:p>
    <w:p>
      <w:pPr>
        <w:spacing w:after="0" w:line="60" w:lineRule="exact"/>
        <w:rPr>
          <w:sz w:val="20"/>
          <w:szCs w:val="20"/>
          <w:color w:val="auto"/>
        </w:rPr>
      </w:pPr>
    </w:p>
    <w:p>
      <w:pPr>
        <w:jc w:val="both"/>
        <w:ind w:right="260" w:firstLine="917"/>
        <w:spacing w:after="0" w:line="262" w:lineRule="auto"/>
        <w:rPr>
          <w:sz w:val="20"/>
          <w:szCs w:val="20"/>
          <w:color w:val="auto"/>
        </w:rPr>
      </w:pPr>
      <w:r>
        <w:rPr>
          <w:rFonts w:ascii="Arial" w:cs="Arial" w:eastAsia="Arial" w:hAnsi="Arial"/>
          <w:sz w:val="17"/>
          <w:szCs w:val="17"/>
          <w:color w:val="auto"/>
        </w:rPr>
        <w:t>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73" w:lineRule="exact"/>
        <w:rPr>
          <w:sz w:val="20"/>
          <w:szCs w:val="20"/>
          <w:color w:val="auto"/>
        </w:rPr>
      </w:pPr>
    </w:p>
    <w:p>
      <w:pPr>
        <w:ind w:firstLine="917"/>
        <w:spacing w:after="0" w:line="274" w:lineRule="auto"/>
        <w:rPr>
          <w:sz w:val="20"/>
          <w:szCs w:val="20"/>
          <w:color w:val="auto"/>
        </w:rPr>
      </w:pPr>
      <w:r>
        <w:rPr>
          <w:rFonts w:ascii="Arial" w:cs="Arial" w:eastAsia="Arial" w:hAnsi="Arial"/>
          <w:sz w:val="17"/>
          <w:szCs w:val="17"/>
          <w:color w:val="auto"/>
        </w:rPr>
        <w:t>Any third parties conducting aspects of our preclinical studies or clinical trials will not be our employees and, except for remedies that may be available to us under our agreements with such third parties, we cannot control whether or not</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63" w:name="page64"/>
    <w:bookmarkEnd w:id="63"/>
    <w:p>
      <w:pPr>
        <w:ind w:right="120"/>
        <w:spacing w:after="0" w:line="292" w:lineRule="auto"/>
        <w:rPr>
          <w:sz w:val="20"/>
          <w:szCs w:val="20"/>
          <w:color w:val="auto"/>
        </w:rPr>
      </w:pPr>
      <w:r>
        <w:rPr>
          <w:rFonts w:ascii="Arial" w:cs="Arial" w:eastAsia="Arial" w:hAnsi="Arial"/>
          <w:sz w:val="15"/>
          <w:szCs w:val="15"/>
          <w:color w:val="auto"/>
        </w:rPr>
        <w:t>they devote sufficient time and resources to our preclinical studies and clinical programs.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preclinical or clinical data they obtain is compromised due to the failure to adhere to our protocols or regulatory requirements or for other reasons or if due to federal or state orders or absenteeism due to the COVID-19 pandemic they are unable to meet their contractual and regulatory obligations, our development timelines, including clinical development timelines,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53" w:lineRule="exact"/>
        <w:rPr>
          <w:sz w:val="20"/>
          <w:szCs w:val="20"/>
          <w:color w:val="auto"/>
        </w:rPr>
      </w:pPr>
    </w:p>
    <w:p>
      <w:pPr>
        <w:ind w:right="280" w:firstLine="917"/>
        <w:spacing w:after="0" w:line="274" w:lineRule="auto"/>
        <w:rPr>
          <w:sz w:val="20"/>
          <w:szCs w:val="20"/>
          <w:color w:val="auto"/>
        </w:rPr>
      </w:pPr>
      <w:r>
        <w:rPr>
          <w:rFonts w:ascii="Arial" w:cs="Arial" w:eastAsia="Arial" w:hAnsi="Arial"/>
          <w:sz w:val="17"/>
          <w:szCs w:val="17"/>
          <w:color w:val="auto"/>
        </w:rPr>
        <w:t>If any of our relationships with these third-party CROs or others terminate, we may not be able to enter into arrangements with alternative CROs or other third parties or to do so on commercially reasonable terms.</w:t>
      </w:r>
    </w:p>
    <w:p>
      <w:pPr>
        <w:spacing w:after="0" w:line="63" w:lineRule="exact"/>
        <w:rPr>
          <w:sz w:val="20"/>
          <w:szCs w:val="20"/>
          <w:color w:val="auto"/>
        </w:rPr>
      </w:pPr>
    </w:p>
    <w:p>
      <w:pPr>
        <w:ind w:right="20" w:firstLine="917"/>
        <w:spacing w:after="0" w:line="279" w:lineRule="auto"/>
        <w:rPr>
          <w:sz w:val="20"/>
          <w:szCs w:val="20"/>
          <w:color w:val="auto"/>
        </w:rPr>
      </w:pPr>
      <w:r>
        <w:rPr>
          <w:rFonts w:ascii="Arial" w:cs="Arial" w:eastAsia="Arial" w:hAnsi="Arial"/>
          <w:sz w:val="16"/>
          <w:szCs w:val="16"/>
          <w:color w:val="auto"/>
        </w:rPr>
        <w:t>Switching or adding additional CROs involves additional cost and requires management time and focus. In addition, there is a natural transition period when a new CRO begins work. As a result, delays may occur, which can materially impact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61" w:lineRule="exact"/>
        <w:rPr>
          <w:sz w:val="20"/>
          <w:szCs w:val="20"/>
          <w:color w:val="auto"/>
        </w:rPr>
      </w:pPr>
    </w:p>
    <w:p>
      <w:pPr>
        <w:ind w:right="140" w:firstLine="917"/>
        <w:spacing w:after="0" w:line="274" w:lineRule="auto"/>
        <w:rPr>
          <w:sz w:val="20"/>
          <w:szCs w:val="20"/>
          <w:color w:val="auto"/>
        </w:rPr>
      </w:pPr>
      <w:r>
        <w:rPr>
          <w:rFonts w:ascii="Arial" w:cs="Arial" w:eastAsia="Arial" w:hAnsi="Arial"/>
          <w:sz w:val="17"/>
          <w:szCs w:val="17"/>
          <w:b w:val="1"/>
          <w:bCs w:val="1"/>
          <w:i w:val="1"/>
          <w:iCs w:val="1"/>
          <w:color w:val="auto"/>
        </w:rPr>
        <w:t>We rely on third parties for tissue samples and other materials required for our research and development activities, and if we are unable to reach agreements with these third parties our research and development activities would be delayed.</w:t>
      </w:r>
    </w:p>
    <w:p>
      <w:pPr>
        <w:spacing w:after="0" w:line="63" w:lineRule="exact"/>
        <w:rPr>
          <w:sz w:val="20"/>
          <w:szCs w:val="20"/>
          <w:color w:val="auto"/>
        </w:rPr>
      </w:pPr>
    </w:p>
    <w:p>
      <w:pPr>
        <w:ind w:right="40" w:firstLine="917"/>
        <w:spacing w:after="0" w:line="293" w:lineRule="auto"/>
        <w:rPr>
          <w:sz w:val="20"/>
          <w:szCs w:val="20"/>
          <w:color w:val="auto"/>
        </w:rPr>
      </w:pPr>
      <w:r>
        <w:rPr>
          <w:rFonts w:ascii="Arial" w:cs="Arial" w:eastAsia="Arial" w:hAnsi="Arial"/>
          <w:sz w:val="15"/>
          <w:szCs w:val="15"/>
          <w:color w:val="auto"/>
        </w:rPr>
        <w:t>We rely on third parties, primarily hospitals, health clinics and academic institutions, for the provision of tissue samples and other materials required in our research and development activities. Obtaining these materials requires various approvals as well as reaching a commercial agreement on acceptable terms with the hospital or other provider of the materials. While we currently have agreements in place with the institutions from which we receive our tissue samples, we do not have any exclusive arrangements with such sources and there is no guarantee that we will be able to maintain or renew such agreements on commercially reasonable terms, if at all. If we were unable to maintain or renew such agreements, we would be forced to seek new arrangements with new hospitals, clinics or health institutions. If so, we may not be able to reach agreements with alternative partners or do so on terms acceptable to us. If we are unable to enter into such agreements, our research and development activities will be delayed and our ability to implement a key part of our development strategy will be compromised.</w:t>
      </w:r>
    </w:p>
    <w:p>
      <w:pPr>
        <w:spacing w:after="0" w:line="54" w:lineRule="exact"/>
        <w:rPr>
          <w:sz w:val="20"/>
          <w:szCs w:val="20"/>
          <w:color w:val="auto"/>
        </w:rPr>
      </w:pPr>
    </w:p>
    <w:p>
      <w:pPr>
        <w:ind w:right="180" w:firstLine="917"/>
        <w:spacing w:after="0" w:line="274" w:lineRule="auto"/>
        <w:rPr>
          <w:sz w:val="20"/>
          <w:szCs w:val="20"/>
          <w:color w:val="auto"/>
        </w:rPr>
      </w:pPr>
      <w:r>
        <w:rPr>
          <w:rFonts w:ascii="Arial" w:cs="Arial" w:eastAsia="Arial" w:hAnsi="Arial"/>
          <w:sz w:val="17"/>
          <w:szCs w:val="17"/>
          <w:b w:val="1"/>
          <w:bCs w:val="1"/>
          <w:i w:val="1"/>
          <w:iCs w:val="1"/>
          <w:color w:val="auto"/>
        </w:rPr>
        <w:t>Because we rely on third-party manufacturing and supply vendors, our supply of research and development, preclinical and clinical development materials may become limited or interrupted or may not be of satisfactory quantity or quality.</w:t>
      </w:r>
    </w:p>
    <w:p>
      <w:pPr>
        <w:spacing w:after="0" w:line="63" w:lineRule="exact"/>
        <w:rPr>
          <w:sz w:val="20"/>
          <w:szCs w:val="20"/>
          <w:color w:val="auto"/>
        </w:rPr>
      </w:pPr>
    </w:p>
    <w:p>
      <w:pPr>
        <w:ind w:firstLine="917"/>
        <w:spacing w:after="0" w:line="270" w:lineRule="auto"/>
        <w:rPr>
          <w:sz w:val="20"/>
          <w:szCs w:val="20"/>
          <w:color w:val="auto"/>
        </w:rPr>
      </w:pPr>
      <w:r>
        <w:rPr>
          <w:rFonts w:ascii="Arial" w:cs="Arial" w:eastAsia="Arial" w:hAnsi="Arial"/>
          <w:sz w:val="16"/>
          <w:szCs w:val="16"/>
          <w:color w:val="auto"/>
        </w:rPr>
        <w:t>We rely on third-party contract manufacturers to manufacture our product candidates for preclinical studies and clinical trials. We do not own manufacturing facilities for producing any clinical trial product supplies. There can be no assurance that our preclinical and clinical development product supplies will not be limited, interrupted, or of satisfactory quality or continue to be available at acceptable prices. For example, the extent to which the COVID-19 pandemic impacts our ability to procure sufficient supplies for the development of our product candidates will depend on the severity and duration of the spread of the virus, and the actions undertaken to contain COVID-19 or treat its effects. In particular, any replacement of our manufacturers could require significant effort and expertise because there may be a limited number of qualified replacements. In addition, three vaccines for COVID-19 were granted Emergency Use Authorization by the FDA in late 2020 and early 2021, and more are likely to be authorized in the coming months. The resultant demand for vaccines and potential for manufacturing facilities and materials to be commandeered under the Defense Production Act of 1950, equivalent foreign legislation or heightened demand on manufacturers may make it more difficult to obtain materials or manufacturing slots for the products needed for our development efforts, which could lead to delays in our clinical trials and scientific development efforts.</w:t>
      </w:r>
    </w:p>
    <w:p>
      <w:pPr>
        <w:spacing w:after="0" w:line="70" w:lineRule="exact"/>
        <w:rPr>
          <w:sz w:val="20"/>
          <w:szCs w:val="20"/>
          <w:color w:val="auto"/>
        </w:rPr>
      </w:pPr>
    </w:p>
    <w:p>
      <w:pPr>
        <w:ind w:right="40" w:firstLine="917"/>
        <w:spacing w:after="0" w:line="293" w:lineRule="auto"/>
        <w:rPr>
          <w:sz w:val="20"/>
          <w:szCs w:val="20"/>
          <w:color w:val="auto"/>
        </w:rPr>
      </w:pPr>
      <w:r>
        <w:rPr>
          <w:rFonts w:ascii="Arial" w:cs="Arial" w:eastAsia="Arial" w:hAnsi="Arial"/>
          <w:sz w:val="15"/>
          <w:szCs w:val="15"/>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cGMPs. In the event that any of our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third-party and a feasible alternative</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5" w:right="359" w:bottom="1440" w:gutter="0" w:footer="0" w:header="0"/>
        </w:sectPr>
      </w:pPr>
    </w:p>
    <w:bookmarkStart w:id="64" w:name="page65"/>
    <w:bookmarkEnd w:id="64"/>
    <w:p>
      <w:pPr>
        <w:ind w:right="100"/>
        <w:spacing w:after="0" w:line="279" w:lineRule="auto"/>
        <w:rPr>
          <w:sz w:val="20"/>
          <w:szCs w:val="20"/>
          <w:color w:val="auto"/>
        </w:rPr>
      </w:pPr>
      <w:r>
        <w:rPr>
          <w:rFonts w:ascii="Arial" w:cs="Arial" w:eastAsia="Arial" w:hAnsi="Arial"/>
          <w:sz w:val="16"/>
          <w:szCs w:val="16"/>
          <w:color w:val="auto"/>
        </w:rPr>
        <w:t>may not exist. These factors would increase our reliance on such manufacturer or require us 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61" w:lineRule="exact"/>
        <w:rPr>
          <w:sz w:val="20"/>
          <w:szCs w:val="20"/>
          <w:color w:val="auto"/>
        </w:rPr>
      </w:pPr>
    </w:p>
    <w:p>
      <w:pPr>
        <w:ind w:right="80" w:firstLine="917"/>
        <w:spacing w:after="0" w:line="255" w:lineRule="auto"/>
        <w:rPr>
          <w:sz w:val="20"/>
          <w:szCs w:val="20"/>
          <w:color w:val="auto"/>
        </w:rPr>
      </w:pPr>
      <w:r>
        <w:rPr>
          <w:rFonts w:ascii="Arial" w:cs="Arial" w:eastAsia="Arial" w:hAnsi="Arial"/>
          <w:sz w:val="17"/>
          <w:szCs w:val="17"/>
          <w:color w:val="auto"/>
        </w:rPr>
        <w:t>We expect to continue to rely on third-party manufacturers if we receive regulatory approval for PLN-74809 or any other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Our or a third-party’s failure to execute on our manufacturing requirements and comply with cGMP could adversely affect our business in a number of ways, including:</w:t>
      </w:r>
    </w:p>
    <w:p>
      <w:pPr>
        <w:spacing w:after="0" w:line="102" w:lineRule="exact"/>
        <w:rPr>
          <w:sz w:val="20"/>
          <w:szCs w:val="20"/>
          <w:color w:val="auto"/>
        </w:rPr>
      </w:pPr>
    </w:p>
    <w:p>
      <w:pPr>
        <w:ind w:left="2140" w:hanging="1062"/>
        <w:spacing w:after="0"/>
        <w:tabs>
          <w:tab w:leader="none" w:pos="2140" w:val="left"/>
        </w:tabs>
        <w:numPr>
          <w:ilvl w:val="0"/>
          <w:numId w:val="45"/>
        </w:numPr>
        <w:rPr>
          <w:rFonts w:ascii="Arial" w:cs="Arial" w:eastAsia="Arial" w:hAnsi="Arial"/>
          <w:sz w:val="20"/>
          <w:szCs w:val="20"/>
          <w:color w:val="auto"/>
        </w:rPr>
      </w:pPr>
      <w:r>
        <w:rPr>
          <w:rFonts w:ascii="Arial" w:cs="Arial" w:eastAsia="Arial" w:hAnsi="Arial"/>
          <w:sz w:val="17"/>
          <w:szCs w:val="17"/>
          <w:color w:val="auto"/>
        </w:rPr>
        <w:t>an inability to initiate or continue clinical trials of product candidates under development;</w:t>
      </w:r>
    </w:p>
    <w:p>
      <w:pPr>
        <w:spacing w:after="0" w:line="90" w:lineRule="exact"/>
        <w:rPr>
          <w:rFonts w:ascii="Arial" w:cs="Arial" w:eastAsia="Arial" w:hAnsi="Arial"/>
          <w:sz w:val="20"/>
          <w:szCs w:val="20"/>
          <w:color w:val="auto"/>
        </w:rPr>
      </w:pPr>
    </w:p>
    <w:p>
      <w:pPr>
        <w:ind w:left="2140" w:hanging="1062"/>
        <w:spacing w:after="0"/>
        <w:tabs>
          <w:tab w:leader="none" w:pos="21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delay in submitting regulatory applications, or receiving regulatory approvals, for product candidates;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loss of the cooperation of an existing or future collaborator;</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subjecting third-party manufacturing facilities or our manufacturing facilities to additional inspections by regulatory authorities;</w:t>
      </w:r>
    </w:p>
    <w:p>
      <w:pPr>
        <w:spacing w:after="0" w:line="121" w:lineRule="exact"/>
        <w:rPr>
          <w:rFonts w:ascii="Arial" w:cs="Arial" w:eastAsia="Arial" w:hAnsi="Arial"/>
          <w:sz w:val="16"/>
          <w:szCs w:val="16"/>
          <w:color w:val="auto"/>
        </w:rPr>
      </w:pPr>
    </w:p>
    <w:p>
      <w:pPr>
        <w:ind w:left="2140" w:hanging="1062"/>
        <w:spacing w:after="0"/>
        <w:tabs>
          <w:tab w:leader="none" w:pos="21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requirements to cease distribution or to recall batches of our product candidates; and</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in the event of approval to market and commercialize a product candidate, an inability to meet commercial demands for our products.</w:t>
      </w:r>
    </w:p>
    <w:p>
      <w:pPr>
        <w:spacing w:after="0" w:line="133" w:lineRule="exact"/>
        <w:rPr>
          <w:sz w:val="20"/>
          <w:szCs w:val="20"/>
          <w:color w:val="auto"/>
        </w:rPr>
      </w:pPr>
    </w:p>
    <w:p>
      <w:pPr>
        <w:ind w:right="20" w:firstLine="917"/>
        <w:spacing w:after="0" w:line="298" w:lineRule="auto"/>
        <w:rPr>
          <w:sz w:val="20"/>
          <w:szCs w:val="20"/>
          <w:color w:val="auto"/>
        </w:rPr>
      </w:pPr>
      <w:r>
        <w:rPr>
          <w:rFonts w:ascii="Arial" w:cs="Arial" w:eastAsia="Arial" w:hAnsi="Arial"/>
          <w:sz w:val="15"/>
          <w:szCs w:val="15"/>
          <w:color w:val="auto"/>
        </w:rPr>
        <w:t>We rely on a sole supplier for the manufacture of PLN-74809 (bexotegrast). If this sole supplier is unable to supply to us in the quantities we require, or at all, or otherwise defaults on its supply obligations to us, we may not be able to obtain alternative supplies from other suppliers on acceptable terms, in a timely manner, or at all. We also do not have long-term supply agreements with any of our suppliers. Our current contracts with certain suppliers may be canceled or not extended by such suppliers and, therefore, do not afford us with protection against a reduction or interruption in supplies. Moreover, in the event any of these suppliers breach their contracts with us, our legal remedies associated with such a breach may be insufficient to compensate us for any damages we may suffer.</w:t>
      </w:r>
    </w:p>
    <w:p>
      <w:pPr>
        <w:spacing w:after="0" w:line="50" w:lineRule="exact"/>
        <w:rPr>
          <w:sz w:val="20"/>
          <w:szCs w:val="20"/>
          <w:color w:val="auto"/>
        </w:rPr>
      </w:pPr>
    </w:p>
    <w:p>
      <w:pPr>
        <w:ind w:firstLine="917"/>
        <w:spacing w:after="0" w:line="254" w:lineRule="auto"/>
        <w:rPr>
          <w:sz w:val="20"/>
          <w:szCs w:val="20"/>
          <w:color w:val="auto"/>
        </w:rPr>
      </w:pPr>
      <w:r>
        <w:rPr>
          <w:rFonts w:ascii="Arial" w:cs="Arial" w:eastAsia="Arial" w:hAnsi="Arial"/>
          <w:sz w:val="17"/>
          <w:szCs w:val="17"/>
          <w:color w:val="auto"/>
        </w:rPr>
        <w:t>In addition, we contract with fill and finishing providers with the appropriate expertise, facilities and scale to meet our needs. Failure to maintain cGMP can result in a contractor receiving FDA sanctions, which can impact our ability to operate or lead to delays in any clinical development programs. We believe that our current fill and finish contractor is operating in accordance with cGMP, but we can give no assurance that FDA or other regulatory agencies will not conclude that a lack of compliance exists. In addition, any delay in contracting for fill and finish services, or failure of the contract manufacturer to perform the services as needed, may delay any clinical trials, registration and launches, which could negatively affect our business. In the future, if we advance a biological product candidate into IND-enabling studies, we will need to identify and contract with suppliers who are able to produce biological product candidates and adhere to additional cGMP compliance obligations required for biologicals.</w:t>
      </w:r>
    </w:p>
    <w:p>
      <w:pPr>
        <w:spacing w:after="0" w:line="80" w:lineRule="exact"/>
        <w:rPr>
          <w:sz w:val="20"/>
          <w:szCs w:val="20"/>
          <w:color w:val="auto"/>
        </w:rPr>
      </w:pPr>
    </w:p>
    <w:p>
      <w:pPr>
        <w:ind w:right="140" w:firstLine="917"/>
        <w:spacing w:after="0" w:line="274" w:lineRule="auto"/>
        <w:rPr>
          <w:sz w:val="20"/>
          <w:szCs w:val="20"/>
          <w:color w:val="auto"/>
        </w:rPr>
      </w:pPr>
      <w:r>
        <w:rPr>
          <w:rFonts w:ascii="Arial" w:cs="Arial" w:eastAsia="Arial" w:hAnsi="Arial"/>
          <w:sz w:val="17"/>
          <w:szCs w:val="17"/>
          <w:b w:val="1"/>
          <w:bCs w:val="1"/>
          <w:i w:val="1"/>
          <w:iCs w:val="1"/>
          <w:color w:val="auto"/>
        </w:rPr>
        <w:t>Our existing collaborations and future collaborations are and will be important to our business. If we are unable to enter into new collaborations, or if these collaborations are not successful, our business could be adversely affected.</w:t>
      </w:r>
    </w:p>
    <w:p>
      <w:pPr>
        <w:spacing w:after="0" w:line="63" w:lineRule="exact"/>
        <w:rPr>
          <w:sz w:val="20"/>
          <w:szCs w:val="20"/>
          <w:color w:val="auto"/>
        </w:rPr>
      </w:pPr>
    </w:p>
    <w:p>
      <w:pPr>
        <w:ind w:right="140" w:firstLine="917"/>
        <w:spacing w:after="0" w:line="258" w:lineRule="auto"/>
        <w:rPr>
          <w:sz w:val="20"/>
          <w:szCs w:val="20"/>
          <w:color w:val="auto"/>
        </w:rPr>
      </w:pPr>
      <w:r>
        <w:rPr>
          <w:rFonts w:ascii="Arial" w:cs="Arial" w:eastAsia="Arial" w:hAnsi="Arial"/>
          <w:sz w:val="17"/>
          <w:szCs w:val="17"/>
          <w:color w:val="auto"/>
        </w:rPr>
        <w:t>A part of our strategy is to selectively evaluate partnerships in indications and geographies where we believe partners can add significant commercial and/or development capabilities. Further, we have limited capabilities for product development and do not yet have any capability for commercialization. Accordingly, we have and may in the future enter into collaborations with other companies to provide us with important technologies and funding for our programs and technology.</w:t>
      </w:r>
    </w:p>
    <w:p>
      <w:pPr>
        <w:spacing w:after="0" w:line="7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Our existing collaborations and any future collaborations we enter into may pose a number of risks, including the following:</w:t>
      </w:r>
    </w:p>
    <w:p>
      <w:pPr>
        <w:spacing w:after="0" w:line="134" w:lineRule="exact"/>
        <w:rPr>
          <w:sz w:val="20"/>
          <w:szCs w:val="20"/>
          <w:color w:val="auto"/>
        </w:rPr>
      </w:pPr>
    </w:p>
    <w:p>
      <w:pPr>
        <w:ind w:left="2140" w:hanging="1062"/>
        <w:spacing w:after="0"/>
        <w:tabs>
          <w:tab w:leader="none" w:pos="2140" w:val="left"/>
        </w:tabs>
        <w:numPr>
          <w:ilvl w:val="0"/>
          <w:numId w:val="46"/>
        </w:numPr>
        <w:rPr>
          <w:rFonts w:ascii="Arial" w:cs="Arial" w:eastAsia="Arial" w:hAnsi="Arial"/>
          <w:sz w:val="20"/>
          <w:szCs w:val="20"/>
          <w:color w:val="auto"/>
        </w:rPr>
      </w:pPr>
      <w:r>
        <w:rPr>
          <w:rFonts w:ascii="Arial" w:cs="Arial" w:eastAsia="Arial" w:hAnsi="Arial"/>
          <w:sz w:val="17"/>
          <w:szCs w:val="17"/>
          <w:color w:val="auto"/>
        </w:rPr>
        <w:t>collaborators have significant discretion in determining the efforts and resources that they will apply;</w:t>
      </w:r>
    </w:p>
    <w:p>
      <w:pPr>
        <w:spacing w:after="0" w:line="129" w:lineRule="exact"/>
        <w:rPr>
          <w:sz w:val="20"/>
          <w:szCs w:val="20"/>
          <w:color w:val="auto"/>
        </w:rPr>
      </w:pPr>
    </w:p>
    <w:p>
      <w:pPr>
        <w:ind w:left="5540" w:right="5000" w:hanging="4462"/>
        <w:spacing w:after="0" w:line="1039" w:lineRule="auto"/>
        <w:tabs>
          <w:tab w:leader="none" w:pos="2143" w:val="left"/>
        </w:tabs>
        <w:numPr>
          <w:ilvl w:val="0"/>
          <w:numId w:val="47"/>
        </w:numPr>
        <w:rPr>
          <w:rFonts w:ascii="Arial" w:cs="Arial" w:eastAsia="Arial" w:hAnsi="Arial"/>
          <w:sz w:val="18"/>
          <w:szCs w:val="18"/>
          <w:color w:val="auto"/>
        </w:rPr>
      </w:pPr>
      <w:r>
        <w:rPr>
          <w:rFonts w:ascii="Arial" w:cs="Arial" w:eastAsia="Arial" w:hAnsi="Arial"/>
          <w:sz w:val="15"/>
          <w:szCs w:val="15"/>
          <w:color w:val="auto"/>
        </w:rPr>
        <w:t>collaborators may not perform their obligations as expected;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-384175</wp:posOffset>
            </wp:positionV>
            <wp:extent cx="7165340"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65" w:name="page66"/>
    <w:bookmarkEnd w:id="65"/>
    <w:p>
      <w:pPr>
        <w:ind w:left="2140" w:hanging="1062"/>
        <w:spacing w:after="0" w:line="243" w:lineRule="auto"/>
        <w:tabs>
          <w:tab w:leader="none" w:pos="2135" w:val="left"/>
        </w:tabs>
        <w:numPr>
          <w:ilvl w:val="0"/>
          <w:numId w:val="48"/>
        </w:numPr>
        <w:rPr>
          <w:rFonts w:ascii="Arial" w:cs="Arial" w:eastAsia="Arial" w:hAnsi="Arial"/>
          <w:sz w:val="20"/>
          <w:szCs w:val="20"/>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spacing w:after="0" w:line="128" w:lineRule="exact"/>
        <w:rPr>
          <w:sz w:val="20"/>
          <w:szCs w:val="20"/>
          <w:color w:val="auto"/>
        </w:rPr>
      </w:pPr>
    </w:p>
    <w:p>
      <w:pPr>
        <w:jc w:val="both"/>
        <w:ind w:left="2140" w:right="400" w:hanging="1062"/>
        <w:spacing w:after="0" w:line="294" w:lineRule="auto"/>
        <w:tabs>
          <w:tab w:leader="none" w:pos="2135" w:val="left"/>
        </w:tabs>
        <w:numPr>
          <w:ilvl w:val="0"/>
          <w:numId w:val="49"/>
        </w:numPr>
        <w:rPr>
          <w:rFonts w:ascii="Arial" w:cs="Arial" w:eastAsia="Arial" w:hAnsi="Arial"/>
          <w:sz w:val="18"/>
          <w:szCs w:val="18"/>
          <w:color w:val="auto"/>
        </w:rPr>
      </w:pPr>
      <w:r>
        <w:rPr>
          <w:rFonts w:ascii="Arial" w:cs="Arial" w:eastAsia="Arial" w:hAnsi="Arial"/>
          <w:sz w:val="15"/>
          <w:szCs w:val="15"/>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83" w:lineRule="exact"/>
        <w:rPr>
          <w:sz w:val="20"/>
          <w:szCs w:val="20"/>
          <w:color w:val="auto"/>
        </w:rPr>
      </w:pPr>
    </w:p>
    <w:p>
      <w:pPr>
        <w:ind w:left="2140" w:right="500" w:hanging="1062"/>
        <w:spacing w:after="0" w:line="269" w:lineRule="auto"/>
        <w:tabs>
          <w:tab w:leader="none" w:pos="2135" w:val="left"/>
        </w:tabs>
        <w:numPr>
          <w:ilvl w:val="0"/>
          <w:numId w:val="50"/>
        </w:numPr>
        <w:rPr>
          <w:rFonts w:ascii="Arial" w:cs="Arial" w:eastAsia="Arial" w:hAnsi="Arial"/>
          <w:sz w:val="19"/>
          <w:szCs w:val="19"/>
          <w:color w:val="auto"/>
        </w:rPr>
      </w:pPr>
      <w:r>
        <w:rPr>
          <w:rFonts w:ascii="Arial" w:cs="Arial" w:eastAsia="Arial" w:hAnsi="Arial"/>
          <w:sz w:val="16"/>
          <w:szCs w:val="16"/>
          <w:color w:val="auto"/>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107" w:lineRule="exact"/>
        <w:rPr>
          <w:sz w:val="20"/>
          <w:szCs w:val="20"/>
          <w:color w:val="auto"/>
        </w:rPr>
      </w:pPr>
    </w:p>
    <w:p>
      <w:pPr>
        <w:ind w:left="2140" w:right="240" w:hanging="1062"/>
        <w:spacing w:after="0" w:line="241" w:lineRule="auto"/>
        <w:tabs>
          <w:tab w:leader="none" w:pos="2135" w:val="left"/>
        </w:tabs>
        <w:numPr>
          <w:ilvl w:val="0"/>
          <w:numId w:val="51"/>
        </w:numPr>
        <w:rPr>
          <w:rFonts w:ascii="Arial" w:cs="Arial" w:eastAsia="Arial" w:hAnsi="Arial"/>
          <w:sz w:val="20"/>
          <w:szCs w:val="20"/>
          <w:color w:val="auto"/>
        </w:rPr>
      </w:pPr>
      <w:r>
        <w:rPr>
          <w:rFonts w:ascii="Arial" w:cs="Arial" w:eastAsia="Arial" w:hAnsi="Arial"/>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28" w:lineRule="exact"/>
        <w:rPr>
          <w:sz w:val="20"/>
          <w:szCs w:val="20"/>
          <w:color w:val="auto"/>
        </w:rPr>
      </w:pPr>
    </w:p>
    <w:p>
      <w:pPr>
        <w:ind w:left="2140" w:right="220" w:hanging="1062"/>
        <w:spacing w:after="0" w:line="236" w:lineRule="auto"/>
        <w:tabs>
          <w:tab w:leader="none" w:pos="2135" w:val="left"/>
        </w:tabs>
        <w:numPr>
          <w:ilvl w:val="0"/>
          <w:numId w:val="52"/>
        </w:numPr>
        <w:rPr>
          <w:rFonts w:ascii="Arial" w:cs="Arial" w:eastAsia="Arial" w:hAnsi="Arial"/>
          <w:sz w:val="20"/>
          <w:szCs w:val="20"/>
          <w:color w:val="auto"/>
        </w:rPr>
      </w:pPr>
      <w:r>
        <w:rPr>
          <w:rFonts w:ascii="Arial" w:cs="Arial" w:eastAsia="Arial" w:hAnsi="Arial"/>
          <w:sz w:val="17"/>
          <w:szCs w:val="17"/>
          <w:color w:val="auto"/>
        </w:rPr>
        <w:t>collaborators may fail to comply with applicable regulatory requirements regarding the development, manufacture, distribution or marketing of a product candidate or product;</w:t>
      </w:r>
    </w:p>
    <w:p>
      <w:pPr>
        <w:spacing w:after="0" w:line="129" w:lineRule="exact"/>
        <w:rPr>
          <w:sz w:val="20"/>
          <w:szCs w:val="20"/>
          <w:color w:val="auto"/>
        </w:rPr>
      </w:pPr>
    </w:p>
    <w:p>
      <w:pPr>
        <w:ind w:left="2140" w:right="160" w:hanging="1062"/>
        <w:spacing w:after="0" w:line="236" w:lineRule="auto"/>
        <w:tabs>
          <w:tab w:leader="none" w:pos="2135" w:val="left"/>
        </w:tabs>
        <w:numPr>
          <w:ilvl w:val="0"/>
          <w:numId w:val="53"/>
        </w:numPr>
        <w:rPr>
          <w:rFonts w:ascii="Arial" w:cs="Arial" w:eastAsia="Arial" w:hAnsi="Arial"/>
          <w:sz w:val="20"/>
          <w:szCs w:val="20"/>
          <w:color w:val="auto"/>
        </w:rPr>
      </w:pPr>
      <w:r>
        <w:rPr>
          <w:rFonts w:ascii="Arial" w:cs="Arial" w:eastAsia="Arial" w:hAnsi="Arial"/>
          <w:sz w:val="17"/>
          <w:szCs w:val="17"/>
          <w:color w:val="auto"/>
        </w:rPr>
        <w:t>collaborators with marketing and distribution rights to one or more of our product candidates that achieve regulatory approval may not commit sufficient resources to the marketing and distribution of such product or products;</w:t>
      </w:r>
    </w:p>
    <w:p>
      <w:pPr>
        <w:spacing w:after="0" w:line="129" w:lineRule="exact"/>
        <w:rPr>
          <w:sz w:val="20"/>
          <w:szCs w:val="20"/>
          <w:color w:val="auto"/>
        </w:rPr>
      </w:pPr>
    </w:p>
    <w:p>
      <w:pPr>
        <w:ind w:left="2140" w:right="20" w:hanging="1062"/>
        <w:spacing w:after="0" w:line="241" w:lineRule="auto"/>
        <w:tabs>
          <w:tab w:leader="none" w:pos="2135" w:val="left"/>
        </w:tabs>
        <w:numPr>
          <w:ilvl w:val="0"/>
          <w:numId w:val="54"/>
        </w:numPr>
        <w:rPr>
          <w:rFonts w:ascii="Arial" w:cs="Arial" w:eastAsia="Arial" w:hAnsi="Arial"/>
          <w:sz w:val="20"/>
          <w:szCs w:val="20"/>
          <w:color w:val="auto"/>
        </w:rPr>
      </w:pPr>
      <w:r>
        <w:rPr>
          <w:rFonts w:ascii="Arial" w:cs="Arial" w:eastAsia="Arial" w:hAnsi="Arial"/>
          <w:sz w:val="17"/>
          <w:szCs w:val="17"/>
          <w:color w:val="auto"/>
        </w:rPr>
        <w:t>collaborators may not provide us with timely and accurate information regarding development progress and activity under any future license agreement, which could adversely impact our ability to report progress to our investors and otherwise plan development of our product candidates;</w:t>
      </w:r>
    </w:p>
    <w:p>
      <w:pPr>
        <w:spacing w:after="0" w:line="128" w:lineRule="exact"/>
        <w:rPr>
          <w:sz w:val="20"/>
          <w:szCs w:val="20"/>
          <w:color w:val="auto"/>
        </w:rPr>
      </w:pPr>
    </w:p>
    <w:p>
      <w:pPr>
        <w:ind w:left="2140" w:right="140" w:hanging="1062"/>
        <w:spacing w:after="0" w:line="248" w:lineRule="auto"/>
        <w:tabs>
          <w:tab w:leader="none" w:pos="2135" w:val="left"/>
        </w:tabs>
        <w:numPr>
          <w:ilvl w:val="0"/>
          <w:numId w:val="55"/>
        </w:numPr>
        <w:rPr>
          <w:rFonts w:ascii="Arial" w:cs="Arial" w:eastAsia="Arial" w:hAnsi="Arial"/>
          <w:sz w:val="20"/>
          <w:szCs w:val="20"/>
          <w:color w:val="auto"/>
        </w:rPr>
      </w:pPr>
      <w:r>
        <w:rPr>
          <w:rFonts w:ascii="Arial" w:cs="Arial" w:eastAsia="Arial" w:hAnsi="Arial"/>
          <w:sz w:val="17"/>
          <w:szCs w:val="17"/>
          <w:color w:val="auto"/>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24" w:lineRule="exact"/>
        <w:rPr>
          <w:sz w:val="20"/>
          <w:szCs w:val="20"/>
          <w:color w:val="auto"/>
        </w:rPr>
      </w:pPr>
    </w:p>
    <w:p>
      <w:pPr>
        <w:ind w:left="2140" w:right="160" w:hanging="1062"/>
        <w:spacing w:after="0" w:line="241" w:lineRule="auto"/>
        <w:tabs>
          <w:tab w:leader="none" w:pos="2135" w:val="left"/>
        </w:tabs>
        <w:numPr>
          <w:ilvl w:val="0"/>
          <w:numId w:val="56"/>
        </w:numPr>
        <w:rPr>
          <w:rFonts w:ascii="Arial" w:cs="Arial" w:eastAsia="Arial" w:hAnsi="Arial"/>
          <w:sz w:val="20"/>
          <w:szCs w:val="20"/>
          <w:color w:val="auto"/>
        </w:rPr>
      </w:pPr>
      <w:r>
        <w:rPr>
          <w:rFonts w:ascii="Arial" w:cs="Arial" w:eastAsia="Arial" w:hAnsi="Arial"/>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25" w:lineRule="exact"/>
        <w:rPr>
          <w:sz w:val="20"/>
          <w:szCs w:val="20"/>
          <w:color w:val="auto"/>
        </w:rPr>
      </w:pPr>
    </w:p>
    <w:p>
      <w:pPr>
        <w:ind w:left="2140" w:hanging="1062"/>
        <w:spacing w:after="0"/>
        <w:tabs>
          <w:tab w:leader="none" w:pos="2140" w:val="left"/>
        </w:tabs>
        <w:numPr>
          <w:ilvl w:val="0"/>
          <w:numId w:val="57"/>
        </w:numPr>
        <w:rPr>
          <w:rFonts w:ascii="Arial" w:cs="Arial" w:eastAsia="Arial" w:hAnsi="Arial"/>
          <w:sz w:val="19"/>
          <w:szCs w:val="19"/>
          <w:color w:val="auto"/>
        </w:rPr>
      </w:pPr>
      <w:r>
        <w:rPr>
          <w:rFonts w:ascii="Arial" w:cs="Arial" w:eastAsia="Arial" w:hAnsi="Arial"/>
          <w:sz w:val="16"/>
          <w:szCs w:val="16"/>
          <w:color w:val="auto"/>
        </w:rPr>
        <w:t>collaborators may infringe the intellectual property rights of third parties, which may expose us to litigation and potential liability;</w:t>
      </w:r>
    </w:p>
    <w:p>
      <w:pPr>
        <w:spacing w:after="0" w:line="129" w:lineRule="exact"/>
        <w:rPr>
          <w:sz w:val="20"/>
          <w:szCs w:val="20"/>
          <w:color w:val="auto"/>
        </w:rPr>
      </w:pPr>
    </w:p>
    <w:p>
      <w:pPr>
        <w:ind w:left="2140" w:right="120" w:hanging="1062"/>
        <w:spacing w:after="0" w:line="236" w:lineRule="auto"/>
        <w:tabs>
          <w:tab w:leader="none" w:pos="2135" w:val="left"/>
        </w:tabs>
        <w:numPr>
          <w:ilvl w:val="0"/>
          <w:numId w:val="58"/>
        </w:numPr>
        <w:rPr>
          <w:rFonts w:ascii="Arial" w:cs="Arial" w:eastAsia="Arial" w:hAnsi="Arial"/>
          <w:sz w:val="20"/>
          <w:szCs w:val="20"/>
          <w:color w:val="auto"/>
        </w:rPr>
      </w:pPr>
      <w:r>
        <w:rPr>
          <w:rFonts w:ascii="Arial" w:cs="Arial" w:eastAsia="Arial" w:hAnsi="Arial"/>
          <w:sz w:val="17"/>
          <w:szCs w:val="17"/>
          <w:color w:val="auto"/>
        </w:rPr>
        <w:t>if a collaborator of ours is involved in a business combination, the collaborator might deemphasize or terminate the development or commercialization of any product candidate licensed to it by us; and</w:t>
      </w:r>
    </w:p>
    <w:p>
      <w:pPr>
        <w:spacing w:after="0" w:line="129" w:lineRule="exact"/>
        <w:rPr>
          <w:sz w:val="20"/>
          <w:szCs w:val="20"/>
          <w:color w:val="auto"/>
        </w:rPr>
      </w:pPr>
    </w:p>
    <w:p>
      <w:pPr>
        <w:ind w:left="2140" w:right="240" w:hanging="1062"/>
        <w:spacing w:after="0" w:line="236" w:lineRule="auto"/>
        <w:tabs>
          <w:tab w:leader="none" w:pos="2135" w:val="left"/>
        </w:tabs>
        <w:numPr>
          <w:ilvl w:val="0"/>
          <w:numId w:val="59"/>
        </w:numPr>
        <w:rPr>
          <w:rFonts w:ascii="Arial" w:cs="Arial" w:eastAsia="Arial" w:hAnsi="Arial"/>
          <w:sz w:val="20"/>
          <w:szCs w:val="20"/>
          <w:color w:val="auto"/>
        </w:rPr>
      </w:pPr>
      <w:r>
        <w:rPr>
          <w:rFonts w:ascii="Arial" w:cs="Arial" w:eastAsia="Arial" w:hAnsi="Arial"/>
          <w:sz w:val="17"/>
          <w:szCs w:val="17"/>
          <w:color w:val="auto"/>
        </w:rPr>
        <w:t>collaborations may be terminated by the collaborator, and, if terminated, we could be required to raise additional capital to pursue further development or commercialization of the applicable product candidates.</w:t>
      </w:r>
    </w:p>
    <w:p>
      <w:pPr>
        <w:spacing w:after="0" w:line="91" w:lineRule="exact"/>
        <w:rPr>
          <w:sz w:val="20"/>
          <w:szCs w:val="20"/>
          <w:color w:val="auto"/>
        </w:rPr>
      </w:pPr>
    </w:p>
    <w:p>
      <w:pPr>
        <w:ind w:right="40" w:firstLine="917"/>
        <w:spacing w:after="0" w:line="262" w:lineRule="auto"/>
        <w:rPr>
          <w:sz w:val="20"/>
          <w:szCs w:val="20"/>
          <w:color w:val="auto"/>
        </w:rPr>
      </w:pPr>
      <w:r>
        <w:rPr>
          <w:rFonts w:ascii="Arial" w:cs="Arial" w:eastAsia="Arial" w:hAnsi="Arial"/>
          <w:sz w:val="17"/>
          <w:szCs w:val="17"/>
          <w:color w:val="auto"/>
        </w:rPr>
        <w:t>If our existing collaborations and any future collaborations we enter into do not result in the successful discovery, development and commercialization of product candidates or if one of our collaborators terminates its agreement with us, we may not receive any future research funding or milestone or royalty payments under such collaboration. All of the risks relating</w:t>
      </w: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180"/>
          </w:cols>
          <w:pgMar w:left="320" w:top="993" w:right="399" w:bottom="1440" w:gutter="0" w:footer="0" w:header="0"/>
        </w:sectPr>
      </w:pPr>
    </w:p>
    <w:bookmarkStart w:id="66" w:name="page67"/>
    <w:bookmarkEnd w:id="66"/>
    <w:p>
      <w:pPr>
        <w:spacing w:after="0"/>
        <w:rPr>
          <w:sz w:val="20"/>
          <w:szCs w:val="20"/>
          <w:color w:val="auto"/>
        </w:rPr>
      </w:pPr>
      <w:r>
        <w:rPr>
          <w:rFonts w:ascii="Arial" w:cs="Arial" w:eastAsia="Arial" w:hAnsi="Arial"/>
          <w:sz w:val="16"/>
          <w:szCs w:val="16"/>
          <w:color w:val="auto"/>
        </w:rPr>
        <w:t>to product development, regulatory approval and commercialization described in this Report also apply to the activities of our therapeutic collaborators.</w:t>
      </w:r>
    </w:p>
    <w:p>
      <w:pPr>
        <w:spacing w:after="0" w:line="122" w:lineRule="exact"/>
        <w:rPr>
          <w:sz w:val="20"/>
          <w:szCs w:val="20"/>
          <w:color w:val="auto"/>
        </w:rPr>
      </w:pPr>
    </w:p>
    <w:p>
      <w:pPr>
        <w:ind w:right="220" w:firstLine="917"/>
        <w:spacing w:after="0" w:line="274" w:lineRule="auto"/>
        <w:rPr>
          <w:sz w:val="20"/>
          <w:szCs w:val="20"/>
          <w:color w:val="auto"/>
        </w:rPr>
      </w:pPr>
      <w:r>
        <w:rPr>
          <w:rFonts w:ascii="Arial" w:cs="Arial" w:eastAsia="Arial" w:hAnsi="Arial"/>
          <w:sz w:val="17"/>
          <w:szCs w:val="17"/>
          <w:color w:val="auto"/>
        </w:rPr>
        <w:t>Additionally, if one of our existing or future collaborators terminates its agreement with us, we may find it more difficult to attract new collaborators and our perception in the business and financial communities could be adversely affected.</w:t>
      </w:r>
    </w:p>
    <w:p>
      <w:pPr>
        <w:spacing w:after="0" w:line="63" w:lineRule="exact"/>
        <w:rPr>
          <w:sz w:val="20"/>
          <w:szCs w:val="20"/>
          <w:color w:val="auto"/>
        </w:rPr>
      </w:pPr>
    </w:p>
    <w:p>
      <w:pPr>
        <w:ind w:right="60" w:firstLine="917"/>
        <w:spacing w:after="0" w:line="287" w:lineRule="auto"/>
        <w:rPr>
          <w:sz w:val="20"/>
          <w:szCs w:val="20"/>
          <w:color w:val="auto"/>
        </w:rPr>
      </w:pPr>
      <w:r>
        <w:rPr>
          <w:rFonts w:ascii="Arial" w:cs="Arial" w:eastAsia="Arial" w:hAnsi="Arial"/>
          <w:sz w:val="15"/>
          <w:szCs w:val="15"/>
          <w:color w:val="auto"/>
        </w:rPr>
        <w:t>We face significant competition in seeking appropriate collaborators for our product candidates, and the negotiation process is time-consuming and complex. In order for us to successfully establish a collaboration for one or more of our product candidates, potential collaborators must view these product candidates as economically valuable in markets they determine to be attractive in light of the terms that we are seeking and other available products for licensing by other companies. Collaborations are complex and time-consuming to negotiate and document. In addition, there have been a significant number of recent business combinations among large biopharmaceutical companies that have resulted in a reduced number of potential future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expertise and additional capital, which may not be available to us on acceptable terms, or at all. If we fail to enter into future collaborations or do not have sufficient funds or expertise to undertake the necessary development and commercialization activities, we may not be able to further develop our product candidates, bring them to market and generate revenue from sales of drugs or continue to develop our technology, and our business may be materially and adversely affected. Even if we are successful in our efforts to establish new strategic collaborations, the terms that we agree upon may not be favorable to us, and we may not be able to maintain such strategic collaborations if, for example, development or approval of a product candidate is delayed or sales of an approved product are disappointing. Any delay in entering into new strategic collaboration agreements related to our product candidates could delay the development and commercialization of our product candidates and reduce their competitiveness even if they reach the market.</w:t>
      </w:r>
    </w:p>
    <w:p>
      <w:pPr>
        <w:spacing w:after="0" w:line="59" w:lineRule="exact"/>
        <w:rPr>
          <w:sz w:val="20"/>
          <w:szCs w:val="20"/>
          <w:color w:val="auto"/>
        </w:rPr>
      </w:pPr>
    </w:p>
    <w:p>
      <w:pPr>
        <w:ind w:right="200" w:firstLine="917"/>
        <w:spacing w:after="0" w:line="274" w:lineRule="auto"/>
        <w:rPr>
          <w:sz w:val="20"/>
          <w:szCs w:val="20"/>
          <w:color w:val="auto"/>
        </w:rPr>
      </w:pPr>
      <w:r>
        <w:rPr>
          <w:rFonts w:ascii="Arial" w:cs="Arial" w:eastAsia="Arial" w:hAnsi="Arial"/>
          <w:sz w:val="17"/>
          <w:szCs w:val="17"/>
          <w:b w:val="1"/>
          <w:bCs w:val="1"/>
          <w:i w:val="1"/>
          <w:iCs w:val="1"/>
          <w:color w:val="auto"/>
        </w:rPr>
        <w:t>Our collaborators, prospective collaborators, and suppliers may need assurances that our financial resources and stability on a stand-alone basis are sufficient to satisfy their requirements for doing or continuing to do business with us.</w:t>
      </w:r>
    </w:p>
    <w:p>
      <w:pPr>
        <w:spacing w:after="0" w:line="63" w:lineRule="exact"/>
        <w:rPr>
          <w:sz w:val="20"/>
          <w:szCs w:val="20"/>
          <w:color w:val="auto"/>
        </w:rPr>
      </w:pPr>
    </w:p>
    <w:p>
      <w:pPr>
        <w:ind w:firstLine="917"/>
        <w:spacing w:after="0" w:line="258" w:lineRule="auto"/>
        <w:rPr>
          <w:sz w:val="20"/>
          <w:szCs w:val="20"/>
          <w:color w:val="auto"/>
        </w:rPr>
      </w:pPr>
      <w:r>
        <w:rPr>
          <w:rFonts w:ascii="Arial" w:cs="Arial" w:eastAsia="Arial" w:hAnsi="Arial"/>
          <w:sz w:val="17"/>
          <w:szCs w:val="17"/>
          <w:color w:val="auto"/>
        </w:rPr>
        <w:t>Some of our collaborators, prospective collaborators, and suppliers may need assurances that our financial resources and stability on a stand-alone basis are sufficient to satisfy their requirements for doing or continuing to do business with us. If our collaborators, prospective collaborators or suppliers are not satisfied with our financial resources and stability, it could have a material adverse effect on our ability to develop our drug candidates, enter into licenses or other agreements and on our business, financial condition or results of operations.</w:t>
      </w:r>
    </w:p>
    <w:p>
      <w:pPr>
        <w:spacing w:after="0" w:line="72"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Risks Related to Managing Our Business and Operations</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15"/>
          <w:szCs w:val="15"/>
          <w:b w:val="1"/>
          <w:bCs w:val="1"/>
          <w:i w:val="1"/>
          <w:iCs w:val="1"/>
          <w:color w:val="auto"/>
        </w:rPr>
        <w:t>The outbreak of the coronavirus disease, COVID-19, could adversely impact our business, including our preclinical studies and clinical trials.</w:t>
      </w:r>
    </w:p>
    <w:p>
      <w:pPr>
        <w:spacing w:after="0" w:line="133" w:lineRule="exact"/>
        <w:rPr>
          <w:sz w:val="20"/>
          <w:szCs w:val="20"/>
          <w:color w:val="auto"/>
        </w:rPr>
      </w:pPr>
    </w:p>
    <w:p>
      <w:pPr>
        <w:ind w:right="20" w:firstLine="917"/>
        <w:spacing w:after="0" w:line="253" w:lineRule="auto"/>
        <w:rPr>
          <w:sz w:val="20"/>
          <w:szCs w:val="20"/>
          <w:color w:val="auto"/>
        </w:rPr>
      </w:pPr>
      <w:r>
        <w:rPr>
          <w:rFonts w:ascii="Arial" w:cs="Arial" w:eastAsia="Arial" w:hAnsi="Arial"/>
          <w:sz w:val="17"/>
          <w:szCs w:val="17"/>
          <w:color w:val="auto"/>
        </w:rPr>
        <w:t>In December 2019, a novel strain of the coronavirus disease, COVID-19, was identified in Wuhan, China. This virus has spread to a number of countries globally, including the United States. 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significantly limited access to our executive offices with the majority of our administrative employees continuing their work outside of our offices and limited the presence of our staff in the laboratory and in the administrative spaces to levels that adhere to social distancing protocols. As a result of the COVID-19 pandemic, we have experienced disruptions and may continue to experience disruptions that could severely impact our business, preclinical studies and clinical trials, including:</w:t>
      </w:r>
    </w:p>
    <w:p>
      <w:pPr>
        <w:spacing w:after="0" w:line="83" w:lineRule="exact"/>
        <w:rPr>
          <w:sz w:val="20"/>
          <w:szCs w:val="20"/>
          <w:color w:val="auto"/>
        </w:rPr>
      </w:pPr>
    </w:p>
    <w:p>
      <w:pPr>
        <w:ind w:left="2140" w:right="120" w:hanging="1062"/>
        <w:spacing w:after="0" w:line="256" w:lineRule="auto"/>
        <w:tabs>
          <w:tab w:leader="none" w:pos="2136" w:val="left"/>
        </w:tabs>
        <w:numPr>
          <w:ilvl w:val="0"/>
          <w:numId w:val="60"/>
        </w:numPr>
        <w:rPr>
          <w:rFonts w:ascii="Arial" w:cs="Arial" w:eastAsia="Arial" w:hAnsi="Arial"/>
          <w:sz w:val="17"/>
          <w:szCs w:val="17"/>
          <w:color w:val="auto"/>
        </w:rPr>
      </w:pPr>
      <w:r>
        <w:rPr>
          <w:rFonts w:ascii="Arial" w:cs="Arial" w:eastAsia="Arial" w:hAnsi="Arial"/>
          <w:sz w:val="17"/>
          <w:szCs w:val="17"/>
          <w:color w:val="auto"/>
        </w:rPr>
        <w:t>delays or difficulties in commencing enrollment of patients in our clinical trials, including our Phase 2a clinical trials of PLN-74809 (bexotegrast) in IPF and PSC and our Phase 1 clinical trial of PLN-1474. Following delays in site initiation due to the impacts of COVID-19, our Phase 2a trials of PLN-74809 (bexotegrast) in IPF completed enrollment and our Phase 2a trial in PSC has resumed active enrollment of patients. With respect to the Phase 1 trial of PLN-1474, the Phase 1 trial site experienced delays due to its location in an area heavily impacted by</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67" w:name="page68"/>
    <w:bookmarkEnd w:id="67"/>
    <w:p>
      <w:pPr>
        <w:ind w:left="2140"/>
        <w:spacing w:after="0"/>
        <w:rPr>
          <w:sz w:val="20"/>
          <w:szCs w:val="20"/>
          <w:color w:val="auto"/>
        </w:rPr>
      </w:pPr>
      <w:r>
        <w:rPr>
          <w:rFonts w:ascii="Arial" w:cs="Arial" w:eastAsia="Arial" w:hAnsi="Arial"/>
          <w:sz w:val="15"/>
          <w:szCs w:val="15"/>
          <w:color w:val="auto"/>
        </w:rPr>
        <w:t>COVID-19; however, the trial site reopened and completed dosing the remaining cohorts, and the trial was subsequently completed;</w:t>
      </w:r>
    </w:p>
    <w:p>
      <w:pPr>
        <w:spacing w:after="0" w:line="133" w:lineRule="exact"/>
        <w:rPr>
          <w:sz w:val="20"/>
          <w:szCs w:val="20"/>
          <w:color w:val="auto"/>
        </w:rPr>
      </w:pPr>
    </w:p>
    <w:p>
      <w:pPr>
        <w:ind w:left="2140" w:right="160" w:hanging="1062"/>
        <w:spacing w:after="0" w:line="274" w:lineRule="auto"/>
        <w:tabs>
          <w:tab w:leader="none" w:pos="2136"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impact from potential delays, including potential difficulties in clinical site initiation, including difficulties in recruiting clinical site investigators and clinical site staff;</w:t>
      </w:r>
    </w:p>
    <w:p>
      <w:pPr>
        <w:spacing w:after="0" w:line="63" w:lineRule="exact"/>
        <w:rPr>
          <w:rFonts w:ascii="Arial" w:cs="Arial" w:eastAsia="Arial" w:hAnsi="Arial"/>
          <w:sz w:val="17"/>
          <w:szCs w:val="17"/>
          <w:color w:val="auto"/>
        </w:rPr>
      </w:pPr>
    </w:p>
    <w:p>
      <w:pPr>
        <w:ind w:left="2140" w:right="100" w:hanging="1062"/>
        <w:spacing w:after="0" w:line="274" w:lineRule="auto"/>
        <w:tabs>
          <w:tab w:leader="none" w:pos="2136" w:val="left"/>
        </w:tabs>
        <w:numPr>
          <w:ilvl w:val="0"/>
          <w:numId w:val="61"/>
        </w:numPr>
        <w:rPr>
          <w:rFonts w:ascii="Arial" w:cs="Arial" w:eastAsia="Arial" w:hAnsi="Arial"/>
          <w:sz w:val="17"/>
          <w:szCs w:val="17"/>
          <w:color w:val="auto"/>
        </w:rPr>
      </w:pPr>
      <w:r>
        <w:rPr>
          <w:rFonts w:ascii="Arial" w:cs="Arial" w:eastAsia="Arial" w:hAnsi="Arial"/>
          <w:sz w:val="17"/>
          <w:szCs w:val="17"/>
          <w:color w:val="auto"/>
        </w:rPr>
        <w:t>diversion of healthcare resources away from the conduct of clinical trials, including the diversion of hospitals serving as our clinical trial sites and hospital staff supporting the conduct of our clinical trials;</w:t>
      </w:r>
    </w:p>
    <w:p>
      <w:pPr>
        <w:spacing w:after="0" w:line="63" w:lineRule="exact"/>
        <w:rPr>
          <w:rFonts w:ascii="Arial" w:cs="Arial" w:eastAsia="Arial" w:hAnsi="Arial"/>
          <w:sz w:val="17"/>
          <w:szCs w:val="17"/>
          <w:color w:val="auto"/>
        </w:rPr>
      </w:pPr>
    </w:p>
    <w:p>
      <w:pPr>
        <w:jc w:val="both"/>
        <w:ind w:left="2140" w:right="680" w:hanging="1062"/>
        <w:spacing w:after="0" w:line="313" w:lineRule="auto"/>
        <w:tabs>
          <w:tab w:leader="none" w:pos="2136" w:val="left"/>
        </w:tabs>
        <w:numPr>
          <w:ilvl w:val="0"/>
          <w:numId w:val="61"/>
        </w:numPr>
        <w:rPr>
          <w:rFonts w:ascii="Arial" w:cs="Arial" w:eastAsia="Arial" w:hAnsi="Arial"/>
          <w:sz w:val="15"/>
          <w:szCs w:val="15"/>
          <w:color w:val="auto"/>
        </w:rPr>
      </w:pPr>
      <w:r>
        <w:rPr>
          <w:rFonts w:ascii="Arial" w:cs="Arial" w:eastAsia="Arial" w:hAnsi="Arial"/>
          <w:sz w:val="15"/>
          <w:szCs w:val="15"/>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that are deemed non-essential, which may impact the integrity of subject data and clinical study endpoints;</w:t>
      </w:r>
    </w:p>
    <w:p>
      <w:pPr>
        <w:spacing w:after="0" w:line="38" w:lineRule="exact"/>
        <w:rPr>
          <w:rFonts w:ascii="Arial" w:cs="Arial" w:eastAsia="Arial" w:hAnsi="Arial"/>
          <w:sz w:val="15"/>
          <w:szCs w:val="15"/>
          <w:color w:val="auto"/>
        </w:rPr>
      </w:pPr>
    </w:p>
    <w:p>
      <w:pPr>
        <w:ind w:left="2140" w:hanging="1062"/>
        <w:spacing w:after="0"/>
        <w:tabs>
          <w:tab w:leader="none" w:pos="2140" w:val="left"/>
        </w:tabs>
        <w:numPr>
          <w:ilvl w:val="0"/>
          <w:numId w:val="61"/>
        </w:numPr>
        <w:rPr>
          <w:rFonts w:ascii="Arial" w:cs="Arial" w:eastAsia="Arial" w:hAnsi="Arial"/>
          <w:sz w:val="15"/>
          <w:szCs w:val="15"/>
          <w:color w:val="auto"/>
        </w:rPr>
      </w:pPr>
      <w:r>
        <w:rPr>
          <w:rFonts w:ascii="Arial" w:cs="Arial" w:eastAsia="Arial" w:hAnsi="Arial"/>
          <w:sz w:val="15"/>
          <w:szCs w:val="15"/>
          <w:color w:val="auto"/>
        </w:rPr>
        <w:t>interruption or delays in the operations of the FDA or other regulatory authorities, which may impact review and approval timelines;</w:t>
      </w:r>
    </w:p>
    <w:p>
      <w:pPr>
        <w:spacing w:after="0" w:line="133" w:lineRule="exact"/>
        <w:rPr>
          <w:rFonts w:ascii="Arial" w:cs="Arial" w:eastAsia="Arial" w:hAnsi="Arial"/>
          <w:sz w:val="15"/>
          <w:szCs w:val="15"/>
          <w:color w:val="auto"/>
        </w:rPr>
      </w:pPr>
    </w:p>
    <w:p>
      <w:pPr>
        <w:ind w:left="2140" w:right="440" w:hanging="1062"/>
        <w:spacing w:after="0" w:line="274" w:lineRule="auto"/>
        <w:tabs>
          <w:tab w:leader="none" w:pos="2136"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interruption of, or delays in receiving, supplies of our product candidates from our contract manufacturing organizations due to staffing shortages, production slowdowns or stoppages and disruptions in delivery systems;</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interruptions in preclinical studies due to restricted or limited operations at our laboratory facility;</w:t>
      </w:r>
    </w:p>
    <w:p>
      <w:pPr>
        <w:spacing w:after="0" w:line="110" w:lineRule="exact"/>
        <w:rPr>
          <w:rFonts w:ascii="Arial" w:cs="Arial" w:eastAsia="Arial" w:hAnsi="Arial"/>
          <w:sz w:val="17"/>
          <w:szCs w:val="17"/>
          <w:color w:val="auto"/>
        </w:rPr>
      </w:pPr>
    </w:p>
    <w:p>
      <w:pPr>
        <w:ind w:left="2140" w:right="40" w:hanging="1062"/>
        <w:spacing w:after="0" w:line="262" w:lineRule="auto"/>
        <w:tabs>
          <w:tab w:leader="none" w:pos="2136" w:val="left"/>
        </w:tabs>
        <w:numPr>
          <w:ilvl w:val="0"/>
          <w:numId w:val="61"/>
        </w:numPr>
        <w:rPr>
          <w:rFonts w:ascii="Arial" w:cs="Arial" w:eastAsia="Arial" w:hAnsi="Arial"/>
          <w:sz w:val="17"/>
          <w:szCs w:val="17"/>
          <w:color w:val="auto"/>
        </w:rPr>
      </w:pPr>
      <w:r>
        <w:rPr>
          <w:rFonts w:ascii="Arial" w:cs="Arial" w:eastAsia="Arial" w:hAnsi="Arial"/>
          <w:sz w:val="17"/>
          <w:szCs w:val="17"/>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 and</w:t>
      </w:r>
    </w:p>
    <w:p>
      <w:pPr>
        <w:spacing w:after="0" w:line="72" w:lineRule="exact"/>
        <w:rPr>
          <w:rFonts w:ascii="Arial" w:cs="Arial" w:eastAsia="Arial" w:hAnsi="Arial"/>
          <w:sz w:val="17"/>
          <w:szCs w:val="17"/>
          <w:color w:val="auto"/>
        </w:rPr>
      </w:pPr>
    </w:p>
    <w:p>
      <w:pPr>
        <w:ind w:left="2140" w:hanging="1062"/>
        <w:spacing w:after="0"/>
        <w:tabs>
          <w:tab w:leader="none" w:pos="21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interruption or delays to our sourced discovery and clinical activities.</w:t>
      </w:r>
    </w:p>
    <w:p>
      <w:pPr>
        <w:spacing w:after="0" w:line="110" w:lineRule="exact"/>
        <w:rPr>
          <w:sz w:val="20"/>
          <w:szCs w:val="20"/>
          <w:color w:val="auto"/>
        </w:rPr>
      </w:pPr>
    </w:p>
    <w:p>
      <w:pPr>
        <w:ind w:right="100" w:firstLine="917"/>
        <w:spacing w:after="0" w:line="295" w:lineRule="auto"/>
        <w:rPr>
          <w:sz w:val="20"/>
          <w:szCs w:val="20"/>
          <w:color w:val="auto"/>
        </w:rPr>
      </w:pPr>
      <w:r>
        <w:rPr>
          <w:rFonts w:ascii="Arial" w:cs="Arial" w:eastAsia="Arial" w:hAnsi="Arial"/>
          <w:sz w:val="15"/>
          <w:szCs w:val="15"/>
          <w:color w:val="auto"/>
        </w:rPr>
        <w:t>The COVID-19 pandemic continues to rapidly evolve and new variants of the virus continue to emerge. The extent to which the outbreak impacts our business, preclinical studies and clinical trials will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and the effectiveness of actions taken in the United States and other countries to contain and treat the disease. The foregoing disruptions, and other continued disruptions to our business in connection with the COVID-19 pandemic, could have a material adverse impact on our business, financial condition or results of operations. In addition, the COVID-19 pandemic heightens many of the other risks and uncertainties discussed herein.</w:t>
      </w:r>
    </w:p>
    <w:p>
      <w:pPr>
        <w:spacing w:after="0" w:line="52"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We may encounter difficulties in managing our growth, which could adversely affect our operations.</w:t>
      </w:r>
    </w:p>
    <w:p>
      <w:pPr>
        <w:spacing w:after="0" w:line="110" w:lineRule="exact"/>
        <w:rPr>
          <w:sz w:val="20"/>
          <w:szCs w:val="20"/>
          <w:color w:val="auto"/>
        </w:rPr>
      </w:pPr>
    </w:p>
    <w:p>
      <w:pPr>
        <w:ind w:right="100" w:firstLine="917"/>
        <w:spacing w:after="0" w:line="303" w:lineRule="auto"/>
        <w:rPr>
          <w:sz w:val="20"/>
          <w:szCs w:val="20"/>
          <w:color w:val="auto"/>
        </w:rPr>
      </w:pPr>
      <w:r>
        <w:rPr>
          <w:rFonts w:ascii="Arial" w:cs="Arial" w:eastAsia="Arial" w:hAnsi="Arial"/>
          <w:sz w:val="15"/>
          <w:szCs w:val="15"/>
          <w:color w:val="auto"/>
        </w:rPr>
        <w:t>As of September 30, 2022, we had 114 full-time employees. As our clinical development and commercialization plans and strategies develop, we will need to expand our managerial, clinical, regulatory, sales, marketing, financial, development, manufacturing and legal capabilities or contract with third parties to provide these capabilities for us. As our operations expand, we expect that we will need to manage additional relationships with various strategic collaborators, suppliers and other third parties. Our future growth would impose significant added responsibilities on members of management, including:</w:t>
      </w:r>
    </w:p>
    <w:p>
      <w:pPr>
        <w:spacing w:after="0" w:line="69" w:lineRule="exact"/>
        <w:rPr>
          <w:sz w:val="20"/>
          <w:szCs w:val="20"/>
          <w:color w:val="auto"/>
        </w:rPr>
      </w:pPr>
    </w:p>
    <w:p>
      <w:pPr>
        <w:ind w:left="2140" w:hanging="1062"/>
        <w:spacing w:after="0"/>
        <w:tabs>
          <w:tab w:leader="none" w:pos="2140" w:val="left"/>
        </w:tabs>
        <w:numPr>
          <w:ilvl w:val="0"/>
          <w:numId w:val="62"/>
        </w:numPr>
        <w:rPr>
          <w:rFonts w:ascii="Arial" w:cs="Arial" w:eastAsia="Arial" w:hAnsi="Arial"/>
          <w:sz w:val="20"/>
          <w:szCs w:val="20"/>
          <w:color w:val="auto"/>
        </w:rPr>
      </w:pPr>
      <w:r>
        <w:rPr>
          <w:rFonts w:ascii="Arial" w:cs="Arial" w:eastAsia="Arial" w:hAnsi="Arial"/>
          <w:sz w:val="17"/>
          <w:szCs w:val="17"/>
          <w:color w:val="auto"/>
        </w:rPr>
        <w:t>identifying, recruiting, integrating, maintaining and motivating additional employees;</w:t>
      </w:r>
    </w:p>
    <w:p>
      <w:pPr>
        <w:spacing w:after="0" w:line="129" w:lineRule="exact"/>
        <w:rPr>
          <w:sz w:val="20"/>
          <w:szCs w:val="20"/>
          <w:color w:val="auto"/>
        </w:rPr>
      </w:pPr>
    </w:p>
    <w:p>
      <w:pPr>
        <w:ind w:left="2140" w:right="40" w:hanging="1062"/>
        <w:spacing w:after="0" w:line="241" w:lineRule="auto"/>
        <w:tabs>
          <w:tab w:leader="none" w:pos="2135" w:val="left"/>
        </w:tabs>
        <w:numPr>
          <w:ilvl w:val="0"/>
          <w:numId w:val="63"/>
        </w:numPr>
        <w:rPr>
          <w:rFonts w:ascii="Arial" w:cs="Arial" w:eastAsia="Arial" w:hAnsi="Arial"/>
          <w:sz w:val="20"/>
          <w:szCs w:val="20"/>
          <w:color w:val="auto"/>
        </w:rPr>
      </w:pPr>
      <w:r>
        <w:rPr>
          <w:rFonts w:ascii="Arial" w:cs="Arial" w:eastAsia="Arial" w:hAnsi="Arial"/>
          <w:sz w:val="17"/>
          <w:szCs w:val="17"/>
          <w:color w:val="auto"/>
        </w:rPr>
        <w:t>managing our development and commercialization efforts effectively, including the clinical and FDA review process for PLN-74809 (bexotegrast) and any other product candidates, while complying with our contractual obligations to contractors and other third parties; and</w:t>
      </w:r>
    </w:p>
    <w:p>
      <w:pPr>
        <w:spacing w:after="0" w:line="113" w:lineRule="exact"/>
        <w:rPr>
          <w:sz w:val="20"/>
          <w:szCs w:val="20"/>
          <w:color w:val="auto"/>
        </w:rPr>
      </w:pPr>
    </w:p>
    <w:p>
      <w:pPr>
        <w:ind w:left="2140" w:hanging="1062"/>
        <w:spacing w:after="0"/>
        <w:tabs>
          <w:tab w:leader="none" w:pos="2140" w:val="left"/>
        </w:tabs>
        <w:numPr>
          <w:ilvl w:val="0"/>
          <w:numId w:val="64"/>
        </w:numPr>
        <w:rPr>
          <w:rFonts w:ascii="Arial" w:cs="Arial" w:eastAsia="Arial" w:hAnsi="Arial"/>
          <w:sz w:val="20"/>
          <w:szCs w:val="20"/>
          <w:color w:val="auto"/>
        </w:rPr>
      </w:pPr>
      <w:r>
        <w:rPr>
          <w:rFonts w:ascii="Arial" w:cs="Arial" w:eastAsia="Arial" w:hAnsi="Arial"/>
          <w:sz w:val="17"/>
          <w:szCs w:val="17"/>
          <w:color w:val="auto"/>
        </w:rPr>
        <w:t>improving our operational, financial and management controls, reporting systems and procedures.</w:t>
      </w:r>
    </w:p>
    <w:p>
      <w:pPr>
        <w:spacing w:after="0" w:line="103" w:lineRule="exact"/>
        <w:rPr>
          <w:sz w:val="20"/>
          <w:szCs w:val="20"/>
          <w:color w:val="auto"/>
        </w:rPr>
      </w:pPr>
    </w:p>
    <w:p>
      <w:pPr>
        <w:ind w:firstLine="917"/>
        <w:spacing w:after="0" w:line="262" w:lineRule="auto"/>
        <w:rPr>
          <w:sz w:val="20"/>
          <w:szCs w:val="20"/>
          <w:color w:val="auto"/>
        </w:rPr>
      </w:pPr>
      <w:r>
        <w:rPr>
          <w:rFonts w:ascii="Arial" w:cs="Arial" w:eastAsia="Arial" w:hAnsi="Arial"/>
          <w:sz w:val="17"/>
          <w:szCs w:val="17"/>
          <w:color w:val="auto"/>
        </w:rPr>
        <w:t>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devote a substantial amount of time to managing these growth activities.</w:t>
      </w:r>
    </w:p>
    <w:p>
      <w:pPr>
        <w:spacing w:after="0" w:line="73" w:lineRule="exact"/>
        <w:rPr>
          <w:sz w:val="20"/>
          <w:szCs w:val="20"/>
          <w:color w:val="auto"/>
        </w:rPr>
      </w:pPr>
    </w:p>
    <w:p>
      <w:pPr>
        <w:ind w:right="40" w:firstLine="917"/>
        <w:spacing w:after="0" w:line="262" w:lineRule="auto"/>
        <w:rPr>
          <w:sz w:val="20"/>
          <w:szCs w:val="20"/>
          <w:color w:val="auto"/>
        </w:rPr>
      </w:pPr>
      <w:r>
        <w:rPr>
          <w:rFonts w:ascii="Arial" w:cs="Arial" w:eastAsia="Arial" w:hAnsi="Arial"/>
          <w:sz w:val="17"/>
          <w:szCs w:val="17"/>
          <w:color w:val="auto"/>
        </w:rPr>
        <w:t>We currently rely, and for the foreseeable future will continue to rely, in substantial part on certain independent organizations, advisors and consultants to provide certain services, including contract manufacturers and companies focused on research and development and discovery activities. There can be no assurance that the services of independent organizations,</w:t>
      </w: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00"/>
          </w:cols>
          <w:pgMar w:left="320" w:top="955" w:right="379" w:bottom="1440" w:gutter="0" w:footer="0" w:header="0"/>
        </w:sectPr>
      </w:pPr>
    </w:p>
    <w:bookmarkStart w:id="68" w:name="page69"/>
    <w:bookmarkEnd w:id="68"/>
    <w:p>
      <w:pPr>
        <w:spacing w:after="0" w:line="256" w:lineRule="auto"/>
        <w:rPr>
          <w:sz w:val="20"/>
          <w:szCs w:val="20"/>
          <w:color w:val="auto"/>
        </w:rPr>
      </w:pPr>
      <w:r>
        <w:rPr>
          <w:rFonts w:ascii="Arial" w:cs="Arial" w:eastAsia="Arial" w:hAnsi="Arial"/>
          <w:sz w:val="17"/>
          <w:szCs w:val="17"/>
          <w:color w:val="auto"/>
        </w:rPr>
        <w:t>advisors and consultants will continue to be available to us on a timely basis when needed, or that we can find qualified replacements. In addition, if we are unable to effectively manage our outsourced activities or if the quality, accuracy or quantity of the services provided is compromised for any reason, our clinical trials may be extended, delayed or terminated, and we may not be able to obtain, or may be substantially delayed in obtaining, regulatory approval of our product candidates or otherwise advance our business. There can be no assurance that we will be able to manage our existing consultants or find other competent outside contractors and consultants on economically reasonable terms, or at all.</w:t>
      </w:r>
    </w:p>
    <w:p>
      <w:pPr>
        <w:spacing w:after="0" w:line="78" w:lineRule="exact"/>
        <w:rPr>
          <w:sz w:val="20"/>
          <w:szCs w:val="20"/>
          <w:color w:val="auto"/>
        </w:rPr>
      </w:pPr>
    </w:p>
    <w:p>
      <w:pPr>
        <w:ind w:right="240" w:firstLine="917"/>
        <w:spacing w:after="0" w:line="262" w:lineRule="auto"/>
        <w:rPr>
          <w:sz w:val="20"/>
          <w:szCs w:val="20"/>
          <w:color w:val="auto"/>
        </w:rPr>
      </w:pPr>
      <w:r>
        <w:rPr>
          <w:rFonts w:ascii="Arial" w:cs="Arial" w:eastAsia="Arial" w:hAnsi="Arial"/>
          <w:sz w:val="17"/>
          <w:szCs w:val="17"/>
          <w:color w:val="auto"/>
        </w:rPr>
        <w:t>If we are not able to effectively expand our organization by hiring new employees and expanding our groups of consultants and contractors, we may not be able to successfully implement the tasks necessary to further develop and commercialize PLN-74809 (bexotegrast) or any other product candidates and, accordingly, may not achieve our research, development and commercialization goals.</w:t>
      </w:r>
    </w:p>
    <w:p>
      <w:pPr>
        <w:spacing w:after="0" w:line="73" w:lineRule="exact"/>
        <w:rPr>
          <w:sz w:val="20"/>
          <w:szCs w:val="20"/>
          <w:color w:val="auto"/>
        </w:rPr>
      </w:pPr>
    </w:p>
    <w:p>
      <w:pPr>
        <w:jc w:val="both"/>
        <w:ind w:right="280" w:firstLine="917"/>
        <w:spacing w:after="0" w:line="313" w:lineRule="auto"/>
        <w:rPr>
          <w:sz w:val="20"/>
          <w:szCs w:val="20"/>
          <w:color w:val="auto"/>
        </w:rPr>
      </w:pPr>
      <w:r>
        <w:rPr>
          <w:rFonts w:ascii="Arial" w:cs="Arial" w:eastAsia="Arial" w:hAnsi="Arial"/>
          <w:sz w:val="15"/>
          <w:szCs w:val="15"/>
          <w:color w:val="auto"/>
        </w:rPr>
        <w:t>We may acquire additional technology and complementary businesses in the future. Acquisitions involve many risks, any of which could materially harm our business, including the diversion of management’s attention from core business concerns, failure to effectively exploit acquired technologies, failure to successfully integrate the acquired business or realize expected synergies or the loss of key employees from either our business or the acquired businesses.</w:t>
      </w:r>
    </w:p>
    <w:p>
      <w:pPr>
        <w:spacing w:after="0" w:line="38" w:lineRule="exact"/>
        <w:rPr>
          <w:sz w:val="20"/>
          <w:szCs w:val="20"/>
          <w:color w:val="auto"/>
        </w:rPr>
      </w:pPr>
    </w:p>
    <w:p>
      <w:pPr>
        <w:ind w:right="160" w:firstLine="917"/>
        <w:spacing w:after="0" w:line="379" w:lineRule="auto"/>
        <w:rPr>
          <w:sz w:val="20"/>
          <w:szCs w:val="20"/>
          <w:color w:val="auto"/>
        </w:rPr>
      </w:pPr>
      <w:r>
        <w:rPr>
          <w:rFonts w:ascii="Arial" w:cs="Arial" w:eastAsia="Arial" w:hAnsi="Arial"/>
          <w:sz w:val="14"/>
          <w:szCs w:val="14"/>
          <w:b w:val="1"/>
          <w:bCs w:val="1"/>
          <w:i w:val="1"/>
          <w:iCs w:val="1"/>
          <w:color w:val="auto"/>
        </w:rPr>
        <w:t>If we lose key management personnel, or if we fail to recruit additional highly skilled personnel, our ability to develop current product candidates or identify and develop new product candidates will be impaired, could result in loss of markets or market share and could make us less competitive.</w:t>
      </w:r>
    </w:p>
    <w:p>
      <w:pPr>
        <w:spacing w:after="0" w:line="1" w:lineRule="exact"/>
        <w:rPr>
          <w:sz w:val="20"/>
          <w:szCs w:val="20"/>
          <w:color w:val="auto"/>
        </w:rPr>
      </w:pPr>
    </w:p>
    <w:p>
      <w:pPr>
        <w:ind w:right="20" w:firstLine="917"/>
        <w:spacing w:after="0" w:line="275" w:lineRule="auto"/>
        <w:rPr>
          <w:sz w:val="20"/>
          <w:szCs w:val="20"/>
          <w:color w:val="auto"/>
        </w:rPr>
      </w:pPr>
      <w:r>
        <w:rPr>
          <w:rFonts w:ascii="Arial" w:cs="Arial" w:eastAsia="Arial" w:hAnsi="Arial"/>
          <w:sz w:val="16"/>
          <w:szCs w:val="16"/>
          <w:color w:val="auto"/>
        </w:rPr>
        <w:t>Our ability to compete in the highly competitive biotechnology and biopharmaceutical industries depends upon our ability to attract and retain highly qualified managerial, scientific, and medical personnel. We are highly dependent on our management, scientific and medical personnel, including Bernard Coulie, M.D., Ph.D., our President and Chief Executive Officer, Keith Cummings, M.D., our Chief Financial Officer, Johannes (Hans) Hull, J.D., our Chief Business Officer and Éric Lefebvre, M.D., our Chief Medical Officer. The loss of the services of any of our executive officers, other key employees and other scientific and medical advisors, and our inability to find suitable replacements could result in delays in product development and harm our business.</w:t>
      </w:r>
    </w:p>
    <w:p>
      <w:pPr>
        <w:spacing w:after="0" w:line="67" w:lineRule="exact"/>
        <w:rPr>
          <w:sz w:val="20"/>
          <w:szCs w:val="20"/>
          <w:color w:val="auto"/>
        </w:rPr>
      </w:pPr>
    </w:p>
    <w:p>
      <w:pPr>
        <w:ind w:right="120" w:firstLine="917"/>
        <w:spacing w:after="0" w:line="262" w:lineRule="auto"/>
        <w:rPr>
          <w:sz w:val="20"/>
          <w:szCs w:val="20"/>
          <w:color w:val="auto"/>
        </w:rPr>
      </w:pPr>
      <w:r>
        <w:rPr>
          <w:rFonts w:ascii="Arial" w:cs="Arial" w:eastAsia="Arial" w:hAnsi="Arial"/>
          <w:sz w:val="17"/>
          <w:szCs w:val="17"/>
          <w:color w:val="auto"/>
        </w:rPr>
        <w:t>We conduct our operations at our facility in South San Francisco, California. This region is headquarters to many other biopharmaceutical companies, biotechnology companies and research institutions. Competition for skilled personnel in our market is intense and may limit our ability to hire and retain highly qualified personnel on acceptable terms or at all.</w:t>
      </w:r>
    </w:p>
    <w:p>
      <w:pPr>
        <w:spacing w:after="0" w:line="73" w:lineRule="exact"/>
        <w:rPr>
          <w:sz w:val="20"/>
          <w:szCs w:val="20"/>
          <w:color w:val="auto"/>
        </w:rPr>
      </w:pPr>
    </w:p>
    <w:p>
      <w:pPr>
        <w:ind w:right="40" w:firstLine="917"/>
        <w:spacing w:after="0" w:line="254" w:lineRule="auto"/>
        <w:rPr>
          <w:sz w:val="20"/>
          <w:szCs w:val="20"/>
          <w:color w:val="auto"/>
        </w:rPr>
      </w:pPr>
      <w:r>
        <w:rPr>
          <w:rFonts w:ascii="Arial" w:cs="Arial" w:eastAsia="Arial" w:hAnsi="Arial"/>
          <w:sz w:val="17"/>
          <w:szCs w:val="17"/>
          <w:color w:val="auto"/>
        </w:rPr>
        <w:t>To induce valuable employees to remain at our company, in addition to salary and cash incentives, we have provided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key employees are at-will employees, which means that any of our employees could leave our employment at any time, with or without notice. We do not maintain “key person” insurance policies on the lives of these individuals or the lives of any of our other employees. Our success also depends on our ability to continue to attract, retain and motivate highly skilled junior, mid-level and senior scientific and medical personnel.</w:t>
      </w:r>
    </w:p>
    <w:p>
      <w:pPr>
        <w:spacing w:after="0" w:line="80" w:lineRule="exact"/>
        <w:rPr>
          <w:sz w:val="20"/>
          <w:szCs w:val="20"/>
          <w:color w:val="auto"/>
        </w:rPr>
      </w:pPr>
    </w:p>
    <w:p>
      <w:pPr>
        <w:ind w:right="120" w:firstLine="917"/>
        <w:spacing w:after="0" w:line="262" w:lineRule="auto"/>
        <w:rPr>
          <w:sz w:val="20"/>
          <w:szCs w:val="20"/>
          <w:color w:val="auto"/>
        </w:rPr>
      </w:pPr>
      <w:r>
        <w:rPr>
          <w:rFonts w:ascii="Arial" w:cs="Arial" w:eastAsia="Arial" w:hAnsi="Arial"/>
          <w:sz w:val="17"/>
          <w:szCs w:val="17"/>
          <w:b w:val="1"/>
          <w:bCs w:val="1"/>
          <w:i w:val="1"/>
          <w:iCs w:val="1"/>
          <w:color w:val="auto"/>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 including earthquakes, outbreak of disease or other natural disasters.</w:t>
      </w:r>
    </w:p>
    <w:p>
      <w:pPr>
        <w:spacing w:after="0" w:line="73" w:lineRule="exact"/>
        <w:rPr>
          <w:sz w:val="20"/>
          <w:szCs w:val="20"/>
          <w:color w:val="auto"/>
        </w:rPr>
      </w:pPr>
    </w:p>
    <w:p>
      <w:pPr>
        <w:ind w:right="40" w:firstLine="917"/>
        <w:spacing w:after="0" w:line="270" w:lineRule="auto"/>
        <w:rPr>
          <w:sz w:val="20"/>
          <w:szCs w:val="20"/>
          <w:color w:val="auto"/>
        </w:rPr>
      </w:pPr>
      <w:r>
        <w:rPr>
          <w:rFonts w:ascii="Arial" w:cs="Arial" w:eastAsia="Arial" w:hAnsi="Arial"/>
          <w:sz w:val="16"/>
          <w:szCs w:val="16"/>
          <w:color w:val="auto"/>
        </w:rPr>
        <w:t>Our current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In addition, global climate change could result in certain types of natural disasters occurring more frequently or with more intense effects.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w:t>
      </w:r>
    </w:p>
    <w:p>
      <w:pPr>
        <w:spacing w:after="0" w:line="70" w:lineRule="exact"/>
        <w:rPr>
          <w:sz w:val="20"/>
          <w:szCs w:val="20"/>
          <w:color w:val="auto"/>
        </w:rPr>
      </w:pPr>
    </w:p>
    <w:p>
      <w:pPr>
        <w:ind w:right="120" w:firstLine="917"/>
        <w:spacing w:after="0" w:line="274" w:lineRule="auto"/>
        <w:rPr>
          <w:sz w:val="20"/>
          <w:szCs w:val="20"/>
          <w:color w:val="auto"/>
        </w:rPr>
      </w:pPr>
      <w:r>
        <w:rPr>
          <w:rFonts w:ascii="Arial" w:cs="Arial" w:eastAsia="Arial" w:hAnsi="Arial"/>
          <w:sz w:val="17"/>
          <w:szCs w:val="17"/>
          <w:color w:val="auto"/>
        </w:rPr>
        <w:t>The disaster recovery and business continuity plans we have in place may prove inadequate in the event of a serious disaster or similar event. We may incur substantial expenses as a result of the limited nature of our disaster recovery and</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5" w:right="359" w:bottom="1440" w:gutter="0" w:footer="0" w:header="0"/>
        </w:sectPr>
      </w:pPr>
    </w:p>
    <w:bookmarkStart w:id="69" w:name="page70"/>
    <w:bookmarkEnd w:id="69"/>
    <w:p>
      <w:pPr>
        <w:ind w:right="60"/>
        <w:spacing w:after="0" w:line="256" w:lineRule="auto"/>
        <w:rPr>
          <w:sz w:val="20"/>
          <w:szCs w:val="20"/>
          <w:color w:val="auto"/>
        </w:rPr>
      </w:pPr>
      <w:r>
        <w:rPr>
          <w:rFonts w:ascii="Arial" w:cs="Arial" w:eastAsia="Arial" w:hAnsi="Arial"/>
          <w:sz w:val="17"/>
          <w:szCs w:val="17"/>
          <w:color w:val="auto"/>
        </w:rPr>
        <w:t>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w:t>
      </w:r>
    </w:p>
    <w:p>
      <w:pPr>
        <w:spacing w:after="0" w:line="78" w:lineRule="exact"/>
        <w:rPr>
          <w:sz w:val="20"/>
          <w:szCs w:val="20"/>
          <w:color w:val="auto"/>
        </w:rPr>
      </w:pPr>
    </w:p>
    <w:p>
      <w:pPr>
        <w:ind w:right="680" w:firstLine="917"/>
        <w:spacing w:after="0" w:line="274" w:lineRule="auto"/>
        <w:rPr>
          <w:sz w:val="20"/>
          <w:szCs w:val="20"/>
          <w:color w:val="auto"/>
        </w:rPr>
      </w:pPr>
      <w:r>
        <w:rPr>
          <w:rFonts w:ascii="Arial" w:cs="Arial" w:eastAsia="Arial" w:hAnsi="Arial"/>
          <w:sz w:val="17"/>
          <w:szCs w:val="17"/>
          <w:b w:val="1"/>
          <w:bCs w:val="1"/>
          <w:i w:val="1"/>
          <w:iCs w:val="1"/>
          <w:color w:val="auto"/>
        </w:rPr>
        <w:t>Our employees, independent contractors, consultants, commercial partners, collaborators and vendors may engage in misconduct or other improper activities, including noncompliance with regulatory standards and requirements.</w:t>
      </w:r>
    </w:p>
    <w:p>
      <w:pPr>
        <w:spacing w:after="0" w:line="63" w:lineRule="exact"/>
        <w:rPr>
          <w:sz w:val="20"/>
          <w:szCs w:val="20"/>
          <w:color w:val="auto"/>
        </w:rPr>
      </w:pPr>
    </w:p>
    <w:p>
      <w:pPr>
        <w:ind w:firstLine="917"/>
        <w:spacing w:after="0" w:line="268" w:lineRule="auto"/>
        <w:rPr>
          <w:sz w:val="20"/>
          <w:szCs w:val="20"/>
          <w:color w:val="auto"/>
        </w:rPr>
      </w:pPr>
      <w:r>
        <w:rPr>
          <w:rFonts w:ascii="Arial" w:cs="Arial" w:eastAsia="Arial" w:hAnsi="Arial"/>
          <w:sz w:val="16"/>
          <w:szCs w:val="16"/>
          <w:color w:val="auto"/>
        </w:rPr>
        <w:t>We are exposed to the risk of employee fraud or other illegal activity by our employees, independent contractors, consultants, commercial partners, collaborators,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will also increase. These laws may impact, among other things, our current activities with principal investigators and research patients, as well as proposed and future sales, marketing, and education programs. We adopted a code of business conduct and ethics, but it is not always possible to identify and deter misconduct by our employees, independent contractors, consultants, commercial partners and vendors,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actions are instituted against us and we are not successful in defending ourselves or asserting our rights, those actions could result in the imposition of civil, criminal and administrative penalties, damages, monetary fines, imprisonment, disgorgement, possible exclusion from participation in government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the curtailment of our operations.</w:t>
      </w:r>
    </w:p>
    <w:p>
      <w:pPr>
        <w:spacing w:after="0" w:line="76"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We use and generate materials that may expose us to material liability.</w:t>
      </w:r>
    </w:p>
    <w:p>
      <w:pPr>
        <w:spacing w:after="0" w:line="110" w:lineRule="exact"/>
        <w:rPr>
          <w:sz w:val="20"/>
          <w:szCs w:val="20"/>
          <w:color w:val="auto"/>
        </w:rPr>
      </w:pPr>
    </w:p>
    <w:p>
      <w:pPr>
        <w:ind w:firstLine="917"/>
        <w:spacing w:after="0" w:line="253" w:lineRule="auto"/>
        <w:rPr>
          <w:sz w:val="20"/>
          <w:szCs w:val="20"/>
          <w:color w:val="auto"/>
        </w:rPr>
      </w:pPr>
      <w:r>
        <w:rPr>
          <w:rFonts w:ascii="Arial" w:cs="Arial" w:eastAsia="Arial" w:hAnsi="Arial"/>
          <w:sz w:val="17"/>
          <w:szCs w:val="17"/>
          <w:color w:val="auto"/>
        </w:rPr>
        <w:t>Our research programs involve the use of hazardous materials and chemicals, which are currently only handled by third parties. We are subject to foreign, federal, state, and local environmental and health and safety laws and regulations governing, among other matters, the use, manufacture, handling, storage and disposal of hazardous materials and waste products such as human tissue samples that may have the potential to transmit diseases.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spacing w:after="0" w:line="83" w:lineRule="exact"/>
        <w:rPr>
          <w:sz w:val="20"/>
          <w:szCs w:val="20"/>
          <w:color w:val="auto"/>
        </w:rPr>
      </w:pPr>
    </w:p>
    <w:p>
      <w:pPr>
        <w:ind w:right="260" w:firstLine="917"/>
        <w:spacing w:after="0" w:line="274"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3" w:lineRule="exact"/>
        <w:rPr>
          <w:sz w:val="20"/>
          <w:szCs w:val="20"/>
          <w:color w:val="auto"/>
        </w:rPr>
      </w:pPr>
    </w:p>
    <w:p>
      <w:pPr>
        <w:ind w:right="40" w:firstLine="917"/>
        <w:spacing w:after="0" w:line="288" w:lineRule="auto"/>
        <w:rPr>
          <w:sz w:val="20"/>
          <w:szCs w:val="20"/>
          <w:color w:val="auto"/>
        </w:rPr>
      </w:pPr>
      <w:r>
        <w:rPr>
          <w:rFonts w:ascii="Arial" w:cs="Arial" w:eastAsia="Arial" w:hAnsi="Arial"/>
          <w:sz w:val="15"/>
          <w:szCs w:val="15"/>
          <w:color w:val="auto"/>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color w:val="auto"/>
        </w:rPr>
        <w:t>development or production efforts. Failure to comply with these laws and regulations also may result in substantial fines, penalties or other sanctions.</w:t>
      </w:r>
    </w:p>
    <w:p>
      <w:pPr>
        <w:spacing w:after="0" w:line="110" w:lineRule="exact"/>
        <w:rPr>
          <w:sz w:val="20"/>
          <w:szCs w:val="20"/>
          <w:color w:val="auto"/>
        </w:rPr>
      </w:pPr>
    </w:p>
    <w:p>
      <w:pPr>
        <w:ind w:firstLine="917"/>
        <w:spacing w:after="0" w:line="279"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We do not carry specific biological waste or hazardous waste insurance coverage, workers’ compensation or property and casualty and general liability insurance policies that include coverage for damages and fines arising from biological or hazardous waste exposure or contamination.</w:t>
      </w:r>
    </w:p>
    <w:p>
      <w:pPr>
        <w:spacing w:after="0" w:line="61" w:lineRule="exact"/>
        <w:rPr>
          <w:sz w:val="20"/>
          <w:szCs w:val="20"/>
          <w:color w:val="auto"/>
        </w:rPr>
      </w:pPr>
    </w:p>
    <w:p>
      <w:pPr>
        <w:ind w:right="200" w:firstLine="917"/>
        <w:spacing w:after="0" w:line="274" w:lineRule="auto"/>
        <w:rPr>
          <w:sz w:val="20"/>
          <w:szCs w:val="20"/>
          <w:color w:val="auto"/>
        </w:rPr>
      </w:pPr>
      <w:r>
        <w:rPr>
          <w:rFonts w:ascii="Arial" w:cs="Arial" w:eastAsia="Arial" w:hAnsi="Arial"/>
          <w:sz w:val="17"/>
          <w:szCs w:val="17"/>
          <w:b w:val="1"/>
          <w:bCs w:val="1"/>
          <w:i w:val="1"/>
          <w:iCs w:val="1"/>
          <w:color w:val="auto"/>
        </w:rPr>
        <w:t>Compliance with governmental regulations regarding the treatment of animals used in research could increase our operating costs, which would adversely affect the commercialization of our products.</w:t>
      </w:r>
    </w:p>
    <w:p>
      <w:pPr>
        <w:spacing w:after="0" w:line="63" w:lineRule="exact"/>
        <w:rPr>
          <w:sz w:val="20"/>
          <w:szCs w:val="20"/>
          <w:color w:val="auto"/>
        </w:rPr>
      </w:pPr>
    </w:p>
    <w:p>
      <w:pPr>
        <w:ind w:right="100" w:firstLine="917"/>
        <w:spacing w:after="0" w:line="254" w:lineRule="auto"/>
        <w:rPr>
          <w:sz w:val="20"/>
          <w:szCs w:val="20"/>
          <w:color w:val="auto"/>
        </w:rPr>
      </w:pPr>
      <w:r>
        <w:rPr>
          <w:rFonts w:ascii="Arial" w:cs="Arial" w:eastAsia="Arial" w:hAnsi="Arial"/>
          <w:sz w:val="17"/>
          <w:szCs w:val="17"/>
          <w:color w:val="auto"/>
        </w:rPr>
        <w:t>The Animal Welfare Act, or AWA, is the federal law that covers the treatment of certain animals used in research. Currently, the AWA imposes a wide variety of specific regulations that govern the humane handling, care, treatment, and transportation of certain animals by producers and users of research animals, most notably relating to personnel, facilities, sanitation, cage size, and feeding, watering, and shipping conditions. Third parties with whom we contract are subject to registration, inspections, and reporting requirements under the AWA. Furthermore, some states have their own regulations, including general anti-cruelty legislation, which establish certain standards in handling animals. Comparable rules, regulations, and or obligations exist in many foreign jurisdictions. If we or our contractors fail to comply with regulations concerning the treatment of animals used in research, we may be subject to fines and penalties and adverse publicity, and our operations could be adversely affected.</w:t>
      </w:r>
    </w:p>
    <w:p>
      <w:pPr>
        <w:spacing w:after="0" w:line="80"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Our ability to use our net operating loss carryforwards and certain tax credit carryforwards may be subject to limitation.</w:t>
      </w:r>
    </w:p>
    <w:p>
      <w:pPr>
        <w:spacing w:after="0" w:line="97" w:lineRule="exact"/>
        <w:rPr>
          <w:sz w:val="20"/>
          <w:szCs w:val="20"/>
          <w:color w:val="auto"/>
        </w:rPr>
      </w:pPr>
    </w:p>
    <w:p>
      <w:pPr>
        <w:ind w:firstLine="917"/>
        <w:spacing w:after="0" w:line="272" w:lineRule="auto"/>
        <w:rPr>
          <w:sz w:val="20"/>
          <w:szCs w:val="20"/>
          <w:color w:val="auto"/>
        </w:rPr>
      </w:pPr>
      <w:r>
        <w:rPr>
          <w:rFonts w:ascii="Arial" w:cs="Arial" w:eastAsia="Arial" w:hAnsi="Arial"/>
          <w:sz w:val="15"/>
          <w:szCs w:val="15"/>
          <w:color w:val="auto"/>
        </w:rPr>
        <w:t>As of December 31, 2021, we had net operating loss carryforwards for U.S. federal and state income tax purposes of $184.7 million and $183.0 million, respectively, some of which will begin to expire in 2035. As of December 31, 2021, we also had available tax credit carryforwards for U.S. federal income tax purposes of $14.1 million, which begin to expire in 2036, and state income tax purposes of $4.1 million, which can be carried forward indefinitely. Under Section</w:t>
      </w:r>
    </w:p>
    <w:p>
      <w:pPr>
        <w:spacing w:after="0" w:line="1" w:lineRule="exact"/>
        <w:rPr>
          <w:sz w:val="20"/>
          <w:szCs w:val="20"/>
          <w:color w:val="auto"/>
        </w:rPr>
      </w:pPr>
    </w:p>
    <w:p>
      <w:pPr>
        <w:ind w:right="40"/>
        <w:spacing w:after="0" w:line="267" w:lineRule="auto"/>
        <w:rPr>
          <w:sz w:val="20"/>
          <w:szCs w:val="20"/>
          <w:color w:val="auto"/>
        </w:rPr>
      </w:pPr>
      <w:r>
        <w:rPr>
          <w:rFonts w:ascii="Arial" w:cs="Arial" w:eastAsia="Arial" w:hAnsi="Arial"/>
          <w:sz w:val="15"/>
          <w:szCs w:val="15"/>
          <w:color w:val="auto"/>
        </w:rPr>
        <w:t>382 of the Internal Revenue Code, as amended, or the Code, changes in our ownership may limit the amount of our net operating loss carryforwards and tax credit carryforwards that could be utilized annually to offset our future taxable income, if any. This limitation would generally apply in the event of a cumulative change in ownership of our company of more than 50 percentage points within a three-year period. Any such limitation may significantly reduce our ability to utilize our net operating loss carryforwards and tax credit carryforwards before they expire. We have performed an analysis under Internal Revenue Code Sections 382 and 383 to determine the amount of our net operating loss carryforwards and research and development credit carryforwards that will be subject to annual limitation. This analysis concluded that we have experienced one or more such ownership changes prior to September 30, 2022, and the Company’s net operating losses and tax credit carryforwards generated prior to the identified ownership changes are subject to no permanent limitation under Sections 382 or 383. In addition, we may experience subsequent ownership changes as a result of future equity offerings or other changes in our stock ownership. Any such limitation could have a material adverse effect on our results of operations in future years. Our ability to utilize those net operating loss carryforwards could be limited by an “ownership change” as described above, which could result in increased tax liability to us. Net operating losses generated after December 31, 2017 are not subject to expiration, but may not be carried back to prior taxable years, except that net operating losses generated in 2018, 2019 and 2020 may be carried back five taxable years. Additionally, the deductibility of such U.S. federal net operating losses is limited to 80% of our taxable income in any taxable year beginning after December 31, 2020.</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Risks Related to Our Common Stock</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The price of our stock may be volatile, and you could lose all or part of your investment.</w:t>
      </w:r>
    </w:p>
    <w:p>
      <w:pPr>
        <w:spacing w:after="0" w:line="110" w:lineRule="exact"/>
        <w:rPr>
          <w:sz w:val="20"/>
          <w:szCs w:val="20"/>
          <w:color w:val="auto"/>
        </w:rPr>
      </w:pPr>
    </w:p>
    <w:p>
      <w:pPr>
        <w:ind w:right="20" w:firstLine="917"/>
        <w:spacing w:after="0" w:line="262" w:lineRule="auto"/>
        <w:rPr>
          <w:sz w:val="20"/>
          <w:szCs w:val="20"/>
          <w:color w:val="auto"/>
        </w:rPr>
      </w:pPr>
      <w:r>
        <w:rPr>
          <w:rFonts w:ascii="Arial" w:cs="Arial" w:eastAsia="Arial" w:hAnsi="Arial"/>
          <w:sz w:val="17"/>
          <w:szCs w:val="17"/>
          <w:color w:val="auto"/>
        </w:rPr>
        <w:t>The trading price of our common stock is likely to be highly volatile and could be subject to wide fluctuations in response to various factors, some of which are beyond our control, including limited trading volume. In addition to the factors discussed in this “Risk Factors” section and elsewhere in this Report, these factors include:</w:t>
      </w:r>
    </w:p>
    <w:p>
      <w:pPr>
        <w:spacing w:after="0" w:line="111" w:lineRule="exact"/>
        <w:rPr>
          <w:sz w:val="20"/>
          <w:szCs w:val="20"/>
          <w:color w:val="auto"/>
        </w:rPr>
      </w:pPr>
    </w:p>
    <w:p>
      <w:pPr>
        <w:ind w:left="2140" w:right="280" w:hanging="1062"/>
        <w:spacing w:after="0" w:line="236" w:lineRule="auto"/>
        <w:tabs>
          <w:tab w:leader="none" w:pos="2135" w:val="left"/>
        </w:tabs>
        <w:numPr>
          <w:ilvl w:val="0"/>
          <w:numId w:val="65"/>
        </w:numPr>
        <w:rPr>
          <w:rFonts w:ascii="Arial" w:cs="Arial" w:eastAsia="Arial" w:hAnsi="Arial"/>
          <w:sz w:val="20"/>
          <w:szCs w:val="20"/>
          <w:color w:val="auto"/>
        </w:rPr>
      </w:pPr>
      <w:r>
        <w:rPr>
          <w:rFonts w:ascii="Arial" w:cs="Arial" w:eastAsia="Arial" w:hAnsi="Arial"/>
          <w:sz w:val="17"/>
          <w:szCs w:val="17"/>
          <w:color w:val="auto"/>
        </w:rPr>
        <w:t>the commencement, enrollment or results of our current Phase 2a clinical trials of PLN-74809 (bexotegrast) and any other clinical trials for our product candidates conducted by us or our collaborators;</w:t>
      </w:r>
    </w:p>
    <w:p>
      <w:pPr>
        <w:spacing w:after="0" w:line="114" w:lineRule="exact"/>
        <w:rPr>
          <w:sz w:val="20"/>
          <w:szCs w:val="20"/>
          <w:color w:val="auto"/>
        </w:rPr>
      </w:pPr>
    </w:p>
    <w:p>
      <w:pPr>
        <w:ind w:left="2140" w:hanging="1062"/>
        <w:spacing w:after="0"/>
        <w:tabs>
          <w:tab w:leader="none" w:pos="2140" w:val="left"/>
        </w:tabs>
        <w:numPr>
          <w:ilvl w:val="0"/>
          <w:numId w:val="66"/>
        </w:numPr>
        <w:rPr>
          <w:rFonts w:ascii="Arial" w:cs="Arial" w:eastAsia="Arial" w:hAnsi="Arial"/>
          <w:sz w:val="20"/>
          <w:szCs w:val="20"/>
          <w:color w:val="auto"/>
        </w:rPr>
      </w:pPr>
      <w:r>
        <w:rPr>
          <w:rFonts w:ascii="Arial" w:cs="Arial" w:eastAsia="Arial" w:hAnsi="Arial"/>
          <w:sz w:val="17"/>
          <w:szCs w:val="17"/>
          <w:color w:val="auto"/>
        </w:rPr>
        <w:t>any delay in identifying and advancing a clinical candidate for our other development programs;</w:t>
      </w:r>
    </w:p>
    <w:p>
      <w:pPr>
        <w:spacing w:after="0" w:line="129" w:lineRule="exact"/>
        <w:rPr>
          <w:sz w:val="20"/>
          <w:szCs w:val="20"/>
          <w:color w:val="auto"/>
        </w:rPr>
      </w:pPr>
    </w:p>
    <w:p>
      <w:pPr>
        <w:ind w:left="2140" w:right="360" w:hanging="1062"/>
        <w:spacing w:after="0" w:line="261" w:lineRule="auto"/>
        <w:tabs>
          <w:tab w:leader="none" w:pos="2135" w:val="left"/>
        </w:tabs>
        <w:numPr>
          <w:ilvl w:val="0"/>
          <w:numId w:val="67"/>
        </w:numPr>
        <w:rPr>
          <w:rFonts w:ascii="Arial" w:cs="Arial" w:eastAsia="Arial" w:hAnsi="Arial"/>
          <w:sz w:val="19"/>
          <w:szCs w:val="19"/>
          <w:color w:val="auto"/>
        </w:rPr>
      </w:pPr>
      <w:r>
        <w:rPr>
          <w:rFonts w:ascii="Arial" w:cs="Arial" w:eastAsia="Arial" w:hAnsi="Arial"/>
          <w:sz w:val="16"/>
          <w:szCs w:val="16"/>
          <w:color w:val="auto"/>
        </w:rPr>
        <w:t>any delay in our regulatory filings for PLN-74809 (bexotegrast) or our other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71" w:name="page72"/>
    <w:bookmarkEnd w:id="71"/>
    <w:p>
      <w:pPr>
        <w:ind w:left="1062" w:hanging="1062"/>
        <w:spacing w:after="0"/>
        <w:tabs>
          <w:tab w:leader="none" w:pos="1062" w:val="left"/>
        </w:tabs>
        <w:numPr>
          <w:ilvl w:val="0"/>
          <w:numId w:val="68"/>
        </w:numPr>
        <w:rPr>
          <w:rFonts w:ascii="Arial" w:cs="Arial" w:eastAsia="Arial" w:hAnsi="Arial"/>
          <w:sz w:val="20"/>
          <w:szCs w:val="20"/>
          <w:color w:val="auto"/>
        </w:rPr>
      </w:pPr>
      <w:r>
        <w:rPr>
          <w:rFonts w:ascii="Arial" w:cs="Arial" w:eastAsia="Arial" w:hAnsi="Arial"/>
          <w:sz w:val="17"/>
          <w:szCs w:val="17"/>
          <w:color w:val="auto"/>
        </w:rPr>
        <w:t>adverse results or delays in future clinical trials;</w:t>
      </w:r>
    </w:p>
    <w:p>
      <w:pPr>
        <w:spacing w:after="0" w:line="114" w:lineRule="exact"/>
        <w:rPr>
          <w:sz w:val="20"/>
          <w:szCs w:val="20"/>
          <w:color w:val="auto"/>
        </w:rPr>
      </w:pPr>
    </w:p>
    <w:p>
      <w:pPr>
        <w:ind w:left="1062" w:hanging="1062"/>
        <w:spacing w:after="0"/>
        <w:tabs>
          <w:tab w:leader="none" w:pos="1062" w:val="left"/>
        </w:tabs>
        <w:numPr>
          <w:ilvl w:val="0"/>
          <w:numId w:val="69"/>
        </w:numPr>
        <w:rPr>
          <w:rFonts w:ascii="Arial" w:cs="Arial" w:eastAsia="Arial" w:hAnsi="Arial"/>
          <w:sz w:val="20"/>
          <w:szCs w:val="20"/>
          <w:color w:val="auto"/>
        </w:rPr>
      </w:pPr>
      <w:r>
        <w:rPr>
          <w:rFonts w:ascii="Arial" w:cs="Arial" w:eastAsia="Arial" w:hAnsi="Arial"/>
          <w:sz w:val="17"/>
          <w:szCs w:val="17"/>
          <w:color w:val="auto"/>
        </w:rPr>
        <w:t>our decision to initiate a clinical trial, not to initiate a clinical trial or to terminate an existing clinical trial;</w:t>
      </w:r>
    </w:p>
    <w:p>
      <w:pPr>
        <w:spacing w:after="0" w:line="129" w:lineRule="exact"/>
        <w:rPr>
          <w:sz w:val="20"/>
          <w:szCs w:val="20"/>
          <w:color w:val="auto"/>
        </w:rPr>
      </w:pPr>
    </w:p>
    <w:p>
      <w:pPr>
        <w:ind w:left="1062" w:right="360" w:hanging="1062"/>
        <w:spacing w:after="0" w:line="247" w:lineRule="auto"/>
        <w:tabs>
          <w:tab w:leader="none" w:pos="1057" w:val="left"/>
        </w:tabs>
        <w:numPr>
          <w:ilvl w:val="0"/>
          <w:numId w:val="70"/>
        </w:numPr>
        <w:rPr>
          <w:rFonts w:ascii="Arial" w:cs="Arial" w:eastAsia="Arial" w:hAnsi="Arial"/>
          <w:sz w:val="20"/>
          <w:szCs w:val="20"/>
          <w:color w:val="auto"/>
        </w:rPr>
      </w:pPr>
      <w:r>
        <w:rPr>
          <w:rFonts w:ascii="Arial" w:cs="Arial" w:eastAsia="Arial" w:hAnsi="Arial"/>
          <w:sz w:val="17"/>
          <w:szCs w:val="17"/>
          <w:color w:val="auto"/>
        </w:rPr>
        <w:t>adverse regulatory decisions, including failure to receive regulatory approval of PLN-74809 (bexotegrast) or any other product candidate;</w:t>
      </w:r>
    </w:p>
    <w:p>
      <w:pPr>
        <w:spacing w:after="0" w:line="122" w:lineRule="exact"/>
        <w:rPr>
          <w:sz w:val="20"/>
          <w:szCs w:val="20"/>
          <w:color w:val="auto"/>
        </w:rPr>
      </w:pPr>
    </w:p>
    <w:p>
      <w:pPr>
        <w:ind w:left="1062" w:right="160" w:hanging="1062"/>
        <w:spacing w:after="0" w:line="236" w:lineRule="auto"/>
        <w:tabs>
          <w:tab w:leader="none" w:pos="1057" w:val="left"/>
        </w:tabs>
        <w:numPr>
          <w:ilvl w:val="0"/>
          <w:numId w:val="71"/>
        </w:numPr>
        <w:rPr>
          <w:rFonts w:ascii="Arial" w:cs="Arial" w:eastAsia="Arial" w:hAnsi="Arial"/>
          <w:sz w:val="20"/>
          <w:szCs w:val="20"/>
          <w:color w:val="auto"/>
        </w:rPr>
      </w:pPr>
      <w:r>
        <w:rPr>
          <w:rFonts w:ascii="Arial" w:cs="Arial" w:eastAsia="Arial" w:hAnsi="Arial"/>
          <w:sz w:val="17"/>
          <w:szCs w:val="17"/>
          <w:color w:val="auto"/>
        </w:rPr>
        <w:t>changes in laws or regulations applicable to PLN-74809 (bexotegrast) or any other product candidate, including but not limited to clinical trial requirements for approvals;</w:t>
      </w:r>
    </w:p>
    <w:p>
      <w:pPr>
        <w:spacing w:after="0" w:line="114" w:lineRule="exact"/>
        <w:rPr>
          <w:sz w:val="20"/>
          <w:szCs w:val="20"/>
          <w:color w:val="auto"/>
        </w:rPr>
      </w:pPr>
    </w:p>
    <w:p>
      <w:pPr>
        <w:ind w:left="1062" w:hanging="1062"/>
        <w:spacing w:after="0"/>
        <w:tabs>
          <w:tab w:leader="none" w:pos="1062" w:val="left"/>
        </w:tabs>
        <w:numPr>
          <w:ilvl w:val="0"/>
          <w:numId w:val="72"/>
        </w:numPr>
        <w:rPr>
          <w:rFonts w:ascii="Arial" w:cs="Arial" w:eastAsia="Arial" w:hAnsi="Arial"/>
          <w:sz w:val="20"/>
          <w:szCs w:val="20"/>
          <w:color w:val="auto"/>
        </w:rPr>
      </w:pPr>
      <w:r>
        <w:rPr>
          <w:rFonts w:ascii="Arial" w:cs="Arial" w:eastAsia="Arial" w:hAnsi="Arial"/>
          <w:sz w:val="17"/>
          <w:szCs w:val="17"/>
          <w:color w:val="auto"/>
        </w:rPr>
        <w:t>adverse developments concerning our manufacturers;</w:t>
      </w:r>
    </w:p>
    <w:p>
      <w:pPr>
        <w:spacing w:after="0" w:line="114" w:lineRule="exact"/>
        <w:rPr>
          <w:sz w:val="20"/>
          <w:szCs w:val="20"/>
          <w:color w:val="auto"/>
        </w:rPr>
      </w:pPr>
    </w:p>
    <w:p>
      <w:pPr>
        <w:ind w:left="1062" w:hanging="1062"/>
        <w:spacing w:after="0"/>
        <w:tabs>
          <w:tab w:leader="none" w:pos="1062" w:val="left"/>
        </w:tabs>
        <w:numPr>
          <w:ilvl w:val="0"/>
          <w:numId w:val="73"/>
        </w:numPr>
        <w:rPr>
          <w:rFonts w:ascii="Arial" w:cs="Arial" w:eastAsia="Arial" w:hAnsi="Arial"/>
          <w:sz w:val="20"/>
          <w:szCs w:val="20"/>
          <w:color w:val="auto"/>
        </w:rPr>
      </w:pPr>
      <w:r>
        <w:rPr>
          <w:rFonts w:ascii="Arial" w:cs="Arial" w:eastAsia="Arial" w:hAnsi="Arial"/>
          <w:sz w:val="17"/>
          <w:szCs w:val="17"/>
          <w:color w:val="auto"/>
        </w:rPr>
        <w:t>our inability to obtain adequate product supply for any approved product or inability to do so at acceptable prices;</w:t>
      </w:r>
    </w:p>
    <w:p>
      <w:pPr>
        <w:spacing w:after="0" w:line="114" w:lineRule="exact"/>
        <w:rPr>
          <w:sz w:val="20"/>
          <w:szCs w:val="20"/>
          <w:color w:val="auto"/>
        </w:rPr>
      </w:pPr>
    </w:p>
    <w:p>
      <w:pPr>
        <w:ind w:left="1062" w:hanging="1062"/>
        <w:spacing w:after="0"/>
        <w:tabs>
          <w:tab w:leader="none" w:pos="1062" w:val="left"/>
        </w:tabs>
        <w:numPr>
          <w:ilvl w:val="0"/>
          <w:numId w:val="74"/>
        </w:numPr>
        <w:rPr>
          <w:rFonts w:ascii="Arial" w:cs="Arial" w:eastAsia="Arial" w:hAnsi="Arial"/>
          <w:sz w:val="20"/>
          <w:szCs w:val="20"/>
          <w:color w:val="auto"/>
        </w:rPr>
      </w:pPr>
      <w:r>
        <w:rPr>
          <w:rFonts w:ascii="Arial" w:cs="Arial" w:eastAsia="Arial" w:hAnsi="Arial"/>
          <w:sz w:val="17"/>
          <w:szCs w:val="17"/>
          <w:color w:val="auto"/>
        </w:rPr>
        <w:t>our inability to establish collaborations, if needed;</w:t>
      </w:r>
    </w:p>
    <w:p>
      <w:pPr>
        <w:spacing w:after="0" w:line="114" w:lineRule="exact"/>
        <w:rPr>
          <w:sz w:val="20"/>
          <w:szCs w:val="20"/>
          <w:color w:val="auto"/>
        </w:rPr>
      </w:pPr>
    </w:p>
    <w:p>
      <w:pPr>
        <w:ind w:left="1062" w:hanging="1062"/>
        <w:spacing w:after="0"/>
        <w:tabs>
          <w:tab w:leader="none" w:pos="1062" w:val="left"/>
        </w:tabs>
        <w:numPr>
          <w:ilvl w:val="0"/>
          <w:numId w:val="75"/>
        </w:numPr>
        <w:rPr>
          <w:rFonts w:ascii="Arial" w:cs="Arial" w:eastAsia="Arial" w:hAnsi="Arial"/>
          <w:sz w:val="20"/>
          <w:szCs w:val="20"/>
          <w:color w:val="auto"/>
        </w:rPr>
      </w:pPr>
      <w:r>
        <w:rPr>
          <w:rFonts w:ascii="Arial" w:cs="Arial" w:eastAsia="Arial" w:hAnsi="Arial"/>
          <w:sz w:val="17"/>
          <w:szCs w:val="17"/>
          <w:color w:val="auto"/>
        </w:rPr>
        <w:t>our failure to commercialize our product candidates, if approved;</w:t>
      </w:r>
    </w:p>
    <w:p>
      <w:pPr>
        <w:spacing w:after="0" w:line="127" w:lineRule="exact"/>
        <w:rPr>
          <w:sz w:val="20"/>
          <w:szCs w:val="20"/>
          <w:color w:val="auto"/>
        </w:rPr>
      </w:pPr>
    </w:p>
    <w:p>
      <w:pPr>
        <w:ind w:left="1062" w:hanging="1062"/>
        <w:spacing w:after="0"/>
        <w:tabs>
          <w:tab w:leader="none" w:pos="1062" w:val="left"/>
        </w:tabs>
        <w:numPr>
          <w:ilvl w:val="0"/>
          <w:numId w:val="76"/>
        </w:numPr>
        <w:rPr>
          <w:rFonts w:ascii="Arial" w:cs="Arial" w:eastAsia="Arial" w:hAnsi="Arial"/>
          <w:sz w:val="20"/>
          <w:szCs w:val="20"/>
          <w:color w:val="auto"/>
        </w:rPr>
      </w:pPr>
      <w:r>
        <w:rPr>
          <w:rFonts w:ascii="Arial" w:cs="Arial" w:eastAsia="Arial" w:hAnsi="Arial"/>
          <w:sz w:val="17"/>
          <w:szCs w:val="17"/>
          <w:color w:val="auto"/>
        </w:rPr>
        <w:t>additions or departures of key scientific or management personnel;</w:t>
      </w:r>
    </w:p>
    <w:p>
      <w:pPr>
        <w:spacing w:after="0" w:line="114" w:lineRule="exact"/>
        <w:rPr>
          <w:sz w:val="20"/>
          <w:szCs w:val="20"/>
          <w:color w:val="auto"/>
        </w:rPr>
      </w:pPr>
    </w:p>
    <w:p>
      <w:pPr>
        <w:ind w:left="1062" w:hanging="1062"/>
        <w:spacing w:after="0"/>
        <w:tabs>
          <w:tab w:leader="none" w:pos="1062" w:val="left"/>
        </w:tabs>
        <w:numPr>
          <w:ilvl w:val="0"/>
          <w:numId w:val="77"/>
        </w:numPr>
        <w:rPr>
          <w:rFonts w:ascii="Arial" w:cs="Arial" w:eastAsia="Arial" w:hAnsi="Arial"/>
          <w:sz w:val="20"/>
          <w:szCs w:val="20"/>
          <w:color w:val="auto"/>
        </w:rPr>
      </w:pPr>
      <w:r>
        <w:rPr>
          <w:rFonts w:ascii="Arial" w:cs="Arial" w:eastAsia="Arial" w:hAnsi="Arial"/>
          <w:sz w:val="17"/>
          <w:szCs w:val="17"/>
          <w:color w:val="auto"/>
        </w:rPr>
        <w:t>unanticipated serious safety concerns related to the use of PLN-74809 (bexotegrast) or any other product candidate;</w:t>
      </w:r>
    </w:p>
    <w:p>
      <w:pPr>
        <w:spacing w:after="0" w:line="114" w:lineRule="exact"/>
        <w:rPr>
          <w:sz w:val="20"/>
          <w:szCs w:val="20"/>
          <w:color w:val="auto"/>
        </w:rPr>
      </w:pPr>
    </w:p>
    <w:p>
      <w:pPr>
        <w:ind w:left="1062" w:hanging="1062"/>
        <w:spacing w:after="0"/>
        <w:tabs>
          <w:tab w:leader="none" w:pos="1062" w:val="left"/>
        </w:tabs>
        <w:numPr>
          <w:ilvl w:val="0"/>
          <w:numId w:val="78"/>
        </w:numPr>
        <w:rPr>
          <w:rFonts w:ascii="Arial" w:cs="Arial" w:eastAsia="Arial" w:hAnsi="Arial"/>
          <w:sz w:val="20"/>
          <w:szCs w:val="20"/>
          <w:color w:val="auto"/>
        </w:rPr>
      </w:pPr>
      <w:r>
        <w:rPr>
          <w:rFonts w:ascii="Arial" w:cs="Arial" w:eastAsia="Arial" w:hAnsi="Arial"/>
          <w:sz w:val="17"/>
          <w:szCs w:val="17"/>
          <w:color w:val="auto"/>
        </w:rPr>
        <w:t>introduction of new products or services offered by us or our competitors;</w:t>
      </w:r>
    </w:p>
    <w:p>
      <w:pPr>
        <w:spacing w:after="0" w:line="129" w:lineRule="exact"/>
        <w:rPr>
          <w:sz w:val="20"/>
          <w:szCs w:val="20"/>
          <w:color w:val="auto"/>
        </w:rPr>
      </w:pPr>
    </w:p>
    <w:p>
      <w:pPr>
        <w:ind w:left="1062" w:hanging="1062"/>
        <w:spacing w:after="0"/>
        <w:tabs>
          <w:tab w:leader="none" w:pos="1062" w:val="left"/>
        </w:tabs>
        <w:numPr>
          <w:ilvl w:val="0"/>
          <w:numId w:val="79"/>
        </w:numPr>
        <w:rPr>
          <w:rFonts w:ascii="Arial" w:cs="Arial" w:eastAsia="Arial" w:hAnsi="Arial"/>
          <w:sz w:val="18"/>
          <w:szCs w:val="18"/>
          <w:color w:val="auto"/>
        </w:rPr>
      </w:pPr>
      <w:r>
        <w:rPr>
          <w:rFonts w:ascii="Arial" w:cs="Arial" w:eastAsia="Arial" w:hAnsi="Arial"/>
          <w:sz w:val="15"/>
          <w:szCs w:val="15"/>
          <w:color w:val="auto"/>
        </w:rPr>
        <w:t>announcements of significant acquisitions, strategic partnerships, joint ventures or capital commitments by us or our competitors;</w:t>
      </w:r>
    </w:p>
    <w:p>
      <w:pPr>
        <w:spacing w:after="0" w:line="122" w:lineRule="exact"/>
        <w:rPr>
          <w:sz w:val="20"/>
          <w:szCs w:val="20"/>
          <w:color w:val="auto"/>
        </w:rPr>
      </w:pPr>
    </w:p>
    <w:p>
      <w:pPr>
        <w:ind w:left="1062" w:hanging="1062"/>
        <w:spacing w:after="0"/>
        <w:tabs>
          <w:tab w:leader="none" w:pos="1062" w:val="left"/>
        </w:tabs>
        <w:numPr>
          <w:ilvl w:val="0"/>
          <w:numId w:val="80"/>
        </w:numPr>
        <w:rPr>
          <w:rFonts w:ascii="Arial" w:cs="Arial" w:eastAsia="Arial" w:hAnsi="Arial"/>
          <w:sz w:val="20"/>
          <w:szCs w:val="20"/>
          <w:color w:val="auto"/>
        </w:rPr>
      </w:pPr>
      <w:r>
        <w:rPr>
          <w:rFonts w:ascii="Arial" w:cs="Arial" w:eastAsia="Arial" w:hAnsi="Arial"/>
          <w:sz w:val="17"/>
          <w:szCs w:val="17"/>
          <w:color w:val="auto"/>
        </w:rPr>
        <w:t>our ability to effectively manage our growth;</w:t>
      </w:r>
    </w:p>
    <w:p>
      <w:pPr>
        <w:spacing w:after="0" w:line="114" w:lineRule="exact"/>
        <w:rPr>
          <w:sz w:val="20"/>
          <w:szCs w:val="20"/>
          <w:color w:val="auto"/>
        </w:rPr>
      </w:pPr>
    </w:p>
    <w:p>
      <w:pPr>
        <w:ind w:left="1062" w:hanging="1062"/>
        <w:spacing w:after="0"/>
        <w:tabs>
          <w:tab w:leader="none" w:pos="1062" w:val="left"/>
        </w:tabs>
        <w:numPr>
          <w:ilvl w:val="0"/>
          <w:numId w:val="81"/>
        </w:numPr>
        <w:rPr>
          <w:rFonts w:ascii="Arial" w:cs="Arial" w:eastAsia="Arial" w:hAnsi="Arial"/>
          <w:sz w:val="20"/>
          <w:szCs w:val="20"/>
          <w:color w:val="auto"/>
        </w:rPr>
      </w:pPr>
      <w:r>
        <w:rPr>
          <w:rFonts w:ascii="Arial" w:cs="Arial" w:eastAsia="Arial" w:hAnsi="Arial"/>
          <w:sz w:val="17"/>
          <w:szCs w:val="17"/>
          <w:color w:val="auto"/>
        </w:rPr>
        <w:t>actual or anticipated variations in quarterly operating results;</w:t>
      </w:r>
    </w:p>
    <w:p>
      <w:pPr>
        <w:spacing w:after="0" w:line="127" w:lineRule="exact"/>
        <w:rPr>
          <w:sz w:val="20"/>
          <w:szCs w:val="20"/>
          <w:color w:val="auto"/>
        </w:rPr>
      </w:pPr>
    </w:p>
    <w:p>
      <w:pPr>
        <w:ind w:left="1062" w:hanging="1062"/>
        <w:spacing w:after="0"/>
        <w:tabs>
          <w:tab w:leader="none" w:pos="1062" w:val="left"/>
        </w:tabs>
        <w:numPr>
          <w:ilvl w:val="0"/>
          <w:numId w:val="82"/>
        </w:numPr>
        <w:rPr>
          <w:rFonts w:ascii="Arial" w:cs="Arial" w:eastAsia="Arial" w:hAnsi="Arial"/>
          <w:sz w:val="20"/>
          <w:szCs w:val="20"/>
          <w:color w:val="auto"/>
        </w:rPr>
      </w:pPr>
      <w:r>
        <w:rPr>
          <w:rFonts w:ascii="Arial" w:cs="Arial" w:eastAsia="Arial" w:hAnsi="Arial"/>
          <w:sz w:val="17"/>
          <w:szCs w:val="17"/>
          <w:color w:val="auto"/>
        </w:rPr>
        <w:t>our cash position;</w:t>
      </w:r>
    </w:p>
    <w:p>
      <w:pPr>
        <w:spacing w:after="0" w:line="125" w:lineRule="exact"/>
        <w:rPr>
          <w:sz w:val="20"/>
          <w:szCs w:val="20"/>
          <w:color w:val="auto"/>
        </w:rPr>
      </w:pPr>
    </w:p>
    <w:p>
      <w:pPr>
        <w:ind w:left="1062" w:hanging="1062"/>
        <w:spacing w:after="0"/>
        <w:tabs>
          <w:tab w:leader="none" w:pos="1062" w:val="left"/>
        </w:tabs>
        <w:numPr>
          <w:ilvl w:val="0"/>
          <w:numId w:val="83"/>
        </w:numPr>
        <w:rPr>
          <w:rFonts w:ascii="Arial" w:cs="Arial" w:eastAsia="Arial" w:hAnsi="Arial"/>
          <w:sz w:val="19"/>
          <w:szCs w:val="19"/>
          <w:color w:val="auto"/>
        </w:rPr>
      </w:pPr>
      <w:r>
        <w:rPr>
          <w:rFonts w:ascii="Arial" w:cs="Arial" w:eastAsia="Arial" w:hAnsi="Arial"/>
          <w:sz w:val="16"/>
          <w:szCs w:val="16"/>
          <w:color w:val="auto"/>
        </w:rPr>
        <w:t>our failure to meet the estimates and projections of the investment community or that we may otherwise provide to the public;</w:t>
      </w:r>
    </w:p>
    <w:p>
      <w:pPr>
        <w:spacing w:after="0" w:line="129" w:lineRule="exact"/>
        <w:rPr>
          <w:sz w:val="20"/>
          <w:szCs w:val="20"/>
          <w:color w:val="auto"/>
        </w:rPr>
      </w:pPr>
    </w:p>
    <w:p>
      <w:pPr>
        <w:ind w:left="1062" w:hanging="1062"/>
        <w:spacing w:after="0" w:line="236" w:lineRule="auto"/>
        <w:tabs>
          <w:tab w:leader="none" w:pos="1057" w:val="left"/>
        </w:tabs>
        <w:numPr>
          <w:ilvl w:val="0"/>
          <w:numId w:val="84"/>
        </w:numPr>
        <w:rPr>
          <w:rFonts w:ascii="Arial" w:cs="Arial" w:eastAsia="Arial" w:hAnsi="Arial"/>
          <w:sz w:val="20"/>
          <w:szCs w:val="20"/>
          <w:color w:val="auto"/>
        </w:rPr>
      </w:pPr>
      <w:r>
        <w:rPr>
          <w:rFonts w:ascii="Arial" w:cs="Arial" w:eastAsia="Arial" w:hAnsi="Arial"/>
          <w:sz w:val="17"/>
          <w:szCs w:val="17"/>
          <w:color w:val="auto"/>
        </w:rPr>
        <w:t>publication of research reports about us or our industry, or product candidates in particular, or positive or negative recommendations or withdrawal of research coverage by securities analysts;</w:t>
      </w:r>
    </w:p>
    <w:p>
      <w:pPr>
        <w:spacing w:after="0" w:line="114" w:lineRule="exact"/>
        <w:rPr>
          <w:sz w:val="20"/>
          <w:szCs w:val="20"/>
          <w:color w:val="auto"/>
        </w:rPr>
      </w:pPr>
    </w:p>
    <w:p>
      <w:pPr>
        <w:ind w:left="1062" w:hanging="1062"/>
        <w:spacing w:after="0"/>
        <w:tabs>
          <w:tab w:leader="none" w:pos="1062" w:val="left"/>
        </w:tabs>
        <w:numPr>
          <w:ilvl w:val="0"/>
          <w:numId w:val="85"/>
        </w:numPr>
        <w:rPr>
          <w:rFonts w:ascii="Arial" w:cs="Arial" w:eastAsia="Arial" w:hAnsi="Arial"/>
          <w:sz w:val="20"/>
          <w:szCs w:val="20"/>
          <w:color w:val="auto"/>
        </w:rPr>
      </w:pPr>
      <w:r>
        <w:rPr>
          <w:rFonts w:ascii="Arial" w:cs="Arial" w:eastAsia="Arial" w:hAnsi="Arial"/>
          <w:sz w:val="17"/>
          <w:szCs w:val="17"/>
          <w:color w:val="auto"/>
        </w:rPr>
        <w:t>changes in the market valuations of similar companies;</w:t>
      </w:r>
    </w:p>
    <w:p>
      <w:pPr>
        <w:spacing w:after="0" w:line="114" w:lineRule="exact"/>
        <w:rPr>
          <w:sz w:val="20"/>
          <w:szCs w:val="20"/>
          <w:color w:val="auto"/>
        </w:rPr>
      </w:pPr>
    </w:p>
    <w:p>
      <w:pPr>
        <w:ind w:left="1062" w:hanging="1062"/>
        <w:spacing w:after="0"/>
        <w:tabs>
          <w:tab w:leader="none" w:pos="1062" w:val="left"/>
        </w:tabs>
        <w:numPr>
          <w:ilvl w:val="0"/>
          <w:numId w:val="86"/>
        </w:numPr>
        <w:rPr>
          <w:rFonts w:ascii="Arial" w:cs="Arial" w:eastAsia="Arial" w:hAnsi="Arial"/>
          <w:sz w:val="20"/>
          <w:szCs w:val="20"/>
          <w:color w:val="auto"/>
        </w:rPr>
      </w:pPr>
      <w:r>
        <w:rPr>
          <w:rFonts w:ascii="Arial" w:cs="Arial" w:eastAsia="Arial" w:hAnsi="Arial"/>
          <w:sz w:val="17"/>
          <w:szCs w:val="17"/>
          <w:color w:val="auto"/>
        </w:rPr>
        <w:t>changes in the structure of the healthcare payment systems;</w:t>
      </w:r>
    </w:p>
    <w:p>
      <w:pPr>
        <w:spacing w:after="0" w:line="127" w:lineRule="exact"/>
        <w:rPr>
          <w:sz w:val="20"/>
          <w:szCs w:val="20"/>
          <w:color w:val="auto"/>
        </w:rPr>
      </w:pPr>
    </w:p>
    <w:p>
      <w:pPr>
        <w:ind w:left="1062" w:hanging="1062"/>
        <w:spacing w:after="0"/>
        <w:tabs>
          <w:tab w:leader="none" w:pos="1062" w:val="left"/>
        </w:tabs>
        <w:numPr>
          <w:ilvl w:val="0"/>
          <w:numId w:val="87"/>
        </w:numPr>
        <w:rPr>
          <w:rFonts w:ascii="Arial" w:cs="Arial" w:eastAsia="Arial" w:hAnsi="Arial"/>
          <w:sz w:val="20"/>
          <w:szCs w:val="20"/>
          <w:color w:val="auto"/>
        </w:rPr>
      </w:pPr>
      <w:r>
        <w:rPr>
          <w:rFonts w:ascii="Arial" w:cs="Arial" w:eastAsia="Arial" w:hAnsi="Arial"/>
          <w:sz w:val="17"/>
          <w:szCs w:val="17"/>
          <w:color w:val="auto"/>
        </w:rPr>
        <w:t>overall performance of the equity markets;</w:t>
      </w:r>
    </w:p>
    <w:p>
      <w:pPr>
        <w:spacing w:after="0" w:line="114" w:lineRule="exact"/>
        <w:rPr>
          <w:sz w:val="20"/>
          <w:szCs w:val="20"/>
          <w:color w:val="auto"/>
        </w:rPr>
      </w:pPr>
    </w:p>
    <w:p>
      <w:pPr>
        <w:ind w:left="1062" w:hanging="1062"/>
        <w:spacing w:after="0"/>
        <w:tabs>
          <w:tab w:leader="none" w:pos="1062" w:val="left"/>
        </w:tabs>
        <w:numPr>
          <w:ilvl w:val="0"/>
          <w:numId w:val="88"/>
        </w:numPr>
        <w:rPr>
          <w:rFonts w:ascii="Arial" w:cs="Arial" w:eastAsia="Arial" w:hAnsi="Arial"/>
          <w:sz w:val="20"/>
          <w:szCs w:val="20"/>
          <w:color w:val="auto"/>
        </w:rPr>
      </w:pPr>
      <w:r>
        <w:rPr>
          <w:rFonts w:ascii="Arial" w:cs="Arial" w:eastAsia="Arial" w:hAnsi="Arial"/>
          <w:sz w:val="17"/>
          <w:szCs w:val="17"/>
          <w:color w:val="auto"/>
        </w:rPr>
        <w:t>sales of our common stock by us or our stockholders in the future;</w:t>
      </w:r>
    </w:p>
    <w:p>
      <w:pPr>
        <w:spacing w:after="0" w:line="114" w:lineRule="exact"/>
        <w:rPr>
          <w:sz w:val="20"/>
          <w:szCs w:val="20"/>
          <w:color w:val="auto"/>
        </w:rPr>
      </w:pPr>
    </w:p>
    <w:p>
      <w:pPr>
        <w:ind w:left="1062" w:hanging="1062"/>
        <w:spacing w:after="0"/>
        <w:tabs>
          <w:tab w:leader="none" w:pos="1062" w:val="left"/>
        </w:tabs>
        <w:numPr>
          <w:ilvl w:val="0"/>
          <w:numId w:val="89"/>
        </w:numPr>
        <w:rPr>
          <w:rFonts w:ascii="Arial" w:cs="Arial" w:eastAsia="Arial" w:hAnsi="Arial"/>
          <w:sz w:val="20"/>
          <w:szCs w:val="20"/>
          <w:color w:val="auto"/>
        </w:rPr>
      </w:pPr>
      <w:r>
        <w:rPr>
          <w:rFonts w:ascii="Arial" w:cs="Arial" w:eastAsia="Arial" w:hAnsi="Arial"/>
          <w:sz w:val="17"/>
          <w:szCs w:val="17"/>
          <w:color w:val="auto"/>
        </w:rPr>
        <w:t>trading volume of our common stock;</w:t>
      </w:r>
    </w:p>
    <w:p>
      <w:pPr>
        <w:spacing w:after="0" w:line="114" w:lineRule="exact"/>
        <w:rPr>
          <w:sz w:val="20"/>
          <w:szCs w:val="20"/>
          <w:color w:val="auto"/>
        </w:rPr>
      </w:pPr>
    </w:p>
    <w:p>
      <w:pPr>
        <w:ind w:left="1062" w:hanging="1062"/>
        <w:spacing w:after="0"/>
        <w:tabs>
          <w:tab w:leader="none" w:pos="1062" w:val="left"/>
        </w:tabs>
        <w:numPr>
          <w:ilvl w:val="0"/>
          <w:numId w:val="90"/>
        </w:numPr>
        <w:rPr>
          <w:rFonts w:ascii="Arial" w:cs="Arial" w:eastAsia="Arial" w:hAnsi="Arial"/>
          <w:sz w:val="20"/>
          <w:szCs w:val="20"/>
          <w:color w:val="auto"/>
        </w:rPr>
      </w:pPr>
      <w:r>
        <w:rPr>
          <w:rFonts w:ascii="Arial" w:cs="Arial" w:eastAsia="Arial" w:hAnsi="Arial"/>
          <w:sz w:val="17"/>
          <w:szCs w:val="17"/>
          <w:color w:val="auto"/>
        </w:rPr>
        <w:t>changes in accounting practices;</w:t>
      </w:r>
    </w:p>
    <w:p>
      <w:pPr>
        <w:spacing w:after="0" w:line="114" w:lineRule="exact"/>
        <w:rPr>
          <w:sz w:val="20"/>
          <w:szCs w:val="20"/>
          <w:color w:val="auto"/>
        </w:rPr>
      </w:pPr>
    </w:p>
    <w:p>
      <w:pPr>
        <w:ind w:left="1062" w:hanging="1062"/>
        <w:spacing w:after="0"/>
        <w:tabs>
          <w:tab w:leader="none" w:pos="1062" w:val="left"/>
        </w:tabs>
        <w:numPr>
          <w:ilvl w:val="0"/>
          <w:numId w:val="91"/>
        </w:numPr>
        <w:rPr>
          <w:rFonts w:ascii="Arial" w:cs="Arial" w:eastAsia="Arial" w:hAnsi="Arial"/>
          <w:sz w:val="20"/>
          <w:szCs w:val="20"/>
          <w:color w:val="auto"/>
        </w:rPr>
      </w:pPr>
      <w:r>
        <w:rPr>
          <w:rFonts w:ascii="Arial" w:cs="Arial" w:eastAsia="Arial" w:hAnsi="Arial"/>
          <w:sz w:val="17"/>
          <w:szCs w:val="17"/>
          <w:color w:val="auto"/>
        </w:rPr>
        <w:t>ineffectiveness of our internal controls;</w:t>
      </w:r>
    </w:p>
    <w:p>
      <w:pPr>
        <w:spacing w:after="0" w:line="141" w:lineRule="exact"/>
        <w:rPr>
          <w:sz w:val="20"/>
          <w:szCs w:val="20"/>
          <w:color w:val="auto"/>
        </w:rPr>
      </w:pPr>
    </w:p>
    <w:p>
      <w:pPr>
        <w:ind w:left="1062" w:right="280" w:hanging="1062"/>
        <w:spacing w:after="0" w:line="236" w:lineRule="auto"/>
        <w:tabs>
          <w:tab w:leader="none" w:pos="1057" w:val="left"/>
        </w:tabs>
        <w:numPr>
          <w:ilvl w:val="0"/>
          <w:numId w:val="92"/>
        </w:numPr>
        <w:rPr>
          <w:rFonts w:ascii="Arial" w:cs="Arial" w:eastAsia="Arial" w:hAnsi="Arial"/>
          <w:sz w:val="20"/>
          <w:szCs w:val="20"/>
          <w:color w:val="auto"/>
        </w:rPr>
      </w:pPr>
      <w:r>
        <w:rPr>
          <w:rFonts w:ascii="Arial" w:cs="Arial" w:eastAsia="Arial" w:hAnsi="Arial"/>
          <w:sz w:val="17"/>
          <w:szCs w:val="17"/>
          <w:color w:val="auto"/>
        </w:rPr>
        <w:t>disputes or other developments relating to proprietary rights, including patents, litigation matters and our ability to obtain patent protection for our technologies;</w:t>
      </w:r>
    </w:p>
    <w:p>
      <w:pPr>
        <w:spacing w:after="0" w:line="114" w:lineRule="exact"/>
        <w:rPr>
          <w:sz w:val="20"/>
          <w:szCs w:val="20"/>
          <w:color w:val="auto"/>
        </w:rPr>
      </w:pPr>
    </w:p>
    <w:p>
      <w:pPr>
        <w:ind w:left="1062" w:hanging="1062"/>
        <w:spacing w:after="0"/>
        <w:tabs>
          <w:tab w:leader="none" w:pos="1062" w:val="left"/>
        </w:tabs>
        <w:numPr>
          <w:ilvl w:val="0"/>
          <w:numId w:val="93"/>
        </w:numPr>
        <w:rPr>
          <w:rFonts w:ascii="Arial" w:cs="Arial" w:eastAsia="Arial" w:hAnsi="Arial"/>
          <w:sz w:val="20"/>
          <w:szCs w:val="20"/>
          <w:color w:val="auto"/>
        </w:rPr>
      </w:pPr>
      <w:r>
        <w:rPr>
          <w:rFonts w:ascii="Arial" w:cs="Arial" w:eastAsia="Arial" w:hAnsi="Arial"/>
          <w:sz w:val="17"/>
          <w:szCs w:val="17"/>
          <w:color w:val="auto"/>
        </w:rPr>
        <w:t>significant lawsuits, including patent or stockholder litigation;</w:t>
      </w:r>
    </w:p>
    <w:p>
      <w:pPr>
        <w:spacing w:after="0" w:line="114" w:lineRule="exact"/>
        <w:rPr>
          <w:sz w:val="20"/>
          <w:szCs w:val="20"/>
          <w:color w:val="auto"/>
        </w:rPr>
      </w:pPr>
    </w:p>
    <w:p>
      <w:pPr>
        <w:ind w:left="1062" w:hanging="1062"/>
        <w:spacing w:after="0"/>
        <w:tabs>
          <w:tab w:leader="none" w:pos="1062" w:val="left"/>
        </w:tabs>
        <w:numPr>
          <w:ilvl w:val="0"/>
          <w:numId w:val="94"/>
        </w:numPr>
        <w:rPr>
          <w:rFonts w:ascii="Arial" w:cs="Arial" w:eastAsia="Arial" w:hAnsi="Arial"/>
          <w:sz w:val="20"/>
          <w:szCs w:val="20"/>
          <w:color w:val="auto"/>
        </w:rPr>
      </w:pPr>
      <w:r>
        <w:rPr>
          <w:rFonts w:ascii="Arial" w:cs="Arial" w:eastAsia="Arial" w:hAnsi="Arial"/>
          <w:sz w:val="17"/>
          <w:szCs w:val="17"/>
          <w:color w:val="auto"/>
        </w:rPr>
        <w:t>general political and economic conditions; and</w:t>
      </w:r>
    </w:p>
    <w:p>
      <w:pPr>
        <w:spacing w:after="0" w:line="129" w:lineRule="exact"/>
        <w:rPr>
          <w:sz w:val="20"/>
          <w:szCs w:val="20"/>
          <w:color w:val="auto"/>
        </w:rPr>
      </w:pPr>
    </w:p>
    <w:p>
      <w:pPr>
        <w:ind w:left="4462" w:right="4740" w:hanging="4462"/>
        <w:spacing w:after="0" w:line="873" w:lineRule="auto"/>
        <w:tabs>
          <w:tab w:leader="none" w:pos="1065" w:val="left"/>
        </w:tabs>
        <w:numPr>
          <w:ilvl w:val="0"/>
          <w:numId w:val="95"/>
        </w:numPr>
        <w:rPr>
          <w:rFonts w:ascii="Arial" w:cs="Arial" w:eastAsia="Arial" w:hAnsi="Arial"/>
          <w:sz w:val="20"/>
          <w:szCs w:val="20"/>
          <w:color w:val="auto"/>
        </w:rPr>
      </w:pPr>
      <w:r>
        <w:rPr>
          <w:rFonts w:ascii="Arial" w:cs="Arial" w:eastAsia="Arial" w:hAnsi="Arial"/>
          <w:sz w:val="17"/>
          <w:szCs w:val="17"/>
          <w:color w:val="auto"/>
        </w:rPr>
        <w:t>other events or factors, many of which are beyond our control.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-332105</wp:posOffset>
            </wp:positionV>
            <wp:extent cx="7165340"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0042"/>
          </w:cols>
          <w:pgMar w:left="1398" w:top="978" w:right="459" w:bottom="1440" w:gutter="0" w:footer="0" w:header="0"/>
        </w:sectPr>
      </w:pPr>
    </w:p>
    <w:bookmarkStart w:id="72" w:name="page73"/>
    <w:bookmarkEnd w:id="72"/>
    <w:p>
      <w:pPr>
        <w:ind w:right="220" w:firstLine="917"/>
        <w:spacing w:after="0" w:line="255" w:lineRule="auto"/>
        <w:rPr>
          <w:sz w:val="20"/>
          <w:szCs w:val="20"/>
          <w:color w:val="auto"/>
        </w:rPr>
      </w:pPr>
      <w:r>
        <w:rPr>
          <w:rFonts w:ascii="Arial" w:cs="Arial" w:eastAsia="Arial" w:hAnsi="Arial"/>
          <w:sz w:val="17"/>
          <w:szCs w:val="17"/>
          <w:color w:val="auto"/>
        </w:rPr>
        <w:t>In addition, the stock market in general, and the market for biopharmaceutical companies in particular, have experienced extreme price and volume fluctuations that have often been unrelated or disproportionate to the operating performance of these companies, including as a result of the COVID-19 pandemic, the Russian invasion of Ukraine and rising inflationary pressures.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We do not intend to pay dividends on our common stock so any returns will be limited to the value of our stock.</w:t>
      </w:r>
    </w:p>
    <w:p>
      <w:pPr>
        <w:spacing w:after="0" w:line="110" w:lineRule="exact"/>
        <w:rPr>
          <w:sz w:val="20"/>
          <w:szCs w:val="20"/>
          <w:color w:val="auto"/>
        </w:rPr>
      </w:pPr>
    </w:p>
    <w:p>
      <w:pPr>
        <w:jc w:val="both"/>
        <w:ind w:right="200" w:firstLine="917"/>
        <w:spacing w:after="0" w:line="258"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all available funds and any future earnings to fund the development, operation and growth of our business and do not anticipate declaring or paying any cash dividends for the foreseeable future. Furthermore, future debt or other financing arrangements may contain terms prohibiting or limiting the amount of dividends that may be declared or paid on our common stock. Any return to stockholders will therefore be limited to the appreciation of their stock.</w:t>
      </w:r>
    </w:p>
    <w:p>
      <w:pPr>
        <w:spacing w:after="0" w:line="76" w:lineRule="exact"/>
        <w:rPr>
          <w:sz w:val="20"/>
          <w:szCs w:val="20"/>
          <w:color w:val="auto"/>
        </w:rPr>
      </w:pPr>
    </w:p>
    <w:p>
      <w:pPr>
        <w:ind w:right="320" w:firstLine="917"/>
        <w:spacing w:after="0" w:line="274" w:lineRule="auto"/>
        <w:rPr>
          <w:sz w:val="20"/>
          <w:szCs w:val="20"/>
          <w:color w:val="auto"/>
        </w:rPr>
      </w:pPr>
      <w:r>
        <w:rPr>
          <w:rFonts w:ascii="Arial" w:cs="Arial" w:eastAsia="Arial" w:hAnsi="Arial"/>
          <w:sz w:val="17"/>
          <w:szCs w:val="17"/>
          <w:b w:val="1"/>
          <w:bCs w:val="1"/>
          <w:i w:val="1"/>
          <w:iCs w:val="1"/>
          <w:color w:val="auto"/>
        </w:rPr>
        <w:t>Our executive officers, directors and their affiliates and our principal stockholders own a significant percentage of our stock and will be able to exert significant control over matters subject to stockholder approval.</w:t>
      </w:r>
    </w:p>
    <w:p>
      <w:pPr>
        <w:spacing w:after="0" w:line="63" w:lineRule="exact"/>
        <w:rPr>
          <w:sz w:val="20"/>
          <w:szCs w:val="20"/>
          <w:color w:val="auto"/>
        </w:rPr>
      </w:pPr>
    </w:p>
    <w:p>
      <w:pPr>
        <w:ind w:right="160" w:firstLine="917"/>
        <w:spacing w:after="0" w:line="275" w:lineRule="auto"/>
        <w:rPr>
          <w:sz w:val="20"/>
          <w:szCs w:val="20"/>
          <w:color w:val="auto"/>
        </w:rPr>
      </w:pPr>
      <w:r>
        <w:rPr>
          <w:rFonts w:ascii="Arial" w:cs="Arial" w:eastAsia="Arial" w:hAnsi="Arial"/>
          <w:sz w:val="16"/>
          <w:szCs w:val="16"/>
          <w:color w:val="auto"/>
        </w:rPr>
        <w:t>Based on shares outstanding as of September 30, 2022, our executive officers, directors and their affiliates and our principal stockholders beneficially held, in the aggregate, approximately a quarter of our outstanding voting stock. These stockholders, acting together, would be able to significantly influence all matters requiring stockholder approval. For example, these stockholders would be able to significantly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67"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If there are substantial sales of shares of our common stock, the price of our common stock could decline.</w:t>
      </w:r>
    </w:p>
    <w:p>
      <w:pPr>
        <w:spacing w:after="0" w:line="110" w:lineRule="exact"/>
        <w:rPr>
          <w:sz w:val="20"/>
          <w:szCs w:val="20"/>
          <w:color w:val="auto"/>
        </w:rPr>
      </w:pPr>
    </w:p>
    <w:p>
      <w:pPr>
        <w:ind w:firstLine="917"/>
        <w:spacing w:after="0" w:line="290" w:lineRule="auto"/>
        <w:rPr>
          <w:sz w:val="20"/>
          <w:szCs w:val="20"/>
          <w:color w:val="auto"/>
        </w:rPr>
      </w:pPr>
      <w:r>
        <w:rPr>
          <w:rFonts w:ascii="Arial" w:cs="Arial" w:eastAsia="Arial" w:hAnsi="Arial"/>
          <w:sz w:val="15"/>
          <w:szCs w:val="15"/>
          <w:color w:val="auto"/>
        </w:rPr>
        <w:t>Shares of common stock that are either subject to outstanding options or reserved for future issuance under our existing equity compensation plans will become eligible for sale in the public market as they become vested. If these additional shares of common stock are sold, or if it is perceived that they will be sold, in the public market, the trading price of our common stock could decline. Additionally, the number of shares of our common stock reserved for issuance under our 2020 Stock Option and Incentive Plan will automatically increase on January 1 of each year by 5% of the total number of shares of our capital stock outstanding on December 31 of the preceding calendar year, or a lesser number of shares determined by our board of directors or compensation committee. Moreover, the number of shares of our common stock reserved for issuance under our 2020 Employee Stock Purchase Plan, or ESPP, will automatically increase on January 1 of each year by the lesser of 700,000 shares of common stock, 1% of the total number of shares of our capital stock outstanding on December 31 of the preceding calendar year, or a lesser number of shares determined by our board of directors or compensation committee. Unless our board of directors elects not to increase the number of shares available for future grant each year, our stockholders may experience additional dilution.</w:t>
      </w:r>
    </w:p>
    <w:p>
      <w:pPr>
        <w:spacing w:after="0" w:line="60" w:lineRule="exact"/>
        <w:rPr>
          <w:sz w:val="20"/>
          <w:szCs w:val="20"/>
          <w:color w:val="auto"/>
        </w:rPr>
      </w:pPr>
    </w:p>
    <w:p>
      <w:pPr>
        <w:ind w:right="100" w:firstLine="917"/>
        <w:spacing w:after="0" w:line="256" w:lineRule="auto"/>
        <w:rPr>
          <w:sz w:val="20"/>
          <w:szCs w:val="20"/>
          <w:color w:val="auto"/>
        </w:rPr>
      </w:pPr>
      <w:r>
        <w:rPr>
          <w:rFonts w:ascii="Arial" w:cs="Arial" w:eastAsia="Arial" w:hAnsi="Arial"/>
          <w:sz w:val="17"/>
          <w:szCs w:val="17"/>
          <w:color w:val="auto"/>
        </w:rPr>
        <w:t>The holders of a significant number of shares of our common stock are entitled to rights with respect to the registration of their shares under the Securities Act of 1933, as amended, or the Securities Act, as provided under the terms of an investors’ rights agreement between us and certain of our stockholders.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or the perception that such sales could occur, could have a material adverse effect on the trading price of our common stock.</w:t>
      </w:r>
    </w:p>
    <w:p>
      <w:pPr>
        <w:spacing w:after="0" w:line="78" w:lineRule="exact"/>
        <w:rPr>
          <w:sz w:val="20"/>
          <w:szCs w:val="20"/>
          <w:color w:val="auto"/>
        </w:rPr>
      </w:pPr>
    </w:p>
    <w:p>
      <w:pPr>
        <w:ind w:right="160" w:firstLine="917"/>
        <w:spacing w:after="0" w:line="306" w:lineRule="auto"/>
        <w:rPr>
          <w:sz w:val="20"/>
          <w:szCs w:val="20"/>
          <w:color w:val="auto"/>
        </w:rPr>
      </w:pPr>
      <w:r>
        <w:rPr>
          <w:rFonts w:ascii="Arial" w:cs="Arial" w:eastAsia="Arial" w:hAnsi="Arial"/>
          <w:sz w:val="16"/>
          <w:szCs w:val="16"/>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40" w:lineRule="exact"/>
        <w:rPr>
          <w:sz w:val="20"/>
          <w:szCs w:val="20"/>
          <w:color w:val="auto"/>
        </w:rPr>
      </w:pPr>
    </w:p>
    <w:p>
      <w:pPr>
        <w:ind w:right="120" w:firstLine="917"/>
        <w:spacing w:after="0" w:line="274" w:lineRule="auto"/>
        <w:rPr>
          <w:sz w:val="20"/>
          <w:szCs w:val="20"/>
          <w:color w:val="auto"/>
        </w:rPr>
      </w:pPr>
      <w:r>
        <w:rPr>
          <w:rFonts w:ascii="Arial" w:cs="Arial" w:eastAsia="Arial" w:hAnsi="Arial"/>
          <w:sz w:val="17"/>
          <w:szCs w:val="17"/>
          <w:color w:val="auto"/>
        </w:rPr>
        <w:t>Our certificate of incorporation and bylaws contain provisions that could delay or prevent a change of control of our company or changes in our board of directors that our stockholders might consider favorable. Some of these provisions include:</w:t>
      </w:r>
    </w:p>
    <w:p>
      <w:pPr>
        <w:spacing w:after="0" w:line="101" w:lineRule="exact"/>
        <w:rPr>
          <w:sz w:val="20"/>
          <w:szCs w:val="20"/>
          <w:color w:val="auto"/>
        </w:rPr>
      </w:pPr>
    </w:p>
    <w:p>
      <w:pPr>
        <w:ind w:left="2140" w:right="440" w:hanging="1062"/>
        <w:spacing w:after="0" w:line="236" w:lineRule="auto"/>
        <w:tabs>
          <w:tab w:leader="none" w:pos="2135" w:val="left"/>
        </w:tabs>
        <w:numPr>
          <w:ilvl w:val="0"/>
          <w:numId w:val="96"/>
        </w:numPr>
        <w:rPr>
          <w:rFonts w:ascii="Arial" w:cs="Arial" w:eastAsia="Arial" w:hAnsi="Arial"/>
          <w:sz w:val="20"/>
          <w:szCs w:val="20"/>
          <w:color w:val="auto"/>
        </w:rPr>
      </w:pPr>
      <w:r>
        <w:rPr>
          <w:rFonts w:ascii="Arial" w:cs="Arial" w:eastAsia="Arial" w:hAnsi="Arial"/>
          <w:sz w:val="17"/>
          <w:szCs w:val="17"/>
          <w:color w:val="auto"/>
        </w:rPr>
        <w:t>a board of directors divided into three classes serving staggered three-year terms, such that not all members of the board will be elected at one time;</w:t>
      </w:r>
    </w:p>
    <w:p>
      <w:pPr>
        <w:spacing w:after="0" w:line="129" w:lineRule="exact"/>
        <w:rPr>
          <w:sz w:val="20"/>
          <w:szCs w:val="20"/>
          <w:color w:val="auto"/>
        </w:rPr>
      </w:pPr>
    </w:p>
    <w:p>
      <w:pPr>
        <w:ind w:left="2140" w:right="180" w:hanging="1062"/>
        <w:spacing w:after="0" w:line="236" w:lineRule="auto"/>
        <w:tabs>
          <w:tab w:leader="none" w:pos="2135" w:val="left"/>
        </w:tabs>
        <w:numPr>
          <w:ilvl w:val="0"/>
          <w:numId w:val="97"/>
        </w:numPr>
        <w:rPr>
          <w:rFonts w:ascii="Arial" w:cs="Arial" w:eastAsia="Arial" w:hAnsi="Arial"/>
          <w:sz w:val="20"/>
          <w:szCs w:val="20"/>
          <w:color w:val="auto"/>
        </w:rPr>
      </w:pPr>
      <w:r>
        <w:rPr>
          <w:rFonts w:ascii="Arial" w:cs="Arial" w:eastAsia="Arial" w:hAnsi="Arial"/>
          <w:sz w:val="17"/>
          <w:szCs w:val="17"/>
          <w:color w:val="auto"/>
        </w:rPr>
        <w:t>a prohibition on stockholder action through written consent, which requires that all stockholder actions be taken at a meeting of our stockholders;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73" w:name="page74"/>
    <w:bookmarkEnd w:id="73"/>
    <w:p>
      <w:pPr>
        <w:ind w:left="2140" w:right="120" w:hanging="1062"/>
        <w:spacing w:after="0" w:line="236" w:lineRule="auto"/>
        <w:tabs>
          <w:tab w:leader="none" w:pos="2135" w:val="left"/>
        </w:tabs>
        <w:numPr>
          <w:ilvl w:val="0"/>
          <w:numId w:val="98"/>
        </w:numPr>
        <w:rPr>
          <w:rFonts w:ascii="Arial" w:cs="Arial" w:eastAsia="Arial" w:hAnsi="Arial"/>
          <w:sz w:val="20"/>
          <w:szCs w:val="20"/>
          <w:color w:val="auto"/>
        </w:rPr>
      </w:pPr>
      <w:r>
        <w:rPr>
          <w:rFonts w:ascii="Arial" w:cs="Arial" w:eastAsia="Arial" w:hAnsi="Arial"/>
          <w:sz w:val="17"/>
          <w:szCs w:val="17"/>
          <w:color w:val="auto"/>
        </w:rPr>
        <w:t>a requirement that special meetings of stockholders be called only by the board of directors acting pursuant to a resolution approved by the affirmative vote of a majority of the directors then in office;</w:t>
      </w:r>
    </w:p>
    <w:p>
      <w:pPr>
        <w:spacing w:after="0" w:line="114" w:lineRule="exact"/>
        <w:rPr>
          <w:sz w:val="20"/>
          <w:szCs w:val="20"/>
          <w:color w:val="auto"/>
        </w:rPr>
      </w:pPr>
    </w:p>
    <w:p>
      <w:pPr>
        <w:ind w:left="2140" w:hanging="1062"/>
        <w:spacing w:after="0"/>
        <w:tabs>
          <w:tab w:leader="none" w:pos="2140" w:val="left"/>
        </w:tabs>
        <w:numPr>
          <w:ilvl w:val="0"/>
          <w:numId w:val="99"/>
        </w:numPr>
        <w:rPr>
          <w:rFonts w:ascii="Arial" w:cs="Arial" w:eastAsia="Arial" w:hAnsi="Arial"/>
          <w:sz w:val="20"/>
          <w:szCs w:val="20"/>
          <w:color w:val="auto"/>
        </w:rPr>
      </w:pPr>
      <w:r>
        <w:rPr>
          <w:rFonts w:ascii="Arial" w:cs="Arial" w:eastAsia="Arial" w:hAnsi="Arial"/>
          <w:sz w:val="17"/>
          <w:szCs w:val="17"/>
          <w:color w:val="auto"/>
        </w:rPr>
        <w:t>advance notice requirements for stockholder proposals and nominations for election to our board of directors;</w:t>
      </w:r>
    </w:p>
    <w:p>
      <w:pPr>
        <w:spacing w:after="0" w:line="129" w:lineRule="exact"/>
        <w:rPr>
          <w:sz w:val="20"/>
          <w:szCs w:val="20"/>
          <w:color w:val="auto"/>
        </w:rPr>
      </w:pPr>
    </w:p>
    <w:p>
      <w:pPr>
        <w:ind w:left="2140" w:right="80" w:hanging="1062"/>
        <w:spacing w:after="0" w:line="248" w:lineRule="auto"/>
        <w:tabs>
          <w:tab w:leader="none" w:pos="2135" w:val="left"/>
        </w:tabs>
        <w:numPr>
          <w:ilvl w:val="0"/>
          <w:numId w:val="100"/>
        </w:numPr>
        <w:rPr>
          <w:rFonts w:ascii="Arial" w:cs="Arial" w:eastAsia="Arial" w:hAnsi="Arial"/>
          <w:sz w:val="20"/>
          <w:szCs w:val="20"/>
          <w:color w:val="auto"/>
        </w:rPr>
      </w:pPr>
      <w:r>
        <w:rPr>
          <w:rFonts w:ascii="Arial" w:cs="Arial" w:eastAsia="Arial" w:hAnsi="Arial"/>
          <w:sz w:val="17"/>
          <w:szCs w:val="17"/>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122" w:lineRule="exact"/>
        <w:rPr>
          <w:sz w:val="20"/>
          <w:szCs w:val="20"/>
          <w:color w:val="auto"/>
        </w:rPr>
      </w:pPr>
    </w:p>
    <w:p>
      <w:pPr>
        <w:ind w:left="2140" w:right="780" w:hanging="1062"/>
        <w:spacing w:after="0" w:line="236" w:lineRule="auto"/>
        <w:tabs>
          <w:tab w:leader="none" w:pos="2135" w:val="left"/>
        </w:tabs>
        <w:numPr>
          <w:ilvl w:val="0"/>
          <w:numId w:val="101"/>
        </w:numPr>
        <w:rPr>
          <w:rFonts w:ascii="Arial" w:cs="Arial" w:eastAsia="Arial" w:hAnsi="Arial"/>
          <w:sz w:val="20"/>
          <w:szCs w:val="20"/>
          <w:color w:val="auto"/>
        </w:rPr>
      </w:pPr>
      <w:r>
        <w:rPr>
          <w:rFonts w:ascii="Arial" w:cs="Arial" w:eastAsia="Arial" w:hAnsi="Arial"/>
          <w:sz w:val="17"/>
          <w:szCs w:val="17"/>
          <w:color w:val="auto"/>
        </w:rPr>
        <w:t>a requirement of approval of not less than two-thirds of all outstanding shares of our voting stock to amend any bylaws by stockholder action or to amend specific provisions of our certificate of incorporation; and</w:t>
      </w:r>
    </w:p>
    <w:p>
      <w:pPr>
        <w:spacing w:after="0" w:line="129" w:lineRule="exact"/>
        <w:rPr>
          <w:sz w:val="20"/>
          <w:szCs w:val="20"/>
          <w:color w:val="auto"/>
        </w:rPr>
      </w:pPr>
    </w:p>
    <w:p>
      <w:pPr>
        <w:ind w:left="2140" w:right="360" w:hanging="1062"/>
        <w:spacing w:after="0" w:line="261" w:lineRule="auto"/>
        <w:tabs>
          <w:tab w:leader="none" w:pos="2135" w:val="left"/>
        </w:tabs>
        <w:numPr>
          <w:ilvl w:val="0"/>
          <w:numId w:val="102"/>
        </w:numPr>
        <w:rPr>
          <w:rFonts w:ascii="Arial" w:cs="Arial" w:eastAsia="Arial" w:hAnsi="Arial"/>
          <w:sz w:val="19"/>
          <w:szCs w:val="19"/>
          <w:color w:val="auto"/>
        </w:rPr>
      </w:pPr>
      <w:r>
        <w:rPr>
          <w:rFonts w:ascii="Arial" w:cs="Arial" w:eastAsia="Arial" w:hAnsi="Arial"/>
          <w:sz w:val="16"/>
          <w:szCs w:val="16"/>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72" w:lineRule="exact"/>
        <w:rPr>
          <w:sz w:val="20"/>
          <w:szCs w:val="20"/>
          <w:color w:val="auto"/>
        </w:rPr>
      </w:pPr>
    </w:p>
    <w:p>
      <w:pPr>
        <w:ind w:right="20" w:firstLine="917"/>
        <w:spacing w:after="0" w:line="272" w:lineRule="auto"/>
        <w:rPr>
          <w:sz w:val="20"/>
          <w:szCs w:val="20"/>
          <w:color w:val="auto"/>
        </w:rPr>
      </w:pPr>
      <w:r>
        <w:rPr>
          <w:rFonts w:ascii="Arial" w:cs="Arial" w:eastAsia="Arial" w:hAnsi="Arial"/>
          <w:sz w:val="16"/>
          <w:szCs w:val="16"/>
          <w:color w:val="auto"/>
        </w:rPr>
        <w:t>In addition, because we are incorporated in Delaware, we are governed by the provisions of Section 203 of the General Corporation Law of the State of Delaware, or the DGCL, which may prohibit certain business combinations with stockholders owning 15% or more of our outstanding voting stock. These anti-takeover provisions and other provisions in our certificate of incorporation and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107" w:lineRule="exact"/>
        <w:rPr>
          <w:sz w:val="20"/>
          <w:szCs w:val="20"/>
          <w:color w:val="auto"/>
        </w:rPr>
      </w:pPr>
    </w:p>
    <w:p>
      <w:pPr>
        <w:ind w:right="140" w:firstLine="917"/>
        <w:spacing w:after="0" w:line="321" w:lineRule="auto"/>
        <w:rPr>
          <w:sz w:val="20"/>
          <w:szCs w:val="20"/>
          <w:color w:val="auto"/>
        </w:rPr>
      </w:pPr>
      <w:r>
        <w:rPr>
          <w:rFonts w:ascii="Arial" w:cs="Arial" w:eastAsia="Arial" w:hAnsi="Arial"/>
          <w:sz w:val="17"/>
          <w:szCs w:val="17"/>
          <w:b w:val="1"/>
          <w:bCs w:val="1"/>
          <w:i w:val="1"/>
          <w:iCs w:val="1"/>
          <w:color w:val="231F20"/>
        </w:rPr>
        <w:t>Our bylaws designate certain courts as the exclusive forum for certain litigation that may be initiated by our stockholders, which could limit our stockholders’ ability to litigate disputes with us in a different judicial forum.</w:t>
      </w:r>
    </w:p>
    <w:p>
      <w:pPr>
        <w:spacing w:after="0" w:line="25" w:lineRule="exact"/>
        <w:rPr>
          <w:sz w:val="20"/>
          <w:szCs w:val="20"/>
          <w:color w:val="auto"/>
        </w:rPr>
      </w:pPr>
    </w:p>
    <w:p>
      <w:pPr>
        <w:ind w:firstLine="917"/>
        <w:spacing w:after="0" w:line="269" w:lineRule="auto"/>
        <w:rPr>
          <w:sz w:val="20"/>
          <w:szCs w:val="20"/>
          <w:color w:val="auto"/>
        </w:rPr>
      </w:pPr>
      <w:r>
        <w:rPr>
          <w:rFonts w:ascii="Arial" w:cs="Arial" w:eastAsia="Arial" w:hAnsi="Arial"/>
          <w:sz w:val="16"/>
          <w:szCs w:val="16"/>
          <w:color w:val="231F20"/>
        </w:rPr>
        <w:t>P</w:t>
      </w:r>
      <w:r>
        <w:rPr>
          <w:rFonts w:ascii="Arial" w:cs="Arial" w:eastAsia="Arial" w:hAnsi="Arial"/>
          <w:sz w:val="16"/>
          <w:szCs w:val="16"/>
          <w:color w:val="000000"/>
        </w:rPr>
        <w:t>ursuant to our bylaws, unless we consent in writing to the selection of an alternative forum, the Court of Chancery of the State of Delaware will be the</w:t>
      </w:r>
      <w:r>
        <w:rPr>
          <w:rFonts w:ascii="Arial" w:cs="Arial" w:eastAsia="Arial" w:hAnsi="Arial"/>
          <w:sz w:val="16"/>
          <w:szCs w:val="16"/>
          <w:color w:val="231F20"/>
        </w:rPr>
        <w:t xml:space="preserve"> </w:t>
      </w:r>
      <w:r>
        <w:rPr>
          <w:rFonts w:ascii="Arial" w:cs="Arial" w:eastAsia="Arial" w:hAnsi="Arial"/>
          <w:sz w:val="16"/>
          <w:szCs w:val="16"/>
          <w:color w:val="000000"/>
        </w:rPr>
        <w:t>sole and exclusive forum for any state law claims for: (i) any derivative action or proceeding brought on our behalf; (ii) any action asserting a claim of breach of a fiduciary duty or other wrongdoing by any of our directors, officers, employees or agents to us or our stockholders; (iii) any action asserting a claim against us arising pursuant to any provision of the DGCL, our certificate of incorporation or our bylaws; (iv) any action to interpret, apply, enforce or determine the validity of our certificate of incorporation or bylaws; or (v) any action asserting a claim governed by the internal affairs doctrine, in each case subject to the Court of Chancery having personal jurisdiction over the indispensable parties named as defendants therein, or the Delaware forum provision. This exclusive forum provision will not apply to any causes of action arising under the Securities Act or the Exchange Act or any other claim for which the federal courts have exclusive jurisdiction. Unless we consent in writing to the selection of an alternate forum, the federal district courts shall be the sole and exclusive forum for resolving any complaint asserting a cause of action arising under the Securities Act, or the federal forum provision. In addition, our bylaws provide that any person or entity purchasing or otherwise acquiring any interest in shares of our common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spacing w:after="0" w:line="72" w:lineRule="exact"/>
        <w:rPr>
          <w:sz w:val="20"/>
          <w:szCs w:val="20"/>
          <w:color w:val="auto"/>
        </w:rPr>
      </w:pPr>
    </w:p>
    <w:p>
      <w:pPr>
        <w:ind w:right="60" w:firstLine="917"/>
        <w:spacing w:after="0" w:line="271" w:lineRule="auto"/>
        <w:rPr>
          <w:sz w:val="20"/>
          <w:szCs w:val="20"/>
          <w:color w:val="auto"/>
        </w:rPr>
      </w:pPr>
      <w:r>
        <w:rPr>
          <w:rFonts w:ascii="Arial" w:cs="Arial" w:eastAsia="Arial" w:hAnsi="Arial"/>
          <w:sz w:val="16"/>
          <w:szCs w:val="16"/>
          <w:color w:val="auto"/>
        </w:rPr>
        <w:t>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State of California. In addition, these 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93" w:right="359" w:bottom="1440" w:gutter="0" w:footer="0" w:header="0"/>
        </w:sectPr>
      </w:pPr>
    </w:p>
    <w:bookmarkStart w:id="74" w:name="page75"/>
    <w:bookmarkEnd w:id="74"/>
    <w:p>
      <w:pPr>
        <w:ind w:right="100"/>
        <w:spacing w:after="0" w:line="262" w:lineRule="auto"/>
        <w:rPr>
          <w:sz w:val="20"/>
          <w:szCs w:val="20"/>
          <w:color w:val="auto"/>
        </w:rPr>
      </w:pPr>
      <w:r>
        <w:rPr>
          <w:rFonts w:ascii="Arial" w:cs="Arial" w:eastAsia="Arial" w:hAnsi="Arial"/>
          <w:sz w:val="17"/>
          <w:szCs w:val="17"/>
          <w:color w:val="auto"/>
        </w:rPr>
        <w:t>on stockholders who assert the provision is not enforceable or invalid. The Court of Chancery of the State of Delaware and the federal district courts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231F20"/>
        </w:rPr>
        <w:t>General Risk Factors</w:t>
      </w:r>
    </w:p>
    <w:p>
      <w:pPr>
        <w:spacing w:after="0" w:line="152" w:lineRule="exact"/>
        <w:rPr>
          <w:sz w:val="20"/>
          <w:szCs w:val="20"/>
          <w:color w:val="auto"/>
        </w:rPr>
      </w:pPr>
    </w:p>
    <w:p>
      <w:pPr>
        <w:ind w:right="40" w:firstLine="917"/>
        <w:spacing w:after="0" w:line="317" w:lineRule="auto"/>
        <w:rPr>
          <w:sz w:val="20"/>
          <w:szCs w:val="20"/>
          <w:color w:val="auto"/>
        </w:rPr>
      </w:pPr>
      <w:r>
        <w:rPr>
          <w:rFonts w:ascii="Arial" w:cs="Arial" w:eastAsia="Arial" w:hAnsi="Arial"/>
          <w:sz w:val="17"/>
          <w:szCs w:val="17"/>
          <w:b w:val="1"/>
          <w:bCs w:val="1"/>
          <w:i w:val="1"/>
          <w:iCs w:val="1"/>
          <w:color w:val="231F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28" w:lineRule="exact"/>
        <w:rPr>
          <w:sz w:val="20"/>
          <w:szCs w:val="20"/>
          <w:color w:val="auto"/>
        </w:rPr>
      </w:pPr>
    </w:p>
    <w:p>
      <w:pPr>
        <w:ind w:right="120" w:firstLine="917"/>
        <w:spacing w:after="0" w:line="254"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80" w:lineRule="exact"/>
        <w:rPr>
          <w:sz w:val="20"/>
          <w:szCs w:val="20"/>
          <w:color w:val="auto"/>
        </w:rPr>
      </w:pPr>
    </w:p>
    <w:p>
      <w:pPr>
        <w:ind w:right="80" w:firstLine="917"/>
        <w:spacing w:after="0" w:line="255" w:lineRule="auto"/>
        <w:rPr>
          <w:sz w:val="20"/>
          <w:szCs w:val="20"/>
          <w:color w:val="auto"/>
        </w:rPr>
      </w:pPr>
      <w:r>
        <w:rPr>
          <w:rFonts w:ascii="Arial" w:cs="Arial" w:eastAsia="Arial" w:hAnsi="Arial"/>
          <w:sz w:val="17"/>
          <w:szCs w:val="17"/>
          <w:color w:val="auto"/>
        </w:rPr>
        <w:t>We are required to disclose changes made in our internal controls and procedures on a quarterly basis and our management is required to asses the effectiveness of these controls annually. However, based on our aggregate worldwide market value of equity held by non-affiliates as of June 30, 2022, we expect that we will become a "non-accelerated filer," as defined by the SEC, on December 31, 2022. Accordingly, for our Annual Report on Form 10-K for the year ending December 31, 2022, our independent registered public accounting firm will no longer be required to attest to the effectiveness of our internal controls over financial reporting pursuant to Section 404. An independent assessment of the effectiveness of our internal controls over financial reporting could detect problems that our management's assessment might not.</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231F20"/>
        </w:rPr>
        <w:t>Our disclosure controls and procedures may not prevent or detect all errors or acts of fraud.</w:t>
      </w:r>
    </w:p>
    <w:p>
      <w:pPr>
        <w:spacing w:after="0" w:line="110" w:lineRule="exact"/>
        <w:rPr>
          <w:sz w:val="20"/>
          <w:szCs w:val="20"/>
          <w:color w:val="auto"/>
        </w:rPr>
      </w:pPr>
    </w:p>
    <w:p>
      <w:pPr>
        <w:ind w:firstLine="917"/>
        <w:spacing w:after="0" w:line="271" w:lineRule="auto"/>
        <w:rPr>
          <w:sz w:val="20"/>
          <w:szCs w:val="20"/>
          <w:color w:val="auto"/>
        </w:rPr>
      </w:pPr>
      <w:r>
        <w:rPr>
          <w:rFonts w:ascii="Arial" w:cs="Arial" w:eastAsia="Arial" w:hAnsi="Arial"/>
          <w:sz w:val="16"/>
          <w:szCs w:val="16"/>
          <w:color w:val="auto"/>
        </w:rPr>
        <w:t>As a public reporting company, 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08" w:lineRule="exact"/>
        <w:rPr>
          <w:sz w:val="20"/>
          <w:szCs w:val="20"/>
          <w:color w:val="auto"/>
        </w:rPr>
      </w:pPr>
    </w:p>
    <w:p>
      <w:pPr>
        <w:ind w:right="20" w:firstLine="917"/>
        <w:spacing w:after="0" w:line="321" w:lineRule="auto"/>
        <w:rPr>
          <w:sz w:val="20"/>
          <w:szCs w:val="20"/>
          <w:color w:val="auto"/>
        </w:rPr>
      </w:pPr>
      <w:r>
        <w:rPr>
          <w:rFonts w:ascii="Arial" w:cs="Arial" w:eastAsia="Arial" w:hAnsi="Arial"/>
          <w:sz w:val="17"/>
          <w:szCs w:val="17"/>
          <w:b w:val="1"/>
          <w:bCs w:val="1"/>
          <w:i w:val="1"/>
          <w:iCs w:val="1"/>
          <w:color w:val="231F20"/>
        </w:rPr>
        <w:t>Our issuance of additional capital stock in connection with financings, acquisitions, investments, our stock incentive plans or otherwise will dilute all other stockholders.</w:t>
      </w:r>
    </w:p>
    <w:p>
      <w:pPr>
        <w:spacing w:after="0" w:line="25" w:lineRule="exact"/>
        <w:rPr>
          <w:sz w:val="20"/>
          <w:szCs w:val="20"/>
          <w:color w:val="auto"/>
        </w:rPr>
      </w:pPr>
    </w:p>
    <w:p>
      <w:pPr>
        <w:ind w:firstLine="917"/>
        <w:spacing w:after="0" w:line="243" w:lineRule="auto"/>
        <w:rPr>
          <w:sz w:val="20"/>
          <w:szCs w:val="20"/>
          <w:color w:val="auto"/>
        </w:rPr>
      </w:pPr>
      <w:r>
        <w:rPr>
          <w:rFonts w:ascii="Arial" w:cs="Arial" w:eastAsia="Arial" w:hAnsi="Arial"/>
          <w:sz w:val="17"/>
          <w:szCs w:val="17"/>
          <w:color w:val="auto"/>
        </w:rPr>
        <w:t>We expect to issue additional capital stock in the future that will result in dilution to all other stockholders. We expect to continue to grant equity awards to employees, directors, and consultants under our stock incentive plans. We may also raise capital through equity financings in the future, including an "at-the-market" offering pursuant to our Controlled Equity Offering</w:t>
      </w:r>
      <w:r>
        <w:rPr>
          <w:rFonts w:ascii="Arial" w:cs="Arial" w:eastAsia="Arial" w:hAnsi="Arial"/>
          <w:sz w:val="21"/>
          <w:szCs w:val="21"/>
          <w:color w:val="auto"/>
          <w:vertAlign w:val="superscript"/>
        </w:rPr>
        <w:t>SM</w:t>
      </w:r>
      <w:r>
        <w:rPr>
          <w:rFonts w:ascii="Arial" w:cs="Arial" w:eastAsia="Arial" w:hAnsi="Arial"/>
          <w:sz w:val="17"/>
          <w:szCs w:val="17"/>
          <w:color w:val="auto"/>
        </w:rPr>
        <w:t xml:space="preserve"> Sales Agreement with Cantor Fitzgerald &amp; Co.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28" w:lineRule="exact"/>
        <w:rPr>
          <w:sz w:val="20"/>
          <w:szCs w:val="20"/>
          <w:color w:val="auto"/>
        </w:rPr>
      </w:pPr>
    </w:p>
    <w:p>
      <w:pPr>
        <w:ind w:right="220" w:firstLine="917"/>
        <w:spacing w:after="0" w:line="336" w:lineRule="auto"/>
        <w:rPr>
          <w:sz w:val="20"/>
          <w:szCs w:val="20"/>
          <w:color w:val="auto"/>
        </w:rPr>
      </w:pPr>
      <w:r>
        <w:rPr>
          <w:rFonts w:ascii="Arial" w:cs="Arial" w:eastAsia="Arial" w:hAnsi="Arial"/>
          <w:sz w:val="17"/>
          <w:szCs w:val="17"/>
          <w:b w:val="1"/>
          <w:bCs w:val="1"/>
          <w:i w:val="1"/>
          <w:iCs w:val="1"/>
          <w:color w:val="231F20"/>
        </w:rPr>
        <w:t>If securities or industry analysts do not publish research or publish inaccurate or unfavorable research about our business, our stock price and trading volume could decline.</w:t>
      </w:r>
    </w:p>
    <w:p>
      <w:pPr>
        <w:spacing w:after="0" w:line="13" w:lineRule="exact"/>
        <w:rPr>
          <w:sz w:val="20"/>
          <w:szCs w:val="20"/>
          <w:color w:val="auto"/>
        </w:rPr>
      </w:pPr>
    </w:p>
    <w:p>
      <w:pPr>
        <w:ind w:right="40" w:firstLine="917"/>
        <w:spacing w:after="0" w:line="258" w:lineRule="auto"/>
        <w:rPr>
          <w:sz w:val="20"/>
          <w:szCs w:val="20"/>
          <w:color w:val="auto"/>
        </w:rPr>
      </w:pPr>
      <w:r>
        <w:rPr>
          <w:rFonts w:ascii="Arial" w:cs="Arial" w:eastAsia="Arial" w:hAnsi="Arial"/>
          <w:sz w:val="17"/>
          <w:szCs w:val="17"/>
          <w:color w:val="auto"/>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75" w:name="page76"/>
    <w:bookmarkEnd w:id="75"/>
    <w:p>
      <w:pPr>
        <w:ind w:right="220" w:firstLine="917"/>
        <w:spacing w:after="0" w:line="321" w:lineRule="auto"/>
        <w:rPr>
          <w:sz w:val="20"/>
          <w:szCs w:val="20"/>
          <w:color w:val="auto"/>
        </w:rPr>
      </w:pPr>
      <w:r>
        <w:rPr>
          <w:rFonts w:ascii="Arial" w:cs="Arial" w:eastAsia="Arial" w:hAnsi="Arial"/>
          <w:sz w:val="17"/>
          <w:szCs w:val="17"/>
          <w:b w:val="1"/>
          <w:bCs w:val="1"/>
          <w:i w:val="1"/>
          <w:iCs w:val="1"/>
          <w:color w:val="231F20"/>
        </w:rPr>
        <w:t>We incur significant increased costs as a result of operating as a public company, and our management is required to devote substantial time to new compliance initiatives.</w:t>
      </w:r>
    </w:p>
    <w:p>
      <w:pPr>
        <w:spacing w:after="0" w:line="25" w:lineRule="exact"/>
        <w:rPr>
          <w:sz w:val="20"/>
          <w:szCs w:val="20"/>
          <w:color w:val="auto"/>
        </w:rPr>
      </w:pPr>
    </w:p>
    <w:p>
      <w:pPr>
        <w:ind w:firstLine="917"/>
        <w:spacing w:after="0" w:line="292" w:lineRule="auto"/>
        <w:rPr>
          <w:sz w:val="20"/>
          <w:szCs w:val="20"/>
          <w:color w:val="auto"/>
        </w:rPr>
      </w:pPr>
      <w:r>
        <w:rPr>
          <w:rFonts w:ascii="Arial" w:cs="Arial" w:eastAsia="Arial" w:hAnsi="Arial"/>
          <w:sz w:val="15"/>
          <w:szCs w:val="15"/>
          <w:color w:val="auto"/>
        </w:rPr>
        <w:t>As a public company, we incur significant legal, accounting and other expenses. We are subject to the reporting requirements of the Exchange Act, which requires, among other things, that we file with the SEC annual, quarterly and current reports with respect to our business and financial condition. In addition, the Sarbanes-Oxley Act, as well as rules subsequently adopted by the SEC and the Nasdaq Stock Market, or Nasdaq, to implement provisions of the Sarbanes-Oxley Act, impose significant requirements on public companies, including requiring establishment and maintenance of effective disclosure and financial reporting controls and changes in corporate governance practices. Further,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53" w:lineRule="exact"/>
        <w:rPr>
          <w:sz w:val="20"/>
          <w:szCs w:val="20"/>
          <w:color w:val="auto"/>
        </w:rPr>
      </w:pPr>
    </w:p>
    <w:p>
      <w:pPr>
        <w:ind w:firstLine="917"/>
        <w:spacing w:after="0" w:line="271" w:lineRule="auto"/>
        <w:rPr>
          <w:sz w:val="20"/>
          <w:szCs w:val="20"/>
          <w:color w:val="auto"/>
        </w:rPr>
      </w:pPr>
      <w:r>
        <w:rPr>
          <w:rFonts w:ascii="Arial" w:cs="Arial" w:eastAsia="Arial" w:hAnsi="Arial"/>
          <w:sz w:val="16"/>
          <w:szCs w:val="16"/>
          <w:color w:val="auto"/>
        </w:rPr>
        <w:t>We expect the rules and regulations applicable to public companies to substantially increase our legal and financial compliance costs and to make some activities more time-consuming and costly, particularly as we ceased to be an emerging growth company on December 31, 2021. If these requirements divert the attention of our management and personnel from other business concerns, they could have an adverse effect on our business.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08" w:lineRule="exact"/>
        <w:rPr>
          <w:sz w:val="20"/>
          <w:szCs w:val="20"/>
          <w:color w:val="auto"/>
        </w:rPr>
      </w:pPr>
    </w:p>
    <w:p>
      <w:pPr>
        <w:ind w:right="300" w:firstLine="917"/>
        <w:spacing w:after="0" w:line="336" w:lineRule="auto"/>
        <w:rPr>
          <w:sz w:val="20"/>
          <w:szCs w:val="20"/>
          <w:color w:val="auto"/>
        </w:rPr>
      </w:pPr>
      <w:r>
        <w:rPr>
          <w:rFonts w:ascii="Arial" w:cs="Arial" w:eastAsia="Arial" w:hAnsi="Arial"/>
          <w:sz w:val="17"/>
          <w:szCs w:val="17"/>
          <w:b w:val="1"/>
          <w:bCs w:val="1"/>
          <w:i w:val="1"/>
          <w:iCs w:val="1"/>
          <w:color w:val="231F20"/>
        </w:rPr>
        <w:t>We may incur substantial costs in our efforts to comply with evolving global data protection laws and regulations, and any failure or perceived failure by us to comply with such laws and regulations may harm our business and operations.</w:t>
      </w:r>
    </w:p>
    <w:p>
      <w:pPr>
        <w:spacing w:after="0" w:line="13" w:lineRule="exact"/>
        <w:rPr>
          <w:sz w:val="20"/>
          <w:szCs w:val="20"/>
          <w:color w:val="auto"/>
        </w:rPr>
      </w:pPr>
    </w:p>
    <w:p>
      <w:pPr>
        <w:ind w:right="120" w:firstLine="917"/>
        <w:spacing w:after="0" w:line="267" w:lineRule="auto"/>
        <w:rPr>
          <w:sz w:val="20"/>
          <w:szCs w:val="20"/>
          <w:color w:val="auto"/>
        </w:rPr>
      </w:pPr>
      <w:r>
        <w:rPr>
          <w:rFonts w:ascii="Arial" w:cs="Arial" w:eastAsia="Arial" w:hAnsi="Arial"/>
          <w:sz w:val="16"/>
          <w:szCs w:val="16"/>
          <w:color w:val="auto"/>
        </w:rPr>
        <w:t>The global data protection landscape is rapidly evolving, and we may be or become subject to or affected by numerous federal, state and foreign laws and regulations, as well as regulatory guidance, governing the collection, use, disclosure, transfer, security and processing of personal data, such as information that we collect about participants and healthcare providers in connection with clinical trials. Implementation standards and enforcement practices are likely to remain uncertain for the foreseeable future, which may create uncertainty in our business, affect our or our service providers’ ability to operate in certain jurisdictions or to collect, store, transfer use and share personal data, result in liability or impose additional compliance or other costs on us. Any failure or perceived failure by us to comply with federal, state, or foreign laws or self-regulatory standards could result in negative publicity, diversion of management time and effort and proceedings against us by governmental entities or others.</w:t>
      </w:r>
    </w:p>
    <w:p>
      <w:pPr>
        <w:spacing w:after="0" w:line="5" w:lineRule="exact"/>
        <w:rPr>
          <w:sz w:val="20"/>
          <w:szCs w:val="20"/>
          <w:color w:val="auto"/>
        </w:rPr>
      </w:pPr>
    </w:p>
    <w:p>
      <w:pPr>
        <w:ind w:firstLine="917"/>
        <w:spacing w:after="0" w:line="255" w:lineRule="auto"/>
        <w:rPr>
          <w:sz w:val="20"/>
          <w:szCs w:val="20"/>
          <w:color w:val="auto"/>
        </w:rPr>
      </w:pPr>
      <w:r>
        <w:rPr>
          <w:rFonts w:ascii="Arial" w:cs="Arial" w:eastAsia="Arial" w:hAnsi="Arial"/>
          <w:sz w:val="16"/>
          <w:szCs w:val="16"/>
          <w:color w:val="auto"/>
        </w:rPr>
        <w:t>Numerous federal and state laws and regulations, including HIPAA and HITECH, which enhanced the privacy, security and enforcement provisions of HIPAA by, among other things, establishing security breach notification requirements, govern the collection, dissemination, security, use and confidentiality of patient-identifiable health information or personal information. In the course of performing our business we obtain personally identifiable information (PII), including health-related information. Such laws and regulations relating to privacy, data protection, and consumer protection are evolving and subject to potentially differing interpretations. These requirements may be interpreted and applied in a manner that varies from one jurisdiction to another and/or may conflict with other laws or regulations. HIPAA establishes national privacy and security standards for the protection of individually identifiable health information, including protected health information (PHI) for certain covered entities, including healthcare providers that submit certain covered transactions electronically, as well as their ‘‘business associates.” Penalties for failure to comply with a requirement of HIPAA and HITECH vary significantly depending on the failure and could include civil monetary or criminal penalties. HIPAA also authorizes state attorneys general to file suit under HIPAA on behalf of state residents. Courts can award damages, costs and attorneys’ fees related to violations of HIPAA in such cases. While HIPAA does not create a private right of action allowing individuals to sue us in civil court for HIPAA violations, its standards have been used as the basis for a duty of care claim in state civil suits such as those for negligence or recklessness in the misuse or breach of PHI. The Department of Health and Human Services Office for Civil Rights (OCR) has recently increased its enforcement efforts on compliance with HIPAA, including the security regulations (Security Rule), bringing actions against entities which have failed to implement security measures sufficient to reduce risks to electronic protected health information or to conduct an accurate and thorough risk analysis, among other violations. HIPAA enforcement actions may lead to monetary penalties and costly and burdensome corrective action plans. Additionally, on December 10, 2020, OCR issued a proposed rule aimed at strengthening individuals’ rights to access their own health information, as well as reducing administrative burdens on HIPAA covered health care providers and health plans, among other changes. While a final</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76" w:name="page77"/>
    <w:bookmarkEnd w:id="76"/>
    <w:p>
      <w:pPr>
        <w:spacing w:after="0"/>
        <w:rPr>
          <w:sz w:val="20"/>
          <w:szCs w:val="20"/>
          <w:color w:val="auto"/>
        </w:rPr>
      </w:pPr>
      <w:r>
        <w:rPr>
          <w:rFonts w:ascii="Arial" w:cs="Arial" w:eastAsia="Arial" w:hAnsi="Arial"/>
          <w:sz w:val="15"/>
          <w:szCs w:val="15"/>
          <w:color w:val="auto"/>
        </w:rPr>
        <w:t>rule has not yet been issued, if adopted, these proposed changes may require us to update our HIPAA policies and procedures to comply with the new requirements.</w:t>
      </w:r>
    </w:p>
    <w:p>
      <w:pPr>
        <w:spacing w:after="0" w:line="120" w:lineRule="exact"/>
        <w:rPr>
          <w:sz w:val="20"/>
          <w:szCs w:val="20"/>
          <w:color w:val="auto"/>
        </w:rPr>
      </w:pPr>
    </w:p>
    <w:p>
      <w:pPr>
        <w:ind w:firstLine="917"/>
        <w:spacing w:after="0" w:line="270" w:lineRule="auto"/>
        <w:rPr>
          <w:sz w:val="20"/>
          <w:szCs w:val="20"/>
          <w:color w:val="auto"/>
        </w:rPr>
      </w:pPr>
      <w:r>
        <w:rPr>
          <w:rFonts w:ascii="Arial" w:cs="Arial" w:eastAsia="Arial" w:hAnsi="Arial"/>
          <w:sz w:val="16"/>
          <w:szCs w:val="16"/>
          <w:color w:val="auto"/>
        </w:rPr>
        <w:t>California passed the California Consumer Protection Act of 2018, or the CCPA, which went into effect in January 2020 and provides new data privacy rights for consumers and new operational requirements for companies, which may increase our compliance costs and potential liability. The CCPA gives California residents expanded rights to access and delete their personal information, opt out of certain personal information sharing, and receive detailed information about how their personal information is used. Failure to comply with the CCPA risks regulatory fines, and the CCPA grants a private right of action and statutory damages for an unauthorized access and exfiltration, theft, or disclosure of certain types of personal information resulting from the company’s violation of a duty to maintain reasonable security procedures and practices. The CCPA also provides authority to the California Attorney General to seek civil penalties for intentional violations of the CCPA. While there is currently an exception for protected health information that is subject to HIPAA and clinical trial regulations, as currently written, the CCPA may impact certain of our business activities. How this HIPAA exception is enforced and interpreted may also impact our business activities. Additionally, this exception does not apply to the private cause of action afforded to individuals for information security incidents.</w:t>
      </w:r>
    </w:p>
    <w:p>
      <w:pPr>
        <w:spacing w:after="0" w:line="73" w:lineRule="exact"/>
        <w:rPr>
          <w:sz w:val="20"/>
          <w:szCs w:val="20"/>
          <w:color w:val="auto"/>
        </w:rPr>
      </w:pPr>
    </w:p>
    <w:p>
      <w:pPr>
        <w:ind w:right="20" w:firstLine="917"/>
        <w:spacing w:after="0" w:line="254" w:lineRule="auto"/>
        <w:rPr>
          <w:sz w:val="20"/>
          <w:szCs w:val="20"/>
          <w:color w:val="auto"/>
        </w:rPr>
      </w:pPr>
      <w:r>
        <w:rPr>
          <w:rFonts w:ascii="Arial" w:cs="Arial" w:eastAsia="Arial" w:hAnsi="Arial"/>
          <w:sz w:val="17"/>
          <w:szCs w:val="17"/>
          <w:color w:val="auto"/>
        </w:rPr>
        <w:t>In addition, the CCPA will be expanded on January 1, 2023, when the California Privacy Rights Act of 2020, or the CPRA, becomes operative. The CPRA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provide for increased penalties for CPRA violations concerning California residents under the age of 16, and establish a new California Privacy Protection Agency to implement and enforce the new law. Although there are limited exemptions for clinical trial data under the CCPA, the CCPA and other similar laws could impact our business activities depending on how it is interpreted. In the interim, the CPRA will require additional investment in compliance programs and potential modifications to business processes</w:t>
      </w:r>
    </w:p>
    <w:p>
      <w:pPr>
        <w:spacing w:after="0" w:line="80" w:lineRule="exact"/>
        <w:rPr>
          <w:sz w:val="20"/>
          <w:szCs w:val="20"/>
          <w:color w:val="auto"/>
        </w:rPr>
      </w:pPr>
    </w:p>
    <w:p>
      <w:pPr>
        <w:ind w:right="20" w:firstLine="917"/>
        <w:spacing w:after="0" w:line="301" w:lineRule="auto"/>
        <w:rPr>
          <w:sz w:val="20"/>
          <w:szCs w:val="20"/>
          <w:color w:val="auto"/>
        </w:rPr>
      </w:pPr>
      <w:r>
        <w:rPr>
          <w:rFonts w:ascii="Arial" w:cs="Arial" w:eastAsia="Arial" w:hAnsi="Arial"/>
          <w:sz w:val="15"/>
          <w:szCs w:val="15"/>
          <w:color w:val="auto"/>
        </w:rPr>
        <w:t>The CCPA and CPRA could mark the beginning of a trend toward more stringent privacy legislation in the United States, as other states or the federal government may follow California’s lead and increase protections for U.S. residents. For example, on March 2, 2021, the Virginia Consumer Data Protection Act, which will take effect on January 1, 2023, was signed into law and on July 8, 2021, the Colorado Privacy Act, which will take effect on July 1, 2023, was signed into</w:t>
      </w:r>
    </w:p>
    <w:p>
      <w:pPr>
        <w:ind w:right="20"/>
        <w:spacing w:after="0" w:line="270" w:lineRule="auto"/>
        <w:rPr>
          <w:sz w:val="20"/>
          <w:szCs w:val="20"/>
          <w:color w:val="auto"/>
        </w:rPr>
      </w:pPr>
      <w:r>
        <w:rPr>
          <w:rFonts w:ascii="Arial" w:cs="Arial" w:eastAsia="Arial" w:hAnsi="Arial"/>
          <w:sz w:val="17"/>
          <w:szCs w:val="17"/>
          <w:color w:val="auto"/>
        </w:rPr>
        <w:t>law. On September 18, 2021, the Uniform Law Commission published the Uniform Personal Data Protection Act, which states may begin to adopt. The CCPA has already prompted a number of proposals for new federal and state privacy legislation that, if passed, could increase our potential liability, add layers of complexity to compliance in the U.S. market, increase our compliance costs and adversely affect our business.</w:t>
      </w:r>
    </w:p>
    <w:p>
      <w:pPr>
        <w:spacing w:after="0" w:line="66" w:lineRule="exact"/>
        <w:rPr>
          <w:sz w:val="20"/>
          <w:szCs w:val="20"/>
          <w:color w:val="auto"/>
        </w:rPr>
      </w:pPr>
    </w:p>
    <w:p>
      <w:pPr>
        <w:ind w:right="20" w:firstLine="917"/>
        <w:spacing w:after="0" w:line="293" w:lineRule="auto"/>
        <w:rPr>
          <w:sz w:val="20"/>
          <w:szCs w:val="20"/>
          <w:color w:val="auto"/>
        </w:rPr>
      </w:pPr>
      <w:r>
        <w:rPr>
          <w:rFonts w:ascii="Arial" w:cs="Arial" w:eastAsia="Arial" w:hAnsi="Arial"/>
          <w:sz w:val="15"/>
          <w:szCs w:val="15"/>
          <w:color w:val="auto"/>
        </w:rPr>
        <w:t>Additionally, the Federal Trade Commission (FTC) and many state attorneys general are interpreting existing federal and state consumer protection laws to impose evolving standards for the collection, use, dissemination and security of health-related and other personal information. Courts may also adopt the standards for fair information practices promulgated by the FTC, which concern consumer notice, choice, security and access. Consumer protection laws require us to publish statements that describe how we handle personal information and choices individuals may have about the way we handle their personal information. If such information that we publish is considered untrue, we may be subject to government claims of unfair or deceptive trade practices, which could lead to significant liabilities and consequences. Furthermore, according to the FTC, violating consumers’ privacy rights or failing to take appropriate steps to keep consumers’ personal information secure may constitute unfair acts or practices in or affecting commerce in violation of Section 5 of the FTC Act.</w:t>
      </w:r>
    </w:p>
    <w:p>
      <w:pPr>
        <w:spacing w:after="0" w:line="54" w:lineRule="exact"/>
        <w:rPr>
          <w:sz w:val="20"/>
          <w:szCs w:val="20"/>
          <w:color w:val="auto"/>
        </w:rPr>
      </w:pPr>
    </w:p>
    <w:p>
      <w:pPr>
        <w:ind w:right="20" w:firstLine="917"/>
        <w:spacing w:after="0" w:line="270" w:lineRule="auto"/>
        <w:rPr>
          <w:sz w:val="20"/>
          <w:szCs w:val="20"/>
          <w:color w:val="auto"/>
        </w:rPr>
      </w:pPr>
      <w:r>
        <w:rPr>
          <w:rFonts w:ascii="Arial" w:cs="Arial" w:eastAsia="Arial" w:hAnsi="Arial"/>
          <w:sz w:val="16"/>
          <w:szCs w:val="16"/>
          <w:color w:val="auto"/>
        </w:rPr>
        <w:t>Our business relies on secure and continuous processing of information and the availability of our Information Technology (IT) networks and IT resources, as well as critical IT vendors that support our technology and data processing operations. Security breaches, computer malware and computer hacking attacks have become more prevalent across industries and may occur on our systems or those of our third-party service providers. Attacks upon information technology systems are increasing in their frequency, levels of persistence, sophistication and intensity, and are being conducted by sophisticated and organized groups and individuals with a wide range of motives and expertise. OCR, in partnership with the Healthcare and Public Health Sector Coordinating Council, recently issued cybersecurity guidelines for healthcare organizations that reflect consensus-based, voluntary practices to cost-effectively reduce cybersecurity risks for organizations of varying sizes. Although these HHS-backed guidelines, entitled “Health Industry Cybersecurity Practices: Managing Threats and Protecting Patients,” are voluntary, they are likely to serve as an important reference point for the healthcare industry, and may cause us to invest additional resources in technology, personnel and programmatic cybersecurity controls as the cybersecurity risks we face continue to evolve.</w:t>
      </w:r>
    </w:p>
    <w:p>
      <w:pPr>
        <w:spacing w:after="0" w:line="73" w:lineRule="exact"/>
        <w:rPr>
          <w:sz w:val="20"/>
          <w:szCs w:val="20"/>
          <w:color w:val="auto"/>
        </w:rPr>
      </w:pPr>
    </w:p>
    <w:p>
      <w:pPr>
        <w:ind w:right="40" w:firstLine="917"/>
        <w:spacing w:after="0" w:line="279" w:lineRule="auto"/>
        <w:rPr>
          <w:sz w:val="20"/>
          <w:szCs w:val="20"/>
          <w:color w:val="auto"/>
        </w:rPr>
      </w:pPr>
      <w:r>
        <w:rPr>
          <w:rFonts w:ascii="Arial" w:cs="Arial" w:eastAsia="Arial" w:hAnsi="Arial"/>
          <w:sz w:val="16"/>
          <w:szCs w:val="16"/>
          <w:color w:val="auto"/>
        </w:rPr>
        <w:t>We regularly monitor, defend against and respond to attacks to our networks and other information security incidents. Despite our information security efforts, our facilities, systems, and data, as well as those of our third-party service providers, may be vulnerable to privacy and information security incidents such as data breaches, viruses or other malicious code, coordinated attacks, data loss, phishing attacks, ransomware, denial of service attacks, or other security or IT incidents caused by threat actors, technological vulnerabilities or human error. If we, or any of our IT support vendors, fail to comply</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77" w:name="page78"/>
    <w:bookmarkEnd w:id="77"/>
    <w:p>
      <w:pPr>
        <w:ind w:right="160"/>
        <w:spacing w:after="0" w:line="258" w:lineRule="auto"/>
        <w:rPr>
          <w:sz w:val="20"/>
          <w:szCs w:val="20"/>
          <w:color w:val="auto"/>
        </w:rPr>
      </w:pPr>
      <w:r>
        <w:rPr>
          <w:rFonts w:ascii="Arial" w:cs="Arial" w:eastAsia="Arial" w:hAnsi="Arial"/>
          <w:sz w:val="17"/>
          <w:szCs w:val="17"/>
          <w:color w:val="auto"/>
        </w:rPr>
        <w:t>with laws requiring the protection of sensitive personal information, or fail to safeguard and defend personal information or other critical data assets or IT systems, we may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spacing w:after="0" w:line="76" w:lineRule="exact"/>
        <w:rPr>
          <w:sz w:val="20"/>
          <w:szCs w:val="20"/>
          <w:color w:val="auto"/>
        </w:rPr>
      </w:pPr>
    </w:p>
    <w:p>
      <w:pPr>
        <w:ind w:right="20" w:firstLine="917"/>
        <w:spacing w:after="0" w:line="288" w:lineRule="auto"/>
        <w:rPr>
          <w:sz w:val="20"/>
          <w:szCs w:val="20"/>
          <w:color w:val="auto"/>
        </w:rPr>
      </w:pPr>
      <w:r>
        <w:rPr>
          <w:rFonts w:ascii="Arial" w:cs="Arial" w:eastAsia="Arial" w:hAnsi="Arial"/>
          <w:sz w:val="15"/>
          <w:szCs w:val="15"/>
          <w:color w:val="auto"/>
        </w:rPr>
        <w:t>In addition to our operations in the United States, which may be subject to healthcare and other laws relating to the privacy and security of health information and other personal data, we may seek to conduct clinical trials in the EEA and may become subject to additional EEA data privacy laws, regulations and guidelines. The General Data Protection Regulation, (EU) 2016/679, or EU GDPR, became effective on May 25, 2018, and deals with the collection, use, storage, disclosure, transfer or other processing of personal data, including personal health data, regarding individuals in the EEA. The EU GDPR imposes a broad range of strict requirements on companies subject to the EU GDPR, including requirements relating to having legal bases for processing personal data (i.e., data relating to identified or identifiable individuals) and transferring such personal data outside the EEA, including to the United States, and providing details to those individuals regarding the processing of their personal data, keeping personal data secure, having data processing agreements with third parties who process personal data on our behalf, responding to individuals’ requests to exercise their rights in respect of their personal data, reporting certain security breaches involving personal data to the competent national data protection authority and affected individuals, appointing data protection officers, conducting data protection impact assessments and record-keeping. Further, national laws of member states of the EU may deviate from the EU GDPR, including in the context of clinical trails, and impose different obligations from country to country, so that currently we do not expect to operate in a uniform legal landscape in the EEA. In particular, as it relates to processing and transfer of genetic data and health data, the EU GDPR specifically allows national laws to impose additional and more specific requirements or restrictions, and European laws have historically differed quite substantially in this field, leading to additional uncertainty.</w:t>
      </w:r>
    </w:p>
    <w:p>
      <w:pPr>
        <w:spacing w:after="0" w:line="6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EU GDPR increases substantially the penalties to which we could be subject in the event of any non-compliance, including fines of up to</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€10,000,000 or up to 2% of our total worldwide annual turnover for certain comparatively minor offenses, or up to €20,000,000 or up to 4% of our total worldwide</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annual turnover, whichever is greater, for more serious offenses. The EU GDPR also confers a private right of action on data subjects and consumer associations to</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lodge complaints with supervisory authorities, seek judicial remedies, and obtain compensation for damages resulting from violations of the EU GDPR. If our efforts</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to comply with EU GDPR or other applicable EU laws and regulations are not successful, or are perceived to be unsuccessful, it could adversely affect our business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in the EU.</w:t>
      </w:r>
    </w:p>
    <w:p>
      <w:pPr>
        <w:spacing w:after="0" w:line="99" w:lineRule="exact"/>
        <w:rPr>
          <w:sz w:val="20"/>
          <w:szCs w:val="20"/>
          <w:color w:val="auto"/>
        </w:rPr>
      </w:pPr>
    </w:p>
    <w:p>
      <w:pPr>
        <w:ind w:firstLine="917"/>
        <w:spacing w:after="0" w:line="301" w:lineRule="auto"/>
        <w:rPr>
          <w:sz w:val="20"/>
          <w:szCs w:val="20"/>
          <w:color w:val="auto"/>
        </w:rPr>
      </w:pPr>
      <w:r>
        <w:rPr>
          <w:rFonts w:ascii="Arial" w:cs="Arial" w:eastAsia="Arial" w:hAnsi="Arial"/>
          <w:sz w:val="15"/>
          <w:szCs w:val="15"/>
          <w:color w:val="auto"/>
        </w:rPr>
        <w:t>The EU GDPR also prohibits the transfer of personal data from the EEA to the United States and most other countries that are not recognized as having “adequate” data protection laws by the European Commission unless the parties to the transfer have implemented specific safeguards to protect the transferred personal data. One of the primary safeguards allowing U.S. companies to import personal data from the EEA had been certification to the EU-U.S. Privacy Shield</w:t>
      </w:r>
    </w:p>
    <w:p>
      <w:pPr>
        <w:ind w:right="40"/>
        <w:spacing w:after="0" w:line="271" w:lineRule="auto"/>
        <w:rPr>
          <w:sz w:val="20"/>
          <w:szCs w:val="20"/>
          <w:color w:val="auto"/>
        </w:rPr>
      </w:pPr>
      <w:r>
        <w:rPr>
          <w:rFonts w:ascii="Arial" w:cs="Arial" w:eastAsia="Arial" w:hAnsi="Arial"/>
          <w:sz w:val="16"/>
          <w:szCs w:val="16"/>
          <w:color w:val="auto"/>
        </w:rPr>
        <w:t>framework administered by the U.S. Department of Commerce. However, the European Court of Justice, or the ECJ, issued a decision in July 2020 which invalidated the EU-U.S. Privacy Shield framework for international transfers (Schrems II) and imposed further restrictions on the use of standard contractual clauses (SCCs) including, a requirement for companies to carry out a transfer privacy impact assessment, which among other things, assesses laws governing access to personal data in the recipient country and considers whether supplementary measures that provide privacy protections additional to those provided under the SCCs will need to be implemented to ensure an essentially equivalent level of data protection to that afforded in the EU. Following that decision, the Swiss Federal Data Protection and Information Commissioner (FDPIC) took a similar view and considered that data transfers based on the Swiss-U.S. Privacy Shield framework are no longer lawful (despite the fact that Schrems II is not directly applicable in Switzerland (unless the Swiss based company is subject to the EU GDPR) and the Swiss-U.S. Privacy Shield has not been officially invalidated).</w:t>
      </w:r>
    </w:p>
    <w:p>
      <w:pPr>
        <w:spacing w:after="0" w:line="70" w:lineRule="exact"/>
        <w:rPr>
          <w:sz w:val="20"/>
          <w:szCs w:val="20"/>
          <w:color w:val="auto"/>
        </w:rPr>
      </w:pPr>
    </w:p>
    <w:p>
      <w:pPr>
        <w:ind w:firstLine="917"/>
        <w:spacing w:after="0" w:line="270" w:lineRule="auto"/>
        <w:rPr>
          <w:sz w:val="20"/>
          <w:szCs w:val="20"/>
          <w:color w:val="auto"/>
        </w:rPr>
      </w:pPr>
      <w:r>
        <w:rPr>
          <w:rFonts w:ascii="Arial" w:cs="Arial" w:eastAsia="Arial" w:hAnsi="Arial"/>
          <w:sz w:val="16"/>
          <w:szCs w:val="16"/>
          <w:color w:val="auto"/>
        </w:rPr>
        <w:t>Further, the European Commission published new EU SCCs in June 2021, which place onerous obligations on the contracting parties. Therefore, until recently,, there were few, if any, viable alternatives to the SCCs. However, on 7 October 2022, the U.S. President introduced an Executive Order to facilitate a new Trans-Atlantic Data Privacy Framework which will act as a successor to the invalidated Privacy Shield. If approved by the European Commission and implemented, the agreement will facilitate the transatlantic flow of personal data and provide an alternative data transfer mechanism (in addition to SCCs and Binding Corporate Rules) for companies transferring personal data from the EU to the U.S. However, before parties rely on the new Framework, there are still legislative and regulatory steps that must be undertaken both in the U.S. and in the EU. Therefore, at present the new EU SCCs are still the primary safeguard available for personal data transfers from the EU to the U.S. As such, the current legal position could restrict our activities in the EEA/Switzerland, limit our ability to provide our products and services in the EEA/Switzerland, and/or increase our costs and obligations and impose limitations upon our ability to efficiently transfer personal data from the EEA/Switzerland to the United States.</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5" w:right="359" w:bottom="1440" w:gutter="0" w:footer="0" w:header="0"/>
        </w:sectPr>
      </w:pPr>
    </w:p>
    <w:bookmarkStart w:id="78" w:name="page79"/>
    <w:bookmarkEnd w:id="78"/>
    <w:p>
      <w:pPr>
        <w:ind w:right="140" w:firstLine="917"/>
        <w:spacing w:after="0" w:line="310" w:lineRule="auto"/>
        <w:rPr>
          <w:sz w:val="20"/>
          <w:szCs w:val="20"/>
          <w:color w:val="auto"/>
        </w:rPr>
      </w:pPr>
      <w:r>
        <w:rPr>
          <w:rFonts w:ascii="Arial" w:cs="Arial" w:eastAsia="Arial" w:hAnsi="Arial"/>
          <w:sz w:val="15"/>
          <w:szCs w:val="15"/>
          <w:color w:val="auto"/>
        </w:rPr>
        <w:t>Following the UK’s departure from the EU (Brexit), the EU GDPR’s data protection obligations continue to apply to the UK in substantially unvaried form under the so-called “UK GDPR”. The UK GDPR exists alongside the UK Data Protection Act 2018 which implements certain derogations in the UK GDPR</w:t>
      </w:r>
    </w:p>
    <w:p>
      <w:pPr>
        <w:spacing w:after="0" w:line="290" w:lineRule="auto"/>
        <w:rPr>
          <w:sz w:val="20"/>
          <w:szCs w:val="20"/>
          <w:color w:val="auto"/>
        </w:rPr>
      </w:pPr>
      <w:r>
        <w:rPr>
          <w:rFonts w:ascii="Arial" w:cs="Arial" w:eastAsia="Arial" w:hAnsi="Arial"/>
          <w:sz w:val="15"/>
          <w:szCs w:val="15"/>
          <w:color w:val="auto"/>
        </w:rPr>
        <w:t>into UK law. Under the UK GDPR, companies not established in the UK but who process personal data in relation to the offering of goods or services to individuals in the UK, or to monitor their behavior will be subject to the UK GDPR – the requirements of which are (at this time) largely aligned with those under the EU GDPR and as such, may lead to similar compliance and operational costs with potential fines of up to £17.5 million or 4% of global turnover. As a result, we are potentially exposed to two parallel data protection regimes, each of which authorizes fines and the potential for divergent enforcement actions. It should be noted that the UK GDPR also prohibits the transfer of personal data from the UK to other countries that are not recognized as having “adequate” data protection laws, including the U.S., in a similar manner to the EU. In addition, the UK Government has published its own form of SCCs, known as the International Data Transfer Agreement (IDTA) and International Data Transfer Addendum (UK Addendum) to the new EU SCCs. The UK Information Commissioner’s Office (ICO) may also publish its version of the transfer impact assessment and revised guidance on international transfers, though it is unclear when this may take place. In terms of international data transfers between the UK and US, it is understood that the UK and the US is negotiating an adequacy agreement.</w:t>
      </w:r>
    </w:p>
    <w:p>
      <w:pPr>
        <w:spacing w:after="0" w:line="60" w:lineRule="exact"/>
        <w:rPr>
          <w:sz w:val="20"/>
          <w:szCs w:val="20"/>
          <w:color w:val="auto"/>
        </w:rPr>
      </w:pPr>
    </w:p>
    <w:p>
      <w:pPr>
        <w:ind w:right="20" w:firstLine="170"/>
        <w:spacing w:after="0" w:line="288" w:lineRule="auto"/>
        <w:rPr>
          <w:sz w:val="20"/>
          <w:szCs w:val="20"/>
          <w:color w:val="auto"/>
        </w:rPr>
      </w:pPr>
      <w:r>
        <w:rPr>
          <w:rFonts w:ascii="Arial" w:cs="Arial" w:eastAsia="Arial" w:hAnsi="Arial"/>
          <w:sz w:val="15"/>
          <w:szCs w:val="15"/>
          <w:color w:val="auto"/>
        </w:rPr>
        <w:t>In the event we commence clinical trials in the EEA, the UK or Switzerland, applicable data protection laws may increase our responsibility and liability in relation to personal data that we process, and we may be required to put in place additional mechanisms and safeguards to ensure compliance, including as implemented by individual countries. Compliance with data protection laws in the EEA, the UK and Switzerland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We expect that we will continue to face uncertainty as to whether our efforts to comply with any obligations under European privacy laws will be sufficient.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biopharmaceutical partners. We may also experience hesitancy, reluctance, or refusal by European or multi-national clients or biopharmaceutical partners to continue to use our products and solutions due to the potential risk exposure as a result of the current (and, in particular, future) data protection obligations imposed on them by certain data protection authorities in interpretation of current law. Such clients or biopharmaceutical partners may also view any alternative approaches to compliance as being too costly, too burdensome, too legally uncertain, or otherwise objectionable and therefore decide not to do business with us. Any of the forgoing could materially harm our business, prospects, financial condition and results of operations.</w:t>
      </w:r>
    </w:p>
    <w:p>
      <w:pPr>
        <w:spacing w:after="0" w:line="101" w:lineRule="exact"/>
        <w:rPr>
          <w:sz w:val="20"/>
          <w:szCs w:val="20"/>
          <w:color w:val="auto"/>
        </w:rPr>
      </w:pPr>
    </w:p>
    <w:p>
      <w:pPr>
        <w:ind w:right="240" w:firstLine="917"/>
        <w:spacing w:after="0" w:line="317" w:lineRule="auto"/>
        <w:rPr>
          <w:sz w:val="20"/>
          <w:szCs w:val="20"/>
          <w:color w:val="auto"/>
        </w:rPr>
      </w:pPr>
      <w:r>
        <w:rPr>
          <w:rFonts w:ascii="Arial" w:cs="Arial" w:eastAsia="Arial" w:hAnsi="Arial"/>
          <w:sz w:val="17"/>
          <w:szCs w:val="17"/>
          <w:b w:val="1"/>
          <w:bCs w:val="1"/>
          <w:i w:val="1"/>
          <w:iCs w:val="1"/>
          <w:color w:val="231F20"/>
        </w:rPr>
        <w:t>Following Brexit, legal, political and economic uncertainty surrounding the exit of the UK from the EU may be a source of instability in international markets, create significant currency fluctuations, adversely affect our operations in the UK and pose additional risks to our business, revenue, financial condition and results of operations.</w:t>
      </w:r>
    </w:p>
    <w:p>
      <w:pPr>
        <w:spacing w:after="0" w:line="28" w:lineRule="exact"/>
        <w:rPr>
          <w:sz w:val="20"/>
          <w:szCs w:val="20"/>
          <w:color w:val="auto"/>
        </w:rPr>
      </w:pPr>
    </w:p>
    <w:p>
      <w:pPr>
        <w:ind w:right="100" w:firstLine="917"/>
        <w:spacing w:after="0" w:line="256" w:lineRule="auto"/>
        <w:rPr>
          <w:sz w:val="20"/>
          <w:szCs w:val="20"/>
          <w:color w:val="auto"/>
        </w:rPr>
      </w:pPr>
      <w:r>
        <w:rPr>
          <w:rFonts w:ascii="Arial" w:cs="Arial" w:eastAsia="Arial" w:hAnsi="Arial"/>
          <w:sz w:val="17"/>
          <w:szCs w:val="17"/>
          <w:color w:val="auto"/>
        </w:rPr>
        <w:t>On January 31, 2020, the UK ceased being a Member State of the EU. The UK and the EU signed a EU-UK Trade and Cooperation Agreement, or TCA, which became effective on May 1, 2021. Such a withdrawal from the EU is unprecedented, and it is unclear how the restrictions on the UK’s access to the European single market for goods, capital, services and labor within the EU, or single market, and the wider commercial, legal and regulatory environment, will impact our current and future operations (including business activities conducted by third parties and contract manufacturers on our behalf) and clinical activities in the UK.</w:t>
      </w:r>
    </w:p>
    <w:p>
      <w:pPr>
        <w:spacing w:after="0" w:line="78" w:lineRule="exact"/>
        <w:rPr>
          <w:sz w:val="20"/>
          <w:szCs w:val="20"/>
          <w:color w:val="auto"/>
        </w:rPr>
      </w:pPr>
    </w:p>
    <w:p>
      <w:pPr>
        <w:ind w:right="60" w:firstLine="917"/>
        <w:spacing w:after="0" w:line="270" w:lineRule="auto"/>
        <w:rPr>
          <w:sz w:val="20"/>
          <w:szCs w:val="20"/>
          <w:color w:val="auto"/>
        </w:rPr>
      </w:pPr>
      <w:r>
        <w:rPr>
          <w:rFonts w:ascii="Arial" w:cs="Arial" w:eastAsia="Arial" w:hAnsi="Arial"/>
          <w:sz w:val="16"/>
          <w:szCs w:val="16"/>
          <w:color w:val="auto"/>
        </w:rPr>
        <w:t>We may also face new regulatory costs and challenges that could have an adverse effect on our operations. Since the regulatory framework in the UK covering quality, safety and efficacy of pharmaceutical products, clinical trials, marketing authorization, commercial sales and distribution of pharmaceutical products is derived from EU Directives and Regulations, Brexit could materially impact the future regulatory regime with respect to the approval of our product candidates in the UK, now that UK legislation may depart from EU legislation. For instance, now the transition period has expired, Great Britain will no longer be covered by the centralized procedure for obtaining an EEA-wide marketing authorization from the European Medicines Agency, or EMA, and a separate process for authorization of drug products, including our product candidates and products in the UK, will be required in Great Britain resulting in an authorization covering the UK or Great Britain only. Any delay in obtaining, or an inability to obtain, any regulatory approvals, as a result of Brexit or otherwise, would prevent us from commercializing our product candidates in the UK and/or the EU and restrict our ability to generate revenue and achieve and sustain profitability. If any of these outcomes occur, we may be forced to restrict or delay efforts to seek regulatory approval in the UK and/or EU for our product candidates, which could significantly and materially harm our business.</w:t>
      </w:r>
    </w:p>
    <w:p>
      <w:pPr>
        <w:spacing w:after="0" w:line="70" w:lineRule="exact"/>
        <w:rPr>
          <w:sz w:val="20"/>
          <w:szCs w:val="20"/>
          <w:color w:val="auto"/>
        </w:rPr>
      </w:pPr>
    </w:p>
    <w:p>
      <w:pPr>
        <w:ind w:right="20" w:firstLine="917"/>
        <w:spacing w:after="0" w:line="258" w:lineRule="auto"/>
        <w:rPr>
          <w:sz w:val="20"/>
          <w:szCs w:val="20"/>
          <w:color w:val="auto"/>
        </w:rPr>
      </w:pPr>
      <w:r>
        <w:rPr>
          <w:rFonts w:ascii="Arial" w:cs="Arial" w:eastAsia="Arial" w:hAnsi="Arial"/>
          <w:sz w:val="17"/>
          <w:szCs w:val="17"/>
          <w:color w:val="auto"/>
        </w:rPr>
        <w:t>The UK government is currently trying to renegotiate fundamental aspects of the Northern Ireland Protocol so this is an unpredictable area for companies in the near future. Failed attempts to renegotiate the Northern Ireland Protocol have led to media reports of the UK potentially triggering Article 16 of the Northern Ireland Protocol, a safeguarding measure, that may be engaged unilaterally if the application of the Protocol leads to serious economic, societal or environmental difficulties that</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5" w:right="359" w:bottom="1440" w:gutter="0" w:footer="0" w:header="0"/>
        </w:sectPr>
      </w:pPr>
    </w:p>
    <w:bookmarkStart w:id="79" w:name="page80"/>
    <w:bookmarkEnd w:id="79"/>
    <w:p>
      <w:pPr>
        <w:jc w:val="both"/>
        <w:ind w:right="400"/>
        <w:spacing w:after="0" w:line="262" w:lineRule="auto"/>
        <w:rPr>
          <w:sz w:val="20"/>
          <w:szCs w:val="20"/>
          <w:color w:val="auto"/>
        </w:rPr>
      </w:pPr>
      <w:r>
        <w:rPr>
          <w:rFonts w:ascii="Arial" w:cs="Arial" w:eastAsia="Arial" w:hAnsi="Arial"/>
          <w:sz w:val="17"/>
          <w:szCs w:val="17"/>
          <w:color w:val="auto"/>
        </w:rPr>
        <w:t>are liable to persist, or to diversion of trade. The TCA allows for future deviation from the current regulatory framework and it is not known if and/or when any deviations may occur, which may have an impact on development, manufacture, marketing authorization, commercial sales and distribution of pharmaceutical products.</w:t>
      </w:r>
    </w:p>
    <w:p>
      <w:pPr>
        <w:spacing w:after="0" w:line="111" w:lineRule="exact"/>
        <w:rPr>
          <w:sz w:val="20"/>
          <w:szCs w:val="20"/>
          <w:color w:val="auto"/>
        </w:rPr>
      </w:pPr>
    </w:p>
    <w:p>
      <w:pPr>
        <w:ind w:left="1120"/>
        <w:spacing w:after="0"/>
        <w:rPr>
          <w:sz w:val="20"/>
          <w:szCs w:val="20"/>
          <w:color w:val="auto"/>
        </w:rPr>
      </w:pPr>
      <w:r>
        <w:rPr>
          <w:rFonts w:ascii="Arial" w:cs="Arial" w:eastAsia="Arial" w:hAnsi="Arial"/>
          <w:sz w:val="17"/>
          <w:szCs w:val="17"/>
          <w:b w:val="1"/>
          <w:bCs w:val="1"/>
          <w:i w:val="1"/>
          <w:iCs w:val="1"/>
          <w:color w:val="231F20"/>
        </w:rPr>
        <w:t>Changes in U.S. tax law could adversely affect our financial condition and results of operations.</w:t>
      </w:r>
    </w:p>
    <w:p>
      <w:pPr>
        <w:spacing w:after="0" w:line="110" w:lineRule="exact"/>
        <w:rPr>
          <w:sz w:val="20"/>
          <w:szCs w:val="20"/>
          <w:color w:val="auto"/>
        </w:rPr>
      </w:pPr>
    </w:p>
    <w:p>
      <w:pPr>
        <w:ind w:right="140" w:firstLine="917"/>
        <w:spacing w:after="0" w:line="275" w:lineRule="auto"/>
        <w:rPr>
          <w:sz w:val="20"/>
          <w:szCs w:val="20"/>
          <w:color w:val="auto"/>
        </w:rPr>
      </w:pPr>
      <w:r>
        <w:rPr>
          <w:rFonts w:ascii="Arial" w:cs="Arial" w:eastAsia="Arial" w:hAnsi="Arial"/>
          <w:sz w:val="16"/>
          <w:szCs w:val="16"/>
          <w:color w:val="auto"/>
        </w:rPr>
        <w:t>The rules dealing with U.S. federal, state and local income taxation are constantly under review by persons involved in the legislative process and by the U.S.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Future changes in U.S. tax laws could have a material adverse effect on our business, cash flow, financial condition or results of operations. We urge investors to consult with their legal and tax advisors regarding the implications of potential changes in U.S. tax laws on an investment in our common stock.</w:t>
      </w:r>
    </w:p>
    <w:p>
      <w:pPr>
        <w:spacing w:after="0" w:line="105" w:lineRule="exact"/>
        <w:rPr>
          <w:sz w:val="20"/>
          <w:szCs w:val="20"/>
          <w:color w:val="auto"/>
        </w:rPr>
      </w:pPr>
    </w:p>
    <w:p>
      <w:pPr>
        <w:ind w:right="20" w:firstLine="917"/>
        <w:spacing w:after="0" w:line="321" w:lineRule="auto"/>
        <w:rPr>
          <w:sz w:val="20"/>
          <w:szCs w:val="20"/>
          <w:color w:val="auto"/>
        </w:rPr>
      </w:pPr>
      <w:r>
        <w:rPr>
          <w:rFonts w:ascii="Arial" w:cs="Arial" w:eastAsia="Arial" w:hAnsi="Arial"/>
          <w:sz w:val="17"/>
          <w:szCs w:val="17"/>
          <w:b w:val="1"/>
          <w:bCs w:val="1"/>
          <w:i w:val="1"/>
          <w:iCs w:val="1"/>
          <w:color w:val="231F20"/>
        </w:rPr>
        <w:t>Our internal computer systems, or those of our collaborators or other contractors or consultants, may fail or suffer security breaches, which could result in a material disruption of our product development programs.</w:t>
      </w:r>
    </w:p>
    <w:p>
      <w:pPr>
        <w:spacing w:after="0" w:line="37" w:lineRule="exact"/>
        <w:rPr>
          <w:sz w:val="20"/>
          <w:szCs w:val="20"/>
          <w:color w:val="auto"/>
        </w:rPr>
      </w:pPr>
    </w:p>
    <w:p>
      <w:pPr>
        <w:ind w:right="20" w:firstLine="917"/>
        <w:spacing w:after="0" w:line="270" w:lineRule="auto"/>
        <w:rPr>
          <w:sz w:val="20"/>
          <w:szCs w:val="20"/>
          <w:color w:val="auto"/>
        </w:rPr>
      </w:pPr>
      <w:r>
        <w:rPr>
          <w:rFonts w:ascii="Arial" w:cs="Arial" w:eastAsia="Arial" w:hAnsi="Arial"/>
          <w:sz w:val="16"/>
          <w:szCs w:val="16"/>
          <w:color w:val="auto"/>
        </w:rPr>
        <w:t>Our internal computer systems and those of our current and any future collaborators, other contractors or consultants, and third-party suppliers (i.e. our supply chain) are vulnerable to damage from computer viruses, unauthorized access, natural disasters, terrorism, war and telecommunication and electrical failures. We exercise little or no direct control over how these third parties operate their networks, which increases our vulnerability to problems with their systems. While we have not experienced any such material system failure, accident or security breach to date, if such an event were to occur and cause interruptions in our operations, it could result in a disruption of our development programs and our business operations, whether due to a loss of our trade secrets or other proprietary information or other similar disruptions. For example, the loss of clinical trial data from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73" w:lineRule="exact"/>
        <w:rPr>
          <w:sz w:val="20"/>
          <w:szCs w:val="20"/>
          <w:color w:val="auto"/>
        </w:rPr>
      </w:pPr>
    </w:p>
    <w:p>
      <w:pPr>
        <w:ind w:right="80" w:firstLine="917"/>
        <w:spacing w:after="0" w:line="292" w:lineRule="auto"/>
        <w:rPr>
          <w:sz w:val="20"/>
          <w:szCs w:val="20"/>
          <w:color w:val="auto"/>
        </w:rPr>
      </w:pPr>
      <w:r>
        <w:rPr>
          <w:rFonts w:ascii="Arial" w:cs="Arial" w:eastAsia="Arial" w:hAnsi="Arial"/>
          <w:sz w:val="15"/>
          <w:szCs w:val="15"/>
          <w:color w:val="auto"/>
        </w:rPr>
        <w:t>We could be subject to risks caused by misappropriation, misuse, leakage, falsification or intentional or accidental release, exposure or loss of information maintained in the information systems and networks of our company and our vendors, including personal information of our employees and study subjects,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 and viruses, supply chain attacks, phishing and other cyberattacks. The number and complexity of these threats continue to increase over time. If a material breach of, or accidental or intentional loss of data from,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w:t>
      </w:r>
    </w:p>
    <w:p>
      <w:pPr>
        <w:spacing w:after="0" w:line="53" w:lineRule="exact"/>
        <w:rPr>
          <w:sz w:val="20"/>
          <w:szCs w:val="20"/>
          <w:color w:val="auto"/>
        </w:rPr>
      </w:pPr>
    </w:p>
    <w:p>
      <w:pPr>
        <w:ind w:firstLine="917"/>
        <w:spacing w:after="0" w:line="253" w:lineRule="auto"/>
        <w:rPr>
          <w:sz w:val="20"/>
          <w:szCs w:val="20"/>
          <w:color w:val="auto"/>
        </w:rPr>
      </w:pPr>
      <w:r>
        <w:rPr>
          <w:rFonts w:ascii="Arial" w:cs="Arial" w:eastAsia="Arial" w:hAnsi="Arial"/>
          <w:sz w:val="17"/>
          <w:szCs w:val="17"/>
          <w:color w:val="auto"/>
        </w:rPr>
        <w:t>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 based information systems, the related security risks will increase and we will need to expend additional resources to protect our technology and information systems.</w:t>
      </w:r>
    </w:p>
    <w:p>
      <w:pPr>
        <w:spacing w:after="0" w:line="83" w:lineRule="exact"/>
        <w:rPr>
          <w:sz w:val="20"/>
          <w:szCs w:val="20"/>
          <w:color w:val="auto"/>
        </w:rPr>
      </w:pPr>
    </w:p>
    <w:p>
      <w:pPr>
        <w:ind w:right="160" w:firstLine="917"/>
        <w:spacing w:after="0" w:line="258" w:lineRule="auto"/>
        <w:rPr>
          <w:sz w:val="20"/>
          <w:szCs w:val="20"/>
          <w:color w:val="auto"/>
        </w:rPr>
      </w:pPr>
      <w:r>
        <w:rPr>
          <w:rFonts w:ascii="Arial" w:cs="Arial" w:eastAsia="Arial" w:hAnsi="Arial"/>
          <w:sz w:val="17"/>
          <w:szCs w:val="17"/>
          <w:color w:val="auto"/>
        </w:rPr>
        <w:t>In addition, there can be no assurance that our internal information technology systems or those of our third- 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76" w:lineRule="exact"/>
        <w:rPr>
          <w:sz w:val="20"/>
          <w:szCs w:val="20"/>
          <w:color w:val="auto"/>
        </w:rPr>
      </w:pPr>
    </w:p>
    <w:p>
      <w:pPr>
        <w:ind w:firstLine="917"/>
        <w:spacing w:after="0" w:line="313" w:lineRule="auto"/>
        <w:rPr>
          <w:sz w:val="20"/>
          <w:szCs w:val="20"/>
          <w:color w:val="auto"/>
        </w:rPr>
      </w:pPr>
      <w:r>
        <w:rPr>
          <w:rFonts w:ascii="Arial" w:cs="Arial" w:eastAsia="Arial" w:hAnsi="Arial"/>
          <w:sz w:val="15"/>
          <w:szCs w:val="15"/>
          <w:color w:val="auto"/>
        </w:rPr>
        <w:t>In addition, while we maintain, insurance policies that may cover certain liabilities in connection with a cybersecurity incident, we cannot be certain that the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that exceed available insurance coverage,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80" w:name="page81"/>
    <w:bookmarkEnd w:id="80"/>
    <w:p>
      <w:pPr>
        <w:ind w:right="320"/>
        <w:spacing w:after="0" w:line="274" w:lineRule="auto"/>
        <w:rPr>
          <w:sz w:val="20"/>
          <w:szCs w:val="20"/>
          <w:color w:val="auto"/>
        </w:rPr>
      </w:pPr>
      <w:r>
        <w:rPr>
          <w:rFonts w:ascii="Arial" w:cs="Arial" w:eastAsia="Arial" w:hAnsi="Arial"/>
          <w:sz w:val="17"/>
          <w:szCs w:val="17"/>
          <w:color w:val="auto"/>
        </w:rPr>
        <w:t>or the occurrence of changes in insurance policies, including premium increases or the imposition of large deductible or co-insurance requirements, could have a material adverse effect on our business, including its financial condition, results of operations and reputation.</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231F20"/>
        </w:rPr>
        <w:t>Unfavorable global economic conditions could adversely affect our business, financial condition or results of operations.</w:t>
      </w:r>
    </w:p>
    <w:p>
      <w:pPr>
        <w:spacing w:after="0" w:line="10" w:lineRule="exact"/>
        <w:rPr>
          <w:sz w:val="20"/>
          <w:szCs w:val="20"/>
          <w:color w:val="auto"/>
        </w:rPr>
      </w:pPr>
    </w:p>
    <w:p>
      <w:pPr>
        <w:ind w:right="20" w:firstLine="917"/>
        <w:spacing w:after="0" w:line="250" w:lineRule="auto"/>
        <w:rPr>
          <w:sz w:val="20"/>
          <w:szCs w:val="20"/>
          <w:color w:val="auto"/>
        </w:rPr>
      </w:pPr>
      <w:r>
        <w:rPr>
          <w:rFonts w:ascii="Arial" w:cs="Arial" w:eastAsia="Arial" w:hAnsi="Arial"/>
          <w:sz w:val="16"/>
          <w:szCs w:val="16"/>
          <w:color w:val="auto"/>
        </w:rPr>
        <w:t>Our results of operations could be adversely affected by general conditions in the global economy and in the global financial markets. Portions of our future clinical trials may be conducted outside of the United States and unfavorable economic conditions resulting in the weakening of the U.S. dollar would make those clinical trials costlier to operate. Furthermore, the most recent global financial crisis caused extreme volatility and disruptions in the capital and credit markets. A severe or prolonged economic downturn, including due to the impact of the COVID-19 pandemic, the Russian invasion of Ukraine and rising inflationary pressures, and rising interest rates could result in a variety of risks to our business, including a reduced ability to raise additional capital when needed on acceptable terms, if at all. A weak or declining economy or international trade disputes could also strain our suppliers, some of which are located outside of the United States, possibly resulting in supply disruption. Any of the foregoing could harm our business and we cannot anticipate all of the ways in which the current economic climate and financial market conditions could adversely impact our business.</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231F20"/>
        </w:rPr>
        <w:t>The increasing use of social media platforms presents new risks and challenges.</w:t>
      </w:r>
    </w:p>
    <w:p>
      <w:pPr>
        <w:spacing w:after="0" w:line="110" w:lineRule="exact"/>
        <w:rPr>
          <w:sz w:val="20"/>
          <w:szCs w:val="20"/>
          <w:color w:val="auto"/>
        </w:rPr>
      </w:pPr>
    </w:p>
    <w:p>
      <w:pPr>
        <w:ind w:firstLine="917"/>
        <w:spacing w:after="0" w:line="267" w:lineRule="auto"/>
        <w:rPr>
          <w:sz w:val="20"/>
          <w:szCs w:val="20"/>
          <w:color w:val="auto"/>
        </w:rPr>
      </w:pPr>
      <w:r>
        <w:rPr>
          <w:rFonts w:ascii="Arial" w:cs="Arial" w:eastAsia="Arial" w:hAnsi="Arial"/>
          <w:sz w:val="16"/>
          <w:szCs w:val="16"/>
          <w:color w:val="auto"/>
        </w:rPr>
        <w:t>Social media is increasingly being used to communicate about our clinical development programs and the diseases our therapeutics are being developed to treat, and we intend to utilize appropriate social media in connection with our commercialization efforts following approval of our product candidates, if any. Social media practices in the biopharmaceutical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For example, patients may use social media channels to comment on their experience in an ongoing blinded clinical trial or to report an alleged adverse event. When such disclosures occur, there is a risk that trial enrollment may be adversely impacted, that we may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regulatory actions or incur other harm to our business.</w:t>
      </w:r>
    </w:p>
    <w:p>
      <w:pPr>
        <w:spacing w:after="0" w:line="2" w:lineRule="exact"/>
        <w:rPr>
          <w:sz w:val="20"/>
          <w:szCs w:val="20"/>
          <w:color w:val="auto"/>
        </w:rPr>
      </w:pPr>
    </w:p>
    <w:p>
      <w:pPr>
        <w:ind w:firstLine="1087"/>
        <w:spacing w:after="0" w:line="265" w:lineRule="auto"/>
        <w:rPr>
          <w:sz w:val="20"/>
          <w:szCs w:val="20"/>
          <w:color w:val="auto"/>
        </w:rPr>
      </w:pPr>
      <w:r>
        <w:rPr>
          <w:rFonts w:ascii="Arial" w:cs="Arial" w:eastAsia="Arial" w:hAnsi="Arial"/>
          <w:sz w:val="17"/>
          <w:szCs w:val="17"/>
          <w:b w:val="1"/>
          <w:bCs w:val="1"/>
          <w:i w:val="1"/>
          <w:iCs w:val="1"/>
          <w:color w:val="231F20"/>
        </w:rPr>
        <w:t>Our estimates of market opportunity and forecasts of market growth may prove to be inaccurate, and even if the markets in which we compete achieve the forecasted growth, our business may not grow at similar rates, or at all.</w:t>
      </w:r>
    </w:p>
    <w:p>
      <w:pPr>
        <w:ind w:right="80" w:firstLine="409"/>
        <w:spacing w:after="0" w:line="263" w:lineRule="auto"/>
        <w:rPr>
          <w:sz w:val="20"/>
          <w:szCs w:val="20"/>
          <w:color w:val="auto"/>
        </w:rPr>
      </w:pPr>
      <w:r>
        <w:rPr>
          <w:rFonts w:ascii="Arial" w:cs="Arial" w:eastAsia="Arial" w:hAnsi="Arial"/>
          <w:sz w:val="16"/>
          <w:szCs w:val="16"/>
          <w:color w:val="auto"/>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314" w:lineRule="exact"/>
        <w:rPr>
          <w:sz w:val="20"/>
          <w:szCs w:val="20"/>
          <w:color w:val="auto"/>
        </w:rPr>
      </w:pPr>
    </w:p>
    <w:p>
      <w:pPr>
        <w:ind w:left="1080" w:right="8020" w:hanging="1078"/>
        <w:spacing w:after="0" w:line="404" w:lineRule="auto"/>
        <w:tabs>
          <w:tab w:leader="none" w:pos="420" w:val="left"/>
        </w:tabs>
        <w:numPr>
          <w:ilvl w:val="0"/>
          <w:numId w:val="10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Unregistered Sales of Equity Securities </w:t>
      </w:r>
      <w:r>
        <w:rPr>
          <w:rFonts w:ascii="Arial" w:cs="Arial" w:eastAsia="Arial" w:hAnsi="Arial"/>
          <w:sz w:val="17"/>
          <w:szCs w:val="17"/>
          <w:color w:val="auto"/>
        </w:rPr>
        <w:t>None.</w:t>
      </w:r>
    </w:p>
    <w:p>
      <w:pPr>
        <w:spacing w:after="0" w:line="156" w:lineRule="exact"/>
        <w:rPr>
          <w:rFonts w:ascii="Arial" w:cs="Arial" w:eastAsia="Arial" w:hAnsi="Arial"/>
          <w:sz w:val="17"/>
          <w:szCs w:val="17"/>
          <w:b w:val="1"/>
          <w:bCs w:val="1"/>
          <w:color w:val="auto"/>
        </w:rPr>
      </w:pPr>
    </w:p>
    <w:p>
      <w:pPr>
        <w:ind w:left="380" w:hanging="378"/>
        <w:spacing w:after="0"/>
        <w:tabs>
          <w:tab w:leader="none" w:pos="380" w:val="left"/>
        </w:tabs>
        <w:numPr>
          <w:ilvl w:val="0"/>
          <w:numId w:val="103"/>
        </w:numPr>
        <w:rPr>
          <w:rFonts w:ascii="Arial" w:cs="Arial" w:eastAsia="Arial" w:hAnsi="Arial"/>
          <w:sz w:val="17"/>
          <w:szCs w:val="17"/>
          <w:b w:val="1"/>
          <w:bCs w:val="1"/>
          <w:color w:val="auto"/>
        </w:rPr>
      </w:pPr>
      <w:r>
        <w:rPr>
          <w:rFonts w:ascii="Arial" w:cs="Arial" w:eastAsia="Arial" w:hAnsi="Arial"/>
          <w:sz w:val="17"/>
          <w:szCs w:val="17"/>
          <w:b w:val="1"/>
          <w:bCs w:val="1"/>
          <w:color w:val="auto"/>
        </w:rPr>
        <w:t>Use of Proceeds from our Initial Public Offering of Common Stock</w:t>
      </w:r>
    </w:p>
    <w:p>
      <w:pPr>
        <w:spacing w:after="0" w:line="1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There has been no material change in the planned use of proceeds from our initial public offering from that described in our prospectus (File No.</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333-238146), effective on June 2, 2020 filed with the SEC on June 3, 2020 in connection with our IPO.</w:t>
      </w:r>
    </w:p>
    <w:p>
      <w:pPr>
        <w:spacing w:after="0" w:line="296" w:lineRule="exact"/>
        <w:rPr>
          <w:sz w:val="20"/>
          <w:szCs w:val="20"/>
          <w:color w:val="auto"/>
        </w:rPr>
      </w:pPr>
    </w:p>
    <w:p>
      <w:pPr>
        <w:ind w:left="1080" w:right="7100" w:hanging="1078"/>
        <w:spacing w:after="0" w:line="404" w:lineRule="auto"/>
        <w:tabs>
          <w:tab w:leader="none" w:pos="368" w:val="left"/>
        </w:tabs>
        <w:numPr>
          <w:ilvl w:val="0"/>
          <w:numId w:val="10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Repurchase of Shares of Company Equity Securities </w:t>
      </w:r>
      <w:r>
        <w:rPr>
          <w:rFonts w:ascii="Arial" w:cs="Arial" w:eastAsia="Arial" w:hAnsi="Arial"/>
          <w:sz w:val="17"/>
          <w:szCs w:val="17"/>
          <w:color w:val="auto"/>
        </w:rPr>
        <w:t>None.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11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81" w:name="page82"/>
    <w:bookmarkEnd w:id="81"/>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1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Not applicable.</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11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None.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90"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1440" w:type="dxa"/>
            <w:vAlign w:val="bottom"/>
            <w:gridSpan w:val="2"/>
          </w:tcPr>
          <w:p>
            <w:pPr>
              <w:ind w:left="46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76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4"/>
        </w:trPr>
        <w:tc>
          <w:tcPr>
            <w:tcW w:w="1440" w:type="dxa"/>
            <w:vAlign w:val="bottom"/>
            <w:gridSpan w:val="2"/>
          </w:tcPr>
          <w:p>
            <w:pPr>
              <w:ind w:left="560"/>
              <w:spacing w:after="0"/>
              <w:rPr>
                <w:sz w:val="20"/>
                <w:szCs w:val="20"/>
                <w:color w:val="auto"/>
              </w:rPr>
            </w:pPr>
            <w:r>
              <w:rPr>
                <w:rFonts w:ascii="Arial" w:cs="Arial" w:eastAsia="Arial" w:hAnsi="Arial"/>
                <w:sz w:val="14"/>
                <w:szCs w:val="14"/>
                <w:b w:val="1"/>
                <w:bCs w:val="1"/>
                <w:color w:val="auto"/>
              </w:rPr>
              <w:t>No.</w:t>
            </w:r>
          </w:p>
        </w:tc>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3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820" w:type="dxa"/>
            <w:vAlign w:val="bottom"/>
            <w:tcBorders>
              <w:top w:val="single" w:sz="8" w:color="auto"/>
            </w:tcBorders>
            <w:gridSpan w:val="7"/>
          </w:tcPr>
          <w:p>
            <w:pPr>
              <w:spacing w:after="0"/>
              <w:rPr>
                <w:rFonts w:ascii="Arial" w:cs="Arial" w:eastAsia="Arial" w:hAnsi="Arial"/>
                <w:sz w:val="17"/>
                <w:szCs w:val="17"/>
                <w:color w:val="0000FF"/>
                <w:w w:val="91"/>
              </w:rPr>
            </w:pPr>
            <w:hyperlink r:id="rId101">
              <w:r>
                <w:rPr>
                  <w:rFonts w:ascii="Arial" w:cs="Arial" w:eastAsia="Arial" w:hAnsi="Arial"/>
                  <w:sz w:val="17"/>
                  <w:szCs w:val="17"/>
                  <w:color w:val="0000FF"/>
                  <w:w w:val="91"/>
                </w:rPr>
                <w:t>Amended and Restated Certificate of Incorporation of the Registrant, as currently in effect (incorporated by reference to Exhibit 3</w:t>
              </w:r>
            </w:hyperlink>
          </w:p>
        </w:tc>
        <w:tc>
          <w:tcPr>
            <w:tcW w:w="0" w:type="dxa"/>
            <w:vAlign w:val="bottom"/>
          </w:tcPr>
          <w:p>
            <w:pPr>
              <w:spacing w:after="0"/>
              <w:rPr>
                <w:sz w:val="1"/>
                <w:szCs w:val="1"/>
                <w:color w:val="auto"/>
              </w:rPr>
            </w:pPr>
          </w:p>
        </w:tc>
      </w:tr>
      <w:tr>
        <w:trPr>
          <w:trHeight w:val="146"/>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0" w:type="dxa"/>
            <w:vAlign w:val="bottom"/>
            <w:tcBorders>
              <w:top w:val="single" w:sz="8" w:color="0000FF"/>
            </w:tcBorders>
            <w:gridSpan w:val="6"/>
          </w:tcPr>
          <w:p>
            <w:pPr>
              <w:spacing w:after="0" w:line="145" w:lineRule="exact"/>
              <w:rPr>
                <w:rFonts w:ascii="Arial" w:cs="Arial" w:eastAsia="Arial" w:hAnsi="Arial"/>
                <w:sz w:val="16"/>
                <w:szCs w:val="16"/>
                <w:color w:val="0000FF"/>
              </w:rPr>
            </w:pPr>
            <w:hyperlink r:id="rId101">
              <w:r>
                <w:rPr>
                  <w:rFonts w:ascii="Arial" w:cs="Arial" w:eastAsia="Arial" w:hAnsi="Arial"/>
                  <w:sz w:val="16"/>
                  <w:szCs w:val="16"/>
                  <w:color w:val="0000FF"/>
                </w:rPr>
                <w:t>Registrant’s quarterly report on Form 10-Q (File No. 001-39303) filed on August 11, 2020).</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1340" w:type="dxa"/>
            <w:vAlign w:val="bottom"/>
          </w:tcPr>
          <w:p>
            <w:pPr>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7"/>
          </w:tcPr>
          <w:p>
            <w:pPr>
              <w:spacing w:after="0"/>
              <w:rPr>
                <w:rFonts w:ascii="Arial" w:cs="Arial" w:eastAsia="Arial" w:hAnsi="Arial"/>
                <w:sz w:val="17"/>
                <w:szCs w:val="17"/>
                <w:color w:val="0000FF"/>
                <w:w w:val="90"/>
              </w:rPr>
            </w:pPr>
            <w:hyperlink r:id="rId102">
              <w:r>
                <w:rPr>
                  <w:rFonts w:ascii="Arial" w:cs="Arial" w:eastAsia="Arial" w:hAnsi="Arial"/>
                  <w:sz w:val="17"/>
                  <w:szCs w:val="17"/>
                  <w:color w:val="0000FF"/>
                  <w:w w:val="90"/>
                </w:rPr>
                <w:t>Amended and Restated Bylaws of the Registrant, as currently in effect (incorporated by reference to Exhibit 3.1 of the Registrant’</w:t>
              </w:r>
            </w:hyperlink>
          </w:p>
        </w:tc>
        <w:tc>
          <w:tcPr>
            <w:tcW w:w="0" w:type="dxa"/>
            <w:vAlign w:val="bottom"/>
          </w:tcPr>
          <w:p>
            <w:pPr>
              <w:spacing w:after="0"/>
              <w:rPr>
                <w:sz w:val="1"/>
                <w:szCs w:val="1"/>
                <w:color w:val="auto"/>
              </w:rPr>
            </w:pPr>
          </w:p>
        </w:tc>
      </w:tr>
      <w:tr>
        <w:trPr>
          <w:trHeight w:val="146"/>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20" w:type="dxa"/>
            <w:vAlign w:val="bottom"/>
            <w:tcBorders>
              <w:top w:val="single" w:sz="8" w:color="0000FF"/>
              <w:bottom w:val="single" w:sz="8" w:color="0000FF"/>
            </w:tcBorders>
            <w:gridSpan w:val="4"/>
          </w:tcPr>
          <w:p>
            <w:pPr>
              <w:spacing w:after="0" w:line="145" w:lineRule="exact"/>
              <w:rPr>
                <w:rFonts w:ascii="Arial" w:cs="Arial" w:eastAsia="Arial" w:hAnsi="Arial"/>
                <w:sz w:val="16"/>
                <w:szCs w:val="16"/>
                <w:color w:val="0000FF"/>
                <w:w w:val="97"/>
              </w:rPr>
            </w:pPr>
            <w:hyperlink r:id="rId102">
              <w:r>
                <w:rPr>
                  <w:rFonts w:ascii="Arial" w:cs="Arial" w:eastAsia="Arial" w:hAnsi="Arial"/>
                  <w:sz w:val="16"/>
                  <w:szCs w:val="16"/>
                  <w:color w:val="0000FF"/>
                  <w:w w:val="97"/>
                </w:rPr>
                <w:t>Current Report on Form 8-K (File No. 001-39303) filed on September 14, 2022).</w:t>
              </w:r>
            </w:hyperlink>
          </w:p>
        </w:tc>
        <w:tc>
          <w:tcPr>
            <w:tcW w:w="3280" w:type="dxa"/>
            <w:vAlign w:val="bottom"/>
            <w:tcBorders>
              <w:top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2"/>
        </w:trPr>
        <w:tc>
          <w:tcPr>
            <w:tcW w:w="1340" w:type="dxa"/>
            <w:vAlign w:val="bottom"/>
          </w:tcPr>
          <w:p>
            <w:pPr>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7"/>
          </w:tcPr>
          <w:p>
            <w:pPr>
              <w:spacing w:after="0"/>
              <w:rPr>
                <w:rFonts w:ascii="Arial" w:cs="Arial" w:eastAsia="Arial" w:hAnsi="Arial"/>
                <w:sz w:val="17"/>
                <w:szCs w:val="17"/>
                <w:color w:val="0000FF"/>
                <w:w w:val="90"/>
              </w:rPr>
            </w:pPr>
            <w:hyperlink r:id="rId103">
              <w:r>
                <w:rPr>
                  <w:rFonts w:ascii="Arial" w:cs="Arial" w:eastAsia="Arial" w:hAnsi="Arial"/>
                  <w:sz w:val="17"/>
                  <w:szCs w:val="17"/>
                  <w:color w:val="0000FF"/>
                  <w:w w:val="90"/>
                </w:rPr>
                <w:t>Specimen Common Stock Certificate (incorporated by reference to Exhibit 4.1 of the Registrant’s Registration Statement on Form</w:t>
              </w:r>
            </w:hyperlink>
          </w:p>
        </w:tc>
        <w:tc>
          <w:tcPr>
            <w:tcW w:w="0" w:type="dxa"/>
            <w:vAlign w:val="bottom"/>
          </w:tcPr>
          <w:p>
            <w:pPr>
              <w:spacing w:after="0"/>
              <w:rPr>
                <w:sz w:val="1"/>
                <w:szCs w:val="1"/>
                <w:color w:val="auto"/>
              </w:rPr>
            </w:pPr>
          </w:p>
        </w:tc>
      </w:tr>
      <w:tr>
        <w:trPr>
          <w:trHeight w:val="146"/>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0" w:type="dxa"/>
            <w:vAlign w:val="bottom"/>
            <w:tcBorders>
              <w:top w:val="single" w:sz="8" w:color="0000FF"/>
            </w:tcBorders>
            <w:gridSpan w:val="6"/>
          </w:tcPr>
          <w:p>
            <w:pPr>
              <w:spacing w:after="0" w:line="145" w:lineRule="exact"/>
              <w:rPr>
                <w:rFonts w:ascii="Arial" w:cs="Arial" w:eastAsia="Arial" w:hAnsi="Arial"/>
                <w:sz w:val="16"/>
                <w:szCs w:val="16"/>
                <w:color w:val="0000FF"/>
              </w:rPr>
            </w:pPr>
            <w:hyperlink r:id="rId103">
              <w:r>
                <w:rPr>
                  <w:rFonts w:ascii="Arial" w:cs="Arial" w:eastAsia="Arial" w:hAnsi="Arial"/>
                  <w:sz w:val="16"/>
                  <w:szCs w:val="16"/>
                  <w:color w:val="0000FF"/>
                </w:rPr>
                <w:t>amended (File No. 333-238146) filed on May 26, 2020).</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1340" w:type="dxa"/>
            <w:vAlign w:val="bottom"/>
          </w:tcPr>
          <w:p>
            <w:pPr>
              <w:spacing w:after="0"/>
              <w:rPr>
                <w:sz w:val="20"/>
                <w:szCs w:val="20"/>
                <w:color w:val="auto"/>
              </w:rPr>
            </w:pPr>
            <w:r>
              <w:rPr>
                <w:rFonts w:ascii="Arial" w:cs="Arial" w:eastAsia="Arial" w:hAnsi="Arial"/>
                <w:sz w:val="17"/>
                <w:szCs w:val="17"/>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7"/>
          </w:tcPr>
          <w:p>
            <w:pPr>
              <w:spacing w:after="0"/>
              <w:rPr>
                <w:sz w:val="20"/>
                <w:szCs w:val="20"/>
                <w:color w:val="auto"/>
              </w:rPr>
            </w:pPr>
            <w:r>
              <w:rPr>
                <w:rFonts w:ascii="Arial" w:cs="Arial" w:eastAsia="Arial" w:hAnsi="Arial"/>
                <w:sz w:val="17"/>
                <w:szCs w:val="17"/>
                <w:color w:val="0000FF"/>
                <w:w w:val="91"/>
              </w:rPr>
              <w:t>Certification of Chief Executive Officer required by Rule 13a-14(a) or Rule 15d-14(a) of the Securities Exchange Act of 1934, as</w:t>
            </w:r>
          </w:p>
        </w:tc>
        <w:tc>
          <w:tcPr>
            <w:tcW w:w="0" w:type="dxa"/>
            <w:vAlign w:val="bottom"/>
          </w:tcPr>
          <w:p>
            <w:pPr>
              <w:spacing w:after="0"/>
              <w:rPr>
                <w:sz w:val="1"/>
                <w:szCs w:val="1"/>
                <w:color w:val="auto"/>
              </w:rPr>
            </w:pPr>
          </w:p>
        </w:tc>
      </w:tr>
      <w:tr>
        <w:trPr>
          <w:trHeight w:val="146"/>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0" w:type="dxa"/>
            <w:vAlign w:val="bottom"/>
            <w:tcBorders>
              <w:top w:val="single" w:sz="8" w:color="0000FF"/>
            </w:tcBorders>
            <w:gridSpan w:val="6"/>
          </w:tcPr>
          <w:p>
            <w:pPr>
              <w:spacing w:after="0" w:line="145" w:lineRule="exact"/>
              <w:rPr>
                <w:sz w:val="20"/>
                <w:szCs w:val="20"/>
                <w:color w:val="auto"/>
              </w:rPr>
            </w:pPr>
            <w:r>
              <w:rPr>
                <w:rFonts w:ascii="Arial" w:cs="Arial" w:eastAsia="Arial" w:hAnsi="Arial"/>
                <w:sz w:val="16"/>
                <w:szCs w:val="16"/>
                <w:color w:val="0000FF"/>
              </w:rPr>
              <w:t>pursuant to Section 302 of the Sarbanes-Oxley Act of 2002.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1340" w:type="dxa"/>
            <w:vAlign w:val="bottom"/>
          </w:tcPr>
          <w:p>
            <w:pPr>
              <w:spacing w:after="0"/>
              <w:rPr>
                <w:sz w:val="20"/>
                <w:szCs w:val="20"/>
                <w:color w:val="auto"/>
              </w:rPr>
            </w:pPr>
            <w:r>
              <w:rPr>
                <w:rFonts w:ascii="Arial" w:cs="Arial" w:eastAsia="Arial" w:hAnsi="Arial"/>
                <w:sz w:val="17"/>
                <w:szCs w:val="17"/>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7"/>
          </w:tcPr>
          <w:p>
            <w:pPr>
              <w:spacing w:after="0"/>
              <w:rPr>
                <w:sz w:val="20"/>
                <w:szCs w:val="20"/>
                <w:color w:val="auto"/>
              </w:rPr>
            </w:pPr>
            <w:r>
              <w:rPr>
                <w:rFonts w:ascii="Arial" w:cs="Arial" w:eastAsia="Arial" w:hAnsi="Arial"/>
                <w:sz w:val="17"/>
                <w:szCs w:val="17"/>
                <w:color w:val="0000FF"/>
                <w:w w:val="92"/>
              </w:rPr>
              <w:t>Certification of Chief Financial Officer required by Rule 13a-14(a) or Rule 15d-14(a) of the Securities Exchange Act of 1934, as</w:t>
            </w:r>
          </w:p>
        </w:tc>
        <w:tc>
          <w:tcPr>
            <w:tcW w:w="0" w:type="dxa"/>
            <w:vAlign w:val="bottom"/>
          </w:tcPr>
          <w:p>
            <w:pPr>
              <w:spacing w:after="0"/>
              <w:rPr>
                <w:sz w:val="1"/>
                <w:szCs w:val="1"/>
                <w:color w:val="auto"/>
              </w:rPr>
            </w:pPr>
          </w:p>
        </w:tc>
      </w:tr>
      <w:tr>
        <w:trPr>
          <w:trHeight w:val="146"/>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0" w:type="dxa"/>
            <w:vAlign w:val="bottom"/>
            <w:tcBorders>
              <w:top w:val="single" w:sz="8" w:color="0000FF"/>
            </w:tcBorders>
            <w:gridSpan w:val="6"/>
          </w:tcPr>
          <w:p>
            <w:pPr>
              <w:spacing w:after="0" w:line="145" w:lineRule="exact"/>
              <w:rPr>
                <w:sz w:val="20"/>
                <w:szCs w:val="20"/>
                <w:color w:val="auto"/>
              </w:rPr>
            </w:pPr>
            <w:r>
              <w:rPr>
                <w:rFonts w:ascii="Arial" w:cs="Arial" w:eastAsia="Arial" w:hAnsi="Arial"/>
                <w:sz w:val="16"/>
                <w:szCs w:val="16"/>
                <w:color w:val="0000FF"/>
              </w:rPr>
              <w:t>pursuant to Section 302 of the Sarbanes-Oxley Act of 2002.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1340" w:type="dxa"/>
            <w:vAlign w:val="bottom"/>
          </w:tcPr>
          <w:p>
            <w:pPr>
              <w:spacing w:after="0"/>
              <w:rPr>
                <w:sz w:val="20"/>
                <w:szCs w:val="20"/>
                <w:color w:val="auto"/>
              </w:rPr>
            </w:pPr>
            <w:r>
              <w:rPr>
                <w:rFonts w:ascii="Arial" w:cs="Arial" w:eastAsia="Arial" w:hAnsi="Arial"/>
                <w:sz w:val="17"/>
                <w:szCs w:val="17"/>
                <w:color w:val="auto"/>
              </w:rPr>
              <w:t>32.1*(1)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7"/>
          </w:tcPr>
          <w:p>
            <w:pPr>
              <w:spacing w:after="0"/>
              <w:rPr>
                <w:sz w:val="20"/>
                <w:szCs w:val="20"/>
                <w:color w:val="auto"/>
              </w:rPr>
            </w:pPr>
            <w:r>
              <w:rPr>
                <w:rFonts w:ascii="Arial" w:cs="Arial" w:eastAsia="Arial" w:hAnsi="Arial"/>
                <w:sz w:val="17"/>
                <w:szCs w:val="17"/>
                <w:color w:val="0000FF"/>
                <w:w w:val="91"/>
              </w:rPr>
              <w:t>Certification of Chief Executive Officer and Chief Financial Officer pursuant to 18 U.S.C. Section 1350, as adopted pursuant to S</w:t>
            </w:r>
          </w:p>
        </w:tc>
        <w:tc>
          <w:tcPr>
            <w:tcW w:w="0" w:type="dxa"/>
            <w:vAlign w:val="bottom"/>
          </w:tcPr>
          <w:p>
            <w:pPr>
              <w:spacing w:after="0"/>
              <w:rPr>
                <w:sz w:val="1"/>
                <w:szCs w:val="1"/>
                <w:color w:val="auto"/>
              </w:rPr>
            </w:pPr>
          </w:p>
        </w:tc>
      </w:tr>
      <w:tr>
        <w:trPr>
          <w:trHeight w:val="146"/>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20" w:type="dxa"/>
            <w:vAlign w:val="bottom"/>
            <w:tcBorders>
              <w:top w:val="single" w:sz="8" w:color="0000FF"/>
              <w:bottom w:val="single" w:sz="8" w:color="0000FF"/>
            </w:tcBorders>
          </w:tcPr>
          <w:p>
            <w:pPr>
              <w:spacing w:after="0" w:line="145" w:lineRule="exact"/>
              <w:rPr>
                <w:sz w:val="20"/>
                <w:szCs w:val="20"/>
                <w:color w:val="auto"/>
              </w:rPr>
            </w:pPr>
            <w:r>
              <w:rPr>
                <w:rFonts w:ascii="Arial" w:cs="Arial" w:eastAsia="Arial" w:hAnsi="Arial"/>
                <w:sz w:val="16"/>
                <w:szCs w:val="16"/>
                <w:color w:val="0000FF"/>
                <w:w w:val="96"/>
              </w:rPr>
              <w:t>906 of the Sarbanes-Oxley Act of 2002.</w:t>
            </w:r>
          </w:p>
        </w:tc>
        <w:tc>
          <w:tcPr>
            <w:tcW w:w="608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5"/>
        </w:trPr>
        <w:tc>
          <w:tcPr>
            <w:tcW w:w="1440" w:type="dxa"/>
            <w:vAlign w:val="bottom"/>
            <w:gridSpan w:val="2"/>
          </w:tcPr>
          <w:p>
            <w:pPr>
              <w:spacing w:after="0"/>
              <w:rPr>
                <w:sz w:val="20"/>
                <w:szCs w:val="20"/>
                <w:color w:val="auto"/>
              </w:rPr>
            </w:pPr>
            <w:r>
              <w:rPr>
                <w:rFonts w:ascii="Arial" w:cs="Arial" w:eastAsia="Arial" w:hAnsi="Arial"/>
                <w:sz w:val="17"/>
                <w:szCs w:val="17"/>
                <w:color w:val="auto"/>
              </w:rPr>
              <w:t>101.INS*</w:t>
            </w:r>
          </w:p>
        </w:tc>
        <w:tc>
          <w:tcPr>
            <w:tcW w:w="20" w:type="dxa"/>
            <w:vAlign w:val="bottom"/>
          </w:tcPr>
          <w:p>
            <w:pPr>
              <w:spacing w:after="0"/>
              <w:rPr>
                <w:sz w:val="24"/>
                <w:szCs w:val="24"/>
                <w:color w:val="auto"/>
              </w:rPr>
            </w:pPr>
          </w:p>
        </w:tc>
        <w:tc>
          <w:tcPr>
            <w:tcW w:w="8820" w:type="dxa"/>
            <w:vAlign w:val="bottom"/>
            <w:gridSpan w:val="7"/>
          </w:tcPr>
          <w:p>
            <w:pPr>
              <w:spacing w:after="0"/>
              <w:rPr>
                <w:sz w:val="20"/>
                <w:szCs w:val="20"/>
                <w:color w:val="auto"/>
              </w:rPr>
            </w:pPr>
            <w:r>
              <w:rPr>
                <w:rFonts w:ascii="Arial" w:cs="Arial" w:eastAsia="Arial" w:hAnsi="Arial"/>
                <w:sz w:val="17"/>
                <w:szCs w:val="17"/>
                <w:color w:val="auto"/>
                <w:w w:val="89"/>
              </w:rPr>
              <w:t>XBRL Instance Document - the Instance Document does not appear in the Interactive Data File because its XBRL tags are embed</w:t>
            </w:r>
          </w:p>
        </w:tc>
        <w:tc>
          <w:tcPr>
            <w:tcW w:w="0" w:type="dxa"/>
            <w:vAlign w:val="bottom"/>
          </w:tcPr>
          <w:p>
            <w:pPr>
              <w:spacing w:after="0"/>
              <w:rPr>
                <w:sz w:val="1"/>
                <w:szCs w:val="1"/>
                <w:color w:val="auto"/>
              </w:rPr>
            </w:pPr>
          </w:p>
        </w:tc>
      </w:tr>
      <w:tr>
        <w:trPr>
          <w:trHeight w:val="215"/>
        </w:trPr>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20" w:type="dxa"/>
            <w:vAlign w:val="bottom"/>
            <w:gridSpan w:val="7"/>
          </w:tcPr>
          <w:p>
            <w:pPr>
              <w:spacing w:after="0"/>
              <w:rPr>
                <w:sz w:val="20"/>
                <w:szCs w:val="20"/>
                <w:color w:val="auto"/>
              </w:rPr>
            </w:pPr>
            <w:r>
              <w:rPr>
                <w:rFonts w:ascii="Arial" w:cs="Arial" w:eastAsia="Arial" w:hAnsi="Arial"/>
                <w:sz w:val="17"/>
                <w:szCs w:val="17"/>
                <w:color w:val="auto"/>
              </w:rPr>
              <w:t>within the Inline XBRL document.</w:t>
            </w:r>
          </w:p>
        </w:tc>
        <w:tc>
          <w:tcPr>
            <w:tcW w:w="0" w:type="dxa"/>
            <w:vAlign w:val="bottom"/>
          </w:tcPr>
          <w:p>
            <w:pPr>
              <w:spacing w:after="0"/>
              <w:rPr>
                <w:sz w:val="1"/>
                <w:szCs w:val="1"/>
                <w:color w:val="auto"/>
              </w:rPr>
            </w:pPr>
          </w:p>
        </w:tc>
      </w:tr>
      <w:tr>
        <w:trPr>
          <w:trHeight w:val="395"/>
        </w:trPr>
        <w:tc>
          <w:tcPr>
            <w:tcW w:w="1440" w:type="dxa"/>
            <w:vAlign w:val="bottom"/>
            <w:gridSpan w:val="2"/>
          </w:tcPr>
          <w:p>
            <w:pPr>
              <w:spacing w:after="0"/>
              <w:rPr>
                <w:sz w:val="20"/>
                <w:szCs w:val="20"/>
                <w:color w:val="auto"/>
              </w:rPr>
            </w:pPr>
            <w:r>
              <w:rPr>
                <w:rFonts w:ascii="Arial" w:cs="Arial" w:eastAsia="Arial" w:hAnsi="Arial"/>
                <w:sz w:val="17"/>
                <w:szCs w:val="17"/>
                <w:color w:val="auto"/>
              </w:rPr>
              <w:t>101.SCH*</w:t>
            </w:r>
          </w:p>
        </w:tc>
        <w:tc>
          <w:tcPr>
            <w:tcW w:w="20" w:type="dxa"/>
            <w:vAlign w:val="bottom"/>
          </w:tcPr>
          <w:p>
            <w:pPr>
              <w:spacing w:after="0"/>
              <w:rPr>
                <w:sz w:val="24"/>
                <w:szCs w:val="24"/>
                <w:color w:val="auto"/>
              </w:rPr>
            </w:pPr>
          </w:p>
        </w:tc>
        <w:tc>
          <w:tcPr>
            <w:tcW w:w="8820" w:type="dxa"/>
            <w:vAlign w:val="bottom"/>
            <w:gridSpan w:val="7"/>
          </w:tcPr>
          <w:p>
            <w:pPr>
              <w:spacing w:after="0"/>
              <w:rPr>
                <w:sz w:val="20"/>
                <w:szCs w:val="20"/>
                <w:color w:val="auto"/>
              </w:rPr>
            </w:pPr>
            <w:r>
              <w:rPr>
                <w:rFonts w:ascii="Arial" w:cs="Arial" w:eastAsia="Arial" w:hAnsi="Arial"/>
                <w:sz w:val="17"/>
                <w:szCs w:val="17"/>
                <w:color w:val="auto"/>
              </w:rPr>
              <w:t>XBRL Taxonomy Extension Schema Document</w:t>
            </w:r>
          </w:p>
        </w:tc>
        <w:tc>
          <w:tcPr>
            <w:tcW w:w="0" w:type="dxa"/>
            <w:vAlign w:val="bottom"/>
          </w:tcPr>
          <w:p>
            <w:pPr>
              <w:spacing w:after="0"/>
              <w:rPr>
                <w:sz w:val="1"/>
                <w:szCs w:val="1"/>
                <w:color w:val="auto"/>
              </w:rPr>
            </w:pPr>
          </w:p>
        </w:tc>
      </w:tr>
      <w:tr>
        <w:trPr>
          <w:trHeight w:val="369"/>
        </w:trPr>
        <w:tc>
          <w:tcPr>
            <w:tcW w:w="1440" w:type="dxa"/>
            <w:vAlign w:val="bottom"/>
            <w:gridSpan w:val="2"/>
          </w:tcPr>
          <w:p>
            <w:pPr>
              <w:spacing w:after="0"/>
              <w:rPr>
                <w:sz w:val="20"/>
                <w:szCs w:val="20"/>
                <w:color w:val="auto"/>
              </w:rPr>
            </w:pPr>
            <w:r>
              <w:rPr>
                <w:rFonts w:ascii="Arial" w:cs="Arial" w:eastAsia="Arial" w:hAnsi="Arial"/>
                <w:sz w:val="17"/>
                <w:szCs w:val="17"/>
                <w:color w:val="auto"/>
              </w:rPr>
              <w:t>101.CAL*</w:t>
            </w:r>
          </w:p>
        </w:tc>
        <w:tc>
          <w:tcPr>
            <w:tcW w:w="20" w:type="dxa"/>
            <w:vAlign w:val="bottom"/>
          </w:tcPr>
          <w:p>
            <w:pPr>
              <w:spacing w:after="0"/>
              <w:rPr>
                <w:sz w:val="24"/>
                <w:szCs w:val="24"/>
                <w:color w:val="auto"/>
              </w:rPr>
            </w:pPr>
          </w:p>
        </w:tc>
        <w:tc>
          <w:tcPr>
            <w:tcW w:w="8820" w:type="dxa"/>
            <w:vAlign w:val="bottom"/>
            <w:gridSpan w:val="7"/>
          </w:tcPr>
          <w:p>
            <w:pPr>
              <w:spacing w:after="0"/>
              <w:rPr>
                <w:sz w:val="20"/>
                <w:szCs w:val="20"/>
                <w:color w:val="auto"/>
              </w:rPr>
            </w:pPr>
            <w:r>
              <w:rPr>
                <w:rFonts w:ascii="Arial" w:cs="Arial" w:eastAsia="Arial" w:hAnsi="Arial"/>
                <w:sz w:val="17"/>
                <w:szCs w:val="17"/>
                <w:color w:val="auto"/>
              </w:rPr>
              <w:t>XBRL Taxonomy Calculation Linkbase Document</w:t>
            </w:r>
          </w:p>
        </w:tc>
        <w:tc>
          <w:tcPr>
            <w:tcW w:w="0" w:type="dxa"/>
            <w:vAlign w:val="bottom"/>
          </w:tcPr>
          <w:p>
            <w:pPr>
              <w:spacing w:after="0"/>
              <w:rPr>
                <w:sz w:val="1"/>
                <w:szCs w:val="1"/>
                <w:color w:val="auto"/>
              </w:rPr>
            </w:pPr>
          </w:p>
        </w:tc>
      </w:tr>
      <w:tr>
        <w:trPr>
          <w:trHeight w:val="369"/>
        </w:trPr>
        <w:tc>
          <w:tcPr>
            <w:tcW w:w="1440" w:type="dxa"/>
            <w:vAlign w:val="bottom"/>
            <w:gridSpan w:val="2"/>
          </w:tcPr>
          <w:p>
            <w:pPr>
              <w:spacing w:after="0"/>
              <w:rPr>
                <w:sz w:val="20"/>
                <w:szCs w:val="20"/>
                <w:color w:val="auto"/>
              </w:rPr>
            </w:pPr>
            <w:r>
              <w:rPr>
                <w:rFonts w:ascii="Arial" w:cs="Arial" w:eastAsia="Arial" w:hAnsi="Arial"/>
                <w:sz w:val="17"/>
                <w:szCs w:val="17"/>
                <w:color w:val="auto"/>
              </w:rPr>
              <w:t>101.DEF*</w:t>
            </w:r>
          </w:p>
        </w:tc>
        <w:tc>
          <w:tcPr>
            <w:tcW w:w="20" w:type="dxa"/>
            <w:vAlign w:val="bottom"/>
          </w:tcPr>
          <w:p>
            <w:pPr>
              <w:spacing w:after="0"/>
              <w:rPr>
                <w:sz w:val="24"/>
                <w:szCs w:val="24"/>
                <w:color w:val="auto"/>
              </w:rPr>
            </w:pPr>
          </w:p>
        </w:tc>
        <w:tc>
          <w:tcPr>
            <w:tcW w:w="8820" w:type="dxa"/>
            <w:vAlign w:val="bottom"/>
            <w:gridSpan w:val="7"/>
          </w:tcPr>
          <w:p>
            <w:pPr>
              <w:spacing w:after="0"/>
              <w:rPr>
                <w:sz w:val="20"/>
                <w:szCs w:val="20"/>
                <w:color w:val="auto"/>
              </w:rPr>
            </w:pPr>
            <w:r>
              <w:rPr>
                <w:rFonts w:ascii="Arial" w:cs="Arial" w:eastAsia="Arial" w:hAnsi="Arial"/>
                <w:sz w:val="17"/>
                <w:szCs w:val="17"/>
                <w:color w:val="auto"/>
              </w:rPr>
              <w:t>XBRL Taxonomy Extension Definition Document</w:t>
            </w:r>
          </w:p>
        </w:tc>
        <w:tc>
          <w:tcPr>
            <w:tcW w:w="0" w:type="dxa"/>
            <w:vAlign w:val="bottom"/>
          </w:tcPr>
          <w:p>
            <w:pPr>
              <w:spacing w:after="0"/>
              <w:rPr>
                <w:sz w:val="1"/>
                <w:szCs w:val="1"/>
                <w:color w:val="auto"/>
              </w:rPr>
            </w:pPr>
          </w:p>
        </w:tc>
      </w:tr>
      <w:tr>
        <w:trPr>
          <w:trHeight w:val="369"/>
        </w:trPr>
        <w:tc>
          <w:tcPr>
            <w:tcW w:w="1440" w:type="dxa"/>
            <w:vAlign w:val="bottom"/>
            <w:gridSpan w:val="2"/>
          </w:tcPr>
          <w:p>
            <w:pPr>
              <w:spacing w:after="0"/>
              <w:rPr>
                <w:sz w:val="20"/>
                <w:szCs w:val="20"/>
                <w:color w:val="auto"/>
              </w:rPr>
            </w:pPr>
            <w:r>
              <w:rPr>
                <w:rFonts w:ascii="Arial" w:cs="Arial" w:eastAsia="Arial" w:hAnsi="Arial"/>
                <w:sz w:val="17"/>
                <w:szCs w:val="17"/>
                <w:color w:val="auto"/>
              </w:rPr>
              <w:t>101.LAB*</w:t>
            </w:r>
          </w:p>
        </w:tc>
        <w:tc>
          <w:tcPr>
            <w:tcW w:w="20" w:type="dxa"/>
            <w:vAlign w:val="bottom"/>
          </w:tcPr>
          <w:p>
            <w:pPr>
              <w:spacing w:after="0"/>
              <w:rPr>
                <w:sz w:val="24"/>
                <w:szCs w:val="24"/>
                <w:color w:val="auto"/>
              </w:rPr>
            </w:pPr>
          </w:p>
        </w:tc>
        <w:tc>
          <w:tcPr>
            <w:tcW w:w="8820" w:type="dxa"/>
            <w:vAlign w:val="bottom"/>
            <w:gridSpan w:val="7"/>
          </w:tcPr>
          <w:p>
            <w:pPr>
              <w:spacing w:after="0"/>
              <w:rPr>
                <w:sz w:val="20"/>
                <w:szCs w:val="20"/>
                <w:color w:val="auto"/>
              </w:rPr>
            </w:pPr>
            <w:r>
              <w:rPr>
                <w:rFonts w:ascii="Arial" w:cs="Arial" w:eastAsia="Arial" w:hAnsi="Arial"/>
                <w:sz w:val="17"/>
                <w:szCs w:val="17"/>
                <w:color w:val="auto"/>
              </w:rPr>
              <w:t>XBRL Taxonomy Label Linkbase Document</w:t>
            </w:r>
          </w:p>
        </w:tc>
        <w:tc>
          <w:tcPr>
            <w:tcW w:w="0" w:type="dxa"/>
            <w:vAlign w:val="bottom"/>
          </w:tcPr>
          <w:p>
            <w:pPr>
              <w:spacing w:after="0"/>
              <w:rPr>
                <w:sz w:val="1"/>
                <w:szCs w:val="1"/>
                <w:color w:val="auto"/>
              </w:rPr>
            </w:pPr>
          </w:p>
        </w:tc>
      </w:tr>
      <w:tr>
        <w:trPr>
          <w:trHeight w:val="369"/>
        </w:trPr>
        <w:tc>
          <w:tcPr>
            <w:tcW w:w="1440" w:type="dxa"/>
            <w:vAlign w:val="bottom"/>
            <w:gridSpan w:val="2"/>
          </w:tcPr>
          <w:p>
            <w:pPr>
              <w:spacing w:after="0"/>
              <w:rPr>
                <w:sz w:val="20"/>
                <w:szCs w:val="20"/>
                <w:color w:val="auto"/>
              </w:rPr>
            </w:pPr>
            <w:r>
              <w:rPr>
                <w:rFonts w:ascii="Arial" w:cs="Arial" w:eastAsia="Arial" w:hAnsi="Arial"/>
                <w:sz w:val="17"/>
                <w:szCs w:val="17"/>
                <w:color w:val="auto"/>
              </w:rPr>
              <w:t>101.PRE*</w:t>
            </w:r>
          </w:p>
        </w:tc>
        <w:tc>
          <w:tcPr>
            <w:tcW w:w="20" w:type="dxa"/>
            <w:vAlign w:val="bottom"/>
          </w:tcPr>
          <w:p>
            <w:pPr>
              <w:spacing w:after="0"/>
              <w:rPr>
                <w:sz w:val="24"/>
                <w:szCs w:val="24"/>
                <w:color w:val="auto"/>
              </w:rPr>
            </w:pPr>
          </w:p>
        </w:tc>
        <w:tc>
          <w:tcPr>
            <w:tcW w:w="8820" w:type="dxa"/>
            <w:vAlign w:val="bottom"/>
            <w:gridSpan w:val="7"/>
          </w:tcPr>
          <w:p>
            <w:pPr>
              <w:spacing w:after="0"/>
              <w:rPr>
                <w:sz w:val="20"/>
                <w:szCs w:val="20"/>
                <w:color w:val="auto"/>
              </w:rPr>
            </w:pPr>
            <w:r>
              <w:rPr>
                <w:rFonts w:ascii="Arial" w:cs="Arial" w:eastAsia="Arial" w:hAnsi="Arial"/>
                <w:sz w:val="17"/>
                <w:szCs w:val="17"/>
                <w:color w:val="auto"/>
              </w:rPr>
              <w:t>XBRL Taxonomy Presentation Linkbase Document</w:t>
            </w:r>
          </w:p>
        </w:tc>
        <w:tc>
          <w:tcPr>
            <w:tcW w:w="0" w:type="dxa"/>
            <w:vAlign w:val="bottom"/>
          </w:tcPr>
          <w:p>
            <w:pPr>
              <w:spacing w:after="0"/>
              <w:rPr>
                <w:sz w:val="1"/>
                <w:szCs w:val="1"/>
                <w:color w:val="auto"/>
              </w:rPr>
            </w:pPr>
          </w:p>
        </w:tc>
      </w:tr>
      <w:tr>
        <w:trPr>
          <w:trHeight w:val="369"/>
        </w:trPr>
        <w:tc>
          <w:tcPr>
            <w:tcW w:w="1340" w:type="dxa"/>
            <w:vAlign w:val="bottom"/>
          </w:tcPr>
          <w:p>
            <w:pPr>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7"/>
          </w:tcPr>
          <w:p>
            <w:pPr>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w:t>
      </w:r>
    </w:p>
    <w:p>
      <w:pPr>
        <w:spacing w:after="0" w:line="20" w:lineRule="exact"/>
        <w:rPr>
          <w:sz w:val="20"/>
          <w:szCs w:val="20"/>
          <w:color w:val="auto"/>
        </w:rPr>
      </w:pPr>
    </w:p>
    <w:p>
      <w:pPr>
        <w:spacing w:after="0"/>
        <w:tabs>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Filed herewith</w:t>
      </w:r>
    </w:p>
    <w:p>
      <w:pPr>
        <w:spacing w:after="0" w:line="8" w:lineRule="exact"/>
        <w:rPr>
          <w:sz w:val="20"/>
          <w:szCs w:val="20"/>
          <w:color w:val="auto"/>
        </w:rPr>
      </w:pPr>
    </w:p>
    <w:p>
      <w:pPr>
        <w:ind w:left="920" w:right="100" w:hanging="918"/>
        <w:spacing w:after="0" w:line="255" w:lineRule="auto"/>
        <w:tabs>
          <w:tab w:leader="none" w:pos="368"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certifications furnished in Exhibit 32.1 hereto are deemed to be furnished with this Quarterly Report on Form 10-Q and will not be deemed to be “filed” for purposes of Section 18 of the Securities Exchange Act of 1934, as amended,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340"/>
          </w:cols>
          <w:pgMar w:left="320" w:top="1154" w:right="2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16" w:lineRule="exact"/>
        <w:rPr>
          <w:sz w:val="20"/>
          <w:szCs w:val="20"/>
          <w:color w:val="auto"/>
        </w:rPr>
      </w:pPr>
    </w:p>
    <w:p>
      <w:pPr>
        <w:ind w:right="120" w:firstLine="459"/>
        <w:spacing w:after="0" w:line="274" w:lineRule="auto"/>
        <w:rPr>
          <w:sz w:val="20"/>
          <w:szCs w:val="20"/>
          <w:color w:val="auto"/>
        </w:rPr>
      </w:pPr>
      <w:r>
        <w:rPr>
          <w:rFonts w:ascii="Arial" w:cs="Arial" w:eastAsia="Arial" w:hAnsi="Arial"/>
          <w:sz w:val="17"/>
          <w:szCs w:val="17"/>
          <w:color w:val="auto"/>
        </w:rPr>
        <w:t>Pursuant to the requirements of the Securities Act of 1934, the Registrant has duly caused this report to be signed on its behalf by the undersigned, thereunto duly authorized.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Date: November 8, 2022</w:t>
      </w:r>
    </w:p>
    <w:p>
      <w:pPr>
        <w:spacing w:after="0" w:line="136" w:lineRule="exact"/>
        <w:rPr>
          <w:sz w:val="20"/>
          <w:szCs w:val="20"/>
          <w:color w:val="auto"/>
        </w:rPr>
      </w:pPr>
    </w:p>
    <w:tbl>
      <w:tblPr>
        <w:tblLayout w:type="fixed"/>
        <w:tblInd w:w="4920" w:type="dxa"/>
        <w:tblCellMar>
          <w:top w:w="0" w:type="dxa"/>
          <w:left w:w="0" w:type="dxa"/>
          <w:bottom w:w="0" w:type="dxa"/>
          <w:right w:w="0" w:type="dxa"/>
        </w:tblCellMar>
      </w:tblPr>
      <w:tr>
        <w:trPr>
          <w:trHeight w:val="215"/>
        </w:trPr>
        <w:tc>
          <w:tcPr>
            <w:tcW w:w="720" w:type="dxa"/>
            <w:vAlign w:val="bottom"/>
          </w:tcPr>
          <w:p>
            <w:pPr>
              <w:spacing w:after="0"/>
              <w:rPr>
                <w:sz w:val="18"/>
                <w:szCs w:val="18"/>
                <w:color w:val="auto"/>
              </w:rPr>
            </w:pPr>
          </w:p>
        </w:tc>
        <w:tc>
          <w:tcPr>
            <w:tcW w:w="5580" w:type="dxa"/>
            <w:vAlign w:val="bottom"/>
            <w:gridSpan w:val="2"/>
          </w:tcPr>
          <w:p>
            <w:pPr>
              <w:ind w:left="460"/>
              <w:spacing w:after="0"/>
              <w:rPr>
                <w:sz w:val="20"/>
                <w:szCs w:val="20"/>
                <w:color w:val="auto"/>
              </w:rPr>
            </w:pPr>
            <w:r>
              <w:rPr>
                <w:rFonts w:ascii="Arial" w:cs="Arial" w:eastAsia="Arial" w:hAnsi="Arial"/>
                <w:sz w:val="17"/>
                <w:szCs w:val="17"/>
                <w:color w:val="auto"/>
              </w:rPr>
              <w:t>PLIANT THERAPEUTICS, INC.</w:t>
            </w:r>
          </w:p>
        </w:tc>
      </w:tr>
      <w:tr>
        <w:trPr>
          <w:trHeight w:val="306"/>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660" w:type="dxa"/>
            <w:vAlign w:val="bottom"/>
          </w:tcPr>
          <w:p>
            <w:pPr>
              <w:spacing w:after="0"/>
              <w:rPr>
                <w:sz w:val="24"/>
                <w:szCs w:val="24"/>
                <w:color w:val="auto"/>
              </w:rPr>
            </w:pP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Bernard Coulie</w:t>
            </w:r>
          </w:p>
        </w:tc>
      </w:tr>
      <w:tr>
        <w:trPr>
          <w:trHeight w:val="209"/>
        </w:trPr>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920" w:type="dxa"/>
            <w:vAlign w:val="bottom"/>
          </w:tcPr>
          <w:p>
            <w:pPr>
              <w:ind w:left="220"/>
              <w:spacing w:after="0"/>
              <w:rPr>
                <w:sz w:val="20"/>
                <w:szCs w:val="20"/>
                <w:color w:val="auto"/>
              </w:rPr>
            </w:pPr>
            <w:r>
              <w:rPr>
                <w:rFonts w:ascii="Arial" w:cs="Arial" w:eastAsia="Arial" w:hAnsi="Arial"/>
                <w:sz w:val="17"/>
                <w:szCs w:val="17"/>
                <w:color w:val="auto"/>
              </w:rPr>
              <w:t>Bernard Coulie, M.D., Ph.D.</w:t>
            </w:r>
          </w:p>
        </w:tc>
      </w:tr>
      <w:tr>
        <w:trPr>
          <w:trHeight w:val="216"/>
        </w:trPr>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920" w:type="dxa"/>
            <w:vAlign w:val="bottom"/>
          </w:tcPr>
          <w:p>
            <w:pPr>
              <w:ind w:left="220"/>
              <w:spacing w:after="0"/>
              <w:rPr>
                <w:sz w:val="20"/>
                <w:szCs w:val="20"/>
                <w:color w:val="auto"/>
              </w:rPr>
            </w:pPr>
            <w:r>
              <w:rPr>
                <w:rFonts w:ascii="Arial" w:cs="Arial" w:eastAsia="Arial" w:hAnsi="Arial"/>
                <w:sz w:val="17"/>
                <w:szCs w:val="17"/>
                <w:color w:val="auto"/>
              </w:rPr>
              <w:t>President and Chief Executive Officer</w:t>
            </w:r>
          </w:p>
        </w:tc>
      </w:tr>
      <w:tr>
        <w:trPr>
          <w:trHeight w:val="459"/>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660" w:type="dxa"/>
            <w:vAlign w:val="bottom"/>
          </w:tcPr>
          <w:p>
            <w:pPr>
              <w:spacing w:after="0"/>
              <w:rPr>
                <w:sz w:val="24"/>
                <w:szCs w:val="24"/>
                <w:color w:val="auto"/>
              </w:rPr>
            </w:pP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Keith Cummings</w:t>
            </w:r>
          </w:p>
        </w:tc>
      </w:tr>
      <w:tr>
        <w:trPr>
          <w:trHeight w:val="209"/>
        </w:trPr>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920" w:type="dxa"/>
            <w:vAlign w:val="bottom"/>
          </w:tcPr>
          <w:p>
            <w:pPr>
              <w:ind w:left="220"/>
              <w:spacing w:after="0"/>
              <w:rPr>
                <w:sz w:val="20"/>
                <w:szCs w:val="20"/>
                <w:color w:val="auto"/>
              </w:rPr>
            </w:pPr>
            <w:r>
              <w:rPr>
                <w:rFonts w:ascii="Arial" w:cs="Arial" w:eastAsia="Arial" w:hAnsi="Arial"/>
                <w:sz w:val="17"/>
                <w:szCs w:val="17"/>
                <w:color w:val="auto"/>
              </w:rPr>
              <w:t>Keith Cummings, M.D., M.B.A.</w:t>
            </w:r>
          </w:p>
        </w:tc>
      </w:tr>
      <w:tr>
        <w:trPr>
          <w:trHeight w:val="216"/>
        </w:trPr>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920" w:type="dxa"/>
            <w:vAlign w:val="bottom"/>
          </w:tcPr>
          <w:p>
            <w:pPr>
              <w:ind w:left="220"/>
              <w:spacing w:after="0"/>
              <w:rPr>
                <w:sz w:val="20"/>
                <w:szCs w:val="20"/>
                <w:color w:val="auto"/>
              </w:rPr>
            </w:pPr>
            <w:r>
              <w:rPr>
                <w:rFonts w:ascii="Arial" w:cs="Arial" w:eastAsia="Arial" w:hAnsi="Arial"/>
                <w:sz w:val="17"/>
                <w:szCs w:val="17"/>
                <w:color w:val="auto"/>
              </w:rPr>
              <w:t>Chief Financial Officer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220"/>
          </w:cols>
          <w:pgMar w:left="320" w:top="849" w:right="359" w:bottom="1440" w:gutter="0" w:footer="0" w:header="0"/>
        </w:sectPr>
      </w:pPr>
    </w:p>
    <w:bookmarkStart w:id="83" w:name="page84"/>
    <w:bookmarkEnd w:id="83"/>
    <w:p>
      <w:pPr>
        <w:jc w:val="right"/>
        <w:spacing w:after="0"/>
        <w:rPr>
          <w:sz w:val="20"/>
          <w:szCs w:val="20"/>
          <w:color w:val="auto"/>
        </w:rPr>
      </w:pPr>
      <w:r>
        <w:rPr>
          <w:rFonts w:ascii="Arial" w:cs="Arial" w:eastAsia="Arial" w:hAnsi="Arial"/>
          <w:sz w:val="17"/>
          <w:szCs w:val="17"/>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RULE 13a-14(a) OR 15d-14(a) OF</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SECURITIES EXCHANGE ACT OF 1934,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SARBANES-OXLEY ACT OF 2002</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I, Bernard Coulie, certify that:</w:t>
      </w:r>
    </w:p>
    <w:p>
      <w:pPr>
        <w:spacing w:after="0" w:line="174" w:lineRule="exact"/>
        <w:rPr>
          <w:sz w:val="20"/>
          <w:szCs w:val="20"/>
          <w:color w:val="auto"/>
        </w:rPr>
      </w:pPr>
    </w:p>
    <w:p>
      <w:pPr>
        <w:ind w:left="1080" w:hanging="1078"/>
        <w:spacing w:after="0"/>
        <w:tabs>
          <w:tab w:leader="none" w:pos="10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Pliant Therapeutics, Inc.;</w:t>
      </w:r>
    </w:p>
    <w:p>
      <w:pPr>
        <w:spacing w:after="0" w:line="186" w:lineRule="exact"/>
        <w:rPr>
          <w:rFonts w:ascii="Arial" w:cs="Arial" w:eastAsia="Arial" w:hAnsi="Arial"/>
          <w:sz w:val="17"/>
          <w:szCs w:val="17"/>
          <w:color w:val="auto"/>
        </w:rPr>
      </w:pPr>
    </w:p>
    <w:p>
      <w:pPr>
        <w:jc w:val="both"/>
        <w:ind w:left="1080" w:right="300" w:hanging="1078"/>
        <w:spacing w:after="0" w:line="262" w:lineRule="auto"/>
        <w:tabs>
          <w:tab w:leader="none" w:pos="10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7"/>
          <w:szCs w:val="17"/>
          <w:color w:val="auto"/>
        </w:rPr>
      </w:pPr>
    </w:p>
    <w:p>
      <w:pPr>
        <w:ind w:left="1080" w:right="260" w:hanging="1078"/>
        <w:spacing w:after="0" w:line="306" w:lineRule="auto"/>
        <w:tabs>
          <w:tab w:leader="none" w:pos="10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Arial" w:cs="Arial" w:eastAsia="Arial" w:hAnsi="Arial"/>
          <w:sz w:val="16"/>
          <w:szCs w:val="16"/>
          <w:color w:val="auto"/>
        </w:rPr>
      </w:pPr>
    </w:p>
    <w:p>
      <w:pPr>
        <w:ind w:left="1080" w:right="300" w:hanging="1078"/>
        <w:spacing w:after="0" w:line="262" w:lineRule="auto"/>
        <w:tabs>
          <w:tab w:leader="none" w:pos="10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rFonts w:ascii="Arial" w:cs="Arial" w:eastAsia="Arial" w:hAnsi="Arial"/>
          <w:sz w:val="17"/>
          <w:szCs w:val="17"/>
          <w:color w:val="auto"/>
        </w:rPr>
      </w:pPr>
    </w:p>
    <w:p>
      <w:pPr>
        <w:ind w:left="2300" w:right="100" w:hanging="1228"/>
        <w:spacing w:after="0" w:line="286" w:lineRule="auto"/>
        <w:tabs>
          <w:tab w:leader="none" w:pos="2292" w:val="left"/>
        </w:tabs>
        <w:numPr>
          <w:ilvl w:val="1"/>
          <w:numId w:val="10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ind w:left="2300" w:right="400" w:hanging="1228"/>
        <w:spacing w:after="0" w:line="286" w:lineRule="auto"/>
        <w:tabs>
          <w:tab w:leader="none" w:pos="2288" w:val="left"/>
        </w:tabs>
        <w:numPr>
          <w:ilvl w:val="1"/>
          <w:numId w:val="10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6"/>
          <w:szCs w:val="16"/>
          <w:color w:val="auto"/>
        </w:rPr>
      </w:pPr>
    </w:p>
    <w:p>
      <w:pPr>
        <w:ind w:left="2300" w:right="60" w:hanging="1228"/>
        <w:spacing w:after="0" w:line="262" w:lineRule="auto"/>
        <w:tabs>
          <w:tab w:leader="none" w:pos="2292" w:val="left"/>
        </w:tabs>
        <w:numPr>
          <w:ilvl w:val="1"/>
          <w:numId w:val="10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7"/>
          <w:szCs w:val="17"/>
          <w:color w:val="auto"/>
        </w:rPr>
      </w:pPr>
    </w:p>
    <w:p>
      <w:pPr>
        <w:ind w:left="2300" w:right="160" w:hanging="1228"/>
        <w:spacing w:after="0" w:line="286" w:lineRule="auto"/>
        <w:tabs>
          <w:tab w:leader="none" w:pos="2288" w:val="left"/>
        </w:tabs>
        <w:numPr>
          <w:ilvl w:val="1"/>
          <w:numId w:val="10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6"/>
          <w:szCs w:val="16"/>
          <w:color w:val="auto"/>
        </w:rPr>
      </w:pPr>
    </w:p>
    <w:p>
      <w:pPr>
        <w:ind w:left="1080" w:right="180" w:hanging="1078"/>
        <w:spacing w:after="0" w:line="306" w:lineRule="auto"/>
        <w:tabs>
          <w:tab w:leader="none" w:pos="10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Arial" w:cs="Arial" w:eastAsia="Arial" w:hAnsi="Arial"/>
          <w:sz w:val="16"/>
          <w:szCs w:val="16"/>
          <w:color w:val="auto"/>
        </w:rPr>
      </w:pPr>
    </w:p>
    <w:p>
      <w:pPr>
        <w:ind w:left="2300" w:hanging="1228"/>
        <w:spacing w:after="0" w:line="342" w:lineRule="auto"/>
        <w:tabs>
          <w:tab w:leader="none" w:pos="2292" w:val="left"/>
        </w:tabs>
        <w:numPr>
          <w:ilvl w:val="1"/>
          <w:numId w:val="106"/>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5"/>
          <w:szCs w:val="15"/>
          <w:color w:val="auto"/>
        </w:rPr>
      </w:pPr>
    </w:p>
    <w:p>
      <w:pPr>
        <w:ind w:left="2300" w:right="280" w:hanging="1228"/>
        <w:spacing w:after="0" w:line="274" w:lineRule="auto"/>
        <w:tabs>
          <w:tab w:leader="none" w:pos="2288" w:val="left"/>
        </w:tabs>
        <w:numPr>
          <w:ilvl w:val="1"/>
          <w:numId w:val="10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Date: November 8, 2022</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Bernard Coulie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40347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4034790" cy="825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Bernard Coulie, M.D., Ph.D.</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President and Chief Executive Officer</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1053"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7"/>
          <w:szCs w:val="17"/>
          <w:b w:val="1"/>
          <w:bCs w:val="1"/>
          <w:color w:val="auto"/>
        </w:rPr>
        <w:t>Exhibit 31.2</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RULE 13a-14(a) OR 15d-14(a)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SECURITIES EXCHANGE ACT OF 1934,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SARBANES-OXLEY ACT OF 2002</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I, Keith Cummings, certify that:</w:t>
      </w:r>
    </w:p>
    <w:p>
      <w:pPr>
        <w:spacing w:after="0" w:line="174" w:lineRule="exact"/>
        <w:rPr>
          <w:sz w:val="20"/>
          <w:szCs w:val="20"/>
          <w:color w:val="auto"/>
        </w:rPr>
      </w:pPr>
    </w:p>
    <w:p>
      <w:pPr>
        <w:ind w:left="1220" w:hanging="1218"/>
        <w:spacing w:after="0"/>
        <w:tabs>
          <w:tab w:leader="none" w:pos="12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Pliant Therapeutics, Inc.;</w:t>
      </w:r>
    </w:p>
    <w:p>
      <w:pPr>
        <w:spacing w:after="0" w:line="186" w:lineRule="exact"/>
        <w:rPr>
          <w:rFonts w:ascii="Arial" w:cs="Arial" w:eastAsia="Arial" w:hAnsi="Arial"/>
          <w:sz w:val="17"/>
          <w:szCs w:val="17"/>
          <w:color w:val="auto"/>
        </w:rPr>
      </w:pPr>
    </w:p>
    <w:p>
      <w:pPr>
        <w:jc w:val="both"/>
        <w:ind w:left="1220" w:right="140" w:hanging="1218"/>
        <w:spacing w:after="0" w:line="262" w:lineRule="auto"/>
        <w:tabs>
          <w:tab w:leader="none" w:pos="12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7"/>
          <w:szCs w:val="17"/>
          <w:color w:val="auto"/>
        </w:rPr>
      </w:pPr>
    </w:p>
    <w:p>
      <w:pPr>
        <w:ind w:left="1220" w:right="100" w:hanging="1218"/>
        <w:spacing w:after="0" w:line="306" w:lineRule="auto"/>
        <w:tabs>
          <w:tab w:leader="none" w:pos="12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Arial" w:cs="Arial" w:eastAsia="Arial" w:hAnsi="Arial"/>
          <w:sz w:val="16"/>
          <w:szCs w:val="16"/>
          <w:color w:val="auto"/>
        </w:rPr>
      </w:pPr>
    </w:p>
    <w:p>
      <w:pPr>
        <w:ind w:left="1220" w:right="140" w:hanging="1218"/>
        <w:spacing w:after="0" w:line="262" w:lineRule="auto"/>
        <w:tabs>
          <w:tab w:leader="none" w:pos="12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rFonts w:ascii="Arial" w:cs="Arial" w:eastAsia="Arial" w:hAnsi="Arial"/>
          <w:sz w:val="17"/>
          <w:szCs w:val="17"/>
          <w:color w:val="auto"/>
        </w:rPr>
      </w:pPr>
    </w:p>
    <w:p>
      <w:pPr>
        <w:ind w:left="2300" w:right="100" w:hanging="1076"/>
        <w:spacing w:after="0" w:line="286" w:lineRule="auto"/>
        <w:tabs>
          <w:tab w:leader="none" w:pos="2292" w:val="left"/>
        </w:tabs>
        <w:numPr>
          <w:ilvl w:val="1"/>
          <w:numId w:val="10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ind w:left="2300" w:right="400" w:hanging="1076"/>
        <w:spacing w:after="0" w:line="277" w:lineRule="auto"/>
        <w:tabs>
          <w:tab w:leader="none" w:pos="2288" w:val="left"/>
        </w:tabs>
        <w:numPr>
          <w:ilvl w:val="1"/>
          <w:numId w:val="10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1" w:lineRule="exact"/>
        <w:rPr>
          <w:rFonts w:ascii="Arial" w:cs="Arial" w:eastAsia="Arial" w:hAnsi="Arial"/>
          <w:sz w:val="16"/>
          <w:szCs w:val="16"/>
          <w:color w:val="auto"/>
        </w:rPr>
      </w:pPr>
    </w:p>
    <w:p>
      <w:pPr>
        <w:ind w:left="2300" w:right="60" w:hanging="1076"/>
        <w:spacing w:after="0" w:line="246" w:lineRule="auto"/>
        <w:tabs>
          <w:tab w:leader="none" w:pos="2292" w:val="left"/>
        </w:tabs>
        <w:numPr>
          <w:ilvl w:val="1"/>
          <w:numId w:val="10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7"/>
          <w:szCs w:val="17"/>
          <w:color w:val="auto"/>
        </w:rPr>
      </w:pPr>
    </w:p>
    <w:p>
      <w:pPr>
        <w:ind w:left="2300" w:right="160" w:hanging="1076"/>
        <w:spacing w:after="0" w:line="286" w:lineRule="auto"/>
        <w:tabs>
          <w:tab w:leader="none" w:pos="2288" w:val="left"/>
        </w:tabs>
        <w:numPr>
          <w:ilvl w:val="1"/>
          <w:numId w:val="10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Arial" w:cs="Arial" w:eastAsia="Arial" w:hAnsi="Arial"/>
          <w:sz w:val="16"/>
          <w:szCs w:val="16"/>
          <w:color w:val="auto"/>
        </w:rPr>
      </w:pPr>
    </w:p>
    <w:p>
      <w:pPr>
        <w:ind w:left="1220" w:right="40" w:hanging="1218"/>
        <w:spacing w:after="0" w:line="306" w:lineRule="auto"/>
        <w:tabs>
          <w:tab w:leader="none" w:pos="12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Arial" w:cs="Arial" w:eastAsia="Arial" w:hAnsi="Arial"/>
          <w:sz w:val="16"/>
          <w:szCs w:val="16"/>
          <w:color w:val="auto"/>
        </w:rPr>
      </w:pPr>
    </w:p>
    <w:p>
      <w:pPr>
        <w:ind w:left="2300" w:hanging="1076"/>
        <w:spacing w:after="0" w:line="342" w:lineRule="auto"/>
        <w:tabs>
          <w:tab w:leader="none" w:pos="2292" w:val="left"/>
        </w:tabs>
        <w:numPr>
          <w:ilvl w:val="1"/>
          <w:numId w:val="107"/>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Arial" w:cs="Arial" w:eastAsia="Arial" w:hAnsi="Arial"/>
          <w:sz w:val="15"/>
          <w:szCs w:val="15"/>
          <w:color w:val="auto"/>
        </w:rPr>
      </w:pPr>
    </w:p>
    <w:p>
      <w:pPr>
        <w:ind w:left="2300" w:right="280" w:hanging="1076"/>
        <w:spacing w:after="0" w:line="274" w:lineRule="auto"/>
        <w:tabs>
          <w:tab w:leader="none" w:pos="2288" w:val="left"/>
        </w:tabs>
        <w:numPr>
          <w:ilvl w:val="1"/>
          <w:numId w:val="10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Date: November 8, 2022</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Keith Cummings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40347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4034790" cy="825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Keith Cummings, M.D., MBA</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Chief Financial Officer</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1053"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7"/>
          <w:szCs w:val="17"/>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 AND CHIEF FINANCIAL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1"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Bernard Coulie, Chief Executive Officer of Pliant Therapeutics, Inc. (the “Company”), and Keith Cummings, Chief Financial Officer of the Company, each hereby certifies that, to the best of his knowledge:</w:t>
      </w:r>
    </w:p>
    <w:p>
      <w:pPr>
        <w:spacing w:after="0" w:line="175" w:lineRule="exact"/>
        <w:rPr>
          <w:sz w:val="20"/>
          <w:szCs w:val="20"/>
          <w:color w:val="auto"/>
        </w:rPr>
      </w:pPr>
    </w:p>
    <w:p>
      <w:pPr>
        <w:ind w:left="920" w:right="220" w:hanging="918"/>
        <w:spacing w:after="0" w:line="274" w:lineRule="auto"/>
        <w:tabs>
          <w:tab w:leader="none" w:pos="9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September 30, 2022, to which this Certification is attached as Exhibit 32.1 (the “Periodic Report”), fully complies with the requirements of Section 13(a) or Section 15(d) of the Exchange Act; and</w:t>
      </w:r>
    </w:p>
    <w:p>
      <w:pPr>
        <w:spacing w:after="0" w:line="164" w:lineRule="exact"/>
        <w:rPr>
          <w:rFonts w:ascii="Arial" w:cs="Arial" w:eastAsia="Arial" w:hAnsi="Arial"/>
          <w:sz w:val="17"/>
          <w:szCs w:val="17"/>
          <w:color w:val="auto"/>
        </w:rPr>
      </w:pPr>
    </w:p>
    <w:p>
      <w:pPr>
        <w:ind w:left="920" w:right="600" w:hanging="918"/>
        <w:spacing w:after="0" w:line="274" w:lineRule="auto"/>
        <w:tabs>
          <w:tab w:leader="none" w:pos="9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information contained in the Periodic Report fairly presents, in all material respects, the financial condition and results of operations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Dated: November 8, 2022</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Bernard Coulie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40347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4034790" cy="825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Bernard Coulie, M.D., Ph.D.</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President and Chief Executive Officer</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Executive Officer)</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Keith Cummings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40347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4034790" cy="825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Keith Cummings, M.D., MBA</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Chief Financial Officer</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Financial Officer)</w:t>
      </w:r>
    </w:p>
    <w:p>
      <w:pPr>
        <w:spacing w:after="0" w:line="301" w:lineRule="exact"/>
        <w:rPr>
          <w:sz w:val="20"/>
          <w:szCs w:val="20"/>
          <w:color w:val="auto"/>
        </w:rPr>
      </w:pPr>
    </w:p>
    <w:p>
      <w:pPr>
        <w:ind w:right="40" w:firstLine="611"/>
        <w:spacing w:after="0" w:line="262" w:lineRule="auto"/>
        <w:rPr>
          <w:sz w:val="20"/>
          <w:szCs w:val="20"/>
          <w:color w:val="auto"/>
        </w:rPr>
      </w:pPr>
      <w:r>
        <w:rPr>
          <w:rFonts w:ascii="Arial" w:cs="Arial" w:eastAsia="Arial" w:hAnsi="Arial"/>
          <w:sz w:val="17"/>
          <w:szCs w:val="17"/>
          <w:color w:val="auto"/>
        </w:rPr>
        <w:t>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8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
      <w:numFmt w:val="bullet"/>
      <w:start w:val="1"/>
    </w:lvl>
  </w:abstractNum>
  <w:abstractNum w:abstractNumId="3">
    <w:nsid w:val="275AC794"/>
    <w:multiLevelType w:val="hybridMultilevel"/>
    <w:lvl w:ilvl="0">
      <w:lvlJc w:val="left"/>
      <w:lvlText w:val="•"/>
      <w:numFmt w:val="bullet"/>
      <w:start w:val="1"/>
    </w:lvl>
  </w:abstractNum>
  <w:abstractNum w:abstractNumId="4">
    <w:nsid w:val="39386575"/>
    <w:multiLevelType w:val="hybridMultilevel"/>
    <w:lvl w:ilvl="0">
      <w:lvlJc w:val="left"/>
      <w:lvlText w:val="•"/>
      <w:numFmt w:val="bullet"/>
      <w:start w:val="1"/>
    </w:lvl>
  </w:abstractNum>
  <w:abstractNum w:abstractNumId="5">
    <w:nsid w:val="1CF10FD8"/>
    <w:multiLevelType w:val="hybridMultilevel"/>
    <w:lvl w:ilvl="0">
      <w:lvlJc w:val="left"/>
      <w:lvlText w:val="•"/>
      <w:numFmt w:val="bullet"/>
      <w:start w:val="1"/>
    </w:lvl>
  </w:abstractNum>
  <w:abstractNum w:abstractNumId="6">
    <w:nsid w:val="180115BE"/>
    <w:multiLevelType w:val="hybridMultilevel"/>
    <w:lvl w:ilvl="0">
      <w:lvlJc w:val="left"/>
      <w:lvlText w:val="•"/>
      <w:numFmt w:val="bullet"/>
      <w:start w:val="1"/>
    </w:lvl>
  </w:abstractNum>
  <w:abstractNum w:abstractNumId="7">
    <w:nsid w:val="235BA861"/>
    <w:multiLevelType w:val="hybridMultilevel"/>
    <w:lvl w:ilvl="0">
      <w:lvlJc w:val="left"/>
      <w:lvlText w:val="•"/>
      <w:numFmt w:val="bullet"/>
      <w:start w:val="1"/>
    </w:lvl>
  </w:abstractNum>
  <w:abstractNum w:abstractNumId="8">
    <w:nsid w:val="47398C89"/>
    <w:multiLevelType w:val="hybridMultilevel"/>
    <w:lvl w:ilvl="0">
      <w:lvlJc w:val="left"/>
      <w:lvlText w:val="*"/>
      <w:numFmt w:val="bullet"/>
      <w:start w:val="1"/>
    </w:lvl>
  </w:abstractNum>
  <w:abstractNum w:abstractNumId="9">
    <w:nsid w:val="354FE9F9"/>
    <w:multiLevelType w:val="hybridMultilevel"/>
    <w:lvl w:ilvl="0">
      <w:lvlJc w:val="left"/>
      <w:lvlText w:val="%1."/>
      <w:numFmt w:val="decimal"/>
      <w:start w:val="2"/>
    </w:lvl>
  </w:abstractNum>
  <w:abstractNum w:abstractNumId="10">
    <w:nsid w:val="15B5AF5C"/>
    <w:multiLevelType w:val="hybridMultilevel"/>
    <w:lvl w:ilvl="0">
      <w:lvlJc w:val="left"/>
      <w:lvlText w:val="•"/>
      <w:numFmt w:val="bullet"/>
      <w:start w:val="1"/>
    </w:lvl>
  </w:abstractNum>
  <w:abstractNum w:abstractNumId="11">
    <w:nsid w:val="741226BB"/>
    <w:multiLevelType w:val="hybridMultilevel"/>
    <w:lvl w:ilvl="0">
      <w:lvlJc w:val="left"/>
      <w:lvlText w:val="•"/>
      <w:numFmt w:val="bullet"/>
      <w:start w:val="1"/>
    </w:lvl>
  </w:abstractNum>
  <w:abstractNum w:abstractNumId="12">
    <w:nsid w:val="D34B6A8"/>
    <w:multiLevelType w:val="hybridMultilevel"/>
    <w:lvl w:ilvl="0">
      <w:lvlJc w:val="left"/>
      <w:lvlText w:val="•"/>
      <w:numFmt w:val="bullet"/>
      <w:start w:val="1"/>
    </w:lvl>
  </w:abstractNum>
  <w:abstractNum w:abstractNumId="13">
    <w:nsid w:val="10233C99"/>
    <w:multiLevelType w:val="hybridMultilevel"/>
    <w:lvl w:ilvl="0">
      <w:lvlJc w:val="left"/>
      <w:lvlText w:val="•"/>
      <w:numFmt w:val="bullet"/>
      <w:start w:val="1"/>
    </w:lvl>
  </w:abstractNum>
  <w:abstractNum w:abstractNumId="14">
    <w:nsid w:val="3F6AB60F"/>
    <w:multiLevelType w:val="hybridMultilevel"/>
    <w:lvl w:ilvl="0">
      <w:lvlJc w:val="left"/>
      <w:lvlText w:val="•"/>
      <w:numFmt w:val="bullet"/>
      <w:start w:val="1"/>
    </w:lvl>
  </w:abstractNum>
  <w:abstractNum w:abstractNumId="15">
    <w:nsid w:val="61574095"/>
    <w:multiLevelType w:val="hybridMultilevel"/>
    <w:lvl w:ilvl="0">
      <w:lvlJc w:val="left"/>
      <w:lvlText w:val="•"/>
      <w:numFmt w:val="bullet"/>
      <w:start w:val="1"/>
    </w:lvl>
  </w:abstractNum>
  <w:abstractNum w:abstractNumId="16">
    <w:nsid w:val="7E0C57B1"/>
    <w:multiLevelType w:val="hybridMultilevel"/>
    <w:lvl w:ilvl="0">
      <w:lvlJc w:val="left"/>
      <w:lvlText w:val="•"/>
      <w:numFmt w:val="bullet"/>
      <w:start w:val="1"/>
    </w:lvl>
  </w:abstractNum>
  <w:abstractNum w:abstractNumId="17">
    <w:nsid w:val="77AE35EB"/>
    <w:multiLevelType w:val="hybridMultilevel"/>
    <w:lvl w:ilvl="0">
      <w:lvlJc w:val="left"/>
      <w:lvlText w:val="•"/>
      <w:numFmt w:val="bullet"/>
      <w:start w:val="1"/>
    </w:lvl>
  </w:abstractNum>
  <w:abstractNum w:abstractNumId="18">
    <w:nsid w:val="579BE4F1"/>
    <w:multiLevelType w:val="hybridMultilevel"/>
    <w:lvl w:ilvl="0">
      <w:lvlJc w:val="left"/>
      <w:lvlText w:val="•"/>
      <w:numFmt w:val="bullet"/>
      <w:start w:val="1"/>
    </w:lvl>
  </w:abstractNum>
  <w:abstractNum w:abstractNumId="19">
    <w:nsid w:val="310C50B3"/>
    <w:multiLevelType w:val="hybridMultilevel"/>
    <w:lvl w:ilvl="0">
      <w:lvlJc w:val="left"/>
      <w:lvlText w:val="•"/>
      <w:numFmt w:val="bullet"/>
      <w:start w:val="1"/>
    </w:lvl>
  </w:abstractNum>
  <w:abstractNum w:abstractNumId="20">
    <w:nsid w:val="5FF87E05"/>
    <w:multiLevelType w:val="hybridMultilevel"/>
    <w:lvl w:ilvl="0">
      <w:lvlJc w:val="left"/>
      <w:lvlText w:val="•"/>
      <w:numFmt w:val="bullet"/>
      <w:start w:val="1"/>
    </w:lvl>
  </w:abstractNum>
  <w:abstractNum w:abstractNumId="21">
    <w:nsid w:val="2F305DEF"/>
    <w:multiLevelType w:val="hybridMultilevel"/>
    <w:lvl w:ilvl="0">
      <w:lvlJc w:val="left"/>
      <w:lvlText w:val="•"/>
      <w:numFmt w:val="bullet"/>
      <w:start w:val="1"/>
    </w:lvl>
  </w:abstractNum>
  <w:abstractNum w:abstractNumId="22">
    <w:nsid w:val="25A70BF7"/>
    <w:multiLevelType w:val="hybridMultilevel"/>
    <w:lvl w:ilvl="0">
      <w:lvlJc w:val="left"/>
      <w:lvlText w:val="•"/>
      <w:numFmt w:val="bullet"/>
      <w:start w:val="1"/>
    </w:lvl>
  </w:abstractNum>
  <w:abstractNum w:abstractNumId="23">
    <w:nsid w:val="1DBABF00"/>
    <w:multiLevelType w:val="hybridMultilevel"/>
    <w:lvl w:ilvl="0">
      <w:lvlJc w:val="left"/>
      <w:lvlText w:val="•"/>
      <w:numFmt w:val="bullet"/>
      <w:start w:val="1"/>
    </w:lvl>
  </w:abstractNum>
  <w:abstractNum w:abstractNumId="24">
    <w:nsid w:val="4AD084E9"/>
    <w:multiLevelType w:val="hybridMultilevel"/>
    <w:lvl w:ilvl="0">
      <w:lvlJc w:val="left"/>
      <w:lvlText w:val="•"/>
      <w:numFmt w:val="bullet"/>
      <w:start w:val="1"/>
    </w:lvl>
  </w:abstractNum>
  <w:abstractNum w:abstractNumId="25">
    <w:nsid w:val="1F48EAA1"/>
    <w:multiLevelType w:val="hybridMultilevel"/>
    <w:lvl w:ilvl="0">
      <w:lvlJc w:val="left"/>
      <w:lvlText w:val="•"/>
      <w:numFmt w:val="bullet"/>
      <w:start w:val="1"/>
    </w:lvl>
  </w:abstractNum>
  <w:abstractNum w:abstractNumId="26">
    <w:nsid w:val="1381823A"/>
    <w:multiLevelType w:val="hybridMultilevel"/>
    <w:lvl w:ilvl="0">
      <w:lvlJc w:val="left"/>
      <w:lvlText w:val="•"/>
      <w:numFmt w:val="bullet"/>
      <w:start w:val="1"/>
    </w:lvl>
  </w:abstractNum>
  <w:abstractNum w:abstractNumId="27">
    <w:nsid w:val="5DB70AE5"/>
    <w:multiLevelType w:val="hybridMultilevel"/>
    <w:lvl w:ilvl="0">
      <w:lvlJc w:val="left"/>
      <w:lvlText w:val="•"/>
      <w:numFmt w:val="bullet"/>
      <w:start w:val="1"/>
    </w:lvl>
  </w:abstractNum>
  <w:abstractNum w:abstractNumId="28">
    <w:nsid w:val="100F8FCA"/>
    <w:multiLevelType w:val="hybridMultilevel"/>
    <w:lvl w:ilvl="0">
      <w:lvlJc w:val="left"/>
      <w:lvlText w:val="•"/>
      <w:numFmt w:val="bullet"/>
      <w:start w:val="1"/>
    </w:lvl>
  </w:abstractNum>
  <w:abstractNum w:abstractNumId="29">
    <w:nsid w:val="6590700B"/>
    <w:multiLevelType w:val="hybridMultilevel"/>
    <w:lvl w:ilvl="0">
      <w:lvlJc w:val="left"/>
      <w:lvlText w:val="•"/>
      <w:numFmt w:val="bullet"/>
      <w:start w:val="1"/>
    </w:lvl>
  </w:abstractNum>
  <w:abstractNum w:abstractNumId="30">
    <w:nsid w:val="15014ACB"/>
    <w:multiLevelType w:val="hybridMultilevel"/>
    <w:lvl w:ilvl="0">
      <w:lvlJc w:val="left"/>
      <w:lvlText w:val="•"/>
      <w:numFmt w:val="bullet"/>
      <w:start w:val="1"/>
    </w:lvl>
  </w:abstractNum>
  <w:abstractNum w:abstractNumId="31">
    <w:nsid w:val="5F5E7FD0"/>
    <w:multiLevelType w:val="hybridMultilevel"/>
    <w:lvl w:ilvl="0">
      <w:lvlJc w:val="left"/>
      <w:lvlText w:val="•"/>
      <w:numFmt w:val="bullet"/>
      <w:start w:val="1"/>
    </w:lvl>
  </w:abstractNum>
  <w:abstractNum w:abstractNumId="32">
    <w:nsid w:val="98A3148"/>
    <w:multiLevelType w:val="hybridMultilevel"/>
    <w:lvl w:ilvl="0">
      <w:lvlJc w:val="left"/>
      <w:lvlText w:val="•"/>
      <w:numFmt w:val="bullet"/>
      <w:start w:val="1"/>
    </w:lvl>
  </w:abstractNum>
  <w:abstractNum w:abstractNumId="33">
    <w:nsid w:val="799D0247"/>
    <w:multiLevelType w:val="hybridMultilevel"/>
    <w:lvl w:ilvl="0">
      <w:lvlJc w:val="left"/>
      <w:lvlText w:val="•"/>
      <w:numFmt w:val="bullet"/>
      <w:start w:val="1"/>
    </w:lvl>
  </w:abstractNum>
  <w:abstractNum w:abstractNumId="34">
    <w:nsid w:val="6B94764"/>
    <w:multiLevelType w:val="hybridMultilevel"/>
    <w:lvl w:ilvl="0">
      <w:lvlJc w:val="left"/>
      <w:lvlText w:val="•"/>
      <w:numFmt w:val="bullet"/>
      <w:start w:val="1"/>
    </w:lvl>
  </w:abstractNum>
  <w:abstractNum w:abstractNumId="35">
    <w:nsid w:val="42C296BD"/>
    <w:multiLevelType w:val="hybridMultilevel"/>
    <w:lvl w:ilvl="0">
      <w:lvlJc w:val="left"/>
      <w:lvlText w:val="•"/>
      <w:numFmt w:val="bullet"/>
      <w:start w:val="1"/>
    </w:lvl>
  </w:abstractNum>
  <w:abstractNum w:abstractNumId="36">
    <w:nsid w:val="168E121F"/>
    <w:multiLevelType w:val="hybridMultilevel"/>
    <w:lvl w:ilvl="0">
      <w:lvlJc w:val="left"/>
      <w:lvlText w:val="•"/>
      <w:numFmt w:val="bullet"/>
      <w:start w:val="1"/>
    </w:lvl>
  </w:abstractNum>
  <w:abstractNum w:abstractNumId="37">
    <w:nsid w:val="1EBA5D23"/>
    <w:multiLevelType w:val="hybridMultilevel"/>
    <w:lvl w:ilvl="0">
      <w:lvlJc w:val="left"/>
      <w:lvlText w:val="•"/>
      <w:numFmt w:val="bullet"/>
      <w:start w:val="1"/>
    </w:lvl>
  </w:abstractNum>
  <w:abstractNum w:abstractNumId="38">
    <w:nsid w:val="661E3F1E"/>
    <w:multiLevelType w:val="hybridMultilevel"/>
    <w:lvl w:ilvl="0">
      <w:lvlJc w:val="left"/>
      <w:lvlText w:val="•"/>
      <w:numFmt w:val="bullet"/>
      <w:start w:val="1"/>
    </w:lvl>
  </w:abstractNum>
  <w:abstractNum w:abstractNumId="39">
    <w:nsid w:val="5DC79EA8"/>
    <w:multiLevelType w:val="hybridMultilevel"/>
    <w:lvl w:ilvl="0">
      <w:lvlJc w:val="left"/>
      <w:lvlText w:val="•"/>
      <w:numFmt w:val="bullet"/>
      <w:start w:val="1"/>
    </w:lvl>
  </w:abstractNum>
  <w:abstractNum w:abstractNumId="40">
    <w:nsid w:val="540A471C"/>
    <w:multiLevelType w:val="hybridMultilevel"/>
    <w:lvl w:ilvl="0">
      <w:lvlJc w:val="left"/>
      <w:lvlText w:val="•"/>
      <w:numFmt w:val="bullet"/>
      <w:start w:val="1"/>
    </w:lvl>
  </w:abstractNum>
  <w:abstractNum w:abstractNumId="41">
    <w:nsid w:val="7BD3EE7B"/>
    <w:multiLevelType w:val="hybridMultilevel"/>
    <w:lvl w:ilvl="0">
      <w:lvlJc w:val="left"/>
      <w:lvlText w:val="•"/>
      <w:numFmt w:val="bullet"/>
      <w:start w:val="1"/>
    </w:lvl>
  </w:abstractNum>
  <w:abstractNum w:abstractNumId="42">
    <w:nsid w:val="51D9C564"/>
    <w:multiLevelType w:val="hybridMultilevel"/>
    <w:lvl w:ilvl="0">
      <w:lvlJc w:val="left"/>
      <w:lvlText w:val="•"/>
      <w:numFmt w:val="bullet"/>
      <w:start w:val="1"/>
    </w:lvl>
  </w:abstractNum>
  <w:abstractNum w:abstractNumId="43">
    <w:nsid w:val="613EFDC5"/>
    <w:multiLevelType w:val="hybridMultilevel"/>
    <w:lvl w:ilvl="0">
      <w:lvlJc w:val="left"/>
      <w:lvlText w:val="•"/>
      <w:numFmt w:val="bullet"/>
      <w:start w:val="1"/>
    </w:lvl>
  </w:abstractNum>
  <w:abstractNum w:abstractNumId="44">
    <w:nsid w:val="BF72B14"/>
    <w:multiLevelType w:val="hybridMultilevel"/>
    <w:lvl w:ilvl="0">
      <w:lvlJc w:val="left"/>
      <w:lvlText w:val="•"/>
      <w:numFmt w:val="bullet"/>
      <w:start w:val="1"/>
    </w:lvl>
  </w:abstractNum>
  <w:abstractNum w:abstractNumId="45">
    <w:nsid w:val="11447B73"/>
    <w:multiLevelType w:val="hybridMultilevel"/>
    <w:lvl w:ilvl="0">
      <w:lvlJc w:val="left"/>
      <w:lvlText w:val="•"/>
      <w:numFmt w:val="bullet"/>
      <w:start w:val="1"/>
    </w:lvl>
  </w:abstractNum>
  <w:abstractNum w:abstractNumId="46">
    <w:nsid w:val="42963E5A"/>
    <w:multiLevelType w:val="hybridMultilevel"/>
    <w:lvl w:ilvl="0">
      <w:lvlJc w:val="left"/>
      <w:lvlText w:val="•"/>
      <w:numFmt w:val="bullet"/>
      <w:start w:val="1"/>
    </w:lvl>
  </w:abstractNum>
  <w:abstractNum w:abstractNumId="47">
    <w:nsid w:val="A0382C5"/>
    <w:multiLevelType w:val="hybridMultilevel"/>
    <w:lvl w:ilvl="0">
      <w:lvlJc w:val="left"/>
      <w:lvlText w:val="•"/>
      <w:numFmt w:val="bullet"/>
      <w:start w:val="1"/>
    </w:lvl>
  </w:abstractNum>
  <w:abstractNum w:abstractNumId="48">
    <w:nsid w:val="8F2B15E"/>
    <w:multiLevelType w:val="hybridMultilevel"/>
    <w:lvl w:ilvl="0">
      <w:lvlJc w:val="left"/>
      <w:lvlText w:val="•"/>
      <w:numFmt w:val="bullet"/>
      <w:start w:val="1"/>
    </w:lvl>
  </w:abstractNum>
  <w:abstractNum w:abstractNumId="49">
    <w:nsid w:val="1A32234B"/>
    <w:multiLevelType w:val="hybridMultilevel"/>
    <w:lvl w:ilvl="0">
      <w:lvlJc w:val="left"/>
      <w:lvlText w:val="•"/>
      <w:numFmt w:val="bullet"/>
      <w:start w:val="1"/>
    </w:lvl>
  </w:abstractNum>
  <w:abstractNum w:abstractNumId="50">
    <w:nsid w:val="3B0FD379"/>
    <w:multiLevelType w:val="hybridMultilevel"/>
    <w:lvl w:ilvl="0">
      <w:lvlJc w:val="left"/>
      <w:lvlText w:val="•"/>
      <w:numFmt w:val="bullet"/>
      <w:start w:val="1"/>
    </w:lvl>
  </w:abstractNum>
  <w:abstractNum w:abstractNumId="51">
    <w:nsid w:val="68EB2F63"/>
    <w:multiLevelType w:val="hybridMultilevel"/>
    <w:lvl w:ilvl="0">
      <w:lvlJc w:val="left"/>
      <w:lvlText w:val="•"/>
      <w:numFmt w:val="bullet"/>
      <w:start w:val="1"/>
    </w:lvl>
  </w:abstractNum>
  <w:abstractNum w:abstractNumId="52">
    <w:nsid w:val="4962813B"/>
    <w:multiLevelType w:val="hybridMultilevel"/>
    <w:lvl w:ilvl="0">
      <w:lvlJc w:val="left"/>
      <w:lvlText w:val="•"/>
      <w:numFmt w:val="bullet"/>
      <w:start w:val="1"/>
    </w:lvl>
  </w:abstractNum>
  <w:abstractNum w:abstractNumId="53">
    <w:nsid w:val="60B6DF70"/>
    <w:multiLevelType w:val="hybridMultilevel"/>
    <w:lvl w:ilvl="0">
      <w:lvlJc w:val="left"/>
      <w:lvlText w:val="•"/>
      <w:numFmt w:val="bullet"/>
      <w:start w:val="1"/>
    </w:lvl>
  </w:abstractNum>
  <w:abstractNum w:abstractNumId="54">
    <w:nsid w:val="6A5EE64"/>
    <w:multiLevelType w:val="hybridMultilevel"/>
    <w:lvl w:ilvl="0">
      <w:lvlJc w:val="left"/>
      <w:lvlText w:val="•"/>
      <w:numFmt w:val="bullet"/>
      <w:start w:val="1"/>
    </w:lvl>
  </w:abstractNum>
  <w:abstractNum w:abstractNumId="55">
    <w:nsid w:val="14330624"/>
    <w:multiLevelType w:val="hybridMultilevel"/>
    <w:lvl w:ilvl="0">
      <w:lvlJc w:val="left"/>
      <w:lvlText w:val="•"/>
      <w:numFmt w:val="bullet"/>
      <w:start w:val="1"/>
    </w:lvl>
  </w:abstractNum>
  <w:abstractNum w:abstractNumId="56">
    <w:nsid w:val="7FFFCA11"/>
    <w:multiLevelType w:val="hybridMultilevel"/>
    <w:lvl w:ilvl="0">
      <w:lvlJc w:val="left"/>
      <w:lvlText w:val="•"/>
      <w:numFmt w:val="bullet"/>
      <w:start w:val="1"/>
    </w:lvl>
  </w:abstractNum>
  <w:abstractNum w:abstractNumId="57">
    <w:nsid w:val="1A27709E"/>
    <w:multiLevelType w:val="hybridMultilevel"/>
    <w:lvl w:ilvl="0">
      <w:lvlJc w:val="left"/>
      <w:lvlText w:val="•"/>
      <w:numFmt w:val="bullet"/>
      <w:start w:val="1"/>
    </w:lvl>
  </w:abstractNum>
  <w:abstractNum w:abstractNumId="58">
    <w:nsid w:val="71EA1109"/>
    <w:multiLevelType w:val="hybridMultilevel"/>
    <w:lvl w:ilvl="0">
      <w:lvlJc w:val="left"/>
      <w:lvlText w:val="•"/>
      <w:numFmt w:val="bullet"/>
      <w:start w:val="1"/>
    </w:lvl>
  </w:abstractNum>
  <w:abstractNum w:abstractNumId="59">
    <w:nsid w:val="100F59DC"/>
    <w:multiLevelType w:val="hybridMultilevel"/>
    <w:lvl w:ilvl="0">
      <w:lvlJc w:val="left"/>
      <w:lvlText w:val="•"/>
      <w:numFmt w:val="bullet"/>
      <w:start w:val="1"/>
    </w:lvl>
  </w:abstractNum>
  <w:abstractNum w:abstractNumId="60">
    <w:nsid w:val="7FB7E0AA"/>
    <w:multiLevelType w:val="hybridMultilevel"/>
    <w:lvl w:ilvl="0">
      <w:lvlJc w:val="left"/>
      <w:lvlText w:val="•"/>
      <w:numFmt w:val="bullet"/>
      <w:start w:val="1"/>
    </w:lvl>
  </w:abstractNum>
  <w:abstractNum w:abstractNumId="61">
    <w:nsid w:val="6EB5BD4"/>
    <w:multiLevelType w:val="hybridMultilevel"/>
    <w:lvl w:ilvl="0">
      <w:lvlJc w:val="left"/>
      <w:lvlText w:val="•"/>
      <w:numFmt w:val="bullet"/>
      <w:start w:val="1"/>
    </w:lvl>
  </w:abstractNum>
  <w:abstractNum w:abstractNumId="62">
    <w:nsid w:val="6F6DD9AC"/>
    <w:multiLevelType w:val="hybridMultilevel"/>
    <w:lvl w:ilvl="0">
      <w:lvlJc w:val="left"/>
      <w:lvlText w:val="•"/>
      <w:numFmt w:val="bullet"/>
      <w:start w:val="1"/>
    </w:lvl>
  </w:abstractNum>
  <w:abstractNum w:abstractNumId="63">
    <w:nsid w:val="94211F2"/>
    <w:multiLevelType w:val="hybridMultilevel"/>
    <w:lvl w:ilvl="0">
      <w:lvlJc w:val="left"/>
      <w:lvlText w:val="•"/>
      <w:numFmt w:val="bullet"/>
      <w:start w:val="1"/>
    </w:lvl>
  </w:abstractNum>
  <w:abstractNum w:abstractNumId="64">
    <w:nsid w:val="885E1B"/>
    <w:multiLevelType w:val="hybridMultilevel"/>
    <w:lvl w:ilvl="0">
      <w:lvlJc w:val="left"/>
      <w:lvlText w:val="•"/>
      <w:numFmt w:val="bullet"/>
      <w:start w:val="1"/>
    </w:lvl>
  </w:abstractNum>
  <w:abstractNum w:abstractNumId="65">
    <w:nsid w:val="76272110"/>
    <w:multiLevelType w:val="hybridMultilevel"/>
    <w:lvl w:ilvl="0">
      <w:lvlJc w:val="left"/>
      <w:lvlText w:val="•"/>
      <w:numFmt w:val="bullet"/>
      <w:start w:val="1"/>
    </w:lvl>
  </w:abstractNum>
  <w:abstractNum w:abstractNumId="66">
    <w:nsid w:val="4C04A8AF"/>
    <w:multiLevelType w:val="hybridMultilevel"/>
    <w:lvl w:ilvl="0">
      <w:lvlJc w:val="left"/>
      <w:lvlText w:val="•"/>
      <w:numFmt w:val="bullet"/>
      <w:start w:val="1"/>
    </w:lvl>
  </w:abstractNum>
  <w:abstractNum w:abstractNumId="67">
    <w:nsid w:val="1716703B"/>
    <w:multiLevelType w:val="hybridMultilevel"/>
    <w:lvl w:ilvl="0">
      <w:lvlJc w:val="left"/>
      <w:lvlText w:val="•"/>
      <w:numFmt w:val="bullet"/>
      <w:start w:val="1"/>
    </w:lvl>
  </w:abstractNum>
  <w:abstractNum w:abstractNumId="68">
    <w:nsid w:val="14E17E33"/>
    <w:multiLevelType w:val="hybridMultilevel"/>
    <w:lvl w:ilvl="0">
      <w:lvlJc w:val="left"/>
      <w:lvlText w:val="•"/>
      <w:numFmt w:val="bullet"/>
      <w:start w:val="1"/>
    </w:lvl>
  </w:abstractNum>
  <w:abstractNum w:abstractNumId="69">
    <w:nsid w:val="3222E7CD"/>
    <w:multiLevelType w:val="hybridMultilevel"/>
    <w:lvl w:ilvl="0">
      <w:lvlJc w:val="left"/>
      <w:lvlText w:val="•"/>
      <w:numFmt w:val="bullet"/>
      <w:start w:val="1"/>
    </w:lvl>
  </w:abstractNum>
  <w:abstractNum w:abstractNumId="70">
    <w:nsid w:val="74DE0EE3"/>
    <w:multiLevelType w:val="hybridMultilevel"/>
    <w:lvl w:ilvl="0">
      <w:lvlJc w:val="left"/>
      <w:lvlText w:val="•"/>
      <w:numFmt w:val="bullet"/>
      <w:start w:val="1"/>
    </w:lvl>
  </w:abstractNum>
  <w:abstractNum w:abstractNumId="71">
    <w:nsid w:val="68EBC550"/>
    <w:multiLevelType w:val="hybridMultilevel"/>
    <w:lvl w:ilvl="0">
      <w:lvlJc w:val="left"/>
      <w:lvlText w:val="•"/>
      <w:numFmt w:val="bullet"/>
      <w:start w:val="1"/>
    </w:lvl>
  </w:abstractNum>
  <w:abstractNum w:abstractNumId="72">
    <w:nsid w:val="2DF6D648"/>
    <w:multiLevelType w:val="hybridMultilevel"/>
    <w:lvl w:ilvl="0">
      <w:lvlJc w:val="left"/>
      <w:lvlText w:val="•"/>
      <w:numFmt w:val="bullet"/>
      <w:start w:val="1"/>
    </w:lvl>
  </w:abstractNum>
  <w:abstractNum w:abstractNumId="73">
    <w:nsid w:val="46B7D447"/>
    <w:multiLevelType w:val="hybridMultilevel"/>
    <w:lvl w:ilvl="0">
      <w:lvlJc w:val="left"/>
      <w:lvlText w:val="•"/>
      <w:numFmt w:val="bullet"/>
      <w:start w:val="1"/>
    </w:lvl>
  </w:abstractNum>
  <w:abstractNum w:abstractNumId="74">
    <w:nsid w:val="4A2AC315"/>
    <w:multiLevelType w:val="hybridMultilevel"/>
    <w:lvl w:ilvl="0">
      <w:lvlJc w:val="left"/>
      <w:lvlText w:val="•"/>
      <w:numFmt w:val="bullet"/>
      <w:start w:val="1"/>
    </w:lvl>
  </w:abstractNum>
  <w:abstractNum w:abstractNumId="75">
    <w:nsid w:val="39EE015C"/>
    <w:multiLevelType w:val="hybridMultilevel"/>
    <w:lvl w:ilvl="0">
      <w:lvlJc w:val="left"/>
      <w:lvlText w:val="•"/>
      <w:numFmt w:val="bullet"/>
      <w:start w:val="1"/>
    </w:lvl>
  </w:abstractNum>
  <w:abstractNum w:abstractNumId="76">
    <w:nsid w:val="57FC4FBB"/>
    <w:multiLevelType w:val="hybridMultilevel"/>
    <w:lvl w:ilvl="0">
      <w:lvlJc w:val="left"/>
      <w:lvlText w:val="•"/>
      <w:numFmt w:val="bullet"/>
      <w:start w:val="1"/>
    </w:lvl>
  </w:abstractNum>
  <w:abstractNum w:abstractNumId="77">
    <w:nsid w:val="CC1016F"/>
    <w:multiLevelType w:val="hybridMultilevel"/>
    <w:lvl w:ilvl="0">
      <w:lvlJc w:val="left"/>
      <w:lvlText w:val="•"/>
      <w:numFmt w:val="bullet"/>
      <w:start w:val="1"/>
    </w:lvl>
  </w:abstractNum>
  <w:abstractNum w:abstractNumId="78">
    <w:nsid w:val="43F18422"/>
    <w:multiLevelType w:val="hybridMultilevel"/>
    <w:lvl w:ilvl="0">
      <w:lvlJc w:val="left"/>
      <w:lvlText w:val="•"/>
      <w:numFmt w:val="bullet"/>
      <w:start w:val="1"/>
    </w:lvl>
  </w:abstractNum>
  <w:abstractNum w:abstractNumId="79">
    <w:nsid w:val="60EF0119"/>
    <w:multiLevelType w:val="hybridMultilevel"/>
    <w:lvl w:ilvl="0">
      <w:lvlJc w:val="left"/>
      <w:lvlText w:val="•"/>
      <w:numFmt w:val="bullet"/>
      <w:start w:val="1"/>
    </w:lvl>
  </w:abstractNum>
  <w:abstractNum w:abstractNumId="80">
    <w:nsid w:val="26F324BA"/>
    <w:multiLevelType w:val="hybridMultilevel"/>
    <w:lvl w:ilvl="0">
      <w:lvlJc w:val="left"/>
      <w:lvlText w:val="•"/>
      <w:numFmt w:val="bullet"/>
      <w:start w:val="1"/>
    </w:lvl>
  </w:abstractNum>
  <w:abstractNum w:abstractNumId="81">
    <w:nsid w:val="7F01579B"/>
    <w:multiLevelType w:val="hybridMultilevel"/>
    <w:lvl w:ilvl="0">
      <w:lvlJc w:val="left"/>
      <w:lvlText w:val="•"/>
      <w:numFmt w:val="bullet"/>
      <w:start w:val="1"/>
    </w:lvl>
  </w:abstractNum>
  <w:abstractNum w:abstractNumId="82">
    <w:nsid w:val="49DA307D"/>
    <w:multiLevelType w:val="hybridMultilevel"/>
    <w:lvl w:ilvl="0">
      <w:lvlJc w:val="left"/>
      <w:lvlText w:val="•"/>
      <w:numFmt w:val="bullet"/>
      <w:start w:val="1"/>
    </w:lvl>
  </w:abstractNum>
  <w:abstractNum w:abstractNumId="83">
    <w:nsid w:val="7055A5F5"/>
    <w:multiLevelType w:val="hybridMultilevel"/>
    <w:lvl w:ilvl="0">
      <w:lvlJc w:val="left"/>
      <w:lvlText w:val="•"/>
      <w:numFmt w:val="bullet"/>
      <w:start w:val="1"/>
    </w:lvl>
  </w:abstractNum>
  <w:abstractNum w:abstractNumId="84">
    <w:nsid w:val="5FB8370B"/>
    <w:multiLevelType w:val="hybridMultilevel"/>
    <w:lvl w:ilvl="0">
      <w:lvlJc w:val="left"/>
      <w:lvlText w:val="•"/>
      <w:numFmt w:val="bullet"/>
      <w:start w:val="1"/>
    </w:lvl>
  </w:abstractNum>
  <w:abstractNum w:abstractNumId="85">
    <w:nsid w:val="50801EE1"/>
    <w:multiLevelType w:val="hybridMultilevel"/>
    <w:lvl w:ilvl="0">
      <w:lvlJc w:val="left"/>
      <w:lvlText w:val="•"/>
      <w:numFmt w:val="bullet"/>
      <w:start w:val="1"/>
    </w:lvl>
  </w:abstractNum>
  <w:abstractNum w:abstractNumId="86">
    <w:nsid w:val="488AC1A"/>
    <w:multiLevelType w:val="hybridMultilevel"/>
    <w:lvl w:ilvl="0">
      <w:lvlJc w:val="left"/>
      <w:lvlText w:val="•"/>
      <w:numFmt w:val="bullet"/>
      <w:start w:val="1"/>
    </w:lvl>
  </w:abstractNum>
  <w:abstractNum w:abstractNumId="87">
    <w:nsid w:val="5FB8011C"/>
    <w:multiLevelType w:val="hybridMultilevel"/>
    <w:lvl w:ilvl="0">
      <w:lvlJc w:val="left"/>
      <w:lvlText w:val="•"/>
      <w:numFmt w:val="bullet"/>
      <w:start w:val="1"/>
    </w:lvl>
  </w:abstractNum>
  <w:abstractNum w:abstractNumId="88">
    <w:nsid w:val="6AA78F7F"/>
    <w:multiLevelType w:val="hybridMultilevel"/>
    <w:lvl w:ilvl="0">
      <w:lvlJc w:val="left"/>
      <w:lvlText w:val="•"/>
      <w:numFmt w:val="bullet"/>
      <w:start w:val="1"/>
    </w:lvl>
  </w:abstractNum>
  <w:abstractNum w:abstractNumId="89">
    <w:nsid w:val="7672BD23"/>
    <w:multiLevelType w:val="hybridMultilevel"/>
    <w:lvl w:ilvl="0">
      <w:lvlJc w:val="left"/>
      <w:lvlText w:val="•"/>
      <w:numFmt w:val="bullet"/>
      <w:start w:val="1"/>
    </w:lvl>
  </w:abstractNum>
  <w:abstractNum w:abstractNumId="90">
    <w:nsid w:val="6FC75AF8"/>
    <w:multiLevelType w:val="hybridMultilevel"/>
    <w:lvl w:ilvl="0">
      <w:lvlJc w:val="left"/>
      <w:lvlText w:val="•"/>
      <w:numFmt w:val="bullet"/>
      <w:start w:val="1"/>
    </w:lvl>
  </w:abstractNum>
  <w:abstractNum w:abstractNumId="91">
    <w:nsid w:val="6A5F7029"/>
    <w:multiLevelType w:val="hybridMultilevel"/>
    <w:lvl w:ilvl="0">
      <w:lvlJc w:val="left"/>
      <w:lvlText w:val="•"/>
      <w:numFmt w:val="bullet"/>
      <w:start w:val="1"/>
    </w:lvl>
  </w:abstractNum>
  <w:abstractNum w:abstractNumId="92">
    <w:nsid w:val="7D5E18F8"/>
    <w:multiLevelType w:val="hybridMultilevel"/>
    <w:lvl w:ilvl="0">
      <w:lvlJc w:val="left"/>
      <w:lvlText w:val="•"/>
      <w:numFmt w:val="bullet"/>
      <w:start w:val="1"/>
    </w:lvl>
  </w:abstractNum>
  <w:abstractNum w:abstractNumId="93">
    <w:nsid w:val="5F3534A4"/>
    <w:multiLevelType w:val="hybridMultilevel"/>
    <w:lvl w:ilvl="0">
      <w:lvlJc w:val="left"/>
      <w:lvlText w:val="•"/>
      <w:numFmt w:val="bullet"/>
      <w:start w:val="1"/>
    </w:lvl>
  </w:abstractNum>
  <w:abstractNum w:abstractNumId="94">
    <w:nsid w:val="73A1821B"/>
    <w:multiLevelType w:val="hybridMultilevel"/>
    <w:lvl w:ilvl="0">
      <w:lvlJc w:val="left"/>
      <w:lvlText w:val="•"/>
      <w:numFmt w:val="bullet"/>
      <w:start w:val="1"/>
    </w:lvl>
  </w:abstractNum>
  <w:abstractNum w:abstractNumId="95">
    <w:nsid w:val="7DE67713"/>
    <w:multiLevelType w:val="hybridMultilevel"/>
    <w:lvl w:ilvl="0">
      <w:lvlJc w:val="left"/>
      <w:lvlText w:val="•"/>
      <w:numFmt w:val="bullet"/>
      <w:start w:val="1"/>
    </w:lvl>
  </w:abstractNum>
  <w:abstractNum w:abstractNumId="96">
    <w:nsid w:val="555C55B5"/>
    <w:multiLevelType w:val="hybridMultilevel"/>
    <w:lvl w:ilvl="0">
      <w:lvlJc w:val="left"/>
      <w:lvlText w:val="•"/>
      <w:numFmt w:val="bullet"/>
      <w:start w:val="1"/>
    </w:lvl>
  </w:abstractNum>
  <w:abstractNum w:abstractNumId="97">
    <w:nsid w:val="3FA62ACA"/>
    <w:multiLevelType w:val="hybridMultilevel"/>
    <w:lvl w:ilvl="0">
      <w:lvlJc w:val="left"/>
      <w:lvlText w:val="•"/>
      <w:numFmt w:val="bullet"/>
      <w:start w:val="1"/>
    </w:lvl>
  </w:abstractNum>
  <w:abstractNum w:abstractNumId="98">
    <w:nsid w:val="14FCE74E"/>
    <w:multiLevelType w:val="hybridMultilevel"/>
    <w:lvl w:ilvl="0">
      <w:lvlJc w:val="left"/>
      <w:lvlText w:val="•"/>
      <w:numFmt w:val="bullet"/>
      <w:start w:val="1"/>
    </w:lvl>
  </w:abstractNum>
  <w:abstractNum w:abstractNumId="99">
    <w:nsid w:val="6A3DD3E8"/>
    <w:multiLevelType w:val="hybridMultilevel"/>
    <w:lvl w:ilvl="0">
      <w:lvlJc w:val="left"/>
      <w:lvlText w:val="•"/>
      <w:numFmt w:val="bullet"/>
      <w:start w:val="1"/>
    </w:lvl>
  </w:abstractNum>
  <w:abstractNum w:abstractNumId="100">
    <w:nsid w:val="71C91298"/>
    <w:multiLevelType w:val="hybridMultilevel"/>
    <w:lvl w:ilvl="0">
      <w:lvlJc w:val="left"/>
      <w:lvlText w:val="•"/>
      <w:numFmt w:val="bullet"/>
      <w:start w:val="1"/>
    </w:lvl>
  </w:abstractNum>
  <w:abstractNum w:abstractNumId="101">
    <w:nsid w:val="9DAF632"/>
    <w:multiLevelType w:val="hybridMultilevel"/>
    <w:lvl w:ilvl="0">
      <w:lvlJc w:val="left"/>
      <w:lvlText w:val="•"/>
      <w:numFmt w:val="bullet"/>
      <w:start w:val="1"/>
    </w:lvl>
  </w:abstractNum>
  <w:abstractNum w:abstractNumId="102">
    <w:nsid w:val="53299938"/>
    <w:multiLevelType w:val="hybridMultilevel"/>
    <w:lvl w:ilvl="0">
      <w:lvlJc w:val="left"/>
      <w:lvlText w:val="(%1)"/>
      <w:numFmt w:val="lowerLetter"/>
      <w:start w:val="1"/>
    </w:lvl>
  </w:abstractNum>
  <w:abstractNum w:abstractNumId="103">
    <w:nsid w:val="1FBFE8E0"/>
    <w:multiLevelType w:val="hybridMultilevel"/>
    <w:lvl w:ilvl="0">
      <w:lvlJc w:val="left"/>
      <w:lvlText w:val="(%1)"/>
      <w:numFmt w:val="lowerLetter"/>
      <w:start w:val="3"/>
    </w:lvl>
  </w:abstractNum>
  <w:abstractNum w:abstractNumId="104">
    <w:nsid w:val="5092CA79"/>
    <w:multiLevelType w:val="hybridMultilevel"/>
    <w:lvl w:ilvl="0">
      <w:lvlJc w:val="left"/>
      <w:lvlText w:val="(%1)"/>
      <w:numFmt w:val="decimal"/>
      <w:start w:val="1"/>
    </w:lvl>
  </w:abstractNum>
  <w:abstractNum w:abstractNumId="105">
    <w:nsid w:val="1D545C4D"/>
    <w:multiLevelType w:val="hybridMultilevel"/>
    <w:lvl w:ilvl="0">
      <w:lvlJc w:val="left"/>
      <w:lvlText w:val="%1."/>
      <w:numFmt w:val="decimal"/>
      <w:start w:val="1"/>
    </w:lvl>
    <w:lvl w:ilvl="1">
      <w:lvlJc w:val="left"/>
      <w:lvlText w:val="%2)"/>
      <w:numFmt w:val="lowerLetter"/>
      <w:start w:val="1"/>
    </w:lvl>
  </w:abstractNum>
  <w:abstractNum w:abstractNumId="106">
    <w:nsid w:val="59ADEA3D"/>
    <w:multiLevelType w:val="hybridMultilevel"/>
    <w:lvl w:ilvl="0">
      <w:lvlJc w:val="left"/>
      <w:lvlText w:val="%1."/>
      <w:numFmt w:val="decimal"/>
      <w:start w:val="1"/>
    </w:lvl>
    <w:lvl w:ilvl="1">
      <w:lvlJc w:val="left"/>
      <w:lvlText w:val="%2)"/>
      <w:numFmt w:val="lowerLetter"/>
      <w:start w:val="1"/>
    </w:lvl>
  </w:abstractNum>
  <w:abstractNum w:abstractNumId="107">
    <w:nsid w:val="288F1A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1" Type="http://schemas.openxmlformats.org/officeDocument/2006/relationships/hyperlink" Target="https://www.sec.gov/Archives/edgar/data/0001746473/000156459020039327/plrx-ex31_301.htm" TargetMode="External"/><Relationship Id="rId102" Type="http://schemas.openxmlformats.org/officeDocument/2006/relationships/hyperlink" Target="https://www.sec.gov/Archives/edgar/data/0001746473/000119312520322128/d61993dex31.htm" TargetMode="External"/><Relationship Id="rId103" Type="http://schemas.openxmlformats.org/officeDocument/2006/relationships/hyperlink" Target="https://www.sec.gov/Archives/edgar/data/0001746473/000119312520150643/d729258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2022-11-08T15:48:14Z</dcterms:created>
  <dcterms:modified xsi:type="dcterms:W3CDTF">2022-11-08T15:48:14Z</dcterms:modified>
</cp:coreProperties>
</file>