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60" w:after="283"/>
        <w:jc w:val="center"/>
        <w:rPr/>
      </w:pPr>
      <w:r>
        <w:rPr>
          <w:rFonts w:ascii="Times New Roman;sans-serif" w:hAnsi="Times New Roman;sans-serif"/>
          <w:b/>
          <w:color w:val="000000"/>
          <w:sz w:val="20"/>
        </w:rPr>
        <w:t>For the transition period from</w:t>
      </w:r>
      <w:r>
        <w:rPr>
          <w:color w:val="000000"/>
          <w:u w:val="single"/>
        </w:rPr>
        <w:t>           </w:t>
      </w:r>
      <w:r>
        <w:rPr>
          <w:rFonts w:ascii="Times New Roman;sans-serif" w:hAnsi="Times New Roman;sans-serif"/>
          <w:b/>
          <w:color w:val="000000"/>
          <w:sz w:val="20"/>
        </w:rPr>
        <w:t>to</w:t>
      </w:r>
      <w:r>
        <w:rPr>
          <w:color w:val="000000"/>
          <w:u w:val="single"/>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001-39303</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PLIANT THERAPEUTICS, INC.</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4736" w:type="dxa"/>
        <w:jc w:val="left"/>
        <w:tblInd w:w="0" w:type="dxa"/>
        <w:tblLayout w:type="fixed"/>
        <w:tblCellMar>
          <w:top w:w="28" w:type="dxa"/>
          <w:left w:w="28" w:type="dxa"/>
          <w:bottom w:w="28" w:type="dxa"/>
          <w:right w:w="28" w:type="dxa"/>
        </w:tblCellMar>
      </w:tblPr>
      <w:tblGrid>
        <w:gridCol w:w="1058"/>
        <w:gridCol w:w="927"/>
        <w:gridCol w:w="940"/>
        <w:gridCol w:w="109"/>
        <w:gridCol w:w="109"/>
        <w:gridCol w:w="109"/>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47-4272481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 Littlefield Avenue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94080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(650) 481-6770</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011" w:type="dxa"/>
        <w:jc w:val="left"/>
        <w:tblInd w:w="0" w:type="dxa"/>
        <w:tblLayout w:type="fixed"/>
        <w:tblCellMar>
          <w:top w:w="28" w:type="dxa"/>
          <w:left w:w="28" w:type="dxa"/>
          <w:bottom w:w="28" w:type="dxa"/>
          <w:right w:w="28" w:type="dxa"/>
        </w:tblCellMar>
      </w:tblPr>
      <w:tblGrid>
        <w:gridCol w:w="1175"/>
        <w:gridCol w:w="1027"/>
        <w:gridCol w:w="1038"/>
        <w:gridCol w:w="270"/>
        <w:gridCol w:w="270"/>
        <w:gridCol w:w="271"/>
        <w:gridCol w:w="1157"/>
        <w:gridCol w:w="1157"/>
        <w:gridCol w:w="1646"/>
      </w:tblGrid>
      <w:tr>
        <w:trPr/>
        <w:tc>
          <w:tcPr>
            <w:tcW w:w="1175"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Each Class</w:t>
            </w:r>
          </w:p>
        </w:tc>
        <w:tc>
          <w:tcPr>
            <w:tcW w:w="8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Trading</w:t>
              <w:br/>
              <w:t>Symbol</w:t>
            </w:r>
          </w:p>
        </w:tc>
        <w:tc>
          <w:tcPr>
            <w:tcW w:w="396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Name of Each Exchange on which Registered</w:t>
            </w:r>
          </w:p>
        </w:tc>
      </w:tr>
      <w:tr>
        <w:trPr/>
        <w:tc>
          <w:tcPr>
            <w:tcW w:w="324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par value $0.0001 per share</w:t>
            </w:r>
          </w:p>
        </w:tc>
        <w:tc>
          <w:tcPr>
            <w:tcW w:w="8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PLRX</w:t>
            </w:r>
          </w:p>
        </w:tc>
        <w:tc>
          <w:tcPr>
            <w:tcW w:w="396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853" w:type="dxa"/>
        <w:jc w:val="left"/>
        <w:tblInd w:w="0" w:type="dxa"/>
        <w:tblLayout w:type="fixed"/>
        <w:tblCellMar>
          <w:top w:w="28" w:type="dxa"/>
          <w:left w:w="28" w:type="dxa"/>
          <w:bottom w:w="28" w:type="dxa"/>
          <w:right w:w="28" w:type="dxa"/>
        </w:tblCellMar>
      </w:tblPr>
      <w:tblGrid>
        <w:gridCol w:w="891"/>
        <w:gridCol w:w="783"/>
        <w:gridCol w:w="785"/>
        <w:gridCol w:w="285"/>
        <w:gridCol w:w="285"/>
        <w:gridCol w:w="286"/>
        <w:gridCol w:w="109"/>
        <w:gridCol w:w="109"/>
        <w:gridCol w:w="109"/>
        <w:gridCol w:w="769"/>
        <w:gridCol w:w="769"/>
        <w:gridCol w:w="772"/>
        <w:gridCol w:w="264"/>
        <w:gridCol w:w="264"/>
        <w:gridCol w:w="373"/>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901"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856" w:type="dxa"/>
            <w:gridSpan w:val="3"/>
            <w:tcBorders/>
            <w:tcMar>
              <w:top w:w="0" w:type="dxa"/>
              <w:left w:w="0" w:type="dxa"/>
              <w:bottom w:w="0" w:type="dxa"/>
              <w:right w:w="0" w:type="dxa"/>
            </w:tcMar>
            <w:vAlign w:val="center"/>
          </w:tcPr>
          <w:p>
            <w:pPr>
              <w:pStyle w:val="TableContents"/>
              <w:bidi w:val="0"/>
              <w:spacing w:lineRule="auto" w:line="240" w:before="120" w:after="283"/>
              <w:ind w:left="0" w:right="0" w:firstLine="54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shell company (as defined in Rule 12b-2 of the Exchange Act). Yes ☐ No ☒ </w:t>
      </w:r>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May 1, 2024, the registrant had 60,325,832 shares of common stock, $0.0001 par value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712" w:type="dxa"/>
        <w:jc w:val="left"/>
        <w:tblInd w:w="0" w:type="dxa"/>
        <w:tblLayout w:type="fixed"/>
        <w:tblCellMar>
          <w:top w:w="28" w:type="dxa"/>
          <w:left w:w="28" w:type="dxa"/>
          <w:bottom w:w="28" w:type="dxa"/>
          <w:right w:w="28" w:type="dxa"/>
        </w:tblCellMar>
      </w:tblPr>
      <w:tblGrid>
        <w:gridCol w:w="353"/>
        <w:gridCol w:w="309"/>
        <w:gridCol w:w="314"/>
        <w:gridCol w:w="2452"/>
        <w:gridCol w:w="2452"/>
        <w:gridCol w:w="2460"/>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52" w:type="dxa"/>
            <w:tcBorders/>
            <w:vAlign w:val="center"/>
          </w:tcPr>
          <w:p>
            <w:pPr>
              <w:pStyle w:val="TableContents"/>
              <w:bidi w:val="0"/>
              <w:spacing w:before="0" w:after="283"/>
              <w:jc w:val="left"/>
              <w:rPr>
                <w:sz w:val="4"/>
                <w:szCs w:val="4"/>
              </w:rPr>
            </w:pPr>
            <w:r>
              <w:rPr>
                <w:sz w:val="4"/>
                <w:szCs w:val="4"/>
              </w:rPr>
            </w:r>
          </w:p>
        </w:tc>
        <w:tc>
          <w:tcPr>
            <w:tcW w:w="2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0">
              <w:r>
                <w:rPr>
                  <w:rStyle w:val="InternetLink"/>
                  <w:rFonts w:ascii="Times New Roman;sans-serif" w:hAnsi="Times New Roman;sans-serif"/>
                  <w:b/>
                  <w:color w:val="112ADB"/>
                  <w:sz w:val="20"/>
                  <w:u w:val="single"/>
                </w:rPr>
                <w:t>PART I.</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0">
              <w:r>
                <w:rPr>
                  <w:rStyle w:val="InternetLink"/>
                  <w:rFonts w:ascii="Times New Roman;sans-serif" w:hAnsi="Times New Roman;sans-serif"/>
                  <w:b w:val="false"/>
                  <w:color w:val="0E32E1"/>
                  <w:sz w:val="20"/>
                  <w:u w:val="single"/>
                </w:rPr>
                <w:t>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0">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3">
              <w:r>
                <w:rPr>
                  <w:rStyle w:val="InternetLink"/>
                  <w:rFonts w:ascii="Times New Roman;sans-serif" w:hAnsi="Times New Roman;sans-serif"/>
                  <w:b w:val="false"/>
                  <w:color w:val="112ADB"/>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3">
              <w:r>
                <w:rPr>
                  <w:rStyle w:val="InternetLink"/>
                  <w:rFonts w:ascii="Times New Roman;sans-serif" w:hAnsi="Times New Roman;sans-serif"/>
                  <w:b w:val="false"/>
                  <w:color w:val="000080"/>
                  <w:sz w:val="20"/>
                  <w:u w:val="single"/>
                </w:rPr>
                <w:t>Condensed Financial Statements</w:t>
              </w:r>
            </w:hyperlink>
            <w:r>
              <w:rPr>
                <w:rFonts w:ascii="Times New Roman;sans-serif" w:hAnsi="Times New Roman;sans-serif"/>
                <w:b w:val="false"/>
                <w:color w:val="0E32E1"/>
                <w:sz w:val="20"/>
                <w:u w:val="single"/>
              </w:rPr>
              <w:t xml:space="preserve"> (Unaudited)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3">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6">
              <w:r>
                <w:rPr>
                  <w:rStyle w:val="InternetLink"/>
                  <w:rFonts w:ascii="Times New Roman;sans-serif" w:hAnsi="Times New Roman;sans-serif"/>
                  <w:b w:val="false"/>
                  <w:color w:val="0E32E1"/>
                  <w:sz w:val="20"/>
                  <w:u w:val="single"/>
                </w:rPr>
                <w:t xml:space="preserve">Condensed Balance Sheets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6">
              <w:r>
                <w:rPr>
                  <w:rStyle w:val="InternetLink"/>
                  <w:rFonts w:ascii="Times New Roman;sans-serif" w:hAnsi="Times New Roman;sans-serif"/>
                  <w:b w:val="false"/>
                  <w:color w:val="112ADB"/>
                  <w:sz w:val="20"/>
                  <w:u w:val="single"/>
                </w:rPr>
                <w:t>6</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9">
              <w:r>
                <w:rPr>
                  <w:rStyle w:val="InternetLink"/>
                  <w:rFonts w:ascii="Times New Roman;sans-serif" w:hAnsi="Times New Roman;sans-serif"/>
                  <w:b w:val="false"/>
                  <w:color w:val="0E32E1"/>
                  <w:sz w:val="20"/>
                  <w:u w:val="single"/>
                </w:rPr>
                <w:t xml:space="preserve">Condensed Statements of Operations and Comprehensive Loss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9">
              <w:r>
                <w:rPr>
                  <w:rStyle w:val="InternetLink"/>
                  <w:rFonts w:ascii="Times New Roman;sans-serif" w:hAnsi="Times New Roman;sans-serif"/>
                  <w:b w:val="false"/>
                  <w:color w:val="112ADB"/>
                  <w:sz w:val="20"/>
                  <w:u w:val="single"/>
                </w:rPr>
                <w:t>7</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22">
              <w:r>
                <w:rPr>
                  <w:rStyle w:val="InternetLink"/>
                  <w:rFonts w:ascii="Times New Roman;sans-serif" w:hAnsi="Times New Roman;sans-serif"/>
                  <w:b w:val="false"/>
                  <w:color w:val="0E32E1"/>
                  <w:sz w:val="20"/>
                  <w:u w:val="single"/>
                </w:rPr>
                <w:t xml:space="preserve">Condensed Statements of Stockholders’ Equity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22">
              <w:r>
                <w:rPr>
                  <w:rStyle w:val="InternetLink"/>
                  <w:rFonts w:ascii="Times New Roman;sans-serif" w:hAnsi="Times New Roman;sans-serif"/>
                  <w:b w:val="false"/>
                  <w:color w:val="112ADB"/>
                  <w:sz w:val="20"/>
                  <w:u w:val="single"/>
                </w:rPr>
                <w:t>8</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25">
              <w:r>
                <w:rPr>
                  <w:rStyle w:val="InternetLink"/>
                  <w:rFonts w:ascii="Times New Roman;sans-serif" w:hAnsi="Times New Roman;sans-serif"/>
                  <w:b w:val="false"/>
                  <w:color w:val="0E32E1"/>
                  <w:sz w:val="20"/>
                  <w:u w:val="single"/>
                </w:rPr>
                <w:t>Condensed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25">
              <w:r>
                <w:rPr>
                  <w:rStyle w:val="InternetLink"/>
                  <w:rFonts w:ascii="Times New Roman;sans-serif" w:hAnsi="Times New Roman;sans-serif"/>
                  <w:b w:val="false"/>
                  <w:color w:val="112ADB"/>
                  <w:sz w:val="20"/>
                  <w:u w:val="single"/>
                </w:rPr>
                <w:t>10</w:t>
              </w:r>
            </w:hyperlink>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28">
              <w:r>
                <w:rPr>
                  <w:rStyle w:val="InternetLink"/>
                  <w:rFonts w:ascii="Times New Roman;sans-serif" w:hAnsi="Times New Roman;sans-serif"/>
                  <w:b w:val="false"/>
                  <w:color w:val="0E32E1"/>
                  <w:sz w:val="20"/>
                  <w:u w:val="single"/>
                </w:rPr>
                <w:t xml:space="preserve">Notes to Condensed Financial Statements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28">
              <w:r>
                <w:rPr>
                  <w:rStyle w:val="InternetLink"/>
                  <w:rFonts w:ascii="Times New Roman;sans-serif" w:hAnsi="Times New Roman;sans-serif"/>
                  <w:b w:val="false"/>
                  <w:color w:val="112ADB"/>
                  <w:sz w:val="20"/>
                  <w:u w:val="single"/>
                </w:rPr>
                <w:t>11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82">
              <w:r>
                <w:rPr>
                  <w:rStyle w:val="InternetLink"/>
                  <w:rFonts w:ascii="Times New Roman;sans-serif" w:hAnsi="Times New Roman;sans-serif"/>
                  <w:b w:val="false"/>
                  <w:color w:val="112ADB"/>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82">
              <w:r>
                <w:rPr>
                  <w:rStyle w:val="InternetLink"/>
                  <w:rFonts w:ascii="Times New Roman;sans-serif" w:hAnsi="Times New Roman;sans-serif"/>
                  <w:b w:val="false"/>
                  <w:color w:val="0E32E1"/>
                  <w:sz w:val="20"/>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82">
              <w:r>
                <w:rPr>
                  <w:rStyle w:val="InternetLink"/>
                  <w:rFonts w:ascii="Times New Roman;sans-serif" w:hAnsi="Times New Roman;sans-serif"/>
                  <w:b w:val="false"/>
                  <w:color w:val="112ADB"/>
                  <w:sz w:val="20"/>
                  <w:u w:val="single"/>
                </w:rPr>
                <w:t>20</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18">
              <w:r>
                <w:rPr>
                  <w:rStyle w:val="InternetLink"/>
                  <w:rFonts w:ascii="Times New Roman;sans-serif" w:hAnsi="Times New Roman;sans-serif"/>
                  <w:b w:val="false"/>
                  <w:color w:val="112ADB"/>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18">
              <w:r>
                <w:rPr>
                  <w:rStyle w:val="InternetLink"/>
                  <w:rFonts w:ascii="Times New Roman;sans-serif" w:hAnsi="Times New Roman;sans-serif"/>
                  <w:b w:val="false"/>
                  <w:color w:val="0E32E1"/>
                  <w:sz w:val="20"/>
                  <w:u w:val="single"/>
                </w:rPr>
                <w:t>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18">
              <w:r>
                <w:rPr>
                  <w:rStyle w:val="InternetLink"/>
                  <w:rFonts w:ascii="Times New Roman;sans-serif" w:hAnsi="Times New Roman;sans-serif"/>
                  <w:b w:val="false"/>
                  <w:color w:val="112ADB"/>
                  <w:sz w:val="20"/>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21">
              <w:r>
                <w:rPr>
                  <w:rStyle w:val="InternetLink"/>
                  <w:rFonts w:ascii="Times New Roman;sans-serif" w:hAnsi="Times New Roman;sans-serif"/>
                  <w:b w:val="false"/>
                  <w:color w:val="112ADB"/>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21">
              <w:r>
                <w:rPr>
                  <w:rStyle w:val="InternetLink"/>
                  <w:rFonts w:ascii="Times New Roman;sans-serif" w:hAnsi="Times New Roman;sans-serif"/>
                  <w:b w:val="false"/>
                  <w:color w:val="0E32E1"/>
                  <w:sz w:val="20"/>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21">
              <w:r>
                <w:rPr>
                  <w:rStyle w:val="InternetLink"/>
                  <w:rFonts w:ascii="Times New Roman;sans-serif" w:hAnsi="Times New Roman;sans-serif"/>
                  <w:b w:val="false"/>
                  <w:color w:val="112ADB"/>
                  <w:sz w:val="20"/>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24">
              <w:r>
                <w:rPr>
                  <w:rStyle w:val="InternetLink"/>
                  <w:rFonts w:ascii="Times New Roman;sans-serif" w:hAnsi="Times New Roman;sans-serif"/>
                  <w:b/>
                  <w:color w:val="112ADB"/>
                  <w:sz w:val="20"/>
                  <w:u w:val="single"/>
                </w:rPr>
                <w:t>PART II.</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24">
              <w:r>
                <w:rPr>
                  <w:rStyle w:val="InternetLink"/>
                  <w:rFonts w:ascii="Times New Roman;sans-serif" w:hAnsi="Times New Roman;sans-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24">
              <w:r>
                <w:rPr>
                  <w:rStyle w:val="InternetLink"/>
                  <w:rFonts w:ascii="Times New Roman;sans-serif" w:hAnsi="Times New Roman;sans-serif"/>
                  <w:b w:val="false"/>
                  <w:color w:val="112ADB"/>
                  <w:sz w:val="20"/>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112ADB"/>
                <w:u w:val="single"/>
              </w:rPr>
            </w:pPr>
            <w:r>
              <w:rPr>
                <w:color w:val="112ADB"/>
                <w:u w:val="single"/>
              </w:rPr>
              <w:t> </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E32E1"/>
              </w:rPr>
            </w:pPr>
            <w:r>
              <w:rPr>
                <w:color w:val="0E32E1"/>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27">
              <w:r>
                <w:rPr>
                  <w:rStyle w:val="InternetLink"/>
                  <w:rFonts w:ascii="Times New Roman;sans-serif" w:hAnsi="Times New Roman;sans-serif"/>
                  <w:b w:val="false"/>
                  <w:color w:val="112ADB"/>
                  <w:sz w:val="20"/>
                  <w:u w:val="single"/>
                </w:rPr>
                <w:t>Item 1.</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27">
              <w:r>
                <w:rPr>
                  <w:rStyle w:val="InternetLink"/>
                  <w:rFonts w:ascii="Times New Roman;sans-serif" w:hAnsi="Times New Roman;sans-serif"/>
                  <w:b w:val="false"/>
                  <w:color w:val="0E32E1"/>
                  <w:sz w:val="20"/>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27">
              <w:r>
                <w:rPr>
                  <w:rStyle w:val="InternetLink"/>
                  <w:rFonts w:ascii="Times New Roman;sans-serif" w:hAnsi="Times New Roman;sans-serif"/>
                  <w:b w:val="false"/>
                  <w:color w:val="112ADB"/>
                  <w:sz w:val="20"/>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30">
              <w:r>
                <w:rPr>
                  <w:rStyle w:val="InternetLink"/>
                  <w:rFonts w:ascii="Times New Roman;sans-serif" w:hAnsi="Times New Roman;sans-serif"/>
                  <w:b w:val="false"/>
                  <w:color w:val="112ADB"/>
                  <w:sz w:val="20"/>
                  <w:u w:val="single"/>
                </w:rPr>
                <w:t>Item 1A.</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30">
              <w:r>
                <w:rPr>
                  <w:rStyle w:val="InternetLink"/>
                  <w:rFonts w:ascii="Times New Roman;sans-serif" w:hAnsi="Times New Roman;sans-serif"/>
                  <w:b w:val="false"/>
                  <w:color w:val="0E32E1"/>
                  <w:sz w:val="20"/>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30">
              <w:r>
                <w:rPr>
                  <w:rStyle w:val="InternetLink"/>
                  <w:rFonts w:ascii="Times New Roman;sans-serif" w:hAnsi="Times New Roman;sans-serif"/>
                  <w:b w:val="false"/>
                  <w:color w:val="112ADB"/>
                  <w:sz w:val="20"/>
                  <w:u w:val="single"/>
                </w:rPr>
                <w:t>26</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33">
              <w:r>
                <w:rPr>
                  <w:rStyle w:val="InternetLink"/>
                  <w:rFonts w:ascii="Times New Roman;sans-serif" w:hAnsi="Times New Roman;sans-serif"/>
                  <w:b w:val="false"/>
                  <w:color w:val="112ADB"/>
                  <w:sz w:val="20"/>
                  <w:u w:val="single"/>
                </w:rPr>
                <w:t>Item 2.</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33">
              <w:r>
                <w:rPr>
                  <w:rStyle w:val="InternetLink"/>
                  <w:rFonts w:ascii="Times New Roman;sans-serif" w:hAnsi="Times New Roman;sans-serif"/>
                  <w:b w:val="false"/>
                  <w:color w:val="0E32E1"/>
                  <w:sz w:val="20"/>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33">
              <w:r>
                <w:rPr>
                  <w:rStyle w:val="InternetLink"/>
                  <w:rFonts w:ascii="Times New Roman;sans-serif" w:hAnsi="Times New Roman;sans-serif"/>
                  <w:b w:val="false"/>
                  <w:color w:val="112ADB"/>
                  <w:sz w:val="20"/>
                  <w:u w:val="single"/>
                </w:rPr>
                <w:t>71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36">
              <w:r>
                <w:rPr>
                  <w:rStyle w:val="InternetLink"/>
                  <w:rFonts w:ascii="Times New Roman;sans-serif" w:hAnsi="Times New Roman;sans-serif"/>
                  <w:b w:val="false"/>
                  <w:color w:val="112ADB"/>
                  <w:sz w:val="20"/>
                  <w:u w:val="single"/>
                </w:rPr>
                <w:t>Item 3.</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36">
              <w:r>
                <w:rPr>
                  <w:rStyle w:val="InternetLink"/>
                  <w:rFonts w:ascii="Times New Roman;sans-serif" w:hAnsi="Times New Roman;sans-serif"/>
                  <w:b w:val="false"/>
                  <w:color w:val="0E32E1"/>
                  <w:sz w:val="20"/>
                  <w:u w:val="single"/>
                </w:rPr>
                <w:t>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36">
              <w:r>
                <w:rPr>
                  <w:rStyle w:val="InternetLink"/>
                  <w:rFonts w:ascii="Times New Roman;sans-serif" w:hAnsi="Times New Roman;sans-serif"/>
                  <w:b w:val="false"/>
                  <w:color w:val="112ADB"/>
                  <w:sz w:val="20"/>
                  <w:u w:val="single"/>
                </w:rPr>
                <w:t>71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39">
              <w:r>
                <w:rPr>
                  <w:rStyle w:val="InternetLink"/>
                  <w:rFonts w:ascii="Times New Roman;sans-serif" w:hAnsi="Times New Roman;sans-serif"/>
                  <w:b w:val="false"/>
                  <w:color w:val="112ADB"/>
                  <w:sz w:val="20"/>
                  <w:u w:val="single"/>
                </w:rPr>
                <w:t>Item 4.</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39">
              <w:r>
                <w:rPr>
                  <w:rStyle w:val="InternetLink"/>
                  <w:rFonts w:ascii="Times New Roman;sans-serif" w:hAnsi="Times New Roman;sans-serif"/>
                  <w:b w:val="false"/>
                  <w:color w:val="0E32E1"/>
                  <w:sz w:val="20"/>
                  <w:u w:val="single"/>
                </w:rPr>
                <w:t>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39">
              <w:r>
                <w:rPr>
                  <w:rStyle w:val="InternetLink"/>
                  <w:rFonts w:ascii="Times New Roman;sans-serif" w:hAnsi="Times New Roman;sans-serif"/>
                  <w:b w:val="false"/>
                  <w:color w:val="112ADB"/>
                  <w:sz w:val="20"/>
                  <w:u w:val="single"/>
                </w:rPr>
                <w:t>71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42">
              <w:r>
                <w:rPr>
                  <w:rStyle w:val="InternetLink"/>
                  <w:rFonts w:ascii="Times New Roman;sans-serif" w:hAnsi="Times New Roman;sans-serif"/>
                  <w:b w:val="false"/>
                  <w:color w:val="112ADB"/>
                  <w:sz w:val="20"/>
                  <w:u w:val="single"/>
                </w:rPr>
                <w:t>Item 5.</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42">
              <w:r>
                <w:rPr>
                  <w:rStyle w:val="InternetLink"/>
                  <w:rFonts w:ascii="Times New Roman;sans-serif" w:hAnsi="Times New Roman;sans-serif"/>
                  <w:b w:val="false"/>
                  <w:color w:val="0E32E1"/>
                  <w:sz w:val="20"/>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42">
              <w:r>
                <w:rPr>
                  <w:rStyle w:val="InternetLink"/>
                  <w:rFonts w:ascii="Times New Roman;sans-serif" w:hAnsi="Times New Roman;sans-serif"/>
                  <w:b w:val="false"/>
                  <w:color w:val="112ADB"/>
                  <w:sz w:val="20"/>
                  <w:u w:val="single"/>
                </w:rPr>
                <w:t>71</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45">
              <w:r>
                <w:rPr>
                  <w:rStyle w:val="InternetLink"/>
                  <w:rFonts w:ascii="Times New Roman;sans-serif" w:hAnsi="Times New Roman;sans-serif"/>
                  <w:b w:val="false"/>
                  <w:color w:val="112ADB"/>
                  <w:sz w:val="20"/>
                  <w:u w:val="single"/>
                </w:rPr>
                <w:t>Item 6.</w:t>
              </w:r>
            </w:hyperlink>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45">
              <w:r>
                <w:rPr>
                  <w:rStyle w:val="InternetLink"/>
                  <w:rFonts w:ascii="Times New Roman;sans-serif" w:hAnsi="Times New Roman;sans-serif"/>
                  <w:b w:val="false"/>
                  <w:color w:val="0E32E1"/>
                  <w:sz w:val="20"/>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45">
              <w:r>
                <w:rPr>
                  <w:rStyle w:val="InternetLink"/>
                  <w:rFonts w:ascii="Times New Roman;sans-serif" w:hAnsi="Times New Roman;sans-serif"/>
                  <w:b w:val="false"/>
                  <w:color w:val="112ADB"/>
                  <w:sz w:val="20"/>
                  <w:u w:val="single"/>
                </w:rPr>
                <w:t>72</w:t>
              </w:r>
            </w:hyperlink>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1b49ef433514429a74807e6b99c5792_148">
              <w:r>
                <w:rPr>
                  <w:rStyle w:val="InternetLink"/>
                  <w:rFonts w:ascii="Times New Roman;sans-serif" w:hAnsi="Times New Roman;sans-serif"/>
                  <w:b w:val="false"/>
                  <w:color w:val="112ADB"/>
                  <w:sz w:val="20"/>
                  <w:u w:val="single"/>
                </w:rPr>
                <w:t>Signatures</w:t>
              </w:r>
            </w:hyperlink>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1b49ef433514429a74807e6b99c5792_148">
              <w:r>
                <w:rPr>
                  <w:rStyle w:val="InternetLink"/>
                  <w:rFonts w:ascii="Times New Roman;sans-serif" w:hAnsi="Times New Roman;sans-serif"/>
                  <w:b w:val="false"/>
                  <w:color w:val="112ADB"/>
                  <w:sz w:val="20"/>
                  <w:u w:val="single"/>
                </w:rPr>
                <w:t>73</w:t>
              </w:r>
            </w:hyperlink>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or this Report, contains forward-looking statements that involve risks, uncertainties, and assumptions that, if they never materialize or prove incorrect, could cause our results to differ materially from those expressed or implied by such forward-looking statements. The statements contained in this Report that are not purely historical are forward-looking statements within the meaning of Section 27A of the Securities Act of 1933, as amended, or the Securities Act, and Section 21E of the Securities Exchange Act of 1934, as amended, or the Exchange Act. Forward-looking statements are often identified by the use of words such as, but not limited to, “anticipate,” “believe,” “could,” “estimate,” “expect,” “intend,” “may,” “plan,” “potential,” “predict,” “project,” “should,” “will,” “would” or the negative of those terms, and similar expressions that convey uncertainty of future events or outcomes. Any statements contained herein that are not statements of historical facts may be deemed to be forward-looking statements. Forward-looking statements in this Report include, but are not limited to, statements about: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estimates regarding expenses, future revenue, capital requirements and needs for additional financing;</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success, cost and timing of our product development activities and clinical trials of our lead product candidate, bexotegrast (PLN-74809), including our expectations that the implementation of BEACON-IPF as a pivotal adaptive Phase 2b/3 trial design will significantly shorten bexotegrast’s late-stage development compared to standalone Phase 2b and Phase 3 trials, and our other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to initiate, recruit and enroll patients in, and conduct our clinical trials at the pace that we project;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and maintain regulatory approvals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to obtain funding for our operations, including funding necessary to complete further development and, upon successful development, if approved, commercialize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effect and impact of new, existing and proposed laws and regulations;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potential benefit of orphan drug and Fast Track designations for bexotegrast;</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ability to compete with companies currently marketing or engaged in the development of treatments for fibrosis;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obtaining and maintaining intellectual property protection for our product candidates and the duration of such protection;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manufacture of our product candidates for clinical trials and for commercial use, if approved;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dependence on future collaborators for developing, obtaining regulatory approval for and commercializing product candidates in the collaboration;</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receipt and timing of any milestone payments or royalties under any future research collaboration or license agreements or arrangements;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plans and strategy regarding the commercialization of any products that are approved for marketing and our ability to establish adequate pricing in the U.S. and international markets;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size and growth potential of the markets for our product candidates, and our ability to serve those markets, either alone or in combination with others;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 xml:space="preserve">Our ability to attract and retain qualified employees and key personnel; </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expectations regarding government and third-party payor coverage and reimbursement; and</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Our expectations of obtaining a positive health technology assessment recommending our products.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statements are based on the beliefs and assumptions of our management, which are in turn based on information currently available to management. Such forward-looking statements are subject to risks, uncertainties and other important factors that could cause actual results and the timing of certain events to differ materially from future results and timing expressed or implied by such forward-looking statements. Factors that could cause or contribute to such differences include, but are not limited to, those discussed in the section entitled “Risk Factors” included under Part II, Item 1A in this Report. Furthermore, such forward-looking statements speak only as of the date of this Report. Except as required by law, we undertake no obligation to update any forward-looking statements to reflect events or circumstances after the date of such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SUMMARY OF RISKS ASSOCIATED WITH OUR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involves significant risks, some of which are summarized below. The summary risk factors listed below should be read together with the text of the full risk factors discussed in "Part II, Item 1A - Risk Factors" in this Report. You should carefully consider the risks described below, as well as the other information in this Report, including our financial statements and the related notes and “Management’s Discussion and Analysis of Financial Condition and Results of Operations” as well as in other documents that we file with the Securities and Exchange Commission, or the SEC. The occurrence of any of the events or developments described in this Report could have a material adverse effect on our business, financial condition, results of operations, growth prospects and stock price. In such an event, the market price of our common stock could decline. Additional risks and uncertainties not presently known to us or that we currently deem immaterial may also impair our business operations and the market price of our common stock.</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Financial Position and Need for Additional Capital</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have incurred significant net losses since inception, and we expect to continue to incur significant net losses for the foreseeable future.</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future commercialization efforts or other operations.</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Research and Development and the Biopharmaceutical Industry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have a limited operating history, which may make it difficult to evaluate our prospects and likelihood of success.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business is highly dependent on the success of our lead product candidate, bexotegrast and any other product candidates that we advance into the clinic. All of our product candidates will require significant additional preclinical and clinical development before we may be able to seek regulatory approval for and launch a product commercially.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approach to drug discovery and development in the area of fibrotic diseases is unproven and may not result in marketable products.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Clinical development involves a lengthy, complex, and expensive process, with an uncertain outcome to support either a marketing authorization or positive pricing and reimbursement decisions.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may incur additional costs or experience delays in completing, or ultimately be unable to complete, the development and commercialization of bexotegrast or any other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may fail to obtain and maintain certain regulatory exclusivities and orphan designations in some jurisdictions and therefore fail to secure orphan exclusivity or other exclusivity extensions in those jurisdictions.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face substantial competition, which may result in others discovering, developing, or commercializing products before or more successfully than us.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We may fail to secure an appropriate reimbursement price or a positive health technology assessment.</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may be adversely impacted due to disruptions caused by marketplace conditions, including the effects of health epidemics and pandemics, such as COVID-19, or other geopolitical conditions.</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Intellectual Property</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success depends in part on our ability to obtain patent term extensions and to protect our intellectual property. It is difficult and costly to protect our proprietary rights and technology, and we may not be able to ensure their protection.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Our Reliance on Third Parties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rely on third parties to conduct certain aspects of our preclinical studies and clinical trials and for tissue samples and other materials required for our research and development activities.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We rely on single-source third party suppliers located in foreign jurisdictions, including China, to manufacture our drug candidates. An interruption in this supply, caused by a business interruption or geopolitical events, could materially disrupt our research and development activities.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If we are unable to enter into new collaborations, or if these collaborations are not successful, our business could be adversely affected.</w:t>
      </w:r>
    </w:p>
    <w:p>
      <w:pPr>
        <w:pStyle w:val="TextBody"/>
        <w:bidi w:val="0"/>
        <w:spacing w:lineRule="auto" w:line="288" w:before="12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Risks Related to Managing Our Business and Operations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The effects of health epidemics and pandemics, such as COVID-19 could adversely impact our business, including our preclinical studies and clinical trials.</w:t>
      </w:r>
    </w:p>
    <w:p>
      <w:pPr>
        <w:pStyle w:val="TextBody"/>
        <w:bidi w:val="0"/>
        <w:spacing w:lineRule="auto" w:line="288" w:before="120" w:after="120"/>
        <w:ind w:left="0" w:right="0" w:hanging="630"/>
        <w:jc w:val="left"/>
        <w:rPr/>
      </w:pPr>
      <w:r>
        <w:rPr>
          <w:color w:val="000000"/>
        </w:rPr>
        <w:t>•</w:t>
      </w:r>
      <w:r>
        <w:rPr>
          <w:rFonts w:ascii="Times New Roman;sans-serif" w:hAnsi="Times New Roman;sans-serif"/>
          <w:b w:val="false"/>
          <w:color w:val="000000"/>
          <w:sz w:val="20"/>
        </w:rPr>
        <w:t>Our loss of key management personnel, or our failure to recruit additional highly skilled personnel, will impair our ability to develop current product candidates or identify and develop new product candidates, could result in loss of markets or market share and could make us less competitive.</w:t>
      </w:r>
    </w:p>
    <w:p>
      <w:pPr>
        <w:pStyle w:val="TextBody"/>
        <w:bidi w:val="0"/>
        <w:spacing w:lineRule="auto" w:line="288" w:before="0" w:after="0"/>
        <w:ind w:left="0" w:right="0" w:hanging="630"/>
        <w:jc w:val="left"/>
        <w:rPr/>
      </w:pPr>
      <w:r>
        <w:rPr>
          <w:color w:val="000000"/>
        </w:rPr>
        <w:t>•</w:t>
      </w:r>
      <w:r>
        <w:rPr>
          <w:rFonts w:ascii="Times New Roman;sans-serif" w:hAnsi="Times New Roman;sans-serif"/>
          <w:b w:val="false"/>
          <w:color w:val="000000"/>
          <w:sz w:val="20"/>
        </w:rPr>
        <w:t>Effective December 31, 2023, we became a large accelerated filer and no longer qualify as a smaller reporting company, which will increase our costs and demands on management.</w:t>
      </w:r>
    </w:p>
    <w:p>
      <w:pPr>
        <w:pStyle w:val="TextBody"/>
        <w:bidi w:val="0"/>
        <w:spacing w:before="120" w:after="12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PART I—FINANCIAL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thousands, except number of shares and per share amounts)</w:t>
      </w:r>
    </w:p>
    <w:tbl>
      <w:tblPr>
        <w:tblW w:w="10205" w:type="dxa"/>
        <w:jc w:val="left"/>
        <w:tblInd w:w="0" w:type="dxa"/>
        <w:tblLayout w:type="fixed"/>
        <w:tblCellMar>
          <w:top w:w="28" w:type="dxa"/>
          <w:left w:w="28" w:type="dxa"/>
          <w:bottom w:w="28" w:type="dxa"/>
          <w:right w:w="28" w:type="dxa"/>
        </w:tblCellMar>
      </w:tblPr>
      <w:tblGrid>
        <w:gridCol w:w="2857"/>
        <w:gridCol w:w="2342"/>
        <w:gridCol w:w="2271"/>
        <w:gridCol w:w="211"/>
        <w:gridCol w:w="826"/>
        <w:gridCol w:w="109"/>
        <w:gridCol w:w="109"/>
        <w:gridCol w:w="109"/>
        <w:gridCol w:w="109"/>
        <w:gridCol w:w="223"/>
        <w:gridCol w:w="874"/>
        <w:gridCol w:w="165"/>
      </w:tblGrid>
      <w:tr>
        <w:trPr/>
        <w:tc>
          <w:tcPr>
            <w:tcW w:w="2857"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2023</w:t>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63,234 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431,011 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(Note 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489,898 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505,502 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(Note 14)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512,154 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(Note 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(Note 14)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 (Note 14)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(Note 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38,578 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13)</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per share; 10,000,000 shares authorized at March 31, 2024 and December 31, 2023, and none issued or outstanding at March 31, 2024 and December 31, 2023 (Note 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per share; 300,000,000 shares authorized at March 31, 2024 and December 31, 2023; and 60,318,542 and 59,921,002 shares issued and outstanding at March 31, 2024 and December 31, 2023, respectively; (Note 10)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972,973 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gain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473,576 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512,154 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pPr>
      <w:r>
        <w:rPr>
          <w:rFonts w:ascii="Times New Roman;sans-serif" w:hAnsi="Times New Roman;sans-serif"/>
          <w:b w:val="false"/>
          <w:color w:val="000000"/>
          <w:sz w:val="20"/>
        </w:rPr>
        <w:t>*The condensed balance sheet as of December 31, 2023 has been derived from the audited financial statements as of that date</w:t>
      </w:r>
      <w:r>
        <w:rPr>
          <w:rFonts w:ascii="Times New Roman;sans-serif" w:hAnsi="Times New Roman;sans-serif"/>
          <w:b w:val="false"/>
          <w:color w:val="000000"/>
          <w:sz w:val="18"/>
        </w:rPr>
        <w:t>.</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7928" w:type="dxa"/>
        <w:jc w:val="center"/>
        <w:tblInd w:w="0" w:type="dxa"/>
        <w:tblLayout w:type="fixed"/>
        <w:tblCellMar>
          <w:top w:w="28" w:type="dxa"/>
          <w:left w:w="28" w:type="dxa"/>
          <w:bottom w:w="28" w:type="dxa"/>
          <w:right w:w="28" w:type="dxa"/>
        </w:tblCellMar>
      </w:tblPr>
      <w:tblGrid>
        <w:gridCol w:w="1869"/>
        <w:gridCol w:w="1646"/>
        <w:gridCol w:w="1660"/>
        <w:gridCol w:w="240"/>
        <w:gridCol w:w="841"/>
        <w:gridCol w:w="109"/>
        <w:gridCol w:w="109"/>
        <w:gridCol w:w="109"/>
        <w:gridCol w:w="109"/>
        <w:gridCol w:w="240"/>
        <w:gridCol w:w="841"/>
        <w:gridCol w:w="155"/>
      </w:tblGrid>
      <w:tr>
        <w:trPr/>
        <w:tc>
          <w:tcPr>
            <w:tcW w:w="1869"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51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(43,427)</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 basic and diluted</w:t>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(0.78)</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net loss per share - basic and diluted</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60,180,921 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56,057,603 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gain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(loss) gain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(47,789)</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(36,921)</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729"/>
        <w:gridCol w:w="421"/>
        <w:gridCol w:w="423"/>
        <w:gridCol w:w="540"/>
        <w:gridCol w:w="541"/>
        <w:gridCol w:w="211"/>
        <w:gridCol w:w="109"/>
        <w:gridCol w:w="109"/>
        <w:gridCol w:w="109"/>
        <w:gridCol w:w="275"/>
        <w:gridCol w:w="333"/>
        <w:gridCol w:w="143"/>
        <w:gridCol w:w="109"/>
        <w:gridCol w:w="109"/>
        <w:gridCol w:w="109"/>
        <w:gridCol w:w="211"/>
        <w:gridCol w:w="826"/>
        <w:gridCol w:w="109"/>
        <w:gridCol w:w="109"/>
        <w:gridCol w:w="109"/>
        <w:gridCol w:w="109"/>
        <w:gridCol w:w="373"/>
        <w:gridCol w:w="852"/>
        <w:gridCol w:w="193"/>
        <w:gridCol w:w="109"/>
        <w:gridCol w:w="109"/>
        <w:gridCol w:w="109"/>
        <w:gridCol w:w="211"/>
        <w:gridCol w:w="848"/>
        <w:gridCol w:w="109"/>
        <w:gridCol w:w="109"/>
        <w:gridCol w:w="109"/>
        <w:gridCol w:w="109"/>
        <w:gridCol w:w="215"/>
        <w:gridCol w:w="843"/>
        <w:gridCol w:w="164"/>
      </w:tblGrid>
      <w:tr>
        <w:trPr/>
        <w:tc>
          <w:tcPr>
            <w:tcW w:w="72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 Gain/(Loss)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59,921,002 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473,576 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397,540 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1,879 </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6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loss on short-term investments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6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60,318,542 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(546,703)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437,332 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pStyle w:val="TextBody"/>
        <w:bidi w:val="0"/>
        <w:spacing w:before="24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number of shares and per share amounts)</w:t>
      </w:r>
    </w:p>
    <w:tbl>
      <w:tblPr>
        <w:tblW w:w="10205" w:type="dxa"/>
        <w:jc w:val="center"/>
        <w:tblInd w:w="0" w:type="dxa"/>
        <w:tblLayout w:type="fixed"/>
        <w:tblCellMar>
          <w:top w:w="28" w:type="dxa"/>
          <w:left w:w="28" w:type="dxa"/>
          <w:bottom w:w="28" w:type="dxa"/>
          <w:right w:w="28" w:type="dxa"/>
        </w:tblCellMar>
      </w:tblPr>
      <w:tblGrid>
        <w:gridCol w:w="763"/>
        <w:gridCol w:w="444"/>
        <w:gridCol w:w="445"/>
        <w:gridCol w:w="540"/>
        <w:gridCol w:w="541"/>
        <w:gridCol w:w="211"/>
        <w:gridCol w:w="109"/>
        <w:gridCol w:w="109"/>
        <w:gridCol w:w="109"/>
        <w:gridCol w:w="275"/>
        <w:gridCol w:w="333"/>
        <w:gridCol w:w="143"/>
        <w:gridCol w:w="109"/>
        <w:gridCol w:w="109"/>
        <w:gridCol w:w="109"/>
        <w:gridCol w:w="211"/>
        <w:gridCol w:w="826"/>
        <w:gridCol w:w="109"/>
        <w:gridCol w:w="109"/>
        <w:gridCol w:w="109"/>
        <w:gridCol w:w="109"/>
        <w:gridCol w:w="297"/>
        <w:gridCol w:w="890"/>
        <w:gridCol w:w="155"/>
        <w:gridCol w:w="109"/>
        <w:gridCol w:w="109"/>
        <w:gridCol w:w="109"/>
        <w:gridCol w:w="211"/>
        <w:gridCol w:w="846"/>
        <w:gridCol w:w="109"/>
        <w:gridCol w:w="109"/>
        <w:gridCol w:w="109"/>
        <w:gridCol w:w="109"/>
        <w:gridCol w:w="215"/>
        <w:gridCol w:w="843"/>
        <w:gridCol w:w="163"/>
      </w:tblGrid>
      <w:tr>
        <w:trPr/>
        <w:tc>
          <w:tcPr>
            <w:tcW w:w="76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29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Stockholders’</w:t>
              <w:br/>
              <w:t>Equity</w:t>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48,941,254 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653,707 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313,342 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in a public offering, net of offering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9,583,334 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269,915 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under benefit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454,314 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on short-term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March 31,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58,978,902 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561,920 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pStyle w:val="TextBody"/>
        <w:bidi w:val="0"/>
        <w:spacing w:before="0" w:after="0"/>
        <w:jc w:val="left"/>
        <w:rPr/>
      </w:pPr>
      <w:r>
        <w:rPr/>
      </w:r>
    </w:p>
    <w:p>
      <w:pPr>
        <w:pStyle w:val="TextBody"/>
        <w:bidi w:val="0"/>
        <w:spacing w:before="240" w:after="283"/>
        <w:ind w:left="0" w:right="0" w:hanging="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624" w:type="dxa"/>
        <w:jc w:val="left"/>
        <w:tblInd w:w="0" w:type="dxa"/>
        <w:tblLayout w:type="fixed"/>
        <w:tblCellMar>
          <w:top w:w="28" w:type="dxa"/>
          <w:left w:w="28" w:type="dxa"/>
          <w:bottom w:w="28" w:type="dxa"/>
          <w:right w:w="28" w:type="dxa"/>
        </w:tblCellMar>
      </w:tblPr>
      <w:tblGrid>
        <w:gridCol w:w="2535"/>
        <w:gridCol w:w="2226"/>
        <w:gridCol w:w="2244"/>
        <w:gridCol w:w="208"/>
        <w:gridCol w:w="782"/>
        <w:gridCol w:w="115"/>
        <w:gridCol w:w="115"/>
        <w:gridCol w:w="115"/>
        <w:gridCol w:w="115"/>
        <w:gridCol w:w="224"/>
        <w:gridCol w:w="782"/>
        <w:gridCol w:w="163"/>
      </w:tblGrid>
      <w:tr>
        <w:trPr/>
        <w:tc>
          <w:tcPr>
            <w:tcW w:w="253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1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(46,955)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(37,548)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expense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amortization (accretion) on short-term investments and debt</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(30,271)</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short-term investments</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(52,375)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(276,620)</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Maturity of short-term investments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investing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59,546 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(174,208)</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issuances of common stock under benefit plans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term loan, net</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offering costs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common stock in a public offering</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270,251 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21,788 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273,326 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and cash equivalents</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51,063 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68,842 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and restricted cash at beginning of period</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33,685 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102,527 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w:t>
            </w:r>
          </w:p>
        </w:tc>
        <w:tc>
          <w:tcPr>
            <w:tcW w:w="11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reported in the balance sheets</w:t>
            </w:r>
          </w:p>
        </w:tc>
        <w:tc>
          <w:tcPr>
            <w:tcW w:w="1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114,297 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cash, cash equivalents, and restricted cash shown in the statements of cash flows</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115,779 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102,527 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noncash investing and financing activities:</w:t>
            </w:r>
          </w:p>
        </w:tc>
        <w:tc>
          <w:tcPr>
            <w:tcW w:w="11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(loss) gain on short-term investments</w:t>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and equipment in accounts payable and accrued liabilities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disclosures of cash flow information related to leases:</w:t>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new operating lease liabilities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Pliant Therapeutics,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 (the “Company” or "Pliant" or “we” or “our” or “us”) is a late stage biopharmaceutical company focused on discovering and developing novel therapies for the treatment of fibrosis with an initial focus on treating fibrosis by inhibiting integrin-mediated activation of TGF-ß. Fibrosis refers to the abnormal thickening and scarring of connective tissue due to the production and deposition of excess collagen in the extra-cellular matrix. Fibrosis can occur in many different tissues including lung, liver, kidney, muscle, skin and the GI tract, and often causes severe and debilitating disease leading to organ failure. The Company is located in South San Francisco, California, and was incorporated in the state of Delaware in June 2015.</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Public Offering</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the Company completed a public offering of 9,583,334 shares of common stock, including the exercise in full of the underwriters' option to purchase 1,250,000 additional shares of common stock. The shares were offered at a price of $30.00 per share, resulting in aggregate proceeds of approximately $269.8 million, net of underwriting discounts, commissions and offering expenses payable by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interim condensed financial statements have been prepared in conformity with accounting principles generally accepted in the United States of America (“U.S. GAAP”) and follow the requirements of the Securities and Exchange Commission (“SEC”), for interim financial reporting. As permitted under those rules, certain footnotes or other financial information that are normally required by U.S. GAAP have been condensed or omitted, and accordingly the unaudited interim condensed financial statements do not include all of the information and notes required by U.S. GAAP for complete financial statements. These unaudited interim condensed financial statements have been prepared on the same basis as our annual financial statements and, in the opinion of management, reflect all adjustments (consisting only of normal recurring adjustments) that are necessary for a fair presentation of the Company's financial information. The results of operations for the three months ended March 31, 2024 are not necessarily indicative of the results to be expected for the year ending December 31, 2024 or for any other interim period or for any other future year.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included herein should be read in conjunction with the audited financial statements and related notes in the Company’s Annual Report on Form 10-K for the year ended December 31, 2023, filed with the SEC on February 27, 2024 (the “2023 10-K”).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liabilities, and expenses as well as the disclosure of contingent assets and liabilities as of and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stock-based compensation expense, operating lease right-of-use (“ROU”) assets and liabilities, accruals and prepayments for research and development costs, income taxes and uncertain tax positions. The Company assesses estimates on an ongoing basis, however, actual results could materially differ from those estimates.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significant changes to the accounting policies during the three months ended March 31, 2024, as compared to the significant accounting policies described in Note 2 of the "Notes to the Financial Statements" in the Company's audited financial statements included in its 2023 10-K.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Recently Announced Accounting Pronouncements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requires public entities to disclose information about their reportable segments’ significant expenses on an interim and annual basis. ASU 2023-07 is effective for fiscal years beginning after December 15, 2023, and interim periods within fiscal years beginning after December 15, 2024. Entities must adopt the changes to the segment reporting guidance on a retrospective basis, and early adoption is permitted. The Company is currently evaluating the impact of this standard on its disclosures and will adopt the ASU for its 2024 10-K.</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which expands disclosures in an entity’s income tax rate reconciliation table and regarding cash taxes paid both in the U.S. and foreign jurisdictions. The Company is currently evaluating the impact of this standard on its disclosures and will adopt the ASU for its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Financial Instruments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short-term investments consist of U.S. Treasury securities, U.S. government agency securities and highly rated, investment-grade corporate debt securities with original maturities beyond three months at the date of purchase. The Company has classified and accounted for its short-term investments as available-for-sale securities as the Company may sell these securities at any time even prior to maturity and such investments represent cash available for current operations. As a result, short-term investments may include securities with maturities beyond twelve months that are classified within current assets in the Balance Sheets. The Company’s short-term investments classified as available-for-sale are carried at fair market value with unrealized gains or losses recognized in the statements of operations and comprehensive loss.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cash equivalent Money Market Funds are classified as Level 1 in the fair value hierarchy because they are valued using quoted active market prices. The fair value of the Company’s U.S. Treasury securities, U.S. government agency securities and corporate debt securities are classified as Level 2 because they are valued using observable inputs to quoted market prices other than Level 1 prices, benchmark yields, reported trades, broker/dealer quotes or alternative pricing sources with reasonable levels of price transparency and include U.S. government agency securities, U.S. Treasury securities and corporate debt securities.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assets or liabilities recorded at fair value to the condensed balance sheets using Level 3 inputs as of March 31, 2024 and as of December 31,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Company’s Money Market Funds, U.S. Treasury securities, U.S. government agency securities and corporate debt securities by significant investment category as of March 31, 2024 and December 31, 2023 (in thousands):</w:t>
      </w:r>
    </w:p>
    <w:tbl>
      <w:tblPr>
        <w:tblW w:w="11151" w:type="dxa"/>
        <w:jc w:val="left"/>
        <w:tblInd w:w="0" w:type="dxa"/>
        <w:tblLayout w:type="fixed"/>
        <w:tblCellMar>
          <w:top w:w="28" w:type="dxa"/>
          <w:left w:w="28" w:type="dxa"/>
          <w:bottom w:w="28" w:type="dxa"/>
          <w:right w:w="28" w:type="dxa"/>
        </w:tblCellMar>
      </w:tblPr>
      <w:tblGrid>
        <w:gridCol w:w="423"/>
        <w:gridCol w:w="201"/>
        <w:gridCol w:w="202"/>
        <w:gridCol w:w="165"/>
        <w:gridCol w:w="165"/>
        <w:gridCol w:w="166"/>
        <w:gridCol w:w="109"/>
        <w:gridCol w:w="109"/>
        <w:gridCol w:w="109"/>
        <w:gridCol w:w="196"/>
        <w:gridCol w:w="736"/>
        <w:gridCol w:w="109"/>
        <w:gridCol w:w="109"/>
        <w:gridCol w:w="109"/>
        <w:gridCol w:w="109"/>
        <w:gridCol w:w="202"/>
        <w:gridCol w:w="435"/>
        <w:gridCol w:w="114"/>
        <w:gridCol w:w="109"/>
        <w:gridCol w:w="109"/>
        <w:gridCol w:w="109"/>
        <w:gridCol w:w="196"/>
        <w:gridCol w:w="446"/>
        <w:gridCol w:w="109"/>
        <w:gridCol w:w="109"/>
        <w:gridCol w:w="109"/>
        <w:gridCol w:w="109"/>
        <w:gridCol w:w="196"/>
        <w:gridCol w:w="736"/>
        <w:gridCol w:w="109"/>
        <w:gridCol w:w="109"/>
        <w:gridCol w:w="109"/>
        <w:gridCol w:w="109"/>
        <w:gridCol w:w="196"/>
        <w:gridCol w:w="736"/>
        <w:gridCol w:w="109"/>
        <w:gridCol w:w="109"/>
        <w:gridCol w:w="109"/>
        <w:gridCol w:w="109"/>
        <w:gridCol w:w="202"/>
        <w:gridCol w:w="435"/>
        <w:gridCol w:w="114"/>
        <w:gridCol w:w="109"/>
        <w:gridCol w:w="109"/>
        <w:gridCol w:w="109"/>
        <w:gridCol w:w="196"/>
        <w:gridCol w:w="446"/>
        <w:gridCol w:w="109"/>
        <w:gridCol w:w="109"/>
        <w:gridCol w:w="109"/>
        <w:gridCol w:w="109"/>
        <w:gridCol w:w="196"/>
        <w:gridCol w:w="73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Treasury securities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U.S. Government agency securities</w:t>
            </w:r>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debt securities</w:t>
            </w:r>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269,637 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financial assets</w:t>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790" w:type="dxa"/>
        <w:jc w:val="left"/>
        <w:tblInd w:w="0" w:type="dxa"/>
        <w:tblLayout w:type="fixed"/>
        <w:tblCellMar>
          <w:top w:w="28" w:type="dxa"/>
          <w:left w:w="28" w:type="dxa"/>
          <w:bottom w:w="28" w:type="dxa"/>
          <w:right w:w="28" w:type="dxa"/>
        </w:tblCellMar>
      </w:tblPr>
      <w:tblGrid>
        <w:gridCol w:w="430"/>
        <w:gridCol w:w="267"/>
        <w:gridCol w:w="264"/>
        <w:gridCol w:w="109"/>
        <w:gridCol w:w="109"/>
        <w:gridCol w:w="109"/>
        <w:gridCol w:w="196"/>
        <w:gridCol w:w="736"/>
        <w:gridCol w:w="109"/>
        <w:gridCol w:w="109"/>
        <w:gridCol w:w="109"/>
        <w:gridCol w:w="109"/>
        <w:gridCol w:w="202"/>
        <w:gridCol w:w="435"/>
        <w:gridCol w:w="114"/>
        <w:gridCol w:w="109"/>
        <w:gridCol w:w="109"/>
        <w:gridCol w:w="109"/>
        <w:gridCol w:w="196"/>
        <w:gridCol w:w="446"/>
        <w:gridCol w:w="109"/>
        <w:gridCol w:w="109"/>
        <w:gridCol w:w="109"/>
        <w:gridCol w:w="109"/>
        <w:gridCol w:w="196"/>
        <w:gridCol w:w="736"/>
        <w:gridCol w:w="109"/>
        <w:gridCol w:w="109"/>
        <w:gridCol w:w="109"/>
        <w:gridCol w:w="109"/>
        <w:gridCol w:w="196"/>
        <w:gridCol w:w="736"/>
        <w:gridCol w:w="109"/>
        <w:gridCol w:w="109"/>
        <w:gridCol w:w="109"/>
        <w:gridCol w:w="109"/>
        <w:gridCol w:w="202"/>
        <w:gridCol w:w="435"/>
        <w:gridCol w:w="114"/>
        <w:gridCol w:w="109"/>
        <w:gridCol w:w="109"/>
        <w:gridCol w:w="109"/>
        <w:gridCol w:w="196"/>
        <w:gridCol w:w="446"/>
        <w:gridCol w:w="109"/>
        <w:gridCol w:w="109"/>
        <w:gridCol w:w="109"/>
        <w:gridCol w:w="109"/>
        <w:gridCol w:w="196"/>
        <w:gridCol w:w="736"/>
        <w:gridCol w:w="154"/>
      </w:tblGrid>
      <w:tr>
        <w:trPr/>
        <w:tc>
          <w:tcPr>
            <w:tcW w:w="43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2023</w:t>
            </w:r>
          </w:p>
        </w:tc>
      </w:tr>
      <w:tr>
        <w:trPr/>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Adjusted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Market</w:t>
              <w:br/>
              <w:t>Value</w:t>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Classified 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451,913 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451,423 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487,907 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822 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sell certain of its short-term securities prior to their stated maturities for reasons including, but not limited to, managing liquidity, credit risk, duration and asset allocation.</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liabilities measured at fair value on a recurring basis as of March 31, 2024 and December 31, 2023. The Company evaluates transfers between levels at the end of each reporting period and there have been no transfers between fair value measurement levels during the three months ended March 31, 2024. In addition, there were no assets or liabilities measured at fair value on a non-recurring basis as of March 31, 2024 and December 31, 2023.</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interest income, accretion income and amortization expense on Money Market Funds and U.S. Treasury, U.S. government agency and corporate debt securities to interest and other income (expense), net in its condensed statement of operations and comprehensive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Property and Equipment,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 (in thousands):</w:t>
      </w:r>
    </w:p>
    <w:tbl>
      <w:tblPr>
        <w:tblW w:w="7527" w:type="dxa"/>
        <w:jc w:val="left"/>
        <w:tblInd w:w="0" w:type="dxa"/>
        <w:tblLayout w:type="fixed"/>
        <w:tblCellMar>
          <w:top w:w="28" w:type="dxa"/>
          <w:left w:w="28" w:type="dxa"/>
          <w:bottom w:w="28" w:type="dxa"/>
          <w:right w:w="28" w:type="dxa"/>
        </w:tblCellMar>
      </w:tblPr>
      <w:tblGrid>
        <w:gridCol w:w="1108"/>
        <w:gridCol w:w="974"/>
        <w:gridCol w:w="978"/>
        <w:gridCol w:w="634"/>
        <w:gridCol w:w="634"/>
        <w:gridCol w:w="637"/>
        <w:gridCol w:w="109"/>
        <w:gridCol w:w="109"/>
        <w:gridCol w:w="109"/>
        <w:gridCol w:w="653"/>
        <w:gridCol w:w="653"/>
        <w:gridCol w:w="929"/>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Laboratory equipment</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10,423 </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10,410 </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and software</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gross</w:t>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14,800 </w:t>
            </w:r>
          </w:p>
        </w:tc>
        <w:tc>
          <w:tcPr>
            <w:tcW w:w="6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12,249 </w:t>
            </w:r>
          </w:p>
        </w:tc>
        <w:tc>
          <w:tcPr>
            <w:tcW w:w="9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(9,195)</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(8,682)</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12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5,605 </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3,567 </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was $0.5 million and $0.5 million for the three months ended March 31, 2024 and 2023,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Prepaid Expenses and Other Current Assets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 consisted of the following (in thousands):</w:t>
      </w:r>
    </w:p>
    <w:tbl>
      <w:tblPr>
        <w:tblW w:w="8396" w:type="dxa"/>
        <w:jc w:val="left"/>
        <w:tblInd w:w="0" w:type="dxa"/>
        <w:tblLayout w:type="fixed"/>
        <w:tblCellMar>
          <w:top w:w="28" w:type="dxa"/>
          <w:left w:w="28" w:type="dxa"/>
          <w:bottom w:w="28" w:type="dxa"/>
          <w:right w:w="28" w:type="dxa"/>
        </w:tblCellMar>
      </w:tblPr>
      <w:tblGrid>
        <w:gridCol w:w="1424"/>
        <w:gridCol w:w="1249"/>
        <w:gridCol w:w="1256"/>
        <w:gridCol w:w="634"/>
        <w:gridCol w:w="634"/>
        <w:gridCol w:w="637"/>
        <w:gridCol w:w="109"/>
        <w:gridCol w:w="109"/>
        <w:gridCol w:w="109"/>
        <w:gridCol w:w="653"/>
        <w:gridCol w:w="653"/>
        <w:gridCol w:w="929"/>
      </w:tblGrid>
      <w:tr>
        <w:trPr/>
        <w:tc>
          <w:tcPr>
            <w:tcW w:w="142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research and development</w:t>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2,540 </w:t>
            </w:r>
          </w:p>
        </w:tc>
        <w:tc>
          <w:tcPr>
            <w:tcW w:w="6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3,403 </w:t>
            </w:r>
          </w:p>
        </w:tc>
        <w:tc>
          <w:tcPr>
            <w:tcW w:w="9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insurance</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licenses</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2,315 </w:t>
            </w:r>
          </w:p>
        </w:tc>
        <w:tc>
          <w:tcPr>
            <w:tcW w:w="6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9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611 </w:t>
            </w:r>
          </w:p>
        </w:tc>
        <w:tc>
          <w:tcPr>
            <w:tcW w:w="6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1,272 </w:t>
            </w:r>
          </w:p>
        </w:tc>
        <w:tc>
          <w:tcPr>
            <w:tcW w:w="9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 expenses and other current assets</w:t>
            </w:r>
          </w:p>
        </w:tc>
        <w:tc>
          <w:tcPr>
            <w:tcW w:w="12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7,509 </w:t>
            </w:r>
          </w:p>
        </w:tc>
        <w:tc>
          <w:tcPr>
            <w:tcW w:w="6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9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Accrued Liabilities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consisted of the following (in thousands):</w:t>
      </w:r>
    </w:p>
    <w:tbl>
      <w:tblPr>
        <w:tblW w:w="7481" w:type="dxa"/>
        <w:jc w:val="left"/>
        <w:tblInd w:w="0" w:type="dxa"/>
        <w:tblLayout w:type="fixed"/>
        <w:tblCellMar>
          <w:top w:w="28" w:type="dxa"/>
          <w:left w:w="28" w:type="dxa"/>
          <w:bottom w:w="28" w:type="dxa"/>
          <w:right w:w="28" w:type="dxa"/>
        </w:tblCellMar>
      </w:tblPr>
      <w:tblGrid>
        <w:gridCol w:w="1093"/>
        <w:gridCol w:w="959"/>
        <w:gridCol w:w="963"/>
        <w:gridCol w:w="429"/>
        <w:gridCol w:w="1254"/>
        <w:gridCol w:w="221"/>
        <w:gridCol w:w="109"/>
        <w:gridCol w:w="109"/>
        <w:gridCol w:w="109"/>
        <w:gridCol w:w="434"/>
        <w:gridCol w:w="1484"/>
        <w:gridCol w:w="317"/>
      </w:tblGrid>
      <w:tr>
        <w:trPr/>
        <w:tc>
          <w:tcPr>
            <w:tcW w:w="109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6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4,541 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5,868 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10,219 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 consist primarily of accrued bonuses and accrued vacation.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Long-term Debt</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2022, as amended in October 2022, we entered into a term loan facility (the “Oxford Loan Agreement”) with Oxford Finance LLC (the "Lender") for up to $100.0 million. In connection with the Oxford Loan Agreement, we granted a security interest in substantially all of our current and future assets. There are no warrants or financial covenants associated with the Oxford Loan Agreement. At closing, we entered into a term loan for $10.0 million and we decided not to draw upon the additional $65.0 million that became available to us over the course of 2023 as certain conditions related to the development of bexotegrast and one of our preclinical product candidates were satisfied. As of December 31, 2023, the time period to draw upon the additional $65.0 million had lapsed.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March 11, 2024, we entered into an Amended and Restated Loan and Security Agreement (the “Amended Loan Agreement”) with the Lender to borrow a series of term loans up to an aggregate principal amount of $150.0 million (the “Term Loans”), of which $50.0 million is subject to the Lender’s sole discretion.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Amended Loan Agreement, we drew an initial Term Loan of $30.0 million, inclusive of $10.0 million in principal amount previously outstanding under the Oxford Loan Agreement. We may borrow up to an additional $70.0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 Term Loans at our option upon the satisfaction of certain conditions related to the development of bexotegrast. In connection with the Amended Loan Agreement, the Company granted the Lender a security interest in substantially all of the Company’s assets now owned or hereafter acquired, excluding intellectual property to the extent the aggregate amount of Term Loans advanced and outstanding does not exceed $50.0 million (but including the right to payments and proceeds of intellectual property) and certain customary exceptions.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amount outstanding under the Term Loans will accrue interest at a floating per annum rate equal to (i) the greater of (a) 1-month term Chicago Mercantile Exchange (“CME”) Term Secured Overnight Financing Rate (“SOFR”) on the last business day of the month that immediately precedes the month in which the interest will accrue and (b) three and one-half percent (3.50%) plus (ii) five and one-quarter percent (5.25%), subject to an agreed upon floor of 8.75%. Beginning on July 1, 2028, which may be extended to July 1, 2029 (subject to certain conditions set forth in the Amended Loan Agreement), the Company is required to repay the Term Loans in consecutive equal monthly payments of principal, together with applicable interest, in arrears. All unpaid principal and accrued and unpaid interest with respect to each Term Loan will be due and payable in full on March 1, 2029, which may be extended to March 1, 2030 (subject to certain conditions set forth in the Amended Loan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will be required to make a final payment of 5.50% (or 7.25% if the amortization date of the Term Loans has been extended to July 1, 2029 (as discussed above)) of the original principal amount of the Term Loans that were drawn, payable at maturity or upon any earlier acceleration or prepayment of the Term Loans. The Company may prepay the Term Loans in whole or in part, subject to a prepayment fee equal to (i) if prepaid on or before the first anniversary date of the funding date of such Term Loan, 3.00% of the principal amount of the applicable Term Loan prepaid, (ii) if prepaid after the first anniversary and on or before the second anniversary of the funding date of such Term Loan, 2.00% of the principal amount of the applicable Term Loan prepaid, and (iii) if prepaid after the second anniversary and on or before the third anniversary of the funding date of such Term Loan prepaid, 1.00% of the principal amount of the applicable Term Loan prepaid.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Agreement contains representations and warranties, affirmative, and negative covenants, and events of default that are customary for loans of this type. The occurrence of an event of default could result in the acceleration of the obligations under the Amended Loan Agreement, termination of the Term Loan commitments and the right by the Lender to foreclose on the collateral securing the obligations. During the existence of an event of default, the Term Loans would accrue interest at a rate per annum equal to 5.00% above the otherwise applicable interest rate.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of the term loan as of March 31, 2024 was measured using Level 3 inputs and approximates the carrying value recorded to the balance sheet. The effective interest rate for the term loan is 11.93% and interest expense during the three months ended March 31, 2024 and 2023 was $0.44 million and $0.30 million, respectively.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maturities of debt as of March 31, 2024 are as follows (in thousands):</w:t>
      </w:r>
    </w:p>
    <w:tbl>
      <w:tblPr>
        <w:tblW w:w="5471" w:type="dxa"/>
        <w:jc w:val="left"/>
        <w:tblInd w:w="0" w:type="dxa"/>
        <w:tblLayout w:type="fixed"/>
        <w:tblCellMar>
          <w:top w:w="28" w:type="dxa"/>
          <w:left w:w="28" w:type="dxa"/>
          <w:bottom w:w="28" w:type="dxa"/>
          <w:right w:w="28" w:type="dxa"/>
        </w:tblCellMar>
      </w:tblPr>
      <w:tblGrid>
        <w:gridCol w:w="1156"/>
        <w:gridCol w:w="1012"/>
        <w:gridCol w:w="1026"/>
        <w:gridCol w:w="109"/>
        <w:gridCol w:w="109"/>
        <w:gridCol w:w="109"/>
        <w:gridCol w:w="379"/>
        <w:gridCol w:w="1295"/>
        <w:gridCol w:w="276"/>
      </w:tblGrid>
      <w:tr>
        <w:trPr/>
        <w:tc>
          <w:tcPr>
            <w:tcW w:w="115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 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final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30,002 </w:t>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Novartis Collaboration and License Agreement (the "Novartis Agreement")</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2019, we entered into the Novartis Agreement with Novartis Institutes for BioMedical Research, Inc. (“Novartis”) for the development and commercialization of our preclinical product candidate, PLN-1474, and up to three additional integrin research targets. We assessed the Novartis Agreement in accordance with ASC 606 and determined that Novartis was a customer and identified the following performance obligations: (1) to provide worldwide license rights to PLN-1474, (2) to provide research and development services for PLN-1474, (3) to provide non-exclusive license rights to integrin research targets, and (4) to provide research and development services on integrin research targets.</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17, 2023, Novartis exercised their right to terminate the Novartis Agreement. The termination took effect on April 18, 2023, and effective upon the termination, all rights and licenses granted to Novartis under the Novartis Agreement, including PLN-1474, the related investigational new drug (“IND”), and the validated research target, reverted back to us. The payment obligations of Novartis with respect to future milestones, royalties and research and development funding were also terminated.</w:t>
      </w:r>
    </w:p>
    <w:p>
      <w:pPr>
        <w:pStyle w:val="TextBody"/>
        <w:bidi w:val="0"/>
        <w:spacing w:lineRule="auto" w:line="26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associated with the Novartis Agreement for the three months ended March 31, 2024 and 2023, were nil and $1.3 million, respectively, which consisted of revenue generated from research and development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Preferred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Company’s Amended and Restated Certificate of Incorporation, the Company is authorized to issue two classes of shares: preferred stock and common stock. The preferred stock may be issued in series, and the Company’s board of directors is authorized to determine the rights, preferences, and terms of each series. These rights, preferences and terms could include dividend rights, conversion rights, voting rights, terms of redemptions, liquidation preferences and sinking fund terms. As of March 31, 2024 and December 31, 2023, the Company was authorized to issue 10,000,000 shares of preferred stock and there was no outstanding preferred stock as of March 31, 2024 and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Common Stock</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the Company was authorized to issue 300,000,000 shares of common stock at a par value of $0.0001 per share. The common stock has the following rights and privileges: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Voting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shares of common stock are entitled to one vote for each share of common stock held at any meeting of stockholders and at the time of any written action in lieu of a meeting.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Dividends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shares of common stock are entitled to receive dividends, when declared by the Company’s board of directors. Cash dividends may not be declared or paid to holders of shares of common stock until all unpaid dividends on preferred stock have been paid in accordance with their terms. No dividends have been declared or paid by the Company since its inception. The terms of the Oxford Loan Agreement restrict our ability to declare and pay dividends.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Liquidation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preferential rights of holders of preferred stock then outstanding, the holders of shares of common stock are entitled to share ratably in the Company’s remaining assets available for distribution to its stockholders in the event of any voluntary or involuntary liquidation, dissolution or winding up of the Company.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Shares reserved for future issuance</w:t>
      </w:r>
    </w:p>
    <w:tbl>
      <w:tblPr>
        <w:tblW w:w="10205" w:type="dxa"/>
        <w:jc w:val="left"/>
        <w:tblInd w:w="0" w:type="dxa"/>
        <w:tblLayout w:type="fixed"/>
        <w:tblCellMar>
          <w:top w:w="28" w:type="dxa"/>
          <w:left w:w="28" w:type="dxa"/>
          <w:bottom w:w="28" w:type="dxa"/>
          <w:right w:w="28" w:type="dxa"/>
        </w:tblCellMar>
      </w:tblPr>
      <w:tblGrid>
        <w:gridCol w:w="2299"/>
        <w:gridCol w:w="2017"/>
        <w:gridCol w:w="2028"/>
        <w:gridCol w:w="540"/>
        <w:gridCol w:w="541"/>
        <w:gridCol w:w="413"/>
        <w:gridCol w:w="109"/>
        <w:gridCol w:w="109"/>
        <w:gridCol w:w="109"/>
        <w:gridCol w:w="653"/>
        <w:gridCol w:w="593"/>
        <w:gridCol w:w="794"/>
      </w:tblGrid>
      <w:tr>
        <w:trPr/>
        <w:tc>
          <w:tcPr>
            <w:tcW w:w="2299"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2023</w:t>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 awards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7,659,860 </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7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RSUs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1,201,724 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874,748 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Vesting of PSUs*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282,345 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328,752 </w:t>
            </w:r>
          </w:p>
        </w:tc>
        <w:tc>
          <w:tcPr>
            <w:tcW w:w="79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grants under the 2020 Stock Option and Incentive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4,562,694 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2,882,239 </w:t>
            </w:r>
          </w:p>
        </w:tc>
        <w:tc>
          <w:tcPr>
            <w:tcW w:w="79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2020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1,336,085 </w:t>
            </w:r>
          </w:p>
        </w:tc>
        <w:tc>
          <w:tcPr>
            <w:tcW w:w="4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805,756 </w:t>
            </w:r>
          </w:p>
        </w:tc>
        <w:tc>
          <w:tcPr>
            <w:tcW w:w="79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available for future issuance under the 2022 Inducement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700,000 </w:t>
            </w:r>
          </w:p>
        </w:tc>
        <w:tc>
          <w:tcPr>
            <w:tcW w:w="7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reserved for future issuance</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15,742,708 </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12,544,982 </w:t>
            </w:r>
          </w:p>
        </w:tc>
        <w:tc>
          <w:tcPr>
            <w:tcW w:w="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*PSUs granted and outstanding based on target level of achievement of 100%.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Equity Incentive Plans and Stock-Based Compensation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2015, the Company's board of directors adopted the 2015 Equity Incentive Plan, as amended in 2018, 2019 and 2020 (the “2015 Plan”), which provided for the grant of incentive stock options, nonqualified stock options or other awards including stock appreciation rights and restricted stock awards to the Company’s employees, officers, directors, advisors, and consultants. In May 2020, the board of directors adopted the 2020 Stock Option and Incentive Plan (the “2020 Plan”) and suspended the 2015 Plan. Awards outstanding under either the 2015 Plan or 2020 Plan that are cancelled, expire or otherwise terminated subsequent to May 2020 will become available for issuance as common stock under the 2020 Plan. Additionally, the 2020 Plan is subject to automatic increases on January 1 of each year beginning January 1, 2021. The number of shares added each January 1 will be equal to the lesser of: (i) 5% of the outstanding shares on the immediately preceding December 31 or (ii) such amount as determined by the compensation committee of the board of directors.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2020 Plan provides for the grant of incentive stock options, nonqualified stock options or other awards including stock appreciation rights, restricted stock awards and restricted stock units to the Company’s employees, officers, directors, advisors and consultants. As of March 31, 2024, the 2020 Plan had 4,562,694 shares of common stock available for future issuance.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2022, the board of directors adopted the 2022 Inducement Plan ( “Inducement Plan”), under which the Company may grant nonqualified stock options or other awards including stock appreciation rights and restricted stock awards. As of March 31, 2024, 700,000 shares of common stock were available for issuance.</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Options under the 2020 Plan and Inducement Plan may be granted for periods of up to 10 years and at prices no less than the market price of the Company’s common stock on the date of grant, provided, however, that the exercise price of an incentive stock option granted to a 10% shareholder shall not be less than 110% of the fair value of the shares on the date of grant and the option is not exercisable after the expiration of five years from the date of grant.</w:t>
      </w:r>
    </w:p>
    <w:p>
      <w:pPr>
        <w:pStyle w:val="TextBody"/>
        <w:bidi w:val="0"/>
        <w:spacing w:lineRule="auto" w:line="288" w:before="80" w:after="283"/>
        <w:jc w:val="left"/>
        <w:rPr>
          <w:rFonts w:ascii="Times New Roman;sans-serif" w:hAnsi="Times New Roman;sans-serif"/>
          <w:b/>
          <w:i/>
          <w:color w:val="000000"/>
          <w:sz w:val="20"/>
        </w:rPr>
      </w:pPr>
      <w:r>
        <w:rPr>
          <w:rFonts w:ascii="Times New Roman;sans-serif" w:hAnsi="Times New Roman;sans-serif"/>
          <w:b/>
          <w:i/>
          <w:color w:val="000000"/>
          <w:sz w:val="20"/>
        </w:rPr>
        <w:t>Incentive Stock Options and Nonqualified Stock Options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issued under either the 2015 Plan, the 2020 Plan or the Inducement Plan generally vest over four years and expire ten years from the date of grant. Certain options provide for accelerated vesting if there is a change in control, as defined in the respective plans.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used Black-Scholes option pricing model to estimate stock-based compensation expense for stock option awards with the following assumptions:</w:t>
      </w:r>
    </w:p>
    <w:tbl>
      <w:tblPr>
        <w:tblW w:w="7047" w:type="dxa"/>
        <w:jc w:val="left"/>
        <w:tblInd w:w="0" w:type="dxa"/>
        <w:tblLayout w:type="fixed"/>
        <w:tblCellMar>
          <w:top w:w="28" w:type="dxa"/>
          <w:left w:w="28" w:type="dxa"/>
          <w:bottom w:w="28" w:type="dxa"/>
          <w:right w:w="28" w:type="dxa"/>
        </w:tblCellMar>
      </w:tblPr>
      <w:tblGrid>
        <w:gridCol w:w="1121"/>
        <w:gridCol w:w="983"/>
        <w:gridCol w:w="986"/>
        <w:gridCol w:w="505"/>
        <w:gridCol w:w="505"/>
        <w:gridCol w:w="505"/>
        <w:gridCol w:w="294"/>
        <w:gridCol w:w="294"/>
        <w:gridCol w:w="294"/>
        <w:gridCol w:w="457"/>
        <w:gridCol w:w="457"/>
        <w:gridCol w:w="646"/>
      </w:tblGrid>
      <w:tr>
        <w:trPr/>
        <w:tc>
          <w:tcPr>
            <w:tcW w:w="1121"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9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85.28% - 86.42%</w:t>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80.97% - 81.41%</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4.04% - 4.28%</w:t>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3.42% - 4.18%</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5.99 - 6.06</w:t>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5.77 - 6.08</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Underlying common stock fair value</w:t>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$15.19 - $17.44</w:t>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$21.94 - $34.65</w:t>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granted 1,338,465 stock options under the 2020 Plan during the three months ended March 31, 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2015 Plan and the 2020 Plan is as follows:</w:t>
      </w:r>
    </w:p>
    <w:tbl>
      <w:tblPr>
        <w:tblW w:w="10039" w:type="dxa"/>
        <w:jc w:val="left"/>
        <w:tblInd w:w="0" w:type="dxa"/>
        <w:tblLayout w:type="fixed"/>
        <w:tblCellMar>
          <w:top w:w="28" w:type="dxa"/>
          <w:left w:w="28" w:type="dxa"/>
          <w:bottom w:w="28" w:type="dxa"/>
          <w:right w:w="28" w:type="dxa"/>
        </w:tblCellMar>
      </w:tblPr>
      <w:tblGrid>
        <w:gridCol w:w="1500"/>
        <w:gridCol w:w="1316"/>
        <w:gridCol w:w="1324"/>
        <w:gridCol w:w="488"/>
        <w:gridCol w:w="488"/>
        <w:gridCol w:w="231"/>
        <w:gridCol w:w="109"/>
        <w:gridCol w:w="109"/>
        <w:gridCol w:w="109"/>
        <w:gridCol w:w="307"/>
        <w:gridCol w:w="898"/>
        <w:gridCol w:w="161"/>
        <w:gridCol w:w="109"/>
        <w:gridCol w:w="109"/>
        <w:gridCol w:w="109"/>
        <w:gridCol w:w="419"/>
        <w:gridCol w:w="419"/>
        <w:gridCol w:w="421"/>
        <w:gridCol w:w="109"/>
        <w:gridCol w:w="109"/>
        <w:gridCol w:w="109"/>
        <w:gridCol w:w="211"/>
        <w:gridCol w:w="721"/>
        <w:gridCol w:w="154"/>
      </w:tblGrid>
      <w:tr>
        <w:trP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w:t>
              <w:br/>
              <w:t>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w:t>
              <w:br/>
              <w:t>Intrinsic</w:t>
              <w:br/>
              <w:t>Value</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6,953,487 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1,338,465 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(118,573)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(513,519)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March 31, 2024</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7,659,860 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March 31, 2024</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7,659,860 </w:t>
            </w:r>
          </w:p>
        </w:tc>
        <w:tc>
          <w:tcPr>
            <w:tcW w:w="2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March 31, 2024</w:t>
            </w:r>
          </w:p>
        </w:tc>
        <w:tc>
          <w:tcPr>
            <w:tcW w:w="97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3,651,242 </w:t>
            </w:r>
          </w:p>
        </w:tc>
        <w:tc>
          <w:tcPr>
            <w:tcW w:w="23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there were $53.9 million of unrecognized compensation costs that are expected to be recognized over the weighted-average period of 2.8 years related to stock options. Aggregate intrinsic value represents the difference between the fair value of the underlying common stock and the exercise price as of March 31, 2024. The weighted-average grant date fair value of options granted during the three months ended March 31, 2024 was $17.29 per share.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service-based condition for restricted stock units (“RSUs”) is generally satisfied over two years or three years. The following table sets forth the outstanding RSUs and related activity for the three months ended March 31,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tbl>
      <w:tblPr>
        <w:tblW w:w="9820" w:type="dxa"/>
        <w:jc w:val="left"/>
        <w:tblInd w:w="0" w:type="dxa"/>
        <w:tblLayout w:type="fixed"/>
        <w:tblCellMar>
          <w:top w:w="28" w:type="dxa"/>
          <w:left w:w="28" w:type="dxa"/>
          <w:bottom w:w="28" w:type="dxa"/>
          <w:right w:w="28" w:type="dxa"/>
        </w:tblCellMar>
      </w:tblPr>
      <w:tblGrid>
        <w:gridCol w:w="1554"/>
        <w:gridCol w:w="1366"/>
        <w:gridCol w:w="1370"/>
        <w:gridCol w:w="609"/>
        <w:gridCol w:w="609"/>
        <w:gridCol w:w="611"/>
        <w:gridCol w:w="109"/>
        <w:gridCol w:w="109"/>
        <w:gridCol w:w="109"/>
        <w:gridCol w:w="726"/>
        <w:gridCol w:w="2119"/>
        <w:gridCol w:w="529"/>
      </w:tblGrid>
      <w:tr>
        <w:trPr/>
        <w:tc>
          <w:tcPr>
            <w:tcW w:w="1554"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11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Weighted Average Grant Date Fair Value </w:t>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December 31, 2023</w:t>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874,748 </w:t>
            </w:r>
          </w:p>
        </w:tc>
        <w:tc>
          <w:tcPr>
            <w:tcW w:w="6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29.85 </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594,336 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(210,085)</w:t>
            </w:r>
          </w:p>
        </w:tc>
        <w:tc>
          <w:tcPr>
            <w:tcW w:w="6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34.65 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(57,275)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5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and outstanding as of March 31, 2024</w:t>
            </w:r>
          </w:p>
        </w:tc>
        <w:tc>
          <w:tcPr>
            <w:tcW w:w="121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1,201,724 </w:t>
            </w:r>
          </w:p>
        </w:tc>
        <w:tc>
          <w:tcPr>
            <w:tcW w:w="6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1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22.97 </w:t>
            </w:r>
          </w:p>
        </w:tc>
        <w:tc>
          <w:tcPr>
            <w:tcW w:w="5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$22.9 million of unrecognized stock-based compensation expense related to outstanding RSUs expected to be recognized over a weighted-average period of 2.0 years.</w:t>
      </w:r>
    </w:p>
    <w:p>
      <w:pPr>
        <w:pStyle w:val="TextBody"/>
        <w:bidi w:val="0"/>
        <w:spacing w:lineRule="auto" w:line="288" w:before="360" w:after="283"/>
        <w:jc w:val="left"/>
        <w:rPr>
          <w:rFonts w:ascii="Times New Roman;sans-serif" w:hAnsi="Times New Roman;sans-serif"/>
          <w:b/>
          <w:i/>
          <w:color w:val="000000"/>
          <w:sz w:val="20"/>
        </w:rPr>
      </w:pPr>
      <w:r>
        <w:rPr>
          <w:rFonts w:ascii="Times New Roman;sans-serif" w:hAnsi="Times New Roman;sans-serif"/>
          <w:b/>
          <w:i/>
          <w:color w:val="000000"/>
          <w:sz w:val="20"/>
        </w:rPr>
        <w:t>Performance-Based Restricted Stock Units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Performance-based restricted stock units (“PSUs”) vest upon the achievement of market and performance conditions. Market conditions include the Company's total shareholder return (“TSR”) relative to the NASDAQ Biotechnology Index over the term of the award ending on June 30, 2024. Additionally, the number of shares of common stock issued upon vesting will range from 0% to 200% of the PSUs based on achievement of certain targets.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TSR PSUs were derived from a Monte Carlo simulation model that used the following key assumptions: </w:t>
      </w:r>
    </w:p>
    <w:tbl>
      <w:tblPr>
        <w:tblW w:w="5024" w:type="dxa"/>
        <w:jc w:val="left"/>
        <w:tblInd w:w="0" w:type="dxa"/>
        <w:tblLayout w:type="fixed"/>
        <w:tblCellMar>
          <w:top w:w="28" w:type="dxa"/>
          <w:left w:w="28" w:type="dxa"/>
          <w:bottom w:w="28" w:type="dxa"/>
          <w:right w:w="28" w:type="dxa"/>
        </w:tblCellMar>
      </w:tblPr>
      <w:tblGrid>
        <w:gridCol w:w="1287"/>
        <w:gridCol w:w="1130"/>
        <w:gridCol w:w="1137"/>
        <w:gridCol w:w="109"/>
        <w:gridCol w:w="109"/>
        <w:gridCol w:w="109"/>
        <w:gridCol w:w="211"/>
        <w:gridCol w:w="616"/>
        <w:gridCol w:w="316"/>
      </w:tblGrid>
      <w:tr>
        <w:trPr/>
        <w:tc>
          <w:tcPr>
            <w:tcW w:w="1287"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date share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Award term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r>
      <w:tr>
        <w:trPr/>
        <w:tc>
          <w:tcPr>
            <w:tcW w:w="3554"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70.62 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Correlation coefficient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0.3508</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peer group correlation coefficient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0.4397</w:t>
            </w:r>
          </w:p>
        </w:tc>
      </w:tr>
      <w:tr>
        <w:trPr/>
        <w:tc>
          <w:tcPr>
            <w:tcW w:w="3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outstanding PSUs associated with TSR goal and related activity during the three months ended March 31, 2024:</w:t>
      </w:r>
    </w:p>
    <w:tbl>
      <w:tblPr>
        <w:tblW w:w="9055" w:type="dxa"/>
        <w:jc w:val="left"/>
        <w:tblInd w:w="0" w:type="dxa"/>
        <w:tblLayout w:type="fixed"/>
        <w:tblCellMar>
          <w:top w:w="28" w:type="dxa"/>
          <w:left w:w="28" w:type="dxa"/>
          <w:bottom w:w="28" w:type="dxa"/>
          <w:right w:w="28" w:type="dxa"/>
        </w:tblCellMar>
      </w:tblPr>
      <w:tblGrid>
        <w:gridCol w:w="1222"/>
        <w:gridCol w:w="1073"/>
        <w:gridCol w:w="1080"/>
        <w:gridCol w:w="674"/>
        <w:gridCol w:w="674"/>
        <w:gridCol w:w="676"/>
        <w:gridCol w:w="109"/>
        <w:gridCol w:w="109"/>
        <w:gridCol w:w="109"/>
        <w:gridCol w:w="973"/>
        <w:gridCol w:w="973"/>
        <w:gridCol w:w="1383"/>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at December 31, 2023</w:t>
            </w:r>
          </w:p>
        </w:tc>
        <w:tc>
          <w:tcPr>
            <w:tcW w:w="13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328,752 </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$29.15</w:t>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(46,407)</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$29.15</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balance at March 31, 2024</w:t>
            </w:r>
          </w:p>
        </w:tc>
        <w:tc>
          <w:tcPr>
            <w:tcW w:w="13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282,345 </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$29.15</w:t>
            </w:r>
          </w:p>
        </w:tc>
      </w:tr>
    </w:tbl>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$1.2 million of unrecognized stock-based compensation expense related to unvested PSUs expected to be recognized over a remaining weighted-average period of 0.29 years.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2020 Employee Stock Purchase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adopted the Company's 2020 Employee Stock Purchase Plan (the “2020 ESPP”). The 2020 ESPP provides that the number of shares reserved and available for issuance will automatically increase on January 1 of each calendar year, beginning January 1, 2021, by the least of (1) 1.0% of the total number of shares of common stock outstanding on December 31 of the preceding calendar year, (2) 700,000 shares or (3) such lesser amount as determined by the administrator of the 2020 ESPP, which is the compensation committee of the board of directors of the Company.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2020 ESPP, eligible employees may purchase shares of our common stock through payroll deductions that cannot exceed 15% of each employee’s salary. The 2020 ESPP provides for a six-month offering period. At the end of the purchase period, eligible employees are permitted to purchase shares of common stock at the lower of 85% of the fair market value at the beginning of the offering period or 85% of the fair market value at the end of the purchase period, subject to tax limitations on the total value of the purchase. The 2020 ESPP is considered a compensatory plan, and the Company recorded $0.1 million and $0.2 million in stock-based compensation expense for the three months ended March 31, 2024 and 2023, respectively. During the three months ended March 31, 2024, 68,882 shares of common stock were issued under the 2020 ESPP with 1,336,085 shares remaining available for issuance under the 2020 ESPP. The Company used Black-Scholes option pricing model to estimate stock-based compensation expense for the 2020 ESPP with the following assumptions: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tbl>
      <w:tblPr>
        <w:tblW w:w="5842" w:type="dxa"/>
        <w:jc w:val="left"/>
        <w:tblInd w:w="0" w:type="dxa"/>
        <w:tblLayout w:type="fixed"/>
        <w:tblCellMar>
          <w:top w:w="28" w:type="dxa"/>
          <w:left w:w="28" w:type="dxa"/>
          <w:bottom w:w="28" w:type="dxa"/>
          <w:right w:w="28" w:type="dxa"/>
        </w:tblCellMar>
      </w:tblPr>
      <w:tblGrid>
        <w:gridCol w:w="1070"/>
        <w:gridCol w:w="939"/>
        <w:gridCol w:w="945"/>
        <w:gridCol w:w="109"/>
        <w:gridCol w:w="109"/>
        <w:gridCol w:w="109"/>
        <w:gridCol w:w="272"/>
        <w:gridCol w:w="272"/>
        <w:gridCol w:w="272"/>
        <w:gridCol w:w="272"/>
        <w:gridCol w:w="272"/>
        <w:gridCol w:w="272"/>
        <w:gridCol w:w="272"/>
        <w:gridCol w:w="272"/>
        <w:gridCol w:w="385"/>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5.27% </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5.20% </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of options (in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0.50</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stock price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63.92% </w:t>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69.15% </w:t>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and classification of stock-based compensation expense for the Company’s stock-based awards for the three months ended March 31, 2024 and 2023 (in thousands):</w:t>
      </w:r>
    </w:p>
    <w:tbl>
      <w:tblPr>
        <w:tblW w:w="6125" w:type="dxa"/>
        <w:jc w:val="center"/>
        <w:tblInd w:w="0" w:type="dxa"/>
        <w:tblLayout w:type="fixed"/>
        <w:tblCellMar>
          <w:top w:w="28" w:type="dxa"/>
          <w:left w:w="28" w:type="dxa"/>
          <w:bottom w:w="28" w:type="dxa"/>
          <w:right w:w="28" w:type="dxa"/>
        </w:tblCellMar>
      </w:tblPr>
      <w:tblGrid>
        <w:gridCol w:w="1246"/>
        <w:gridCol w:w="1097"/>
        <w:gridCol w:w="1106"/>
        <w:gridCol w:w="109"/>
        <w:gridCol w:w="109"/>
        <w:gridCol w:w="109"/>
        <w:gridCol w:w="211"/>
        <w:gridCol w:w="616"/>
        <w:gridCol w:w="109"/>
        <w:gridCol w:w="109"/>
        <w:gridCol w:w="109"/>
        <w:gridCol w:w="109"/>
        <w:gridCol w:w="211"/>
        <w:gridCol w:w="721"/>
        <w:gridCol w:w="154"/>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the Company did not record an income tax provision. The Company will continue to maintain a 100% valuation allowance on total deferred tax assets. The Company believes it is more likely than not that the related deferred tax asset will not be realized. As a result, the Company’s effective tax rate will remain at 0% because there are no estimated or discrete items that would impact the tax provision.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Commitments and Contingencies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Purchase Commitments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contractual arrangements with research and development organizations and suppliers; however, these contracts are generally cancellable on 30 days’ notice and the obligations under these contracts are largely based on services performed.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Leases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New Operating Lease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28, 2023, the Company entered into a lease agreement with HCP BTC, LLC, a Delaware limited liability company (“the Landlord”) for a premise consisting of approximately 100,904 square feet of office and laboratory space located at Oyster Point Blvd, South San Francisco, California (the “Oyster Point Lease”), which the Company intends to use as single unified Company headquarters. The lease term of approximately seven years will start upon the Landlord’s substantial completion of tenant improvements, and may be extended for a period of eight years at then prevailing market rates for a comparable property. Future lease payments are approximately $43.7 million which represent the non-cancellable periods of the lease. We excluded extension options that are not reasonably certain to be exercised from our lease terms. Our lease payments consist primarily of fixed rental payments for the right to use the underlying leased assets over the lease term. Additionally, the Company provided a letter of credit to the Landlord in the amount of $1.4 million in connection with the Oyster Point Lease, which has been recognized as restricted cash as at March 31, 2024.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Though the Oyster Point Lease will be accounted for as a single contract, the office space was occupied in March 2024 while the laboratory space is expected to be occupied in the second quarter of 2024. Accordingly, the Company measured and allocated consideration to each lease component as of March 31, 2024. The Company has recognized a right-of-use asset ("ROU") or aggregate lease liability of $23.7 million as at March 31, 2024, discounted at 9.23%, the Company's estimated incremental borrowing rate during the three months ended March 31, 2024.</w:t>
      </w:r>
    </w:p>
    <w:p>
      <w:pPr>
        <w:pStyle w:val="TextBody"/>
        <w:bidi w:val="0"/>
        <w:spacing w:before="120" w:after="12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undiscounted future non-cancellable lease payments of the Company's operating lease liability as of March 31, 2024 were as follows (in thousands):</w:t>
      </w:r>
    </w:p>
    <w:tbl>
      <w:tblPr>
        <w:tblW w:w="5382" w:type="dxa"/>
        <w:jc w:val="left"/>
        <w:tblInd w:w="0" w:type="dxa"/>
        <w:tblLayout w:type="fixed"/>
        <w:tblCellMar>
          <w:top w:w="28" w:type="dxa"/>
          <w:left w:w="28" w:type="dxa"/>
          <w:bottom w:w="28" w:type="dxa"/>
          <w:right w:w="28" w:type="dxa"/>
        </w:tblCellMar>
      </w:tblPr>
      <w:tblGrid>
        <w:gridCol w:w="1322"/>
        <w:gridCol w:w="1158"/>
        <w:gridCol w:w="1165"/>
        <w:gridCol w:w="109"/>
        <w:gridCol w:w="109"/>
        <w:gridCol w:w="109"/>
        <w:gridCol w:w="274"/>
        <w:gridCol w:w="936"/>
        <w:gridCol w:w="200"/>
      </w:tblGrid>
      <w:tr>
        <w:trPr/>
        <w:tc>
          <w:tcPr>
            <w:tcW w:w="132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97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(remainder of the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2,037 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and 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undiscounted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35,872 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Present value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23,880 </w:t>
            </w:r>
          </w:p>
        </w:tc>
        <w:tc>
          <w:tcPr>
            <w:tcW w:w="200"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remaining lease terms and discount rates related to the Company's operating leases were as follows:</w:t>
      </w:r>
    </w:p>
    <w:tbl>
      <w:tblPr>
        <w:tblW w:w="8183" w:type="dxa"/>
        <w:jc w:val="left"/>
        <w:tblInd w:w="0" w:type="dxa"/>
        <w:tblLayout w:type="fixed"/>
        <w:tblCellMar>
          <w:top w:w="28" w:type="dxa"/>
          <w:left w:w="28" w:type="dxa"/>
          <w:bottom w:w="28" w:type="dxa"/>
          <w:right w:w="28" w:type="dxa"/>
        </w:tblCellMar>
      </w:tblPr>
      <w:tblGrid>
        <w:gridCol w:w="1495"/>
        <w:gridCol w:w="1312"/>
        <w:gridCol w:w="1317"/>
        <w:gridCol w:w="109"/>
        <w:gridCol w:w="109"/>
        <w:gridCol w:w="109"/>
        <w:gridCol w:w="559"/>
        <w:gridCol w:w="559"/>
        <w:gridCol w:w="562"/>
        <w:gridCol w:w="109"/>
        <w:gridCol w:w="109"/>
        <w:gridCol w:w="109"/>
        <w:gridCol w:w="503"/>
        <w:gridCol w:w="503"/>
        <w:gridCol w:w="719"/>
      </w:tblGrid>
      <w:tr>
        <w:trPr/>
        <w:tc>
          <w:tcPr>
            <w:tcW w:w="1495"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41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remaining lease term (in years)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Variable lease costs comprise primarily of the Company's proportionate share of operating expenses, property taxes, and insurance. Short-term lease expense and variable lease payments recorded in operating expenses were immaterial for the three months ended March 31, 2024 and 2023. Lease expenses for each of the three months ended March 31, 2024 and 2023 are as follows (in thousands):</w:t>
      </w:r>
    </w:p>
    <w:tbl>
      <w:tblPr>
        <w:tblW w:w="5887" w:type="dxa"/>
        <w:jc w:val="left"/>
        <w:tblInd w:w="0" w:type="dxa"/>
        <w:tblLayout w:type="fixed"/>
        <w:tblCellMar>
          <w:top w:w="28" w:type="dxa"/>
          <w:left w:w="28" w:type="dxa"/>
          <w:bottom w:w="28" w:type="dxa"/>
          <w:right w:w="28" w:type="dxa"/>
        </w:tblCellMar>
      </w:tblPr>
      <w:tblGrid>
        <w:gridCol w:w="662"/>
        <w:gridCol w:w="582"/>
        <w:gridCol w:w="586"/>
        <w:gridCol w:w="109"/>
        <w:gridCol w:w="109"/>
        <w:gridCol w:w="109"/>
        <w:gridCol w:w="378"/>
        <w:gridCol w:w="1106"/>
        <w:gridCol w:w="195"/>
        <w:gridCol w:w="109"/>
        <w:gridCol w:w="109"/>
        <w:gridCol w:w="109"/>
        <w:gridCol w:w="371"/>
        <w:gridCol w:w="1083"/>
        <w:gridCol w:w="270"/>
      </w:tblGrid>
      <w:tr>
        <w:trPr/>
        <w:tc>
          <w:tcPr>
            <w:tcW w:w="662"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2023</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variable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Defined Contribution Plan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sponsors a defined contribution plan under Section 401(k) of the Internal Revenue Code covering substantially all full-time U.S. employees. Employee contributions are voluntary and are determined on an individual basis subject to the maximum allowable under federal tax regulations. The Company made contributions to the plan of $0.3 million for each of the three months ended March 31,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16. Net Loss Per Share Attributable to Common Stockholders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outstanding shares of potentially dilutive securities were excluded from the computation of diluted net loss per share attributable to common stockholders for the periods presented, because including them would have been antidilutive:</w:t>
      </w:r>
    </w:p>
    <w:tbl>
      <w:tblPr>
        <w:tblW w:w="10205" w:type="dxa"/>
        <w:jc w:val="left"/>
        <w:tblInd w:w="0" w:type="dxa"/>
        <w:tblLayout w:type="fixed"/>
        <w:tblCellMar>
          <w:top w:w="28" w:type="dxa"/>
          <w:left w:w="28" w:type="dxa"/>
          <w:bottom w:w="28" w:type="dxa"/>
          <w:right w:w="28" w:type="dxa"/>
        </w:tblCellMar>
      </w:tblPr>
      <w:tblGrid>
        <w:gridCol w:w="2922"/>
        <w:gridCol w:w="2175"/>
        <w:gridCol w:w="2157"/>
        <w:gridCol w:w="704"/>
        <w:gridCol w:w="282"/>
        <w:gridCol w:w="180"/>
        <w:gridCol w:w="180"/>
        <w:gridCol w:w="180"/>
        <w:gridCol w:w="180"/>
        <w:gridCol w:w="704"/>
        <w:gridCol w:w="282"/>
        <w:gridCol w:w="259"/>
      </w:tblGrid>
      <w:tr>
        <w:trPr/>
        <w:tc>
          <w:tcPr>
            <w:tcW w:w="2922"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r>
      <w:tr>
        <w:trPr/>
        <w:tc>
          <w:tcPr>
            <w:tcW w:w="7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5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7,659,860 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6,380,591 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1,201,724 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1,168,536 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Performance-based restricted stock units*</w:t>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8,861,584 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7,549,127 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 unvested performance-based restricted stock units are included above as none of the contingently issuable shares would be issued assuming the end of our reporting period was the end of the relevant PSU award contingency period</w:t>
            </w:r>
          </w:p>
        </w:tc>
        <w:tc>
          <w:tcPr>
            <w:tcW w:w="11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should be read in conjunction with our condensed financial statements and related notes appearing elsewhere in this Report, as well as our audited financial statements and related notes included in our 2023 10-K. This discussion and analysis contains forward-looking statements based upon current beliefs, plans and expectations that involve risks, uncertainties and assumptions, such as statements regarding our plans, objectives, expectations, intention, beliefs and projections. Our actual results and the timing of events could differ materially from those anticipated in these forward-looking statements as a result of several factors, including those set forth in the section titled “Risk Factors” under Part II, Item 1A of this Report and under Part I, Item 1A of our 2023 10-K. In some cases, you can identify forward-looking statements by terminology such as “anticipate,” “believe,” “continue,” “could,” “estimate,” “expect,” “intend,” “may,” “plan,” “potentially,” “predict,” “should,” “will” or the negative of these terms or other similar expressions.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we have conducted exhaustive inquiry into, or review of, all potentially available relevant information. These statements are inherently uncertain and investors are cautioned not to unduly rely upon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 late-stage biopharmaceutical company focused on discovering and developing novel therapies for the treatment of fibrosis and related diseases. Our initial focus is on treating fibrosis by inhibiting integrin-mediated activation of TGF-β. We have applied our deep understanding of fibrosis biology, along with our medicinal chemistry and translational medicine expertise to develop a set of proprietary tools designed to discover and de-risk product candidates quickly and efficiently. Our wholly owned lead product candidate, bexotegrast (PLN-74809), is an oral, small molecule, dual selective inhibitor of αvß6 and αvß1 integrins that we are developing for the treatment of idiopathic pulmonary fibrosis, or IPF, and primary sclerosing cholangitis, or PSC. We are currently conducting a Phase 2b trial in patients with IPF and a Phase 2a trial in patients with PSC. We announced positive data from our Phase 2a INTEGRIS-IPF trial in May 2023. We are currently conducting BEACON-IPF, a 52-week, randomized, double-blind, placebo-controlled Phase 2b trial in patients with IPF. We announced positive interim data from our Phase 2a INTEGRIS-PSC trial in September 2023 and February 2024. We expect to release final data from the INTEGRIS-PSC trial in mid-2024.</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2023, we received FDA clearance of investigational new drug application, or IND, for our third clinical program to date, PLN-101095, a dual inhibitor of integrins αvß8 and αvß1 for the treatment of solid tumors that are resistant to immune checkpoint inhibitors. We are currently dosing the third of five dose cohorts in a Phase 1 open label dose-escalation trial of PLN-101095 as monotherapy and in combination with pembrolizumab in patients with solid tumors that are resistant to immune checkpoint inhibitors. Preliminary data could be available as early as late 2024.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fourth program, PLN-101325, is in development for treatment of muscular dystrophies, including Duchenne muscular dystrophy. PLN-101325 is a monoclonal antibody designed to act as an allosteric agonist of integrin α7ß1. In the first quarter of 2024 regulatory clearance was received for the conduct of a first-in-human Phase 1 clinical study of PLN-101325 which is anticipated to be initiated in 2024.</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Highlights</w:t>
      </w:r>
    </w:p>
    <w:p>
      <w:pPr>
        <w:pStyle w:val="TextBody"/>
        <w:bidi w:val="0"/>
        <w:spacing w:lineRule="auto" w:line="288" w:before="120" w:after="283"/>
        <w:ind w:left="0" w:right="0" w:firstLine="450"/>
        <w:jc w:val="left"/>
        <w:rPr>
          <w:rFonts w:ascii="Times New Roman;sans-serif" w:hAnsi="Times New Roman;sans-serif"/>
          <w:b/>
          <w:color w:val="000000"/>
          <w:sz w:val="20"/>
          <w:u w:val="single"/>
        </w:rPr>
      </w:pPr>
      <w:r>
        <w:rPr>
          <w:rFonts w:ascii="Times New Roman;sans-serif" w:hAnsi="Times New Roman;sans-serif"/>
          <w:b/>
          <w:color w:val="000000"/>
          <w:sz w:val="20"/>
          <w:u w:val="single"/>
        </w:rPr>
        <w:t>Bexotegrast Highlights</w:t>
      </w:r>
    </w:p>
    <w:p>
      <w:pPr>
        <w:pStyle w:val="TextBody"/>
        <w:bidi w:val="0"/>
        <w:spacing w:lineRule="auto" w:line="288" w:before="60" w:after="283"/>
        <w:ind w:left="0" w:right="0" w:hanging="270"/>
        <w:jc w:val="left"/>
        <w:rPr/>
      </w:pPr>
      <w:r>
        <w:rPr>
          <w:color w:val="000000"/>
        </w:rPr>
        <w:t>•</w:t>
      </w:r>
      <w:r>
        <w:rPr>
          <w:rFonts w:ascii="Times New Roman;sans-serif" w:hAnsi="Times New Roman;sans-serif"/>
          <w:b/>
          <w:color w:val="000000"/>
          <w:sz w:val="20"/>
        </w:rPr>
        <w:t>Acceleration of bexotegrast development plan with implementation of BEACON-IPF as a pivotal, adaptive Phase 2b/3 trial in patients with idiopathic pulmonary fibrosis (IPF).</w:t>
      </w:r>
      <w:r>
        <w:rPr>
          <w:color w:val="000000"/>
        </w:rPr>
        <w:t xml:space="preserve"> </w:t>
      </w:r>
      <w:r>
        <w:rPr>
          <w:rFonts w:ascii="Times New Roman;sans-serif" w:hAnsi="Times New Roman;sans-serif"/>
          <w:b w:val="false"/>
          <w:color w:val="000000"/>
          <w:sz w:val="20"/>
        </w:rPr>
        <w:t>The adaptive design implementation, based on acceptance by the European Union (EU) and other global health authorities, is expected to significantly shorten bexotegrast’s late-stage development compared to standalone Phase 2b and Phase 3 trials. As part of the adaptive Phase 2b/3 implementation, the Phase 2b portion of BEACON-IPF was upsized from 267 patients to 360 patients. Enrollment is progressing and we expect to complete enrollment of the upsized Phase 2b study in the first quarter of 2025.</w:t>
      </w:r>
    </w:p>
    <w:p>
      <w:pPr>
        <w:pStyle w:val="TextBody"/>
        <w:bidi w:val="0"/>
        <w:spacing w:lineRule="auto" w:line="288" w:before="60" w:after="283"/>
        <w:ind w:left="0" w:right="0" w:hanging="360"/>
        <w:jc w:val="left"/>
        <w:rPr/>
      </w:pPr>
      <w:r>
        <w:rPr>
          <w:color w:val="000000"/>
        </w:rPr>
        <w:t>•</w:t>
      </w:r>
      <w:r>
        <w:rPr>
          <w:rFonts w:ascii="Times New Roman;sans-serif" w:hAnsi="Times New Roman;sans-serif"/>
          <w:b/>
          <w:color w:val="000000"/>
          <w:sz w:val="20"/>
        </w:rPr>
        <w:t>Completion of a 12 week Phase 2a PET imaging trial, measuring the effects of bexotegrast on total lung collagen and forced vital capacity (FVC) in IPF patients</w:t>
      </w:r>
      <w:r>
        <w:rPr>
          <w:rFonts w:ascii="Times New Roman;sans-serif" w:hAnsi="Times New Roman;sans-serif"/>
          <w:b w:val="false"/>
          <w:color w:val="000000"/>
          <w:sz w:val="20"/>
        </w:rPr>
        <w:t xml:space="preserve">. This randomized, double-blind, placebo-controlled trial was conducted at Massachusetts General Hospital. The trial's primary endpoint is the change in total lung collagen in 10 participants with IPF following once-daily treatment with bexotegrast at 160 mg for 12 weeks. Collagen will be evaluated with PET imaging, utilizing a collagen-binding probe. The secondary endpoint is safety and tolerability. Exploratory endpoints include change in FVC, cough severity and fibrosis biomarkers. Conduct of this trial has been completed, with topline data expected in the coming weeks.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283"/>
        <w:ind w:left="0" w:right="0" w:hanging="360"/>
        <w:jc w:val="left"/>
        <w:rPr/>
      </w:pPr>
      <w:r>
        <w:rPr>
          <w:color w:val="000000"/>
        </w:rPr>
        <w:t>•</w:t>
      </w:r>
      <w:r>
        <w:rPr>
          <w:rFonts w:ascii="Times New Roman;sans-serif" w:hAnsi="Times New Roman;sans-serif"/>
          <w:b/>
          <w:color w:val="000000"/>
          <w:sz w:val="20"/>
        </w:rPr>
        <w:t>Completion of INTEGRIS-PSC Phase 2a trial in patients with primary sclerosing cholangitis (PSC) with data readout expected mid-year.</w:t>
      </w:r>
      <w:r>
        <w:rPr>
          <w:color w:val="000000"/>
        </w:rPr>
        <w:t xml:space="preserve"> </w:t>
      </w:r>
      <w:r>
        <w:rPr>
          <w:rFonts w:ascii="Times New Roman;sans-serif" w:hAnsi="Times New Roman;sans-serif"/>
          <w:b w:val="false"/>
          <w:color w:val="000000"/>
          <w:sz w:val="20"/>
        </w:rPr>
        <w:t>As previously announced, at a once-daily dose of 320 mg, bexotegrast was well tolerated over 12 weeks of treatment with no drug-related severe or serious adverse events. At the 320 mg dose, bexotegrast reduced both Enhanced Liver Fibrosis (ELF) scores and PRO-C3 levels and showed improvements in hepatocyte function and bile flow by contrast MRI imaging relative to placebo at Week 12. The final 24-week data readout from the 320 mg dose group is expected in mid-2024.</w:t>
      </w:r>
    </w:p>
    <w:p>
      <w:pPr>
        <w:pStyle w:val="TextBody"/>
        <w:bidi w:val="0"/>
        <w:spacing w:lineRule="auto" w:line="288" w:before="60" w:after="283"/>
        <w:ind w:left="0" w:right="0" w:firstLine="450"/>
        <w:jc w:val="left"/>
        <w:rPr/>
      </w:pPr>
      <w:r>
        <w:rPr>
          <w:rFonts w:ascii="Times New Roman;sans-serif" w:hAnsi="Times New Roman;sans-serif"/>
          <w:b/>
          <w:color w:val="000000"/>
          <w:sz w:val="20"/>
          <w:u w:val="single"/>
          <w:shd w:fill="FFFFFF" w:val="clear"/>
        </w:rPr>
        <w:t>Pipeline</w:t>
      </w:r>
      <w:r>
        <w:rPr>
          <w:color w:val="000000"/>
          <w:u w:val="single"/>
        </w:rPr>
        <w:t xml:space="preserve"> </w:t>
      </w:r>
      <w:r>
        <w:rPr>
          <w:rFonts w:ascii="Times New Roman;sans-serif" w:hAnsi="Times New Roman;sans-serif"/>
          <w:b/>
          <w:color w:val="000000"/>
          <w:sz w:val="20"/>
          <w:u w:val="single"/>
        </w:rPr>
        <w:t>Programs</w:t>
      </w:r>
    </w:p>
    <w:p>
      <w:pPr>
        <w:pStyle w:val="TextBody"/>
        <w:bidi w:val="0"/>
        <w:spacing w:lineRule="auto" w:line="288" w:before="60" w:after="283"/>
        <w:ind w:left="0" w:right="0" w:hanging="270"/>
        <w:jc w:val="left"/>
        <w:rPr/>
      </w:pPr>
      <w:r>
        <w:rPr>
          <w:color w:val="000000"/>
        </w:rPr>
        <w:t>•</w:t>
      </w:r>
      <w:r>
        <w:rPr>
          <w:rFonts w:ascii="Times New Roman;sans-serif" w:hAnsi="Times New Roman;sans-serif"/>
          <w:b/>
          <w:color w:val="000000"/>
          <w:sz w:val="20"/>
        </w:rPr>
        <w:t>Muscular dystrophy program cleared for conduct of Phase 1 study.</w:t>
      </w:r>
      <w:r>
        <w:rPr>
          <w:color w:val="000000"/>
        </w:rPr>
        <w:t xml:space="preserve"> </w:t>
      </w:r>
      <w:r>
        <w:rPr>
          <w:rFonts w:ascii="Times New Roman;sans-serif" w:hAnsi="Times New Roman;sans-serif"/>
          <w:b w:val="false"/>
          <w:color w:val="000000"/>
          <w:sz w:val="20"/>
        </w:rPr>
        <w:t xml:space="preserve">PLN-101325 is a monoclonal antibody designed to act as an allosteric agonist of integrin α7β1. The Company recently received regulatory clearance from Australia's Research Ethics Committee (HREC) for the conduct of a first-in-human Phase 1 clinical study of PLN-101325 which is being developed as a potential treatment for muscular dystrophies, including Duchenne muscular dystrophy (DMD). </w:t>
      </w:r>
    </w:p>
    <w:p>
      <w:pPr>
        <w:pStyle w:val="TextBody"/>
        <w:bidi w:val="0"/>
        <w:spacing w:lineRule="auto" w:line="288" w:before="60" w:after="283"/>
        <w:ind w:left="0" w:right="0" w:hanging="360"/>
        <w:jc w:val="left"/>
        <w:rPr/>
      </w:pPr>
      <w:r>
        <w:rPr>
          <w:color w:val="000000"/>
        </w:rPr>
        <w:t>•</w:t>
      </w:r>
      <w:r>
        <w:rPr>
          <w:rFonts w:ascii="Times New Roman;sans-serif" w:hAnsi="Times New Roman;sans-serif"/>
          <w:b/>
          <w:color w:val="000000"/>
          <w:sz w:val="20"/>
        </w:rPr>
        <w:t>Phase 1 trial of PLN-101095 in solid tumors is progressing with dosing of the third of five cohorts.</w:t>
      </w:r>
      <w:r>
        <w:rPr>
          <w:color w:val="000000"/>
        </w:rPr>
        <w:t xml:space="preserve"> </w:t>
      </w:r>
      <w:r>
        <w:rPr>
          <w:rFonts w:ascii="Times New Roman;sans-serif" w:hAnsi="Times New Roman;sans-serif"/>
          <w:b w:val="false"/>
          <w:color w:val="000000"/>
          <w:sz w:val="20"/>
        </w:rPr>
        <w:t xml:space="preserve">PLN-101095 is an oral, small molecule, dual selective inhibitor of αvβ8 and αvβ1 integrins designed to block TGF-β activation in the tumor microenvironment. The Company is currently enrolling the third of five cohorts in the Phase 1 open label, dose-escalation trial of PLN-101095 as monotherapy and in combination with pembrolizumab in patients with solid tumors that are resistant to immune checkpoint inhibitors. Preliminary data could be available as early as late 2024. </w:t>
      </w:r>
    </w:p>
    <w:p>
      <w:pPr>
        <w:pStyle w:val="TextBody"/>
        <w:bidi w:val="0"/>
        <w:spacing w:lineRule="auto" w:line="288" w:before="60" w:after="283"/>
        <w:ind w:left="0" w:right="0" w:firstLine="450"/>
        <w:jc w:val="left"/>
        <w:rPr>
          <w:rFonts w:ascii="Times New Roman;sans-serif" w:hAnsi="Times New Roman;sans-serif"/>
          <w:b/>
          <w:color w:val="000000"/>
          <w:sz w:val="20"/>
          <w:u w:val="single"/>
        </w:rPr>
      </w:pPr>
      <w:r>
        <w:rPr>
          <w:rFonts w:ascii="Times New Roman;sans-serif" w:hAnsi="Times New Roman;sans-serif"/>
          <w:b/>
          <w:color w:val="000000"/>
          <w:sz w:val="20"/>
          <w:u w:val="single"/>
        </w:rPr>
        <w:t>Corporate Highlights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color w:val="000000"/>
          <w:sz w:val="20"/>
        </w:rPr>
        <w:t>Loan facility with Oxford Finance LLC (Oxford), upsized by $50 million to a total of $150 million of available non-dilutive capital.</w:t>
      </w:r>
      <w:r>
        <w:rPr>
          <w:color w:val="000000"/>
        </w:rPr>
        <w:t xml:space="preserve"> </w:t>
      </w:r>
      <w:r>
        <w:rPr>
          <w:rFonts w:ascii="Times New Roman;sans-serif" w:hAnsi="Times New Roman;sans-serif"/>
          <w:b w:val="false"/>
          <w:color w:val="000000"/>
          <w:sz w:val="20"/>
        </w:rPr>
        <w:t>To date, the Company has drawn a total of $30 million from the facility. The remaining funds available under this facility, along with the Company’s March 31, 2024 cash and cash equivalents and short-term investments of $483.9 million are expected to fund Pliant's anticipated operating expenses and capital expenditure requirements through 2026.</w:t>
      </w:r>
    </w:p>
    <w:p>
      <w:pPr>
        <w:pStyle w:val="TextBody"/>
        <w:bidi w:val="0"/>
        <w:spacing w:before="120" w:after="12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Since inception, we have had significant operating losses. Our net loss was $47.0 million and $37.5 million for the three months ended March 31, 2024 and 2023, respectively. As of March 31, 2024, we had an accumulated deficit of $546.7 million and cash, cash equivalents, and short-term investments of $483.9 million. We expect to continue to incur net losses for the foreseeable future, and we expect our research and development expenses, general and administrative expenses, and capital expenditures will increase in connection with our ongoing activities, as we:</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perform research and development activities to identify and develop product candidates;</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advance product candidates into and through clinical development;</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require the manufacture of supplies to support research and development, preclinical studies and clinical trials;</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120"/>
        <w:ind w:left="0" w:right="0" w:hanging="360"/>
        <w:jc w:val="left"/>
        <w:rPr/>
      </w:pPr>
      <w:r>
        <w:rPr>
          <w:color w:val="000000"/>
        </w:rPr>
        <w:t>•</w:t>
      </w:r>
      <w:r>
        <w:rPr>
          <w:rFonts w:ascii="Times New Roman;sans-serif" w:hAnsi="Times New Roman;sans-serif"/>
          <w:b w:val="false"/>
          <w:color w:val="000000"/>
          <w:sz w:val="20"/>
        </w:rPr>
        <w:t>expand our operational, financial and management systems and increase personnel to support our clinical development, manufacturing and commercialization efforts and our operations as a public company;</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maintain, expand and protect our intellectual property portfolio; and</w:t>
      </w:r>
    </w:p>
    <w:p>
      <w:pPr>
        <w:pStyle w:val="TextBody"/>
        <w:bidi w:val="0"/>
        <w:spacing w:lineRule="auto" w:line="288" w:before="120" w:after="120"/>
        <w:ind w:left="0" w:right="0" w:firstLine="450"/>
        <w:jc w:val="left"/>
        <w:rPr/>
      </w:pPr>
      <w:r>
        <w:rPr>
          <w:color w:val="000000"/>
        </w:rPr>
        <w:t>•</w:t>
      </w:r>
      <w:r>
        <w:rPr>
          <w:rFonts w:ascii="Times New Roman;sans-serif" w:hAnsi="Times New Roman;sans-serif"/>
          <w:b w:val="false"/>
          <w:color w:val="000000"/>
          <w:sz w:val="20"/>
        </w:rPr>
        <w:t>invest in or in-license other technologies or product candidates.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Components of Operations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not generated any revenue from product sales and do not expect to do so in the near future. Our revenue to date has been derived from a Collaboration and License Agreement with Novartis, or the "Novartis Agreement," that was executed in 2019.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Novartis Agreement, we received an upfront license fee payment of $50.0 million for the worldwide, exclusive license to PLN-1474, an αvß1 inhibitor developed by Pliant to target metabolic dysfunction-associated steatohepatitis, or MASH, and an additional $29.0 million upon the achievement of specified research and development milestones. As part of a broad strategic realignment, Novartis has discontinued clinical development in MASH and, as a result,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discontinued development of PLN-1474. In February 2023, Novartis issued a termination notice for the collaboration and license agreement, and returned global rights to Pliant for PLN-1474.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termination of the Novartis Agreement, we are no longer eligible to receive additional milestone or royalty payments under the arrangement; however, we continued to earn research and development services revenues through the effective termination date of April 18, 2023. We recognized nil and $1.3 million in revenues for performing research and development activities associated with PLN-1474 and integrin research targets in the three months ended March 31, 2024 and 2023, respectively.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consist of expenses incurred in connection with the development of our product candidates. Research and development expenses include:</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employee-related expenses, which include salaries, benefits and stock-based compensation for our research and development personnel;</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expenses incurred under agreements with third-party contract organizations for pre-clinical studies, clinical trials and consultants that conduct research and development activities on our behalf;</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costs associated with the manufacture of supplies to support research and development, preclinical studies and clinical trials;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depreciation of laboratory equipment and costs of equipment and supplies;</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costs associated with technology and intellectual property licenses; and</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facilities and other allocated expenses, which include expenses for rent and other facility related costs and other supplies.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general and administrative expenses consist primarily of salaries, benefits and stock-based compensation for our general and administrative personnel, allocated facilities costs, insurance and other expenses for outside professional services, including legal, marketing, investor relations, human resource and accounting services.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and other income (expense), net consists of interest, accretion income and amortization expense on cash and cash equivalents, and short-term investments, and realized gains and losses on investments.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expense is derived from a term loan under the Oxford Loan Agreement that we entered into in May 2022. On March 11, 2024, we entered into an Amended and Restated Loan and Security Agreement (the “Amended Loan Agreement”) with the Lender to borrow up to $150.0 million. Borrowings under the Amended Loan Agreement bear interest at a rate per annum equal to 1-month term Secured Overnight Financing Rate (SOFR) plus 5.25%, subject to an agreed upon floor of 8.75%. </w:t>
      </w:r>
    </w:p>
    <w:p>
      <w:pPr>
        <w:pStyle w:val="TextBody"/>
        <w:bidi w:val="0"/>
        <w:spacing w:before="12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Financial Operations Overview</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2024 and 2023 (in thousands)</w:t>
      </w:r>
    </w:p>
    <w:tbl>
      <w:tblPr>
        <w:tblW w:w="7301" w:type="dxa"/>
        <w:jc w:val="center"/>
        <w:tblInd w:w="0" w:type="dxa"/>
        <w:tblLayout w:type="fixed"/>
        <w:tblCellMar>
          <w:top w:w="28" w:type="dxa"/>
          <w:left w:w="28" w:type="dxa"/>
          <w:bottom w:w="28" w:type="dxa"/>
          <w:right w:w="28" w:type="dxa"/>
        </w:tblCellMar>
      </w:tblPr>
      <w:tblGrid>
        <w:gridCol w:w="1208"/>
        <w:gridCol w:w="1064"/>
        <w:gridCol w:w="1073"/>
        <w:gridCol w:w="212"/>
        <w:gridCol w:w="802"/>
        <w:gridCol w:w="109"/>
        <w:gridCol w:w="109"/>
        <w:gridCol w:w="109"/>
        <w:gridCol w:w="109"/>
        <w:gridCol w:w="212"/>
        <w:gridCol w:w="802"/>
        <w:gridCol w:w="109"/>
        <w:gridCol w:w="109"/>
        <w:gridCol w:w="109"/>
        <w:gridCol w:w="109"/>
        <w:gridCol w:w="211"/>
        <w:gridCol w:w="691"/>
        <w:gridCol w:w="154"/>
      </w:tblGrid>
      <w:tr>
        <w:trPr/>
        <w:tc>
          <w:tcPr>
            <w:tcW w:w="1208"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(expense), net</w:t>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(37,548)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(9,407)</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240" w:after="120"/>
        <w:jc w:val="left"/>
        <w:rPr/>
      </w:pPr>
      <w:r>
        <w:rPr/>
      </w:r>
    </w:p>
    <w:p>
      <w:pPr>
        <w:pStyle w:val="TextBody"/>
        <w:bidi w:val="0"/>
        <w:spacing w:lineRule="auto" w:line="288" w:before="24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revenue of $1.3 million is attributable to the termination of the Novartis Agreement that went into effect in April 2023.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research and development expenses for the three months ended March 31, 2024 and 2023 (in thousands):</w:t>
      </w:r>
    </w:p>
    <w:tbl>
      <w:tblPr>
        <w:tblW w:w="10205" w:type="dxa"/>
        <w:jc w:val="center"/>
        <w:tblInd w:w="0" w:type="dxa"/>
        <w:tblLayout w:type="fixed"/>
        <w:tblCellMar>
          <w:top w:w="28" w:type="dxa"/>
          <w:left w:w="28" w:type="dxa"/>
          <w:bottom w:w="28" w:type="dxa"/>
          <w:right w:w="28" w:type="dxa"/>
        </w:tblCellMar>
      </w:tblPr>
      <w:tblGrid>
        <w:gridCol w:w="2348"/>
        <w:gridCol w:w="2065"/>
        <w:gridCol w:w="2074"/>
        <w:gridCol w:w="211"/>
        <w:gridCol w:w="721"/>
        <w:gridCol w:w="109"/>
        <w:gridCol w:w="109"/>
        <w:gridCol w:w="109"/>
        <w:gridCol w:w="109"/>
        <w:gridCol w:w="211"/>
        <w:gridCol w:w="721"/>
        <w:gridCol w:w="109"/>
        <w:gridCol w:w="109"/>
        <w:gridCol w:w="109"/>
        <w:gridCol w:w="109"/>
        <w:gridCol w:w="211"/>
        <w:gridCol w:w="616"/>
        <w:gridCol w:w="155"/>
      </w:tblGrid>
      <w:tr>
        <w:trPr/>
        <w:tc>
          <w:tcPr>
            <w:tcW w:w="2348"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Employee-related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Outside and consulting services for preclinical studies and research and development activities by third-party contract organizations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lab equipment and costs of equipment and supplies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Facilities and other allocated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Technology and intellectual property licenses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research and development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for the three months ended March 31, 2024 increased $7.9 million, primarily due to BEACON-IPF, a Phase 2b study of bexotegrast in patients with IPF, and employee-related expenses, driven by increased headcount. These costs were partially offset by a decrease in preclinical manufacturing costs associated with activities that were substantially complete in 2023.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allocate our costs by product candidates or by preclinical programs as these are in early stages of clinical trials or development, and our internal expenses are not allocated between product candidates and programs. Although external third-party costs are allocable between product candidates and programs, we do not perform this allocation. We expect our research and development expenses to increase for the foreseeable future as we continue to invest in research and development activities related to developing our product candidates and our preclinical programs and as they advance into later stages of development.</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for the three months ended March 31, 2024 increased $1.1 million, primarily attributable to employee-related costs, driven by increased headcount.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general and administrative expenses to increase for the foreseeable future as we continue to build our administrative function to support our growth in operations.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and Other Income (Expense), net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other income (expense), net increased $1.0 million, attributable to higher interest income due to increased yields and an increase in short-term investments due to current year financing activities. </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interest expense is derived from a term loan under an Amended and Restated Loan and Security Agreement (the “Oxford Loan Agreement”) with Oxford Finance LLC (the “Lender”), which amended and restated, in its entirety, the Loan and Security Agreement, dated as of May 4, 2022 (as amended, restated, supplemented or otherwise modified prior to the Effective Date, the “Prior Agreement”) with the Lender and which permits us borrow a series of term loans up to an aggregate principal amount of $150.0 million (the “Term Loans”), of which $50.0 million is subject to the Lender’s sole discretion. Borrowings under the Oxford Loan Agreement bear interest at a rate per annum equal to 1-month term Chicago Mercantile Exchange (“CME”) Term Secured Overnight Financing Rate (“SOFR”) plus 5.25%, subject to an agreed upon floor of 8.75%.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$483.9 million of cash, cash equivalents and short-term investments. Our short-term investments consist of U.S. Treasury securities, U.S. Government agency securities and highly rated, investment-grade corporate debt securities.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we entered into the Oxford Loan Agreement with Oxford Finance LLC the (or the “Lender” or “Oxford”) which upsized our existing term loan facility to a total size of $150.0 million of available non-dilutive capital. Pursuant to the Oxford Loan Agreement, we drew an additional Term Loan of $20.0 million and may borrow up to $70.0 million at our option upon the satisfaction of certain conditions related to the development of bexotegrast. A further $50.0 million may be made available to us at the sole discretion of Lender. See Note 7 to the Notes to our condensed financial statements of this Report for more information. </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we completed an underwritten public offering of 9,583,334 shares of common stock, including the exercise in full of the underwriters' option to purchase 1,250,000 additional shares of common stock. The shares were offered at a price to the public of $30.00 per share, resulting in aggregate proceeds of approximately $269.8 million, net of underwriting discounts, commissions and offering expenses.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existing capital resources, together with the funds available to us under the Amended Loan Agreement, will be sufficient to fund our anticipated operating expenses and capital expenditure requirements for the next 12 months and through 2026. We have based these estimates on assumptions that may prove to be wrong, and we could utilize our available capital resources sooner than we currently expect. Further, our operating plan may change, and we may need additional funds to meet operational needs and capital requirements for product development and commercialization sooner than planned.</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During the third quarter of 2021, we entered into a Controlled Equity Offering</w:t>
      </w:r>
      <w:r>
        <w:rPr>
          <w:rFonts w:ascii="Times New Roman;sans-serif" w:hAnsi="Times New Roman;sans-serif"/>
          <w:b w:val="false"/>
          <w:color w:val="000000"/>
          <w:sz w:val="13"/>
        </w:rPr>
        <w:t>SM</w:t>
      </w:r>
      <w:r>
        <w:rPr>
          <w:color w:val="000000"/>
        </w:rPr>
        <w:t xml:space="preserve"> </w:t>
      </w:r>
      <w:r>
        <w:rPr>
          <w:rFonts w:ascii="Times New Roman;sans-serif" w:hAnsi="Times New Roman;sans-serif"/>
          <w:b w:val="false"/>
          <w:color w:val="000000"/>
          <w:sz w:val="20"/>
        </w:rPr>
        <w:t>Sales Agreement (the “Sales Agreement”) with Cantor Fitzgerald &amp; Co., as sales agent, pursuant to which we may issue and sell shares of common stock in an "at-the-market" offering. In March 2023, we filed a prospectus registering the offer and sale of up to $150.0 million of shares of common stock from time to time pursuant to the Sales Agreement. As of the date of this Report, we have not issued any shares pursuant to any at-the-market offerings, including pursuant to the Sales Agreement, but may do so at a future date</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Funding Requirements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depend on many factors, including the following:</w:t>
      </w:r>
    </w:p>
    <w:p>
      <w:pPr>
        <w:pStyle w:val="TextBody"/>
        <w:bidi w:val="0"/>
        <w:spacing w:lineRule="auto" w:line="288" w:before="120" w:after="120"/>
        <w:ind w:left="0" w:right="0" w:hanging="54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which may be impacted by health epidemics and pandemics, such as COVID-19, or other geopolitical conditions;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outcome, timing and cost of meeting regulatory requirements established by the U.S. Food and Drug Administration, or FDA, and other comparable foreign regulatory authorities including but not limited to the European Medicines Agency (EMA), the U.K. Medicines and Healthcare products Regulatory Agency (MHRA);</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whether we enter into any collaboration agreements and the terms of any such agreements;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defending any intellectual property disputes, including patent infringement actions brought by third parties against us or our product candidates;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 xml:space="preserve">the cost and timing of completion of commercial-scale outsourced manufacturing activities; </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and timing of achieving favorable pricing and reimbursement agreements with the pricing authorities in each market of interest, including of securing a positive recommendation after undergoing a health technology assessment by health technology authorities;</w:t>
      </w:r>
    </w:p>
    <w:p>
      <w:pPr>
        <w:pStyle w:val="TextBody"/>
        <w:bidi w:val="0"/>
        <w:spacing w:lineRule="auto" w:line="288" w:before="120" w:after="283"/>
        <w:ind w:left="0" w:right="0" w:hanging="63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 and</w:t>
      </w:r>
    </w:p>
    <w:p>
      <w:pPr>
        <w:pStyle w:val="TextBody"/>
        <w:bidi w:val="0"/>
        <w:spacing w:lineRule="auto" w:line="288" w:before="60" w:after="283"/>
        <w:ind w:left="0" w:right="0" w:hanging="630"/>
        <w:jc w:val="left"/>
        <w:rPr/>
      </w:pPr>
      <w:r>
        <w:rPr>
          <w:color w:val="000000"/>
        </w:rPr>
        <w:t>•</w:t>
      </w:r>
      <w:r>
        <w:rPr>
          <w:rFonts w:ascii="Times New Roman;sans-serif" w:hAnsi="Times New Roman;sans-serif"/>
          <w:b w:val="false"/>
          <w:color w:val="000000"/>
          <w:sz w:val="20"/>
        </w:rPr>
        <w:t>the cost of operating as a public company and the financial impact of current and future laws, regulations and ordinances..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our operating plan may change, and we may need additional funds to meet operational needs and capital requirements for clinical trials and other research and development expenditures. If we need to raise additional capital to fund our operations, funding may not be available to us on acceptable terms, or at all. If we are unable to obtain adequate financing when needed, we may have to delay, reduce the scope of or suspend one or more of our preclinical studies, clinical trials, research and development programs or commercialization efforts. We may seek to raise any necessary additional capital through a combination of public or private equity offerings, debt financings, collaborations and other licensing or royalty arrangements. If we raise capital through additional debt financing, we may be subject to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licensing or royalty arrangements with third parties, we may have to relinquish certain valuable rights to our product candidates, technologies, future revenue streams or research programs or grant licenses on terms that may not be favorable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2024 and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cash flows for the periods indicated (in thousands):</w:t>
      </w:r>
    </w:p>
    <w:tbl>
      <w:tblPr>
        <w:tblW w:w="6818" w:type="dxa"/>
        <w:jc w:val="center"/>
        <w:tblInd w:w="0" w:type="dxa"/>
        <w:tblLayout w:type="fixed"/>
        <w:tblCellMar>
          <w:top w:w="28" w:type="dxa"/>
          <w:left w:w="28" w:type="dxa"/>
          <w:bottom w:w="28" w:type="dxa"/>
          <w:right w:w="28" w:type="dxa"/>
        </w:tblCellMar>
      </w:tblPr>
      <w:tblGrid>
        <w:gridCol w:w="1519"/>
        <w:gridCol w:w="1338"/>
        <w:gridCol w:w="1342"/>
        <w:gridCol w:w="212"/>
        <w:gridCol w:w="802"/>
        <w:gridCol w:w="109"/>
        <w:gridCol w:w="109"/>
        <w:gridCol w:w="109"/>
        <w:gridCol w:w="109"/>
        <w:gridCol w:w="212"/>
        <w:gridCol w:w="802"/>
        <w:gridCol w:w="155"/>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(30,276)</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(174,208)</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273,326 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and cash equivalents</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51,063 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68,842 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Used in Operating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consistent year over year. While we experienced an increase in net loss of $9.4 million, this was wholly offset by changes in our operating assets and liabilities plus the receipt of accreted value associated with maturities on our short-term investment portfolio during the quarter.</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Used in (Provided by) Investing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increased year over year was primarily due to purchase of marketable securities exceeding related maturities during the quarter.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Financing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$251.5 million primarily due to net proceeds of $270.3 million from the Company's January 2023 underwritten public offering, which was partially offset by additional Term Loans entered into during the current quarter associated with the Amended Loan agreement.</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 and Other Commitments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Except as mentioned below, there have been no material changes to our contractual obligations and other commitments as of March 31, 2024, as compared to those disclosed in our Annual Report on Form 10-K for the fiscal year ended December 31, 2023.</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we had various non-cancelable operating leases for office space and equipment, which expire between March 31, 2024 and March 2031. Refer to Note 13 and 14 in the notes to condensed unaudited financial statements of this Report for a discussion of material obligations and commitments.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periods presented, we did not have, nor do we currently have, any off-balance sheet arrangements or holdings in any variable interest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Polices and Estimates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that are not readily apparent from other sources. Actual results may differ from these estimates under different assumptions or conditions.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from those described in “Part II, Item 7. Management’s Discussion and Analysis of Financial Condition and Results of Operations” included in our 2023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2 to the Notes to Condensed Unaudited Financial Statements of this Report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objectives of our investment activities are to ensure liquidity and to preserve capital. We are exposed to market risks in the ordinary course of our business. These risks primarily include interest rate sensitivities. We had cash and cash equivalents and short-term investments of $483.9 million as of March 31, 2024 which consisted of bank deposits, highly liquid money market funds and short-term investments in U.S. treasury securities, U.S. government agency securities and corporate debt securities. Under the Amended Loan Agreement, we had a $30.0 million term loan outstanding as of March 31, 2024 which is subject to the movement in interest rates. Due to the short-term maturities of our cash equivalents and short-term investments, an immediate 100 basis point change in interest rates would not have a material effect on the fair market value of our cash equivalents or short-term investments.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minimize the risk, we maintain our portfolio of cash equivalents and short-term investments in institutional market funds that are composed of U.S. Treasury and U.S. Treasury-backed repurchase agreements or short-term U.S. Treasury securities, U.S. Government agency securities and highly rated, investment-grade corporate debt securities. We do not believe that inflation, interest rate changes, or exchange rate fluctuations had a significant impact on our results of operations for any periods presented herein. A hypothetical 10% change in interest rates during the periods presented would not have had a material impact on our condensed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management, with the participation of our Chief Executive Officer and Chief Financial Officer, performed an evaluation of the effectiveness of the design and operation of our disclosure controls and procedures as defined in Rules 13a-15(e) and 15d-15(e) under the Exchange Act. Our disclosure controls and procedures are designed to ensure that information required to be disclosed by us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to allow timely decisions regarding required disclosures.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2024, the design and operation of our disclosure controls and procedures were effective at a reasonable assurance level.</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controls over financial reporting identified in connection with the evaluation required by Rule 13a-15(d) and 15d-15(d) under the Exchange Act that occurred during the quarter ended March 31,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PART II—OTHER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the date of this filing,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Our business faces significant risks. If any of the events or circumstances described in the following risks actually occurs, our business may suffer, the trading price of our common stock could decline and our financial condition or results of operations could be harmed. These risks should be read in conjunction with the other information set forth in this Report. The risks and uncertainties described below are not the only ones facing us. There may be additional risks faced by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events that we do not currently anticipate or that we currently deem immaterial also may adversely affect our financial condition or results of operations.</w:t>
      </w:r>
    </w:p>
    <w:p>
      <w:pPr>
        <w:pStyle w:val="TextBody"/>
        <w:bidi w:val="0"/>
        <w:spacing w:lineRule="auto" w:line="288" w:before="120" w:after="283"/>
        <w:ind w:left="0" w:right="0" w:firstLine="450"/>
        <w:jc w:val="center"/>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Financial Position and Need for Additional Capital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incurred significant net losses since inception and we expect to continue to incur significant net losses for the foreseeable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significant net losses since our inception and have financed our operations principally through equity and debt financing and our prior collaboration with Novartis. We continue to incur significant research and development and other expenses related to our ongoing operations. Our net loss was $47.0 million and $37.5 million for the three months ended March 31, 2024 and 2023, respectively. Our net loss was $161.3 million and $123.3 million for the years ended December 31, 2023 and 2022, respectively. As of December 31, 2023, we had an accumulated deficit of $499.7 million. We have devoted substantially all of our resources and efforts to research and development, and we expect that it will be at least several years, if ever, before we generate revenue from product sales. Even if we receive marketing approval for and commercialize one or more of our product candidates, we expect that we will continue to incur substantial research and development and other expenses in order to further develop and, if approved, market additional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incur significant losses for the foreseeable future, and we anticipate that our expenses will increase substantially if, and as, we: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advance our lead product candidate, bexotegrast, and our other product candidates through clinical development, and, if successful, later-stage clinical trials;</w:t>
      </w:r>
    </w:p>
    <w:p>
      <w:pPr>
        <w:pStyle w:val="TextBody"/>
        <w:bidi w:val="0"/>
        <w:spacing w:lineRule="auto" w:line="288" w:before="120" w:after="283"/>
        <w:ind w:left="0" w:right="0" w:firstLine="450"/>
        <w:jc w:val="left"/>
        <w:rPr/>
      </w:pPr>
      <w:r>
        <w:rPr>
          <w:color w:val="000000"/>
        </w:rPr>
        <w:t>•</w:t>
      </w:r>
      <w:r>
        <w:rPr>
          <w:rFonts w:ascii="Times New Roman;sans-serif" w:hAnsi="Times New Roman;sans-serif"/>
          <w:b w:val="false"/>
          <w:color w:val="000000"/>
          <w:sz w:val="20"/>
        </w:rPr>
        <w:t>discover and develop new product candidates;</w:t>
      </w:r>
    </w:p>
    <w:p>
      <w:pPr>
        <w:pStyle w:val="TextBody"/>
        <w:bidi w:val="0"/>
        <w:spacing w:lineRule="auto" w:line="288" w:before="120" w:after="283"/>
        <w:ind w:left="0" w:right="0" w:firstLine="450"/>
        <w:jc w:val="left"/>
        <w:rPr/>
      </w:pPr>
      <w:r>
        <w:rPr>
          <w:color w:val="000000"/>
        </w:rPr>
        <w:t>•</w:t>
      </w:r>
      <w:r>
        <w:rPr>
          <w:rFonts w:ascii="Times New Roman;sans-serif" w:hAnsi="Times New Roman;sans-serif"/>
          <w:b w:val="false"/>
          <w:color w:val="000000"/>
          <w:sz w:val="20"/>
        </w:rPr>
        <w:t>advance our preclinical development programs into clinical development;</w:t>
      </w:r>
    </w:p>
    <w:p>
      <w:pPr>
        <w:pStyle w:val="TextBody"/>
        <w:bidi w:val="0"/>
        <w:spacing w:lineRule="auto" w:line="288" w:before="120" w:after="283"/>
        <w:ind w:left="0" w:right="0" w:firstLine="450"/>
        <w:jc w:val="left"/>
        <w:rPr/>
      </w:pPr>
      <w:r>
        <w:rPr>
          <w:color w:val="000000"/>
        </w:rPr>
        <w:t>•</w:t>
      </w:r>
      <w:r>
        <w:rPr>
          <w:rFonts w:ascii="Times New Roman;sans-serif" w:hAnsi="Times New Roman;sans-serif"/>
          <w:b w:val="false"/>
          <w:color w:val="000000"/>
          <w:sz w:val="20"/>
        </w:rPr>
        <w:t>further develop manufacturing processes and manufacture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experience delays or interruptions to preclinical studies, clinical trials, our receipt of services from our third-party service providers on whom we rely, or our supply chain due to the effects of health epidemics and pandemics, such as COVID-19;</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seek regulatory approvals for any product candidates that successfully complete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commercialize bexotegrast, our other product candidates and any future product candidates, if approved;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increase the amount of research and development activities to identify and develop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hire additional clinical development, quality control, scientific and management personnel;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expand our operational, financial and management systems and increase personnel, including personnel to support our clinical development and manufacturing efforts;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establish a sales, marketing, medical affairs and distribution infrastructure to commercialize any products for which we may obtain marketing approval and intend to commercialize on our own or jointly with third parties;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maintain, expand and protect our intellectual property portfolio;</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invest in or in-license other technologies or product candidates;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continue to build out our organization to engage in such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become and remain profitable, we must develop and eventually commercialize products with significant market potential. This will require us to be successful in a range of challenging activities, including completing preclinical studies and clinical trials, obtaining marketing approval for product candidates, manufacturing, marketing, and selling products for which we may obtain marketing approval and satisfying any post-marketing requirements. We may never succeed in any or all of these activities and, even if we do, we may never generate revenue that is significant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our research and development efforts, expand our business, or continue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We will require substantial additional capital to fund our operations. If we are unable to raise such capital when needed, or on acceptable terms, we may be forced to delay, reduce and/or eliminate one or more of our research and drug development programs, future commercialization efforts or other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Developing biopharmaceutical products, including conducting preclinical studies and clinical trials, is a very time-consuming, expensive, and uncertain process that takes years to complete. Our operations have consumed substantial amounts of cash since inception. We expect our expenses to increase in connection with our ongoing activities, particularly as we conduct our planned clinical trials of bexotegrast and any future product candidates that we may develop, seek regulatory approvals for our product candidates and to launch and commercialize any products for which we receive regulatory approval. Accordingly, we will need to obtain substantial additional funding in order to maintain our continuing operations. If we are unable to raise capital when needed or on acceptable terms, we may be forced to delay, reduce, or eliminate one or more of our research and drug development programs or future commercialization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approximately $483.9 million in cash, cash equivalents, and short-term investments. Based on our current operating plan, we believe that our existing cash, cash equivalents and short-term investments will be sufficient to fund our anticipated operating expenses and capital expenditure requirements through 2026. However, our future capital requirements and the period for which our existing resources will support our operations may vary significantly from what we expect, and we will in any event require additional capital in order to complete clinical development of any of our current programs. Our monthly spending levels will vary based on new and ongoing development and corporate activities. Because the length of time and activities associated with development of our product candidates is highly uncertain, we are unable to estimate the actual funds we will require for development, marketing, and commercialization activities. Our future funding requirements, both near and long-term, will depend on many factors, including, but not limited to:</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initiation, progress, timing, costs and results of preclinical studies and clinical trials for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clinical development plans we establish for these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timelines of our clinical trials and the overall costs to conduct and complete the clinical trials, including any increased costs due to disruptions caused by marketplace conditions, including the effects of health epidemics and pandemics, such as COVID-19, or other geopolitical conditions;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and capital commitments required for developing manufacturing processes for our product candidates and manufacturing our product candidates at clinical and commercial scales;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number and characteristics of product candidates that we develop;</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outcome, timing and cost of meeting regulatory requirements established by the FDA and other comparable foreign regulatory authorities;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 xml:space="preserve">whether we are able to enter into future collaboration agreements and the terms of any such agreements;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ability to and timing of achieving a favorable pricing and reimbursement decision by the pricing authorities in the markets of interest;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ability to secure a position recommendation following the health technology assessment by the health technology bodies in the relevant market;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of filing, prosecuting, defending and enforcing our patent claims and other intellectual property rights;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of defending intellectual property disputes, including patent infringement actions brought by third parties against us or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and timing of completion of commercial-scale outsourced manufacturing activities;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of establishing sales, marketing and distribution capabilities for any product candidates for which we may receive regulatory approval in regions where we choose to commercialize our products on our own.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borrowed and in the future may borrow additional capital from institutional and commercial banking sources to fund future growth, including pursuant to our Oxford Loan Agreement, or potentially pursuant to new arrangements with different lenders. In addition, we expect to continue to opportunistically seek access to the equity capital markets to support our development efforts and operations. However, we cannot be certain that additional funding will be available on acceptable terms, or at all. Until we can generate sufficient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the rights of our common stockholders. Further, to the extent that we raise additional capital through the sale of common stock or securities convertible or exchangeable into common stock, your ownership interest will be diluted.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any debt financing may subject us to fixed payment obligations and covenants limiting or restricting our ability to take specific actions, such as incurring additional debt, making capital expenditures, or declaring dividends. If we raise additional capital through marketing and distribution arrangements or other collaborations, strategic alliances, or licensing arrangements with third parties, we may have to relinquish certain valuable intellectual property or other rights to our product candidates, technologies, future revenue streams or research programs or grant licenses on terms that may not be favorable to us. We also may be required to seek collaborators for any of our product candidates at an earlier stage than otherwise would be desirable or relinquish our rights to product candidates or technologies that we otherwise would seek to develop or commercialize ourselves. Market volatility resulting from challenging financial markets factors, including the effects of health epidemics and pandemics, such as the COVID-19 pandemic, could also adversely impact our ability to access capital as and when needed. If we are unable to raise additional capital in sufficient amounts or on terms acceptable to us, we may have to significantly delay, scale back or discontinue the development or commercialization of one or more of our product candidates or one or more of our other research and development initiatives. Any of the above events could significantly harm our business, prospects, financial condition and results of operations and cause the price of our common stock to decline.</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Covenants and other provisions in the Oxford Loan Agreement restrict our business and operations in many ways, and if we do not effectively manage our covenants, our financial conditions and results of operations could be adversely affected. In addition, our operations may not provide sufficient cash to meet the repayment obligations of our debt incurred under the Oxford Loan Agreement.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Oxford Loan Agreement, Oxford has been granted a security interest in substantially all of our assets, excluding intellectual property (but including the right to payments and proceeds of intellectual property) and such exclusion of intellectual property is subject to change per the terms of the Oxford Loan Agreement), and a negative pledge on substantially all of our intellectual property, subject to customary exceptions. If an event of default occurs under the Oxford Loan Agreement, Oxford may foreclose on its security interest and liquidate some or all of these assets, which would harm our business, financial condition and results of operations.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of a default in connection with our bankruptcy, insolvency, liquidation, or reorganization, Oxford would have a prior right to substantially all of our assets to the exclusion of our general unsecured creditors. Only after satisfying the claims of Oxford and any unsecured creditors would any amount be available for our equity holders.</w:t>
      </w:r>
    </w:p>
    <w:p>
      <w:pPr>
        <w:pStyle w:val="TextBody"/>
        <w:bidi w:val="0"/>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pledge of these assets and other restrictions imposed in the Oxford Loan Agreement may limit our flexibility in raising capital for other purposes. Because substantially all of our assets are pledged to secure the Oxford Loan Agreement obligations, our ability to incur additional indebtedness or to sell or dispose of assets to raise capital may be impaired, which could have an adverse effect on our financial flexibility.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if we are unable to comply with certain financial and operating restrictions in the Oxford Loan Agreement, we may be limited in our business activities and access to credit or may default under the Oxford Loan Agreement. Provisions in the Oxford Loan Agreement impose certain restrictions or require prior approval on our ability, and the ability of certain of our subsidiaries to, among other things: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Incur additional debt;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Make certain investments and acquisitions;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Guarantee the indebtedness of others or our subsidiaries;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Create liens or encumbrances;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Engage in new lines of business;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Enter into transactions with affiliates;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Pay cash dividends and make distributions;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Redeem or repurchase capital shares;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Sell, lease or transfer certain parts of our business or property, including equity interests of our subsidiaries;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Prepay other indebtedness;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Acquire new companies and merge or consolidate.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Oxford Loan Agreement also contains other customary covenants. We may not be able to comply with these covenants in the future. Our failure to comply with these covenants may result in the declaration of an event of default, which, if not cured or waived, may result in the acceleration of the maturity of indebtedness outstanding under the Oxford Loan Agreement and would require us to pay all amounts outstanding. If the maturity of our indebtedness is accelerated, we may not have sufficient funds then available for repayment or we may not have the ability to borrow or obtain sufficient funds to replace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accelerated indebtedness on terms acceptable to us or at all. Our failure to repay our obligations under the Oxford Loan Agreement would result in Oxford foreclosing on all or a portion of our assets, which could force us to curtail or cease our operations.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The amount of our future losses is uncertain and our quarterly operating results may fluctuate significantly or may fall below the expectations of investors or securities analysts, each of which may cause our stock price to fluctuate or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may fluctuate significantly in the future due to a variety of factors, many of which are outside of our control and may be difficult to predict, including the following: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timing and success or failure of clinical trials for our product candidates or competing product candidates, or any other change in the competitive landscape of our industry, including consolidation among our competitors or partners;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successfully recruit and retain subjects for clinical trials, and any delays caused by difficulties in such efforts;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obtain marketing approval for our product candidates, and the timing and scope of any such approvals we may receive;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timing and cost of, and level of investment in, research and development activities relating to our product candidates, which may change from time to time;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cost of manufacturing our product candidates, which may vary depending on the difficulty of manufacture, quantity of production and the terms of our agreements with manufacturers;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attract, hire and retain qualified personnel;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expenditures that we will or may incur to develop additional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level of demand for our product candidates should they receive approval, which may vary significantly;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risk/benefit profile, cost and reimbursement policies with respect to our product candidates, if approved, and existing and potential future therapeutics that compete with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general market conditions or extraordinary external events, such as recessions or the effects of health epidemics and pandemics, such as COVID-19 pandemic;</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changing and volatile U.S. and global economic and political environments;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future accounting pronouncements or changes in our accounting policies.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spacing w:lineRule="auto" w:line="288" w:before="120" w:after="283"/>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Risks Related to Research and Development and the Biopharmaceutical Industry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a limited operating history, which may make it difficult to evaluate our prospects and likelihood of success.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 products approved for commercial sale and have not generated any revenue from product sales to date. Our operations to date have been limited to organizing and staffing our company, business planning, raising capital, establishing our intellectual property portfolio and performing research and development of our product candidates and our technology related to transforming growth factor beta, or TGF-β, signaling and integrin biology, medicinal chemistry, translational screening technologies, and clinical insights to discover and develop novel therapies for the treatment of fibrosis. Our approach to the discovery and development of product candidates is unproven, and we do not know whether we will be able to develop any products of commercial value. We have not yet demonstrated the ability to progress any product candidate through clinical trials, obtain regulatory approval, manufacture a commercial scale product, or arrange for a third party to do so on our behalf, or conduct sales and marketing activities necessary for successful product commercialization. In addition, as a business with a limited operating history, we may encounter unforeseen expenses, difficulties, complications, delays and other known and unknown factors and risks frequently experienced by early-stage biopharmaceutical companies in rapidly evolving fields. Consequently, we expect our operating results to continue to fluctuate significantly from quarter to quarter and year to year due to a variety of factors, many of which are beyond our control, and predictions about our future success or viability may not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accurate as they could be if we had a longer operating history or a history of successfully developing and commercializing drug products.</w:t>
      </w:r>
    </w:p>
    <w:p>
      <w:pPr>
        <w:pStyle w:val="TextBody"/>
        <w:bidi w:val="0"/>
        <w:spacing w:lineRule="auto" w:line="288" w:before="120" w:after="283"/>
        <w:ind w:left="0" w:right="0" w:firstLine="450"/>
        <w:jc w:val="both"/>
        <w:rPr>
          <w:rFonts w:ascii="Times New Roman;sans-serif" w:hAnsi="Times New Roman;sans-serif"/>
          <w:b/>
          <w:i/>
          <w:color w:val="000000"/>
          <w:sz w:val="20"/>
        </w:rPr>
      </w:pPr>
      <w:r>
        <w:rPr>
          <w:rFonts w:ascii="Times New Roman;sans-serif" w:hAnsi="Times New Roman;sans-serif"/>
          <w:b/>
          <w:i/>
          <w:color w:val="000000"/>
          <w:sz w:val="20"/>
        </w:rPr>
        <w:t>Our business is highly dependent on the success of our lead product candidate, bexotegrast and any other product candidates that we advance into the clinic. Our product candidates will require significant additional development before we may be able to seek regulatory approval for and launch a product commercially.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conducting a Phase 2b trial of bexotegrast in IPF and a Phase 2a trial in PSC and have no products that are approved for commercial sale and may never be able to develop marketable products. If bexotegrast or any of our other product candidates encounter safety or efficacy problems, development delays, regulatory issues or other problems, our development plans and business would be significantly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Before we can generate any revenue from sales of our lead product candidate, bexotegrast, or any of our other product candidates, we must undergo additional preclinical and clinical development, regulatory review, and approval in one or more jurisdictions. In addition, if one or more of our product candidates are approved, we must ensure access to sufficient commercial manufacturing capacity and conduct significant marketing efforts in connection with any commercial launch. These efforts will require substantial investment, and we may not have the financial resources to continue development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setbacks that could delay or prevent regulatory approval of, or the extent of regulatory protection or our ability to commercialize, our product candidates,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negative or inconclusive results from our preclinical studies or clinical trials or the clinical trials of others for product candidates similar to ours, leading to a decision or requirement to conduct additional preclinical testing or clinical trials or abandon a program;</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product-related side effects experienced by subjects in our clinical trials or by individuals using drugs or therapeutics similar to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delays in submitting IND applications or comparable foreign applications or delays or failure in obtaining the necessary approvals from regulators to commence a clinical trial, or a suspension or termination of a clinical trial once commenced;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conditions imposed by the FDA or comparable foreign authorities regarding the scope or design of our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delays in enrolling subjects in clinical trials, including due to operational challenges, competition with other clinical trials or the effects of health epidemics and pandemics, such as the COVID-19 pandemic;</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high drop-out rates or screening failures of subjects from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inadequate supply or quality of product candidates or other materials necessary for the conduct of our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challenges manufacturing our product candidates to regulatory requirements in a cost effective manner;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greater than anticipated clinical trial costs;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inability to compete with other therapies;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secure or maintain orphan designation in some jurisdictions;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poor efficacy of our product candidates during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unfavorable FDA or other regulatory agency inspection and review of a clinical trial site;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delays and changes in regulatory requirements, policy and guidelines, including the imposition of additional regulatory oversight around clinical testing generally or with respect to our technology in particular; or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varying interpretations of data by the FDA and similar foreign regulatory agencies.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do not have complete control over many of these factors, including certain aspects of clinical development and the regulatory submission process, potential threats to our intellectual property rights and our manufacturing, marketing, distribution and sales efforts or that of any future collaborator.</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approach to drug discovery and development in the area of fibrotic diseases, with an initial focus on tissue-specific integrin modulation and TGF-β signaling inhibition, is unproven and may not result in marketable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approach is designed to discover and develop targeted treatments for fibrosis with an initial focus on the antagonism of tissue-specific TGF-β signaling through the inhibition of integrins known to mediate the release of activated TGF-β in fibrotic tissue. However, this mechanism has not been definitively proven to successfully treat fibrosis. Targeting integrins to treat fibrosis is a novel approach in a rapidly developing field, and there can be no assurance that we will not experience currently unknown problems or delays in developing our product candidates, that such problems or delays will not result in unanticipated costs, or that any such development problems can be solved. As a result, we may never succeed in developing a marketable product.</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Clinical development involves a lengthy, complex, and expensive process, with an uncertain outcome.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the general approach for FDA approval of a new drug is dispositive data from two well-controlled, Phase 3 clinical trials of the relevant drug in the relevant patient population. Phase 3 clinical trials typically involve hundreds of patients, have significant costs and take years to complete. A product candidate can fail at any stage of testing, even after observing promising signals of activity in earlier preclinical studies or earlier stage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 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large number of companies in the biopharmaceutical industry have suffered significant setbacks in advanced clinical trials due to lack of efficacy or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bexotegrast or any of our other product candidates. Product candidates that appear promising in the early phases of development may fail to reach the market for several reasons,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preclinical studies or clinical trials may show the product candidates to be less effective than expected (e.g., a clinical trial could fail to meet its primary endpoint(s)) or to have unacceptable side effects or toxicities;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establish clinical endpoints that applicable regulatory authorities would consider clinically meaningful;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receive the necessary regulatory approvals;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development of competing products in the same disease state;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 xml:space="preserve">manufacturing costs, formulation issues, pricing or reimbursement issues, or other factors that make a product candidate uneconomical;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or inability to perform by third party vendors, including vendors foreign jurisdictions including China;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proprietary rights of others and their competing products and technologies that may prevent one of our product candidates from being commercialized.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differences in trial design between early-stage clinical trials and later-stage clinical trials make it difficult to extrapolate the results of earlier clinical trials to later clinical trials. Further, as we rely on novel technologies including sophisticated imaging technologies to generate data relating to our clinical endpoints, there is an increased risk that we may not properly measure, analyze or interpret this data. Moreover, clinical data are often susceptible to varying interpretations and analyses, and many companies that have believed their product candidates performed satisfactorily in clinical trials have nonetheless failed to obtain marketing approval of their products. Additionally, some of our trials are open label studies, where both the patient and investigator know whether the patient is receiving the investigational product candidate or either an existing approved drug or placebo. Most typically, open label clinical trials test only the investigational product candidate and sometimes do so at different dose levels. Open label clinical trials are subject to various limitations that may exaggerate any therapeutic effect as patients in open label clinical trials are aware when they are receiving treatment. In addition, open 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 label trials will not be replicated in later placebo-controlled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standards that the FDA and comparable foreign regulatory authorities use when regulating us require judgment and can change, which makes it difficult to predict with certainty how they will be applied. Although we are initially focusing our efforts on development of small molecule drug products, we are also commencing the development of biological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 including a potential candidate for muscular dystrophies, which could make us subject to additional regulatory requirements.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Examples of such regulations include future legislation or administrative action, or changes in FDA policy during the period of product development and FDA regulatory review. It is impossible to predict whether legislative changes will be enacted, or whether FDA or foreign regulations, guidance or interpretations will be changed, or what the impact of such changes, if any, may be. 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must comply with numerous foreign regulatory requirements governing, among other things, the conduct of clinical trials, manufacturing and marketing authorization, and if approved for marketing,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Successful completion of clinical trials is a prerequisite to submitting a marketing application to the FDA and similar marketing applications to comparable foreign regulatory authorities, for each product candidate and, consequently, the ultimate approval and commercial marketing of any product candidates. We may experience negative or inconclusive results, which may result in our deciding, or our being required by regulators, to conduct additional clinical studies or trials or abandon some or all of our product development programs, which could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additional costs or experience delays in completing, or ultimately be unable to complete, the development and commercialization of bexotegrast or any other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experience delays in initiating or completing clinical trials. We also may experience numerous unforeseen events during, or as a result of, any future clinical trials that could delay or prevent our ability to receive marketing approval or commercialize bexotegrast or any other product candidates, including: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regulators or institutional review boards, or IRBs, or ethics committees may not authorize us or our investigators to commence a clinical trial or conduct a clinical trial at a prospective trial site;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FDA or other comparable regulatory authorities may disagree with our clinical trial design, including with respect to dosing levels administered in our planned clinical trials, which may delay or prevent us from initiating our clinical trials with our originally intended trial design;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experience delays in reaching, or fail to reach, agreement on acceptable terms with prospective trial sites and prospective contract research organizations, or CROs, which can be subject to extensive negotiation and may vary significantly among different CROs and trial sites;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number of subjects required for clinical trials of any product candidates may be larger than we anticipate or subjects may drop out of these clinical trials or fail to return for post-treatment follow-up at a higher rate than we anticipate;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experience delays or interruptions to our manufacturing supply chain, or we could suffer delays in reaching, or we may fail to reach, agreement on acceptable terms with third-party service providers on whom we rely;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additional delays and interruptions to our clinical trials could extend the duration of the trials and increase the overall costs to finish the trials as our fixed costs are not substantially reduced during delays;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elect to, or regulators, IRBs, Data Safety Monitoring Boards, or DSMBs, or ethics committees may require that we or our investigators suspend or terminate clinical research or trials for various reasons, including noncompliance with regulatory requirements or a finding that the participants are being exposed to unacceptable health risks;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not have the financial resources available to begin and complete the planned trials, or the cost of clinical trials of any product candidates may be greater than we anticipate;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supply or quality of our product candidates or other materials necessary to conduct clinical trials of our product candidates may be insufficient or inadequate to initiate or complete a given clinical trial;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FDA or other comparable foreign regulatory authorities may require us to submit additional data such as long-term toxicology studies, or impose other requirements before permitting us to initiate a clinical trial.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development costs will increase if we experience additional delays in clinical testing or in obtaining marketing approvals. We do not know whether any of our clinical trials will begin as planned, will need to be restructured or will be completed on schedule, or at all. If we do not achieve our product development goals in the timeframes we announce and expect, the approval and commercialization of our product candidates may be delayed or prevented entirely. Significant clinical trial delays also could shorten any periods during which we may have the exclusive right to commercialize our product candidates and may allow our competitors to bring products to market before we do, potentially impairing our ability to successfully commercialize our product candidates and harming our business and results of operations. Any delays in our clinical development programs may harm our business, financial condition, and results of operations significantly.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ongoing and future clinical trials may reveal significant adverse events or unexpected drug-drug interactions not seen in our preclinical studies and may result in a safety profile that could delay or prevent regulatory approval or market acceptance of any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our clinical trials to date, bexotegrast has been generally well tolerated. However, if significant adverse events or other side effects are observed in any of our ongoing or future clinical trials, we may have difficulty recruiting patients to our clinical trials, patients may drop out of our trials, or we may be required to abandon the trials or our development efforts altogether. In addition, in our ongoing Phase 2a clinical trials, we are evaluating bexotegrast administered with approved IPF agents. We have completed a Phase 1a study evaluating one-way interaction of bexotegrast on nintedanib or pirfenidone, concluding that clinical safety and pharmacokinetic data indicate that no dose adjustments are needed for nintedanib or pirfenidone when combined with bexotegrast. However, we may encounter unexpected drug-drug interactions in our planned trials, and may be required to further test these candidates, including additional drug-drug interaction studies, which may be expensive, time-consuming and result in delays to our programs.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potential therapeutics developed in the biopharmaceutical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of the approved product due to its tolerability versus other therapies.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encounter difficulties enrolling patients in our clinical trials, our clinical development activities could be delayed or otherwise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patient eligibility and exclusion criteria defined in the protocol;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size of the patient population required for analysis of the trial’s primary endpoints and the process for identifying patients;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willingness or availability of patients to participate in our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proximity of patients to trial sites;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design of the trial;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recruit clinical trial investigators with the appropriate competencies and experience;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clinicians’ and patients’ perceptions as to the potential advantages and risks of the product candidate being studied in relation to other available therapies, including any new products that may be approved for the indications we are investigating or other studies enrolling for similar diseases;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availability of competing commercially available therapies and other competing product candidates’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obtain and maintain patient informed consents;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risk that patients enrolled in clinical trials will drop out of the trials before completion.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example, we are initially developing bexotegrast for the treatment of IPF and PSC, each of which is an orphan indication. In the United States, IPF is estimated to affect approximately 140,000 patients, while PSC is estimated to affect approximately 30,000 to 45,000 patients. As a result, we may encounter difficulties enrolling subjects in our clinical trials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bexotegrast due, in part, to the small size of these patient populations. Our clinical trials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FDA may modify or enhance trial requirements, which may affect enrollment. For example, in August 2023, the FDA published a guidance document, “Informed Consent, Guidance for IRBs, Clinical Investigators, and Sponsors,” which supersedes past guidance and finalizes draft guidance on informed consent. The FDA’s new guidance presents evolving requirements for informed consent which may affect recruitment and retention of patients in clinical trials. Effects on recruitment and retention of patients may hinder or delay a clinical trial and could cause a significant setback to an applicable program.</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design or execution of our ongoing and future clinical trials may not support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design or execution of a clinical trial can determine whether its results will support marketing approval, and flaws in the design or execution of a clinical trial may not become apparent until the clinical trial is well advanced.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in some instances, there can be significant variability in safety or efficacy results between different trials with the same product candidate due to numerous factors, including differences in trial protocols, size and type of the patient populations, variable adherence to the dosing regimen or other protocol requirements and the rate of dropout among clinical trial participants. We do not know whether any clinical trials we conduct will demonstrate consistent or adequate efficacy and safety to obtain marketing approval to market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the FDA and comparable foreign regulatory authorities have substantial discretion in the approval process and in determining when or whether marketing approval will be obtained for any of our product candidates. Our product candidates may not be approved even if they achieve their primary endpoints in future Phase 3 clinical trials or registrational trials. The FDA or comparable foreign regulatory authorities may disagree with our trial designs and our interpretation of data from preclinical studies or clinical trials. Further, requirements regarding clinical trial data may evolve. In June 2023, the FDA published draft guidance, which seeks to unify standards for clinical trial data for ICH member countries and regions. Changes to data requirements may cause the FDA or comparable foreign regulatory authorities to disagree with data from preclinical studies or clinical trials, and may require further studies.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any of these regulatory authorities may change requirements for the approval of a product candidate even after reviewing and providing comments or advice on a protocol for a pivotal Phase 3 or registrational clinical trial. In addition, any of these regulatory authorities may also approve a product candidate for fewer or more limited indications than we request or may grant approval contingent on the performance of costly post-marketing clinical trials. The FDA or comparable foreign regulatory authorities may not approve the labeling claims that we believe would be necessary or desirable for the successful commercialization of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Delays in patient enrollment may result in increased costs or may affect the timing or outcome of our future clinical trials, which could prevent completion of these trials and adversely affect our ability to advance the development of our product candidates.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Although we have received U.S. orphan drug designation for bexotegrast for IPF and PSC indications and EEA orphan drug designation for bexotegrast for IPF and for PSC we may be unable to obtain and maintain orphan drug designation for our other product candidates and, even if we obtain such designation, we may not be able to realize the benefits of such designation, including potential marketing exclusivity of our product candidates, if approved.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authorities in some jurisdictions, including the United States and other major markets, may designate drugs intended to treat conditions or diseases affecting relatively small patient populations as orphan drugs. Under the Orphan Drug Act of 1983, the FDA, may designate a product candidate as an orphan drug if it is intended to treat a rare disease or condition, which is generally defined as having a patient population of fewer than 200,000 individuals in the United States, or a patient population greater than 200,000 in the United States where there is no reasonable expectation that the cost of developing the drug will be recovered from sales in the United States. In order to obtain orphan designation in the European Economic Area (EEA) and the U.K., the product must fulfill certain challenging criteria. Under Article 3 of Regulation (EC) 141/2000 in the EU, and Regulation 50G of the Human Medicines Regulation 2012 in the U.K, a medicinal product may be designated as an orphan medicinal product if it meets the following criteria: (1) such product is intended for the diagnosis, prevention or treatment of a life-threatening or chronically debilitating condition; (2) either the prevalence of such condition must not be more than five in 10,000 persons in the territory of the EU or U.K. (as applicable) when the application is made, or without the benefits derived from orphan status, it must be unlikely that the marketing of the medicine would generate sufficient return in the EU/U.K. to justify the investment needed for its development; and (3) there exists no satisfactory method of diagnosis,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ans-serif" w:hAnsi="Times New Roman;sans-serif"/>
          <w:b w:val="false"/>
          <w:color w:val="000000"/>
          <w:sz w:val="20"/>
        </w:rPr>
        <w:t>prevention or treatment of such condition authorized for marketing in the EU/U.K. or if such a method exists, the product will be of significant benefit to those affected by the condition, as defined in Regulation (EC) 847/2000. In the EEA, the grant of the orphan designation does not mean that the product will be granted orphan status at the time it is assessed in parallel with the application for a marketing authorization.</w:t>
      </w:r>
      <w:r>
        <w:rPr>
          <w:color w:val="000000"/>
        </w:rPr>
        <w:t xml:space="preserve"> </w:t>
      </w:r>
      <w:r>
        <w:rPr>
          <w:rFonts w:ascii="Times New Roman;sans-serif" w:hAnsi="Times New Roman;sans-serif"/>
          <w:b w:val="false"/>
          <w:color w:val="000000"/>
          <w:sz w:val="20"/>
        </w:rPr>
        <w:t>The authorities reassess then whether the product still fulfills the criteria for orphan status.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have received U.S. orphan drug designation for bexotegrast for IPF and PSC and EEA orphan drug designation for bexotegrast for IPF and for PSC, the designation of any of our product candidates as an orphan drug does not mean that any regulatory agency will accelerate regulatory review of, or ultimately approve, that product candidate, nor does it limit the ability of any regulatory agency to grant orphan drug designation to product candidates of other companies that treat the same indications as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Generally, if a product candidate with an orphan drug designation receives the first marketing approval for the indication for which it has such designation, the product is entitled to a period of marketing exclusivity, which precludes the FDA or foreign regulatory authorities from approving another marketing application for a product that constitutes a similar medicinal product treating the same indication for that marketing exclusivity period, except in limited circumstances. The applicable period is seven years in the United States and ten years in the EEA. The ten-year period of market exclusivity in the EEA can be extended by a further two years if the product qualifies for a pediatric extension, but can be reduced to a period of six years if the orphan designation criteria are no longer met after the fifth year. Orphan drug exclusivity may be revoked if any regulatory agency determines that the request for designation was materially defective or if the manufacturer is unable to assure sufficient quantity of the product to meet the needs of patients with the rare disease or condition.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may make it more difficult to obtain orphan designation in the EEA.</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we obtain orphan drug exclusivity for a product candidate, that exclusivity may not effectively protect the product candidate from competition because different drugs with different active moieties can be approved for the same condition in the United States or EEA. Even after an orphan drug is approved, the FDA or EMA, as applicable, may subsequently approve another drug with the same active moiety for the same condition if the FDA concludes that the latter drug is not a similar medicinal product or is clinically superior in that it is shown to be safer, more effective or makes a major contribution to patient care. Any changes to the orphan drug provisions could change our opportunities for, or likelihood of success in obtaining, orphan drug exclusivity and would materially adversely affect our business, results of operations,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 Fast Track designation by the FDA, even if granted for other current or future product candidates, may not lead to a faster development or regulatory review or approval process and does not increase the likelihood that our product candidates will receive marketing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seek Fast Track designation for one or more of our future product candidates. In April 2022, bexotegrast received Fast Track designation for the treatment of IPF. If a drug product is intended for the treatment of a serious or life-threatening disease or condition and it demonstrates the potential to address unmet medical needs for such a disease or condition, the drug sponsor may apply for FDA Fast Track designation for a particular indication. We may seek Fast Track designation for our product candidates, but there is no assurance that the FDA will grant this designation to any of our proposed product candidates. Marketing applications submitted by sponsors of products in Fast Track development may qualify for priority review under the policies and procedures offered by the FDA, but the Fast Track designation does not assure any such qualification or ultimate marketing licensure by the FDA. The FDA has broad discretion whether or not to grant Fast Track designation, so even if we believe a particular product candidate is eligible for this designation, there can be no assurance that the FDA would decide to grant it. Even if we do receive Fast Track designation, we may not experience a faster development process, review or licensure compared to conventional FDA procedures or pathways and receiving a Fast Track designation does not provide assurance of ultimate FDA licensure. In addition, the FDA may withdraw Fast Track designation if it believes that the designation is no longer supported by data from our clinical development program. In addition, the FDA may withdraw any Fast Track designation at any time.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methods of product candidate manufacturing or formulation may result in additional costs or delay.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product candidates progress through preclinical to late-stage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clinical trials or the repetition of one or more clinical trials, increase clinical trial costs, delay approval of our product candidates and jeopardize our ability to commercialize our product candidates and generate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marketing approval for any of our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Additionally, if we advance a biological candidate into IND-enabling studies, the manufacturing processes for biological products is more complex and expensive than with small molecule products and additional manufacturing suppliers may be needed to manufacture clinical supplies for these programs. If our manufacturers are unable to produce sufficient quantities for clinical trials or for commercialization, our development and commercialization efforts would be impaired, which would have an adverse effect on our business, financial condition, results of operations and growth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our efforts to identify or discover additional product candidates in the future.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programs may initially show promise in identifying potential product candidates, yet fail to yield product candidates for clinical development for a number of reasons,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inability to design such product candidates with the pharmacological properties that we desire or attractive pharmacokinetics; or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potential product candidates may, on further study, be shown to have harmful side effects or other characteristics that indicate that they are unlikely to be medicines that will receive marketing approval and achieve market acceptance.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Due to our limited resources and access to capital, we must make decisions on the allocation of resources to certain programs and product candidates; these decisions may prove to be wrong and may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financial and human resources and intend to initially focus on research programs and product candidates for a limited set of indications. As a result, we may forgo or delay pursuit of opportunities with other product candidates or for other indications that later prove to have greater commercial potential or a greater likelihood of success. In addition, we seek to accelerate our development timelines, including by initiating certain clinical trials of our product candidates, including our adaptive trial, before earlier-stage studies have been completed. This approach may cause us to commit significant resources to prepare for and conduct later-stage trials for one or more product candidates that subsequently fail earlier-stage clinical testing. Therefore, our resource allocation decisions may cause us to fail to capitalize on viable commercial products or profitable market opportunities or expend resources on product candidates that are not viable.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can be no assurance that we will ever be able to identify additional therapeutic opportunities for our product candidates or to develop suitable potential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product liability lawsuits are brought against us, we may incur substantial financial or other liabilities and may be required to limit commercialization of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face an inherent risk of product liability as a result of testing bexotegrast and any of our other product candidates in clinical trials and will face an even greater risk if we commercialize any products. For example, we may be sued if our product candidates cause or are perceived to cause injury or are found to be otherwise unsuitable during clinical trials,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inability to bring a product candidate to the market;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decreased demand for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injury to our reputation;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withdrawal of clinical trial participants and inability to continue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initiation of investigations by regulators;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fines, injunctions or criminal penalties;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costs to defend the related litigation;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diversion of management’s time and our resources;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substantial monetary awards to trial participants;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product recalls, withdrawals or labeling, marketing or promotional restrictions;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loss of revenue;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exhaustion of any available insurance and our capital resources;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inability to commercialize any product candidate, if approved;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decline in our share price.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inability to obtain sufficient product liability insurance at an acceptable cost to protect against potential product liability claims could prevent or inhibit the commercialization of products we develop. We will need to obtain additional insurance for clinical trials as bexotegrast continues clinical development and as additional product candidates enter the clinic. However, we may be unable to obtain, or may obtain on unfavorable terms, clinical trial insurance in amounts adequate to cover any liabilities from any of our clinical trials.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face substantial competition, which may result in others discovering, developing, or commercializing products before or more successfully than 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commercialization of new drug products is highly competitive. We may face competition with respect to any product candidates that we seek to develop or commercialize in the future from major biopharmaceutical companies, specialty biopharmaceutical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biopharmaceutical and biotechnology companies that are currently pursuing the development of products for the treatment of fibrosis. Companies that we are aware of that are targeting the treatment of various fibrosis indications through inhibiting various parts of the TGF-β pathway include companies with significant financial resources such as AbbVie Inc., AstraZeneca plc, Bristol Myers Squibb Co., Corbus Pharmaceutical, Merck &amp; Co., Inc., Morphic Therapeutics, Inc., Novartis AG, Scholar Rock, Inc., and Takeda Pharmaceutical Company.</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Mergers and acquisitions in the biopharmaceutical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more convenient or less expensive than any products that we may develop. Furthermore, products currently approved for other indications could be discovered to be effective treatments of fibrosis as well, which could give such products significant regulatory and market timing advantages over bexotegrast or other product candidates that we may identify. Our competitors also may obtain FDA or other regulatory approval for their products more rapidly than we may obtain approval for ours,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competitors. The availability of competitive products could limit the demand, and the price we are able to charge, for any products that we may develop and commercialize.</w:t>
      </w:r>
    </w:p>
    <w:p>
      <w:pPr>
        <w:pStyle w:val="TextBody"/>
        <w:bidi w:val="0"/>
        <w:spacing w:lineRule="auto" w:line="288" w:before="120" w:after="283"/>
        <w:ind w:left="0" w:right="0" w:firstLine="450"/>
        <w:jc w:val="left"/>
        <w:rPr>
          <w:rFonts w:ascii="Times New Roman;sans-serif" w:hAnsi="Times New Roman;sans-serif"/>
          <w:b/>
          <w:color w:val="000000"/>
          <w:sz w:val="20"/>
        </w:rPr>
      </w:pPr>
      <w:r>
        <w:rPr>
          <w:rFonts w:ascii="Times New Roman;sans-serif" w:hAnsi="Times New Roman;sans-serif"/>
          <w:b/>
          <w:color w:val="000000"/>
          <w:sz w:val="20"/>
        </w:rPr>
        <w:t>Risks Related to Marketing, Reimbursement, Healthcare Regulations and Ongoing Regulatory Compliance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a product candidate we develop receives marketing approval, it may fail to achieve the degree of market acceptance by physicians, patients, third-party payors and others in the medical community necessary for commercial success.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Even if bexotegrast or any other product candidate we develop receives marketing approval, it may nonetheless fail to gain sufficient market acceptance by physicians, patients and third-party payors. In addition, the availability of coverage by third-party payors may be affected by existing and future healthcare reform measures designed to reduce the cost of health care. If the product candidates we develop do not achieve an adequate level of acceptance, we may not generate significant product revenues and we may not become profitable.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market acceptance of any product candidate, if approved for commercial sale, will depend on a number of factors,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efficacy and potential advantages compared to alternative treatments;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ability to offer our products, if approved, for sale at competitive prices;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convenience and ease of administration compared to alternative treatments;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willingness of the target patient population to try new therapies and of physicians to prescribe these therapies;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recommendations with respect to our product candidates in guidelines published by various scientific organizations applicable to us and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positive HTA assessment in jurisdictions where required;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strength of marketing and distribution support;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ability to obtain sufficient third-party coverage and adequate reimbursement and a positive recommendation by health technology bodies;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prevalence and severity of any side effects.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government and other third-party payors do not provide coverage and adequate reimbursement levels for any products we commercialize, market acceptance and commercial success would be reduced.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Coverage and reimbursement may be limited or unavailable or pricing unfavorable in certain market segments for our product candidates, if approved, which could make it difficult for us to sell any product candidates profitably.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uncertainty exists as to the coverage and reimbursement status of any products for which we may obtain regulatory approval. In the United States, sales of any products for which we may receive regulatory marketing approval will depend, in part, on the availability of coverage and adequacy of reimbursement from third-party payors. Third-party payors include government authorities such as Medicare, Medicaid, TRICARE, and the Veterans Administration, managed care providers, private health insurers, and other organizations. Patients who are provided medical treatment for their conditions generally rely on third-party payors to reimburse all or part of the costs associated with their treatment. Coverage and adequate reimbursement from governmental healthcare programs, such as Medicare and Medicaid, and commercial payors are critical to new product acceptance. Patients are unlikely to use our product candidates unless coverage is provided, and reimbursement is adequate to cover a significant portion of the cost. We cannot be sure that coverage and adequate reimbursement will be available for any product that we may develop and, if reimbursement is available, what the level of reimbursement will be.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Government authorities and other third-party payors decide which drugs and treatments they will cover and the amount of reimbursement. Coverage and reimbursement by a third-party payor may depend upon a number of factors, including the third-party payor’s determination that use of a product is: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covered benefit under its health plan;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safe, effective and medically necessary;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appropriate for the specific patient;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cost-effective;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neither experimental nor investigational.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as well as foreign jurisdictions, no uniform policy of coverage and reimbursement for products exists among third-party payors.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Coverage and reimbursement for products may vary depending on the payor, the insurance plan, and other factors.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product candidates, once approved. It is difficult to predict at this time what third-party payors will decide with respect to the coverage and reimbursement for our product candidates, if approved.</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A primary trend in the United States and European health care industries is toward cost containment, as legislative bodies, government authorities, third-party payors, and others have attempted to control costs by limiting coverage, pricing and the amount of reimbursement available for certain treatments. Such third-party payers, including Medicare, may question the coverage of, and challenge or seek to lower the prices charged for medical products, and many third-party payers limit coverage and reimbursement for newly approved health care products. Moreover, reimbursement, if available,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payers or by future laws, regulations, or guidance seeking to limit prescription drug prices.</w:t>
      </w:r>
      <w:r>
        <w:rPr>
          <w:color w:val="000000"/>
        </w:rPr>
        <w:t xml:space="preserve"> </w:t>
      </w:r>
      <w:r>
        <w:rPr>
          <w:rFonts w:ascii="Times New Roman;sans-serif" w:hAnsi="Times New Roman;sans-serif"/>
          <w:b w:val="false"/>
          <w:color w:val="000000"/>
          <w:sz w:val="20"/>
        </w:rPr>
        <w:t>If we are unable to promptly obtain coverage and adequate reimbursement rates from both government-funded and private payers for any approved products that we develop, or if net prices are reduced by mandatory discounts or rebates, there could be a material adverse effect on our operating results, our ability to raise capital needed to commercialize products and our overall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to current healthcare laws and state and federal healthcare reform measures that may be adopted in the future that impact coverage and reimbursement for drug or biologic products may result in additional payment reductions in Medicare and other healthcare funding and otherwise affect the prices we may obtain for any product candidates for which we may obtain regulatory approval or the frequency with which any such product candidate is prescribed or used. For additional details regarding healthcare reform measures, see the discussion in the risk factor under the heading “Ongoing healthcare legislative and regulatory reform measures may have a material adverse effect on our business and results of operations.”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obtain FDA approval of any of our product candidates, we may never obtain approval or commercialize such products outside of the United States, which would limit our ability to realize their full market potential.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relationships with healthcare providers, physicians, third-party payors, and other potential referral sources will be subject to applicable anti-kickback, fraud and abuse and other healthcare laws and regulations, which could expose us to criminal sanctions, civil penalties, contractual damages, reputational harm and diminished profits and future earnings.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Healthcare providers, physicians, third-party payors, and other potential referral sources in the United States and elsewhere play a primary role in the distribution, recommendation and prescription of biopharmaceutical products. Arrangements with third-party payors and customers can expose biopharmaceutical manufacturers to broadly applicable fraud and abuse and other healthcare laws and regulations, as detailed in Part I, Item 1 - Business - Government Regulation - Other Healthcare Laws of our Annual Report on Form 10-K for the year ended December 31, 2023. In particular, the research of our product candidates, as well as the promotion, sales and marketing of healthcare items and services, and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remuneration provided to health care professionals and their affiliates, charitable donations, interactions with entities excluded from participation in government healthcare programs, and other business arrangements generally. Activities subject to these laws also involve the improper use of information obtained in the course of patient recruitment for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of biopharmaceutical products is subject to additional requirements and regulations, including extensive record-keeping, licensing, storage and security requirements intended to prevent the unauthorized sale of biopharmaceutical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scope and enforcement of each of these laws is uncertain and subject to rapid change in the current environment. Ensuring business arrangements comply with applicable healthcare laws can be time- and resource-consuming.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reputational harm,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Further, if any of the physicians or other healthcare providers or entities with whom we expect to do business is found to be not in compliance with applicable laws, they may be subject to significant criminal, civil or administrative sanctions, including exclusions from government funded healthcare programs. Any action for violation of these laws, even if successfully defended, could cause a biopharmaceutical manufacturer to incur significant legal expenses and divert management’s attention from the operation of the business. Prohibitions or restrictions on sales or withdrawal of future marketed products could materially affect business in an adverse way.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Even if we receive regulatory approval of any product candidates, we will be subject to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product candidates are approved, they will be subject to ongoing regulatory requirements for manufacturing, labeling, packaging, storage, advertising, promotion, sampling, record-keeping, conduct of post-marketing studies, pharmacovigilance, and submission of safety, efficacy and other post-market information, including both federal and state requirements in the United States and requirements of comparable foreign regulatory authorities. In addition, we will be subject to continued compliance with current Good Manufacturing Practice, or cGMP, and GCP requirements for any clinical trials that we conduct post-approval.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Manufacturers and their facilities are required to comply with extensive FDA and comparable foreign regulatory authority requirements, including ensuring that quality control and manufacturing procedures conform to cGMP regulations. As such, we and our contract manufacturers will be subject to continual review and inspections to assess compliance with cGMP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risk evaluation and mitigation strategies, or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we will have to comply with requirements including submissions of safety and other post-marketing information and reports and registration.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or any other foreign regulatory authority may impose consent decrees or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restrictions on the marketing or manufacturing of our products, withdrawal of the product from the market or voluntary or mandatory product recalls;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fines, warning letters or holds on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refusal by the FDA to approve pending applications or supplements to approved applications filed by us or suspension or revocation of license approvals;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voluntary or mandatory product recalls and related publicity requirements;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total or partial suspension of production;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product seizure or detention or refusal to permit the import or export of our product candidates;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injunctions or the imposition of civil or criminal penalties.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FDA strictly regulates marketing, labeling, advertising, and promotion of products that are placed on the market. Products may be promoted only for the approved indications and in accordance with the provisions of the approved label. However, companies may share truthful and not misleading information that is not inconsistent with the labeling. The FDA and other agencies actively enforce the laws and regulations prohibiting the promotion of off-label uses and a company that is found to have improperly promoted off-label uses may be subject to significant liability.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Ongoing healthcare legislative and regulatory reform measures may have a material adverse effect on our business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United States and other jurisdictions, there have been, and we expect there will continue to be, a number of legislative and regulatory changes and proposed changes to the healthcare system that could affect our ability to profitably sell any product candidates for which we obtain marketing approval or licensure. Changes in regulations, statutes or the interpretation of existing regulations governing the regulatory approval or licensure, manufacture, and marketing of regulated products or the pricing, coverage and reimbursement thereof could impact our business in the future by resulting in, for example: (i) changes to our manufacturing arrangements; (ii) additions or modifications to product labeling; (iii) the recall or discontinuation of our products; (iv) more rigorous coverage criteria or additional downward pressure on the price that we receive for product candidates for which we obtain marketing approval; or (v) additional record-keeping requirements. If any such changes were to be imposed, they could adversely affect the operation of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United States, there have been and continue to be a number of legislative initiatives to contain healthcare costs, as detailed in Part I, Item 1 – Business – Government Regulation – Current and Future Healthcare Reform Legislation of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Report on Form 10-K for the year ended December 31, 2023. For example, in August 2022, President Biden signed into law the IRA, which implements substantial changes to the Medicare program, including drug pricing reforms and changes to the Medicare Part D benefit design. Among other reforms, the IRA, imposes inflation rebates on drug manufacturers for products reimbursed under Medicare Parts B and D if the prices of those products increase faster than inflation; implements changes to the Medicare Part D benefit that, beginning in 2025, will cap patient annual out-of-pocket spending at $2,000, while imposing new discount obligations for pharmaceutical manufacturers and payors; and, beginning in 2026, establishes a “maximum fair price” for a fixed number of high spend pharmaceutical and biological products covered under Medicare Parts B and D following a price negotiation process with the Centers for Medicare and Medicaid Services.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IRA explicitly excludes from price negotiation orphan drugs designated for only one rare disease or condition and for which the only active approved indication is for such disease or condition. Those drugs with multiple orphan designations are not excluded from drug price negotiation. As we are developing bexotegrast in multiple orphan indications, this aspect of the IRA could have a negative impact on our ability to seek reimbursement in the U.S.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Since its enactment, the Centers for Medicare and Medicaid Services, or CMS, has taken steps to implement various drug pricing provisions of the IRA. This includes, without limitation, issuing new guidance on June 30, 2023 detailing the requirements and parameters of the first round of price negotiations, to take place during 2023 and 2024, for products subject to the “maximum fair price” provision that would become effective in 2026 and, on August 29, 2023, releasing the initial list of 10 drugs subject to price negotiations. While it remains to be seen how the drug pricing provisions imposed by the IRA will affect the broader pharmaceutical industry (including orphan drug or small molecule development), several pharmaceutical manufacturers and other industry stakeholders have challenged the law, including through lawsuits brought against the U.S. Department of Health and Human Services (HHS), the Secretary of HHS, CMS, and the CMS Administrator challenging the constitutionality and administrative implementation of the IRA’s drug price negotiation provisions. We cannot predict whether the IRA, or any of its component parts, will be overturned, repealed, replaced, or amended nor can we predict the likelihood, nature, or extent of other health reform initiatives that may arise from future legislation, administrative, or other action. However, we expect these initiatives to increase pressure on drug pricing. Further, certain broader legislation that is not targeted to the healthcare industry may nonetheless adversely affect our profitability.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Drug marketing and reimbursement regulations may materially affect our ability to market and secure reimbursement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Furthermore, in many European countries (including the U.K.), effective access to the market depends on whether the product obtains a positive recommendation from the relevant health technology assessment body.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Much like the federal Anti-Kickback Statute prohibition in the United States, the provision of benefits or advantages to induce or reward improper performance generally to induce or encourage the prescription, recommendation, endorsement, purchase, supply, order or use of medicinal products is also prohibited in the EU. The provision of benefits or advantages to induce or reward improper performance generally is governed by the national anti-bribery laws of EU Member States, and in respect of the U.K. (which is no longer a member of the EU), the Bribery Act 2010. Infringement of these laws could result in substantial fines and imprisonment. EU Directive 2001/83/EC, which is the EU Directive governing medicinal products for human use, further provides that, where medicinal products are being promoted to persons qualified to prescribe, recommend, use, procure or supply them, no gifts, pecuniary advantages or benefits in kind may be supplied, offered or promised to such persons unless they are inexpensive and relevant to the practice of medicine or pharmacy. This provision has been transposed into the Human Medicines Regulations 2012 and so remains applicable in the U.K. despite its departure from the EU.</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to physicians in certain EU Member States and more generally throughout Europe (including the U.K.) and other countries must be publicly disclosed under applicable transparency provisions.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most foreign countries, including those within the EEA, the proposed pricing for a drug must be approved before it may be lawfully marketed. The requirements governing drug pricing and reimbursement are the prerogative of the Member States and vary widely from country to country. For example, the EU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or maintain favorable reimbursement and pricing arrangements for any of our products. Historically, products launched in the EU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Additional laws and regulations governing international operations could negatively impact or restrict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expand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are subject to certain U.S. and foreign anti-corruption, anti-money laundering, export control, sanctions, and other trade laws and regulations. We can face serious consequences for violations.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Among other matters, U.S. and foreign anti-corruption, anti-money laundering, export control, sanctions, and other trade laws and regulations, which are collectively referred to as Trade Laws, prohibit companies and their employees, agents, contract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Intellectual Property</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success depends in part on our ability to protect our intellectual property. It is difficult and costly to protect our proprietary rights and technology, and we may not be able to ensure their protection.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will depend in large part on obtaining and maintaining patent, IP regulatory rights (such as data exclusivity, marketing exclusivity and patent extensions) trademark and trade secret protection of our proprietary technologies and our product candidates, their respective components, synthetic intermediates, formulations, combination therapies,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be certain that we were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priority date before March 16, 2013, derivation proceedings can be instituted to determine whether the subject matter of a patent claim was derived from a prior inventor’s disclosure.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Recent or future patent reform legislation could increase the uncertainties and costs surrounding the prosecution of our patent applications and the enforcement or defense of our issued patents. Under the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America Invents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for our proprietary rights is uncertain because legal means afford only limited protection and may not adequately protect our rights or permit us to gain or keep our competitive advantage. For example: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others may be able to make or use compounds that are similar to the compositions of our product candidates but that are not covered by the claims of our patents or those of our licensors;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or our licensors, as the case may be, may fail to meet our obligations to the U.S. government in regards to any in-licensed patents and patent applications funded by U.S. government grants, leading to the loss of patent rights;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or our licensors, as the case may be, might not have been the first to file patent applications for these inventions;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our pending patent applications will not result in issued patents;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not be able to extend the patent term in some jurisdictions;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there are prior public disclosures that could invalidate our or our licensors’ patents, as the case may be, or parts of our or their patents;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others may circumvent our owned or in-licensed patents or regulatory intellectual property rights such as our data protection, orphan market exclusivity and others;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there are unpublished applications or patent applications maintained in secrecy that may later issue with claims covering our products or technology similar to ours;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laws of foreign countries may not protect our or our licensors’, as the case may be, proprietary rights to the same extent as the laws of the United States;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claims of our owned or in-licensed issued patents or patent applications, if and when issued, may not cover our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owned or in-licensed issued patents may not provide us with any competitive advantages, may be narrowed in scope, or be held invalid or unenforceable as a result of legal challenges by third parties;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have engaged in scientific collaborations in the past and will continue to do so in the future. Such collaborators may develop adjacent or competing products to ours that are outside the scope of our patents;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not develop additional proprietary technologies for which we can obtain patent protection;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product candidates or diagnostic tests we develop may be covered by third parties’ patents or other exclusive rights; or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patents of others may have an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enter into license or other collaboration agreements that may impose certain obligations on us. If we fail to comply with our obligations under such agreements with third parties, we could lose license rights that may be important to our future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our efforts to expand our pipeline of product candidates, we may enter into certain licenses or other collaboration agreements pertaining to the in-license of rights to additional candidates. Such agreements may impose various diligence, milestone payment, royalty, insurance, or other obligations on us, subject to antitrust law restrictions. If we fail to comply with these obligations, our licensor or collaboration partners may have the right to terminate the relevant agreement, in which event we would not be able to develop or market the products covered by such licensed intellectual property.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Moreover, disputes may arise regarding intellectual property subject to a licensing agreement,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extent to which our product candidates, technology and processes infringe on intellectual property of the licensor that is not subject to the licensing agreement;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sublicensing of patent and other rights under our collaborative development relationships;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diligence obligations under the license agreement and what activities satisfy those diligence obligations;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inventorship and ownership of inventions and know-how resulting from the joint creation or use of intellectual property by our licensors and us and our partners;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priority of invention of patented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protect the confidentiality of our trade secrets, our business and competitive position would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For example, our clinical development strategy includes the testing of live tissue samples, and our techniques for preserving and testing these samples are proprietary and confidential. If one or more third parties obtain or are otherwise able to replicate these techniques, an important feature and differentiator of our clinical development strategy will become available to potential competitors. If any of our confidential or proprietary information, such as our trade secrets, were to be disclosed or misappropriated, or if any such information was independently developed by a competitor, our competitive position could be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courts outside the United States are sometimes less willing to protect trade secrets.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by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Third-party claims of intellectual property infringement may prevent or delay our product discovery and development efforts.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 challenging patents, including interference, derivation, inter partes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 third party claims that we infringe its intellectual property rights, we may face a number of issues, including, but not limited to:</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infringement and other intellectual property claims which, regardless of merit, may be expensive and time-consuming to litigate and may divert our management’s attention from our core business;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court prohibiting us from developing, manufacturing, marketing or selling our product candidates, or from using our proprietary technologies, unless the third party licenses its product rights to us, which it is not required to do;</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if a license is available from a third party, we may have to pay substantial royalties, upfront fees and other amounts, and/or grant cross-licenses to intellectual property rights for our products and any license that is available may be non-exclusive, which could result in our competitors gaining access to the same intellectual property;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redesigning our product candidates or processes so they do not infringe, which may not be possible or may require substantial monetary expenditures and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collaborators may assert ownership or commercial rights to inventions they develop from research we support or that we develop from our use of the tissue samples or other biological materials, which they provide to us, or otherwise arising from the collaboration.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tissue samples and biological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we may be limited in our ability to capitalize on the market potential of these inventions or developments.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we are employing their proprietary technology without authorization.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Third parties may assert that our employees or consultants have wrongfully used or disclosed confidential information or misappropriated trade secrets.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is common in the biotechnology and biopharmaceutical industries, we employ individuals who were previously employed at universities or other biotechnology or biopharmaceutical companies, including our competitors or potential competitors. Although no claims against us are currently pending, and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not be successful in obtaining or maintaining necessary rights to develop any future product candidates on acceptable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our programs may involve additional product candidates that may require the use of proprietary rights held by third parties, the growth of our business may depend in part on our ability to acquire, in-license or use these proprietary rights.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sometimes collaborate with academic institutions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 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be involved in lawsuits to protect or enforce our patents or the patents of our licensors, which could be expensive, time-consuming and unsuccessful.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choose to challenge the patentability of claims in a third party’s U.S. patent by requesting that the USPTO review the patent claims in an ex-parte re-examination, inter partes review or post-grant review proceedings. These proceedings are expensive and may consume our time or other resources. We may choose to challenge a third party’s patent in patent opposition proceedings in the European Patent Office, or EPO, or other foreign patent office.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Any patents covering our product candidates could be found invalid or unenforceable if challenged in court or the USPTO (or foreign patent offices).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or one of our licensors initiate legal proceedings against a third 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We own pending patent applications covering our proprietary technologies or our product candidates that if issued as patents are expected to expire from 2037 through 2044, without taking into account any possible patent term adjustments or extensions. However, we cannot be assured that the USPTO, EPO or other relevant foreign patent offices will grant any of these patent applications.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Changes in patent law in the U.S. and in foreign jurisdictions could diminish the value of patents in general, thereby impairing our ability to protect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enacted in September 2011, the United States transitioned to a first inventor to file system.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 (i) file any patent application related to our product candidates or (ii) invent any of the inventions claimed in our or our licensor’s patents or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America Invents Act also includes a number of significant changes that affect the way patent applications will be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inter-partes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the USPTO, and courts or legislative bodies in foreign jurisdictions, the laws and regulations governing patents could change in unpredictable ways that could have a material adverse effect on our existing patent portfolio and our ability to protect and enforce our intellectual property in the future.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have limited foreign intellectual property rights and may not be able to protect our intellectual property rights throughout the world.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Patent terms may be inadequate to protect our competitive position on our product candidates for an adequate amount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the EU level, the CJEU has recently narrowed the availability of patent term extension for second medical use therefore affecting the scope of patent protection available.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do not obtain patent term extension, data exclusivity and orphan exclusivity for any product candidates we may develop, our business may be materially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upon the timing, duration, and specifics of any FDA or foreign marketing approval of any product candidates we may develop, one or more of our U.S. patents may be eligible for limited patent term extension under the Drug Price Competition and Patent Term Restoration Action of 1984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In addition, within the EU, regulatory protections afforded to medicinal products such as data exclusivity, marketing protection, market exclusivity for orphan indications and pediatric extensions are currently under review and is likely to be curtailed in future years. On April 26, 2023, the European Commission adopted a proposal for a new Regulation set to replace Regulation (EC) No 726/2004 and a new Directive replacing Directive 2001/83 on the Community Code relating to medicinal products for human use. If made into law, this proposal will revise and replace the existing general pharmaceutical legislation and will affect the existing period of regulatory protection afforded to medicinal products in the European Union and Northern Ireland. If we are unable to obtain patent term extension or the term of any such extension is less than we request, or if data exclusivity or other regulatory protections are reduced, our competitors may obtain approval of competing products following our patent expiration, and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 financial condition, results of operations, and prospects could be materially harmed. It should be noted that the European Commission’s new proposed legislation, if implemented, will also affect the current EU legal framework of pediatric medicines as well as the framework applicable to patent term extension, also called Supplementary Protection Certificates (SPCs).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Intellectual property rights do not necessarily address all potential threats to our competitive advantage.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others may be able to make drug candidates that are similar to ours but that are not covered by the claims of the patents that we own or have exclusively licensed;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or our licensors or future collaborators might not have been the first to make the inventions covered by the issued patent or pending patent application that we own or have exclusively licensed;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or our licensors or future collaborators might not have been the first to file patent applications covering certain of our inventions;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others may independently develop similar or alternative technologies or duplicate any of our technologies without infringing our intellectual property rights;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it is possible that our pending patent applications will not lead to issued patents;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issued patents that we own or have exclusively licensed may be held invalid or unenforceable, as a result of legal challenges by our competitors;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not develop additional proprietary technologies that are patentable;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cannot predict the scope of protection of any patent issuing based on our patent applications, including whether the patent applications that we own or in-license will result in issued patents with claims that cover our drug candidates, drug products or uses thereof in the United States or in other foreign countries;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claims of any patent issuing based on our patent applications may not provide protection against competitors or any competitive advantages, or may be challenged by third parties;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if enforced, a court may not hold that our patents are valid, enforceable and/or infringed;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need to initiate litigation or administrative proceedings to enforce and/or defend our patent rights which will be costly whether we win or lose;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 xml:space="preserve">we may fail to adequately protect and police our trademarks and trade secrets;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 parties may independently develop the technology covered by our trade secrets;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patents of others may have an adverse effect on our business, including if others obtain patents claiming subject matter similar to or improving that covered by our patents and patent applications.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Should any of these events occur, they could significantly harm our business, financial condition, results of operations, and prospects.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Reliance on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to conduct certain aspects of our preclinical studies and clinical trials. If these third parties do not successfully carry out their contractual duties, meet expected deadlines or comply with regulatory requirements, we may not be able to obtain regulatory approval of or commercialize any potential product candidates.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depend upon third parties to conduct certain aspects of our preclinical studies and clinical trials, under agreements with universities, medical institutions, CROs, strategic collaborators and others. We expect to have to negotiate budgets and contracts with such third parties, which may result in delays to our development timelines and increased costs.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will rely especially heavily on third parties over the course of our clinical trials, and, as a result, will have limited control over the clinical investigators and limited visibility into their day-to-day activities, including with respect to their compliance with the approved clinical protocol. Nevertheless, we are responsible for ensuring that each of our trials is conducted in accordance with the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clinical investigators and trial sites. If we or any of these third parties fail to comply with applicable GCP requirements, the clinical data generated in our clinical trials may be deemed unreliable and the FDA or comparable foreign regulatory authorities may require us to suspend or terminate these trials or perform additional preclinical studies or clinical trials before approving our marketing applications. We cannot be certain that, upon inspection, such regulatory authorities will determine that any of our clinical trials comply with the GCP requirements.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third parties conducting aspects of our preclinical studies or clinical trials will not be our employees and, except for remedies that may be available to us under our agreements with such third parties, we cannot control whether or not they devote sufficient time and resources to our preclinical studies and clinical programs.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preclinical or clinical data they obtain is compromised due to the failure to adhere to our protocols or regulatory requirements or for other reasons or if due to federal or state orders or absenteeism due to global conditions, including health epidemics and pandemics, they are unable to meet their contractual and regulatory obligations, our development timelines, including clinical development timelines, may be extended, delayed or terminated and we may not be able to complete development of, obtain regulatory approval of or successfully commercialize our product candidates. As a result, our financial results and the commercial prospects for our product candidates would be harmed, our costs could increase and our ability to generate revenue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any of our relationships with these third-party CROs or others terminate, we may not be able to enter into arrangements with alternative CROs or other third parties or to do so on commercially reasonable terms.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Switching or adding additional CROs involves additional cost and requires management time and focus. In addition, there is a natural transition period when a new CRO begins work. As a result, delays may occur, which can materially impact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rely on third parties for tissue samples and other materials required for our research and development activities, and if we are unable to reach agreements with these third parties our research and development activities would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primarily hospitals, health clinics and academic institutions, for the provision of tissue samples and other materials required in our research and development activities. Obtaining these materials requires various approvals as well as reaching a commercial agreement on acceptable terms with the hospital or other provider of the materials. While we currently have agreements in place with the institutions from which we receive our tissue samples, we do not have any exclusive arrangements with such sources and there is no guarantee that we will be able to maintain or renew such agreements on commercially reasonable terms, if at all. If we were unable to maintain or renew such agreements, we would be forced to seek new arrangements with new hospitals, clinics or health institutions. If so, we may not be able to reach agreements with alternative partners or do so on terms acceptable to us. If we are unable to enter into such agreements, our research and development activities will be delayed and possibly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Because we rely on third-party manufacturing and supply vendors, including single-source vendors and vendors in foreign jurisdictions, including China, our supply of research and development, preclinical and clinical development materials may become limited or interrupted or may not be of satisfactory quantity or quality.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contract manufacturers to manufacture our product candidates for preclinical studies and clinical trials. We do not own manufacturing facilities for producing any clinical trial product supplies. There can be no assurance that our preclinical and clinical development product supplies will not be limited, interrupted, or of satisfactory quality or continue to be available at acceptable prices, including due to challenging macroeconomic conditions, including the effects of health epidemics and pandemics, such as COVID-19. In addition, we rely on vendors in foreign jurisdictions, including China for our clinical drug supply for bexotegrast. If this supply is interrupted for business or geopolitical reasons, the development of bexotegrast could be materially delayed. In particular, any replacement of our manufacturers could require significant time, effort and expertise because there may be a limited number of qualified replacements and the process to transfer technology and initiate manufacturing is complex and time consuming.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cGMPs. 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continue to rely on third-party manufacturers if we receive regulatory approval for bexotegrast or any other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 party’s failure to execute on our manufacturing requirements and comply with cGMP could adversely affect our business in a number of ways,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an inability to initiate or continue clinical trials of product candidates under development;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delay in submitting regulatory applications, or receiving regulatory approvals, for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loss of the cooperation of an existing or future collaborator;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subjecting third-party manufacturing facilities or our manufacturing facilities to additional inspections by regulatory authorities;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requirements to cease distribution or to recall batches of our product candidates;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 the event of approval to market and commercialize a product candidate, an inability to meet commercial demands for our products.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rely on a sole supplier for the manufacture of bexotegrast. If this sole supplier is unable to supply to us in the quantities we require, or at all, or otherwise defaults on its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contract with fill and finishing providers with the appropriate expertise, facilities and scale to meet our needs. Failure to maintain cGMP can result in a contractor receiving FDA sanctions, which can impact our ability to operate or lead to delays in any clinical development programs. We believe that our current fill and finish contractor is operating in accordance with cGMP, but we can give no assurance that FDA or other regulatory agencies will not conclude that a lack of compliance exists. In addition, any delay in contracting for fill and finish services, or failure of the contract manufacturer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 the services as needed, may delay any clinical trials, registration and launches, which could negatively affect our business. In the future, if we advance a biological product candidate into IND-enabling studies, we will need to identify and contract with suppliers who are able to produce biological product candidates and adhere to additional cGMP compliance obligations required for biologicals.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are unable to enter into new collaborations, or if these collaborations are not successful, our business could be adversely affected.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part of our strategy is to selectively evaluate partnerships in indications and geographies where we believe partners can add significant commercial and/or development capabilities. Further, we have limited capabilities for product development and do not yet have any capability for commercialization. Accordingly, we have in the past and may in the future enter into collaborations with other companies to provide us with important technologies and funding for our programs and technology.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future collaborations we enter into may pose a number of risks, including the following: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have significant discretion in determining the efforts and resources that they will apply;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not perform their obligations as expected;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not pursue development and commercialization of any product candidates that achieve regulatory approval or may elect not to continue or renew development or commercialization programs or license arrangements based on clinical trial results, changes in the collaborators’ strategic focus or available funding, or external factors, such as a strategic transaction that may divert resources or create competing priorities;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could independently develop, or develop with third parties, products that compete directly or indirectly with our products and product candidates if the collaborators believe that the competitive products are more likely to be successfully developed or can be commercialized under terms that are more economically attractive than ours;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fail to comply with applicable regulatory requirements regarding the development, manufacture, distribution or marketing of a product candidate or product;</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with marketing and distribution rights to one or more of our product candidates that achieve regulatory approval may not commit sufficient resources to the marketing and distribution of such product or products;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not provide us with timely and accurate information regarding development progress and activity under any future license agreement, which could adversely impact our ability to report progress to our investors and otherwise plan development of our product candidates;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disagreements with collaborators, including disagreements over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collaborators may infringe the intellectual property rights of third parties, which may expose us to litigation and potential liability;</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if a collaborator of ours is involved in a business combination, the collaborator might deemphasize or terminate the development or commercialization of any product candidate licensed to it by us;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collaborations may be terminated by the collaborator, and, if terminated, we could be required to raise additional capital to pursue further development or commercialization of the applicable product candidates.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collaborations we enter into do not result in the successful discovery, development and commercialization of product candidates or if a future collaborator terminates its agreement with us, we may not receive any research funding or milestone or royalty payments under such collaboration. All of the risks relating to product development, regulatory approval and commercialization described in this Report also apply to the activities of our therapeutic collaborators.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face significant competition in seeking appropriate collaborators for our product candidates, and the negotiation process is time-consuming and complex. In order for us to successfully establish a collaboration for one or more of our product candidates, potential collaborators must view these product candidates as economically valuable in markets they determine to be attractive in light of the terms that we are seeking and other available products for licensing by other companies. Collaborations are complex and time-consuming to negotiate and document. In addition, there have been a significant number of recent business combinations among large biopharmaceutical companies that have resulted in a reduced number of potential future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expertise and additional capital, which may not be available to us on acceptable terms, or at all. If we fail to enter into future collaborations or do not have sufficient funds or expertise to undertake the necessary development and commercialization activities, we may not be able to further develop our product candidates, bring them to market and generate revenue from sales of drugs or continue to develop our technology, and our business may be materially and adversely affected. Even if we are successful in our efforts to establish new strategic collaborations, the terms that we agree upon may not be favorable to us, and we may not be able to maintain such strategic collaborations if, for example, development or approval of a product candidate is delayed or sales of an approved product are disappointing. Any delay in entering into new strategic collaboration agreements related to our product candidates could delay the development and commercialization of our product candidates and reduce their competitiveness even if they reach the market.</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Our suppliers and any future collaborators may need assurances that our financial resources and stability on a stand-alone basis are sufficient to satisfy their requirements for doing or continuing to do business with us.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suppliers and any future collaborators may need assurances that our financial resources and stability on a stand-alone basis are sufficient to satisfy their requirements for doing or continuing to do business with us. If these parties are not satisfied with our financial resources and stability, it could have a material adverse effect on our ability to develop our drug candidates, enter into licenses or other agreements and on our business, financial condition or results of operations.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Managing Our Business and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Global health pandemics, including the effects of health epidemics and pandemics, such as COVID-19, could adversely impact our business, including our preclinical studies and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outbreak of COVID-19 and government measures taken in response thereto had a significant impact, both direct and indirect, on businesses and commerce. As a result of COVID-19, we experienced disruptions that negatively impacted our business, preclinical studies and clinical trials.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Any resurgences of COVID-19 or other pandemics may result in renewed travel restrictions and social distancing in the United States and other countries, business closures or business disruptions. Any such disruptions could have a material adverse impact on our business, financial condition or results of operations.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encounter difficulties in managing our growth, which could adversely affect our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158 full-time employees. As our clinical development and commercialization plans and strategies develop, we will need to expand our managerial, clinical, regulatory, sales, marketing, financial, development, manufacturing and legal capabilities or contract with third parties to provide these capabilities for us. As our operations expand, we expect that we will need to manage additional relationships with various strategic collaborators, suppliers and other third parties. Our future growth would impose significant added responsibilities on members of management,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identifying, recruiting, integrating, retaining and motivating additional employees;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managing our development and commercialization efforts effectively, including the clinical and FDA review process for bexotegrast and any other product candidates, while complying with our contractual obligations to contractors and other third parties;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improving our operational, financial and management controls, reporting systems and procedures.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not able to effectively expand our organization by hiring new employees and expanding our groups of consultants and contractors, we may not be able to successfully implement the tasks necessary to further develop and commercialize bexotegrast or any other product candidates and, accordingly, may not achieve our research, development and commercialization goals.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lose key management personnel, or if we fail to recruit additional highly skilled personnel, our ability to develop current product candidates or identify and develop new product candidates will be impaired, could result in loss of markets or market share and could make us less competitive.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compete in the highly competitive biotechnology and biopharmaceutical industries depends upon our ability to attract and retain highly qualified managerial, scientific, and medical personnel. We are highly dependent on our management, scientific and medical personnel, including key members of our senior management and executive team. The loss of the services of any of our executive officers, other key employees and other scientific and medical advisors, and our inability to find suitable replacements could result in delays in product development and harm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at our facility in South San Francisco, California. This region is headquarters to many other biopharmaceutical companies, biotechnology companies and research institutions. Competition for skilled personnel in our market is intense and may limit our ability to hire and retain highly qualified personnel on acceptable terms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induce valuable employees to remain at our company, in addition to salary and cash incentives, we have provided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key employees are at-will employees, which means that any of our employees could leave our employment at any time, with or without notice. We do not maintain “key person” insurance policies on the lives of these individuals or the lives of any of our other employees. Our success also depends on our ability to continue to attract, retain and motivate highly skilled junior, mid-level and senior scientific and medical personnel.</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 including earthquakes, outbreak of disease or other natural disasters.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employees, independent contractors, consultants, commercial partners, collaborators and vendors may engage in misconduct or other improper activities, including noncompliance with regulatory standards and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the risk of employee fraud or other illegal activity by our employees, independent contractors, consultants, commercial partners, collaborators, and vendors. Misconduct by these parties could include intentional, reckless and/or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will also increase. These laws may impact, among other things, our current activities with principal investigators and research patients, as well as proposed and future sales, marketing, and education programs. We adopted a code of business conduct and ethics, but it is not always possible to identify and deter misconduct by our employees, independent contractors, consultants, commercial partners and vendors,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use and generate materials that may expose us to material liability.</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research programs involve the use of hazardous materials and chemicals, which are generally handled by third parties. We are subject to foreign, federal, state, and local environmental and health and safety laws and regulations governing, among other matters, the use, manufacture, handling, storage and disposal of hazardous materials and waste products such as human tissue samples that may have the potential to transmit diseases. We may incur significant costs to comply with these current or future environmental and health and safety laws and regulations. In addition, we cannot completely eliminate the risk of contamination or injury from hazardous materials and may incur material liability as a result of such contamination or injury. In the event of an accident, an injured party may seek to hold us liable for any damages that result. Any liability could exceed the limits or fall outside the coverage of our workers’ compensation, property and business interruption insurance and we may not be able to maintain insurance on acceptable terms, if at all. We currently carry no insurance specifically covering environmental claims.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numerous environmental, health and safety laws and regulations, including those governing laboratory procedures and the handling, use, storage, treatment and disposal of hazardous materials and wastes. Our research and development activities involve the use of biological and hazardous materials and produce hazardous waste products. We generally contract with third parties for the disposal of these materials and wastes. We cannot eliminate the risk of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We do not carry specific biological waste or hazardous waste insurance coverage, workers’ compensation or property and casualty and general liability insurance policies that include coverage for damages and fines arising from biological or hazardous waste exposure or contamination.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Compliance with governmental regulations regarding the treatment of animals used in research could increase our operating costs, which would adversely affect the commercialization of our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Animal Welfare Act, or AWA, is the federal law that covers the treatment of certain animals used in research. Currently, the AWA imposes a wide variety of specific regulations that govern the humane handling, care, treatment, and transportation of certain animals by producers and users of research animals, most notably relating to personnel, facilities, sanitation, cage size, and feeding, watering, and shipping conditions. Third parties with whom we contract are subject to registration, inspections, and reporting requirements under the AWA. Furthermore, some states have their own regulations, including general anti-cruelty legislation, which establish certain standards in handling animals. Comparable rules, regulations, and or obligations exist in many foreign jurisdictions. If we or our contractors fail to comply with regulations concerning the treatment of animals used in research, we may be subject to fines and penalties and adverse publicity, and our operations could be adversely affected.</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tax credit carryforwards may be subject to limitation.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net operating loss carryforwards for U.S. federal and state income tax purposes of $241.5 million and $397.6 million, respectively, some of which will begin to expire in 2035. As of December 31, 2023, we also had available tax credit carryforwards for U.S. federal income tax purposes of $31.5 million, which begin to expire in 2036, and state income tax purposes of $7.1 million, which can be carried forward indefinitely. Under Section 382 of the Internal Revenue Code, as amended, or the Code, changes in our ownership may limit the amount of our net operating loss carryforwards and tax credit carryforwards that could be utilized annually to offset our future taxable income, if any. This limitation would generally apply in the event of a cumulative change in ownership of our company of more than 50 percentage points within a three-year period. Any such limitation may significantly reduce our ability to utilize our net operating loss carryforwards and tax credit carryforwards before they expire. We have performed an analysis under Internal Revenue Code Sections 382 and 383 to determine the amount of our net operating loss carryforwards and research and development credit carryforwards that will be subject to annual limitation. This analysis concluded that we have experienced one or more such ownership changes prior to December 31, 2023, and the Company’s net operating losses and tax credit carryforwards generated prior to the identified ownership changes are subject to no permanent limitation under Sections 382 or 383. In addition, we may experience subsequent ownership changes as a result of future equity offerings or other changes in our stock ownership. Any such limitation could have a material adverse effect on our results of operations in future years. Our ability to utilize those net operating loss carryforwards could be limited by an “ownership change” as described above, which could result in increased tax liability to us. Net operating losses generated after December 31, 2017 are not subject to expiration, but may not be carried back to prior taxable years, except that net operating losses generated in 2018, 2019 and 2020 may be carried back five taxable years. Additionally, the deductibility of such U.S. federal net operating losses is limited to 80% of our taxable income in any taxable year beginning after December 31, 2020.</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Risks Related to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The price of our stock may be volatile, and you could lose all or part of your investment.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common stock is likely to be highly volatile and could be subject to wide fluctuations in response to various factors, some of which are beyond our control, including limited trading volume. In addition to the factors discussed in this “Risk Factors” section and elsewhere in this Report, these factors include: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commencement, enrollment or results of our current Phase 2a and Phase 2b clinical trials of bexotegrast and any other clinical trials for our product candidates conducted by us or our collaborators;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any delay in identifying and advancing a clinical candidate for our other development programs;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any delay in our regulatory filings for bexotegrast or our other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adverse results or delays in future clinical trials;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decision to initiate a clinical trial, not to initiate a clinical trial or to terminate an existing clinical trial;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adverse regulatory decisions, including failure to receive regulatory approval of bexotegrast or any other product candidate;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changes in laws or regulations applicable to bexotegrast or any other product candidate, including but not limited to clinical trial requirements for approvals;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adverse developments concerning our manufacturers;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inability to obtain adequate product supply for any approved product or inability to do so at acceptable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failure to secure a positive health technology assessment recommendation;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inability to establish collaborations, if needed;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failure to commercialize our product candidates, if approved;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additions or departures of key scientific or management personnel;</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unanticipated serious safety concerns related to the use of bexotegrast or any other product candidate;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introduction of new products or services offered by us or our competitors;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announcements of significant acquisitions, strategic partnerships, joint ventures or capital commitments by us or our competitors;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actual or anticipated variations in quarterly operating results;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cash position;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our failure to meet the estimates and projections of the investment community or that we may otherwise provide to the public;</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publication of research reports about us or our industry, or product candidates in particular, or positive or negative recommendations or withdrawal of research coverage by securities analysts;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changes in the market valuations of similar companies;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changes in the structure of the healthcare payment systems;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sales of our common stock by us or our stockholders in the future;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trading volume of our common stock;</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changes in accounting practices;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ineffectiveness of our internal controls;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disputes or other developments relating to proprietary rights, including patents, litigation matters and our ability to obtain patent protection for our technologies;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significant lawsuits, including patent or stockholder litigation;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general political and economic conditions;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other events or factors, many of which are beyond our control.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effects of health epidemics and pandemics, such as COVID-19, geopolitical events, such as the Russian invasion of Ukraine, the Israel-Hamas conflict and related global escalation of geopolitical tensions, and rising inflationary pressures. 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on our common stock so any returns will be limited to the value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capital stock. We currently intend to retain all available funds and any future earnings to fund the development, operation and growth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executive officers, directors and their affiliates and our principal stockholders own a significant percentage of our stock and will be able to exert significant control over matters subject to stockholder approval.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officers, directors and our principal stockholders beneficially hold a significant portion of our voting stock. These stockholders, acting together, may be able to significantly influence matters requiring stockholder approval. For example,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these stockholders would be able to significantly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there are substantial sales of shares of our common stock, the price of our common stock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that are either subject to outstanding options or reserved for future issuance under our existing equity compensation plans will become eligible for sale in the public market as they become vested. If these additional shares of common stock are sold, or if it is perceived that they will be sold, in the public market, the trading price of our common stock could decline. Additionally, the number of shares of our common stock reserved for issuance under our 2020 Stock Option and Incentive Plan will automatically increase on January 1 of each year by 5% of the total number of shares of our capital stock outstanding on December 31 of the preceding calendar year, or a lesser number of shares determined by our board of directors or compensation committee. Moreover, the number of shares of our common stock reserved for issuance under our 2020 Employee Stock Purchase Plan, or ESPP, will automatically increase on January 1 of each year by the lesser of 700,000 shares of common stock, 1% of the total number of shares of our capital stock outstanding on December 31 of the preceding calendar year, or a lesser number of shares determined by our board of directors or compensation committee. Unless our board of directors elects not to increase the number of shares available for future grant each year, our stockholders may experience additional dilution.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Effective December 31, 2023, we became a large accelerated filer and no longer qualify as a smaller reporting company, which increases our costs and demands on management.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market value of our common stock held by our non-affiliates as of June 30, 2023, we are no longer considered a smaller reporting company and are considered a “large accelerated filer” effective as of December 31, 2023. Thus, we are subject to accelerated filing deadlines as well as the requirements of Section 404(b) of the Sarbanes-Oxley Act of 2002, which require our independent registered public accounting firm to formally attest to the effectiveness of our internal control over financial reporting. We have devoted, and expect to continue to devote, significant time and effort to implement and comply with the additional standards, rules and regulations that apply to us. Compliance with the additional requirements of being a large accelerated filer will also increase our legal, accounting and financial compliance costs.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 due to the complexity and logistical difficulty of implementing the standards, rules and regulations that now apply to our business, there is an increased risk that we may be found to be in non-compliance with such standards, rules and regulations or to have significant deficiencies or material weaknesses in our internal controls over financial reporting. 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and bylaws contain provisions that could delay or prevent a change of control of our company or changes in our board of directors that our stockholders might consider favorable. Some of these provisions include: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board of directors divided into three classes serving staggered three-year terms, such that not all members of the board will be elected at one time;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prohibition on stockholder action through written consent, which requires that all stockholder actions be taken at a meeting of our stockholders;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requirement that special meetings of stockholders be called only by the board of directors acting pursuant to a resolution approved by the affirmative vote of a majority of the directors then in office;</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advance notice requirements for stockholder proposals and nominations for election to our board of directors;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a requirement of approval of not less than two-thirds of all outstanding shares of our voting stock to amend any bylaws by stockholder action or to amend specific provisions of our certificate of incorporation; and</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we are incorporated in Delaware, we are governed by the provisions of Section 203 of the General Corporation Law of the State of Delaware, or the DGCL, which may prohibit certain business combinations with stockholders owning 15% or more of our outstanding voting stock. 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stockholders to elect directors of their choosing or cause us to take other corporate actions our stockholders desire. Any delay or prevention of a change of control transaction or changes in our board of directors could cause the market price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bylaws designate certain courts as the exclusive forum for certain litigation that may be initiated by our stockholders, which could limit our stockholders’ ability to litigate disputes with us in a different judicial forum.</w:t>
      </w:r>
    </w:p>
    <w:p>
      <w:pPr>
        <w:pStyle w:val="TextBody"/>
        <w:bidi w:val="0"/>
        <w:spacing w:lineRule="auto" w:line="288" w:before="120" w:after="283"/>
        <w:ind w:left="0" w:right="0" w:firstLine="450"/>
        <w:jc w:val="left"/>
        <w:rPr/>
      </w:pPr>
      <w:r>
        <w:rPr>
          <w:rFonts w:ascii="Times New Roman;sans-serif" w:hAnsi="Times New Roman;sans-serif"/>
          <w:b w:val="false"/>
          <w:color w:val="231F20"/>
          <w:sz w:val="20"/>
        </w:rPr>
        <w:t>P</w:t>
      </w:r>
      <w:r>
        <w:rPr>
          <w:rFonts w:ascii="Times New Roman;sans-serif" w:hAnsi="Times New Roman;sans-serif"/>
          <w:b w:val="false"/>
          <w:color w:val="000000"/>
          <w:sz w:val="20"/>
        </w:rPr>
        <w:t>ursuant to our bylaws, unless we consent in writing to the selection of an alternative forum, the Court of Chancery of the State of Delaware will be the sole and exclusive forum for any state law claims for: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DGCL, our certificate of incorporation or our bylaws; (iv) any action to interpret, apply, enforce or determine the validity of our certificate of incorporation or bylaws; or (v) any action asserting a claim governed by the internal affairs doctrine, in each case subject to the Court of Chancery having personal jurisdiction over the indispensable parties named as defendants therein, or the Delaware forum provision. This exclusive forum provision will not apply to any causes of action arising under the Securities Act or the Exchange Act or any other claim for which the federal courts have exclusive jurisdiction. Unless we consent in writing to the selection of an alternate forum, the federal district courts shall be the sole and exclusive forum for resolving any complaint asserting a cause of action arising under the Securities Act, or the federal forum provision. In addition, our bylaws provide that any person or entity purchasing or otherwise acquiring any interest in shares of our common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Delaware forum provision and the federal forum provision may impose additional litigation costs on stockholders who assert the provision is not enforceable and may impose more general additional litigation costs in pursuing any such claims, particularly if the stockholders do not reside in or near the State of Delaware or the State of California. In addition, these forum selection clauses in our bylaws may limit our stockholders’ ability to bring a claim in a judicial forum that they find favorable for disputes with us or our directors, officers or employees, which may discourage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the provision is not enforceable or invalid. The Court of Chancery of the State of Delaware and the federal district courts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pStyle w:val="TextBody"/>
        <w:bidi w:val="0"/>
        <w:spacing w:lineRule="auto" w:line="288" w:before="120" w:after="283"/>
        <w:jc w:val="left"/>
        <w:rPr/>
      </w:pPr>
      <w:r>
        <w:rPr>
          <w:rFonts w:ascii="Times New Roman;sans-serif" w:hAnsi="Times New Roman;sans-serif"/>
          <w:b/>
          <w:color w:val="231F20"/>
          <w:sz w:val="20"/>
        </w:rPr>
        <w:t>General</w:t>
      </w:r>
      <w:r>
        <w:rPr>
          <w:color w:val="231F20"/>
        </w:rPr>
        <w:t xml:space="preserve"> </w:t>
      </w:r>
      <w:r>
        <w:rPr>
          <w:rFonts w:ascii="Times New Roman;sans-serif" w:hAnsi="Times New Roman;sans-serif"/>
          <w:b/>
          <w:color w:val="231F20"/>
          <w:sz w:val="20"/>
        </w:rPr>
        <w:t>Risk Factors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stock.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disclose changes made in our internal controls and procedures on a quarterly basis. If we are unable to assert that our internal control over financial reporting is effective, or if our independent registered public accounting firm is unable to express an opinion on the effectiveness of our internal control, including as a result of any identified material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weakness, we could lose investor confidence in the accuracy and completeness of our financial reports, which would cause the price of our common stock to decline, and we may be subject to investigation or sanctions by the SEC. In addition, if we are unable to continue to meet these requirements, we may not be able to remain listed on Nasdaq. </w:t>
      </w:r>
    </w:p>
    <w:p>
      <w:pPr>
        <w:pStyle w:val="TextBody"/>
        <w:bidi w:val="0"/>
        <w:spacing w:lineRule="auto" w:line="288" w:before="120" w:after="283"/>
        <w:ind w:left="0" w:right="0" w:firstLine="450"/>
        <w:jc w:val="left"/>
        <w:rPr/>
      </w:pPr>
      <w:r>
        <w:rPr>
          <w:rFonts w:ascii="Times New Roman;sans-serif" w:hAnsi="Times New Roman;sans-serif"/>
          <w:b/>
          <w:i/>
          <w:color w:val="231F20"/>
          <w:sz w:val="20"/>
        </w:rPr>
        <w:t>Our disclosure</w:t>
      </w:r>
      <w:r>
        <w:rPr>
          <w:color w:val="231F20"/>
        </w:rPr>
        <w:t xml:space="preserve"> </w:t>
      </w:r>
      <w:r>
        <w:rPr>
          <w:rFonts w:ascii="Times New Roman;sans-serif" w:hAnsi="Times New Roman;sans-serif"/>
          <w:b/>
          <w:i/>
          <w:color w:val="231F20"/>
          <w:sz w:val="20"/>
        </w:rPr>
        <w:t>controls</w:t>
      </w:r>
      <w:r>
        <w:rPr>
          <w:color w:val="231F20"/>
        </w:rPr>
        <w:t xml:space="preserve"> </w:t>
      </w:r>
      <w:r>
        <w:rPr>
          <w:rFonts w:ascii="Times New Roman;sans-serif" w:hAnsi="Times New Roman;sans-serif"/>
          <w:b/>
          <w:i/>
          <w:color w:val="231F20"/>
          <w:sz w:val="20"/>
        </w:rPr>
        <w:t>and procedures</w:t>
      </w:r>
      <w:r>
        <w:rPr>
          <w:color w:val="231F20"/>
        </w:rPr>
        <w:t xml:space="preserve"> </w:t>
      </w:r>
      <w:r>
        <w:rPr>
          <w:rFonts w:ascii="Times New Roman;sans-serif" w:hAnsi="Times New Roman;sans-serif"/>
          <w:b/>
          <w:i/>
          <w:color w:val="231F20"/>
          <w:sz w:val="20"/>
        </w:rPr>
        <w:t>may</w:t>
      </w:r>
      <w:r>
        <w:rPr>
          <w:color w:val="231F20"/>
        </w:rPr>
        <w:t xml:space="preserve"> </w:t>
      </w:r>
      <w:r>
        <w:rPr>
          <w:rFonts w:ascii="Times New Roman;sans-serif" w:hAnsi="Times New Roman;sans-serif"/>
          <w:b/>
          <w:i/>
          <w:color w:val="231F20"/>
          <w:sz w:val="20"/>
        </w:rPr>
        <w:t>not prevent</w:t>
      </w:r>
      <w:r>
        <w:rPr>
          <w:color w:val="231F20"/>
        </w:rPr>
        <w:t xml:space="preserve"> </w:t>
      </w:r>
      <w:r>
        <w:rPr>
          <w:rFonts w:ascii="Times New Roman;sans-serif" w:hAnsi="Times New Roman;sans-serif"/>
          <w:b/>
          <w:i/>
          <w:color w:val="231F20"/>
          <w:sz w:val="20"/>
        </w:rPr>
        <w:t>or detect</w:t>
      </w:r>
      <w:r>
        <w:rPr>
          <w:color w:val="231F20"/>
        </w:rPr>
        <w:t xml:space="preserve"> </w:t>
      </w:r>
      <w:r>
        <w:rPr>
          <w:rFonts w:ascii="Times New Roman;sans-serif" w:hAnsi="Times New Roman;sans-serif"/>
          <w:b/>
          <w:i/>
          <w:color w:val="231F20"/>
          <w:sz w:val="20"/>
        </w:rPr>
        <w:t>all</w:t>
      </w:r>
      <w:r>
        <w:rPr>
          <w:color w:val="231F20"/>
        </w:rPr>
        <w:t xml:space="preserve"> </w:t>
      </w:r>
      <w:r>
        <w:rPr>
          <w:rFonts w:ascii="Times New Roman;sans-serif" w:hAnsi="Times New Roman;sans-serif"/>
          <w:b/>
          <w:i/>
          <w:color w:val="231F20"/>
          <w:sz w:val="20"/>
        </w:rPr>
        <w:t>errors</w:t>
      </w:r>
      <w:r>
        <w:rPr>
          <w:color w:val="231F20"/>
        </w:rPr>
        <w:t xml:space="preserve"> </w:t>
      </w:r>
      <w:r>
        <w:rPr>
          <w:rFonts w:ascii="Times New Roman;sans-serif" w:hAnsi="Times New Roman;sans-serif"/>
          <w:b/>
          <w:i/>
          <w:color w:val="231F20"/>
          <w:sz w:val="20"/>
        </w:rPr>
        <w:t>or acts</w:t>
      </w:r>
      <w:r>
        <w:rPr>
          <w:color w:val="231F20"/>
        </w:rPr>
        <w:t xml:space="preserve"> </w:t>
      </w:r>
      <w:r>
        <w:rPr>
          <w:rFonts w:ascii="Times New Roman;sans-serif" w:hAnsi="Times New Roman;sans-serif"/>
          <w:b/>
          <w:i/>
          <w:color w:val="231F20"/>
          <w:sz w:val="20"/>
        </w:rPr>
        <w:t>of fraud.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reporting company, we are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pStyle w:val="TextBody"/>
        <w:bidi w:val="0"/>
        <w:spacing w:lineRule="auto" w:line="288" w:before="120" w:after="283"/>
        <w:ind w:left="0" w:right="0" w:firstLine="450"/>
        <w:jc w:val="left"/>
        <w:rPr/>
      </w:pPr>
      <w:r>
        <w:rPr>
          <w:rFonts w:ascii="Times New Roman;sans-serif" w:hAnsi="Times New Roman;sans-serif"/>
          <w:b/>
          <w:i/>
          <w:color w:val="000000"/>
          <w:sz w:val="20"/>
        </w:rPr>
        <w:t>Our issuance of additional capital stock in connection with financings, acquisitions, investments, our stock incentive plans or otherwise will dilute all other stockholders</w:t>
      </w:r>
      <w:r>
        <w:rPr>
          <w:rFonts w:ascii="Times New Roman;sans-serif" w:hAnsi="Times New Roman;sans-serif"/>
          <w:b/>
          <w:i/>
          <w:color w:val="231F20"/>
          <w:sz w:val="20"/>
        </w:rPr>
        <w:t>.</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We expect to issue additional capital stock in the future that will result in dilution to all other stockholders. We expect to continue to grant equity awards to employees, directors, and consultants under our stock incentive plans. In July 2022 and January 2023, we completed underwritten public offerings of our common stock. In July 2021, we entered into the</w:t>
      </w:r>
      <w:r>
        <w:rPr>
          <w:color w:val="000000"/>
        </w:rPr>
        <w:t xml:space="preserve"> </w:t>
      </w:r>
      <w:r>
        <w:rPr>
          <w:rFonts w:ascii="Times New Roman;sans-serif" w:hAnsi="Times New Roman;sans-serif"/>
          <w:b w:val="false"/>
          <w:color w:val="000000"/>
          <w:sz w:val="20"/>
        </w:rPr>
        <w:t>Sales Agreement (the “Sales Agreement”) with Cantor Fitzgerald &amp; Co., as sales agent, pursuant to which we may issue and sell shares of common stock from time to time. On March 27, 2023, we filed a registration statement on Form S-3 (File No. 333-270862) which included a sales agreement prospectus registering the offer and sale of up to $150.0 million of shares under the Sales Agreement (the Sales Agreement Prospectus).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our stock price and trading volume could decline.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common stock depends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incur significant increased costs as a result of operating as a public company, and our management is required to devote substantial time to new compliance initiatives.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incur significant legal, accounting and other expenses. We are subject to the reporting requirements of the Exchange Act, which requires, among other things, that we file with the SEC annual, quarterly and current reports with respect to our business and financial condition. In addition, the Sarbanes-Oxley Act, as well as rules subsequently adopted by the SEC and the Nasdaq Stock Market, or Nasdaq, to implement provisions of the Sarbanes-Oxley Act, impose significant requirements on public companies, including requiring establishment and maintenance of effective disclosure and financial reporting controls and changes in corporate governance practices. Further,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respond to these requirements. The impact of these requirements could also make it more difficult for us to attract and retain qualified persons to serve on our board of directors, our board committees or as executive officers.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We may incur substantial costs in our efforts to comply with evolving global data protection laws and regulations, and any failure or perceived failure by us to comply with such laws and regulations may harm our business and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global data protection landscape is rapidly evolving, and we may be or become subject to or affected by numerous federal, state and foreign laws and regulations, as well as regulatory guidance, governing the collection, use, disclosure, transfer, security and processing of personal data, such as information that we collect about participants and healthcare providers in connection with clinical trials. Implementation standards and enforcement practices are likely to remain uncertain for the foreseeable future, which may create uncertainty in our business, affect our or our service providers’ ability to operate in certain jurisdictions or to collect, store, transfer use and share personal data, result in liability or impose additional compliance or other costs on us. Any failure or perceived failure by us to comply with federal, state, or foreign laws or self-regulatory standards could result in negative publicity, diversion of management time and effort and proceedings against us by governmental entities or others.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Numerous federal and state laws and regulations, including the Health Insurance Portability and Accountability Act (HIPAA) and the Health Information Technology for Economic and Clinical Health Act (HITECH), govern the collection, dissemination, security, use and confidentiality of patient-identifiable health information or personal information. In the course of performing our business we obtain personally identifiable information (PII), including health-related information. Such laws and regulations relating to privacy, data protection, and consumer protection are evolving and subject to potentially differing interpretations. These requirements may be interpreted and applied in a manner that varies from one jurisdiction to another and/or may conflict with other laws or regulations. HIPAA establishes national privacy and security standards for the protection of individually identifiable health information, including protected health information (PHI) for certain covered entities, including healthcare providers that submit certain covered transactions electronically, as well as their “business associates.” Penalties for failure to comply with a requirement of HIPAA and HITECH vary significantly depending on the failure and could include civil monetary or criminal penalties. HIPAA also authorizes state attorneys general to file suit under HIPAA on behalf of state residents. Courts can award damages, costs and attorneys’ fees related to violations of HIPAA in such cases. While HIPAA does not create a private right of action allowing individuals to sue us in civil court for HIPAA violations, its standards have been used as the basis for a duty of care claim in state civil suits such as those for negligence or recklessness in the misuse or breach of PHI. The HHS Office for Civil Rights (OCR) has recently increased its enforcement efforts on compliance with HIPAA, including the security regulations (Security Rule), bringing actions against entities which have failed to implement security measures sufficient to reduce risks to electronic protected health information or to conduct an accurate and thorough risk analysis, among other violations. HIPAA enforcement actions may lead to monetary penalties and costly and burdensome corrective action plans. Moreover, compliance with state laws related to health privacy may cause additional compliance costs. For instance, Washington State recently passed the “My Health My Data Act” which regulates “consumer health data” which is defined as “personal information that is linked or reasonably linkable to a consumer and that identifies a consumer’s past, present, or future physical or mental health.” The “My Health My Data Act” provides exemptions for personal data used or shared in research, including data subject to 45 C.F.R. Parts 46, 50, and 56. Nevada also recently enacted a consumer health data privacy bill, and additional states may adopt health-specific privacy laws that could impact our business activities depending on how they are interpreted.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encounter vendors that engage in information blocking practices that may inhibit our ability to access the relevant data on behalf of clients or impose new or additional costs. In 2020, the U.S. Department of Health and Human Services’ Office of the National Coordinator for Health Information Technology (ONC) and the Centers for Medicare and Medicaid Services promulgated final rules to support access, exchange, and use of electronic health information (EHI). Specifically, the information blocking rules were implemented as part of the 21st Century Cures Act, and are primarily designed to facilitate technology interoperability and enable the free flow of healthcare information for healthcare treatment, payment or operation purposes. On June 27, 2023, the Department of Health and Human Services Office of the Inspector General (HHS-OIG) published its final rule implementing information blocking penalties for “actors,” which is supplemented by ONC’s January 9, 2024 final rule enhancing certain blocking requirements. HHS-OIG may impose penalties for information blocking that has occurred after September 1, 2023, and ONC and HHS proposed a rule on November 1, 2023 listing certain disincentives for actors that conduct information blocking. The impact on the information blocking rules to our business is currently unclear.</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California passed the California Consumer Protection Act of 2018, or the CCPA, which went into effect in January 2020 and provides data privacy rights for consumers and new operational requirements for companies, which may increase our compliance costs and potential liability. The CCPA gives California residents expanded rights to access and delete their personal information, opt out of certain personal information sharing, and receive detailed information about how their personal information is used. Failure to comply with the CCPA risks regulatory fines, and the CCPA grants a private right of action and statutory damages for an unauthorized access and exfiltration, theft, or disclosure of certain types of personal information resulting from the company’s violation of a duty to maintain reasonable security procedures and practices. The CCPA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provides authority to the California Attorney General to seek civil penalties for intentional violations of the CCPA. While there is currently an exception for protected health information that is subject to HIPAA and clinical trial regulations, as currently written, the CCPA may impact certain of our business activities. Additionally, this exception does not apply to the private cause of action afforded to individuals for information security incidents.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CCPA was expanded on January 1, 2023, when the California Privacy Rights Act of 2020, or the CPRA, became operative. The CPRA, among other things, gives California residents the ability to limit use of certain sensitive personal information, further restricts the use of cross-contextual advertising, establishes restrictions on the retention of personal information, expands the types of data breaches subject to the CCPA’s private right of action, provides for increased penalties for CPRA violations concerning California residents under the age of 16, and established a new California Privacy Protection Agency to implement the law through additional regulations and to enforce the law. Although there are limited exemptions for clinical trial data under the CCPA, the CCPA and other similar laws could impact our business activities depending on how it is interpreted. In the interim, the CPRA will require additional investment in compliance programs and potential modifications to business processes.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Multiple states have followed California to legislate comprehensive privacy laws with data privacy rights. For example, on March 2, 2021, the Virginia Consumer Data Protection Act was signed into law, which went into effect on January 1, 2023, on May 10 2022, the Connecticut Data Privacy Act was signed into law, which went into effect on July 1, 2023, and on July 8, 2021, the Colorado Privacy Act, was signed into law, which went into effect on July 1, 2023. Multiple states have enacted or are considering similar legislation which will go into effect in the coming years, and Congress continues to consider federal privacy legislation. While these proposals and new laws generally include exemptions for HIPAA-covered and clinical trial data, they add layers of complexity to compliance in the U.S. market, and could increase our compliance costs and adversely affect our business.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Federal Trade Commission (FTC) and many state attorneys general are interpreting existing federal and state consumer protection laws to impose evolving standards for the collection, use, dissemination and security of health-related and other personal information and in particular health information. Courts may also adopt the standards for fair information practices promulgated by the FTC, which concern consumer notice, choice, security and access. Consumer protection laws require us to publish statements that describe how we handle personal information and choices individuals may have about the way we handle their personal information. If such information that we publish is considered untrue, we may be subject to government claims of unfair or deceptive trade practices, which could lead to significant liabilities and consequences. Furthermore, according to the FTC, violating consumers’ privacy rights or failing to take appropriate steps to keep consumers’ personal information secure may constitute unfair acts or practices in or affecting commerce in violation of Section 5 of the FTC Act. Additionally, the FTC published an advance notice of proposed rulemaking in 2022 on commercial surveillance and data security, and may implement new trade regulation rules or other regulatory alternatives concerning the ways in which companies (1) collect, aggregate, protect, use, analyze, and retain consumer data, as well as (2) transfer, share, sell, or otherwise monetize that data in ways that are unfair or deceptive in the coming years.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relies on secure and continuous processing of information and the availability of our Information Technology (IT) networks and IT resources, as well as critical IT vendors that support our technology and data processing operations. Security breaches, computer malware and computer hacking attacks have become more prevalent across industries and may occur on our systems or those of our third-party service providers. Attacks upon information technology systems are increasing in their frequency, levels of persistence, sophistication and intensity, and are being conducted by sophisticated and organized groups and individuals with a wide range of motives and expertise. OCR, pursuant to legislation passed in 2021, issued guidance on recognized security practices for covered entities and business associates. OCR indicated that recognized security practices will not be an aggravating factor in OCR investigations, but that implementation of recognized security practices strengthen an organization’s cybersecurity and regulatory posture, as well as possibly lessening enforcement penalties in a potential regulatory enforcement.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regularly monitor, defend against and respond to attacks to our networks and other information security incidents. Despite our information security efforts, our facilities, systems, and data, as well as those of our third party service providers, may be vulnerable to privacy and information security incidents such as data breaches, viruses or other malicious code, coordinated attacks, data loss, phishing attacks, ransomware, denial of service attacks, or other security or IT incidents caused by threat actors, technological vulnerabilities or human error. If we, or any of our IT support vendors, fail to comply with laws requiring the protection of sensitive personal information, or fail to safeguard and defend personal information or other critical data assets or IT systems, we may be subject to regulatory enforcement and fines as well as private civil actions. We may be required to expend significant resources in the response, containment, mitigation of cybersecurity incidents as well as in defense against claims that our information security was unreasonable or otherwise violated applicable laws or contractual obligations.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our operations in the United States, which may be subject to healthcare and other laws relating to the privacy and security of health information and other personal data, we may seek to conduct clinical trials in the EEA and may become subject to additional EEA data privacy laws, regulations and guidelines.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EU, the processing of personal data (i.e., data which identifies an individual or from which an individual is identifiable) is governed by the EU General Data Protection Regulation 2016/679 (EU GDPR). The U.K. has implemented the EU GDPR as the U.K. GDPR (together with the EU GDPR, the GDPR) which sits alongside the U.K. Data Protection Act 2018. The GDPR has direct effect where an entity is established in the EEA or the U.K. (as applicable) and has extra-territorial effect where an entity established outside of the EEA or the UK processes personal data in relation to the offering of goods or services to individuals in the EEA and/or the UK or the monitoring of their behavior.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GDPR imposes obligations on controllers, including, among others: (i) accountability and transparency requirements, requiring controllers to demonstrate and record compliance with the GDPR and to provide detailed information to individuals regarding the processing of their personal data (e.g., via ICFs); (ii) requirements to process personal data lawfully including specific requirements for obtaining valid consent where consent is the lawful basis for processing; (iii) obligations to consider data protection when any new products or services are developed and designed (including e.g., to limit the amount of personal data processed); (iv) obligations to comply with individuals’ data protection rights; and (v) an obligation to report certain personal data breaches to the competent data protection authority and affected individuals.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EU GDPR prohibits the international transfer of personal data from the EEA to jurisdictions that the European Commission does not recognize as having an ‘adequate’ level of data protection unless a data transfer mechanism has been put in place or a derogation under the EU GDPR can be relied on. In July 2020, the Court of Justice of the EU (CJEU) in its Schrems II judgement limited how organizations could lawfully transfer personal data from the EEA to the U.S. by invalidating the EU-U.S. Privacy Shield for purposes of international transfers and imposing further restrictions on the use of standard contractual clauses (EU SCCs), including a requirement for companies to carry out a transfer privacy impact assessment (TIA). A TIA, among other things, assesses laws governing access to personal data in the recipient country. On 10 July 2023, the European Commission adopted its Final Implementing Decision granting the U.S. adequacy (Adequacy Decision) for EU-U.S. transfers of personal data for entities self-certified to the new Trans-Atlantic Data Privacy Framework (DPF). Entities relying on EU SCCs for transfers to the U.S. are also able to rely on the analysis in the Adequacy Decision as support for their TIA regarding the equivalence of U.S. national security safeguards and redress.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U.K. GDPR also imposes similar restrictions on transfers of personal data from the U.K. to jurisdictions that the U.K. Government does not consider adequate, including the US. The U.K. Government has published its own form of the EU SCCs, known as the International Data Transfer Agreement and an International Data Transfer Addendum to the new EU SCCs. The U.K. Information Commissioner’s Office (ICO) has also published its own version of the TIA. Further, on September 21, 2023, the U.K., Secretary of State for Science, Innovation and Technology established a UK-U.S. data bridge (i.e., a U.K. equivalent of the Adequacy Decision) and adopted UK regulations to implement the U.K.-U.S. data bridge (U.K. Adequacy Regulations). Personal data may now be transferred from the UK under the UK-U.S. data bridge through the UK extension to the DPF to organizations self-certified under the UK extension to DPF.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Data protection supervisory authorities have the power under the GDPR to (amongst other things) impose fines for serious breaches of up to the higher of 4% of the organization’s annual worldwide turnover or €20m (under the EU GDPR) or £17.5m (under the U.K. GDPR). Individuals also have a right to compensation, as a result of an organization’s breach of the GDPR which has affected them, for financial or non-financial losses (e.g., distress).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we commence clinical trials in the EEA, the U.K. or Switzerland, applicable data protection laws may increase our responsibility and liability in relation to personal data that we process, and we may be required to put in place additional mechanisms and safeguards to ensure compliance, including as implemented by member states in the European Union. Compliance with data protection laws in the EEA, the U.K. and Switzerland is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We expect that we will continue to face uncertainty as to whether our efforts to comply with any obligations under European privacy laws will be sufficient. Further, as the EU GDPR may be implemented differently in national laws of member states of the European Union, we may face additional costs associated with complying with potentially varying data protection requirements in these member states.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biopharmaceutical partners. We may also experience hesitancy, reluctance, or refusal by European or multi-national clients or biopharmaceutical partners to continue to use our products and solutions due to the potential risk exposure as a result of the current (and, in particular, future) data protection obligations imposed on them by certain data protection authorities in interpretation of current law. Such clients or biopharmaceutical partners may also view any alternative approaches to compliance as being too costly, too burdensome, too legally uncertain, or otherwise objectionable and therefore decide not to do business with us. Any of the forgoing could materially harm our business, prospects,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Following Brexit, legal, political and economic uncertainty surrounding the exit of the U.K. from the EU may be a source of instability in international markets, create significant currency fluctuations, adversely affect our operations in the U.K. and pose additional risks to our business, revenue, financial condition and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January 31, 2020, the U.K. ceased being a Member State of the EU. The U.K. and the EU signed a EU-U.K. Trade and Cooperation Agreement, or TCA, which became effective on May 1, 2021. Such a withdrawal from the EU is unprecedented, and it is unclear how the restrictions on the U.K.’s access to the European single market for goods, capital, services and labor within the EU, or single market, and the wider commercial, legal and regulatory environment, will impact our current and future operations (including business activities conducted by third parties and contract manufacturers on our behalf) and clinical activities in the U.K.</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also face new regulatory costs and challenges that could have an adverse effect on our operations. Since the regulatory framework in the U.K. covering quality, safety and efficacy of pharmaceutical products, clinical trials, marketing authorization, commercial sales and distribution of pharmaceutical products is derived from EU Directives and Regulations, Brexit could materially impact the future regulatory regime with respect to the approval of our product candidates in the U.K., now that U.K. legislation may depart from EU legislation. For instance, now the transition period has expired, Great Britain will no longer be covered by the centralized procedure for obtaining an EEA-wide marketing authorization from the EMA and a separate process will be required for authorization of drug products covering the U.K. or Great Britain only. In addition, the MHRA has launched new procedures designed to accelerate the marketing authorization application process including the Innovative Licensing and Access Pathway (ILAP) and the International Recognition Procedure. The ILAP is an accelerated assessment procedure for marketing authorization applications facilitating the early interaction with pricing authorities and HTA bodies which aims to enable companies to enter the U.K. market faster. On January 1, 2024, the MHRA also launched a new International Recognition Procedure for Great Britain (England, Scotland and Wales) marketing authorization applications whereby the MHRA will, when considering such applications, recognize the approval of medicines by trusted reference regulators in Australia, Canada, Switzerland, Singapore, Japan, United States and EU following its own abbreviated assessment. Any delay in obtaining, or an inability to obtain, any regulatory approvals, as a result of Brexit or otherwise, would prevent us from commercializing our product candidates in the U.K. and/or the EU and restrict our ability to generate revenue and achieve and sustain profitability. If any of these outcomes occur, we may be forced to restrict or delay efforts to seek regulatory approval in the U.K. and/or EU for our product candidates, which could significantly and materially harm our business. </w:t>
      </w:r>
    </w:p>
    <w:p>
      <w:pPr>
        <w:pStyle w:val="TextBody"/>
        <w:bidi w:val="0"/>
        <w:spacing w:lineRule="auto" w:line="288" w:before="120" w:after="283"/>
        <w:ind w:left="0" w:right="0" w:firstLine="450"/>
        <w:jc w:val="left"/>
        <w:rPr/>
      </w:pPr>
      <w:r>
        <w:rPr>
          <w:rFonts w:ascii="Times New Roman;sans-serif" w:hAnsi="Times New Roman;sans-serif"/>
          <w:b w:val="false"/>
          <w:color w:val="000000"/>
          <w:sz w:val="20"/>
        </w:rPr>
        <w:t>The TCA allows for future deviation from the current regulatory framework and it is not known if and/or when any deviations may occur, which may have an impact on development, manufacture, marketing authorization, commercial sales and distribution of pharmaceutical products. The U.K. Government and the EU recently adopted a new agreement, the “Windsor Framework,” which will amend the Northern Ireland Protocol. According to the Windsor Framework, medicinal products intended for the U.K. market, including Northern Ireland, will be authorized by the MHRA and will bear a “U.K. only” label. This means that medicinal products placed on the market in Northern Ireland will no longer need to be compliant with EU law.</w:t>
      </w:r>
      <w:r>
        <w:rPr>
          <w:color w:val="000000"/>
        </w:rPr>
        <w:t xml:space="preserve"> </w:t>
      </w:r>
      <w:r>
        <w:rPr>
          <w:rFonts w:ascii="Times New Roman;sans-serif" w:hAnsi="Times New Roman;sans-serif"/>
          <w:b w:val="false"/>
          <w:color w:val="000000"/>
          <w:sz w:val="20"/>
        </w:rPr>
        <w:t>These new measures will be implemented on January 1, 2025.</w:t>
      </w:r>
    </w:p>
    <w:p>
      <w:pPr>
        <w:pStyle w:val="TextBody"/>
        <w:bidi w:val="0"/>
        <w:spacing w:lineRule="auto" w:line="288" w:before="120" w:after="283"/>
        <w:ind w:left="0" w:right="0" w:firstLine="450"/>
        <w:jc w:val="left"/>
        <w:rPr/>
      </w:pPr>
      <w:r>
        <w:rPr>
          <w:rFonts w:ascii="Times New Roman;sans-serif" w:hAnsi="Times New Roman;sans-serif"/>
          <w:b/>
          <w:i/>
          <w:color w:val="231F20"/>
          <w:sz w:val="20"/>
        </w:rPr>
        <w:t>Changes in U.S.</w:t>
      </w:r>
      <w:r>
        <w:rPr>
          <w:color w:val="231F20"/>
        </w:rPr>
        <w:t xml:space="preserve"> </w:t>
      </w:r>
      <w:r>
        <w:rPr>
          <w:rFonts w:ascii="Times New Roman;sans-serif" w:hAnsi="Times New Roman;sans-serif"/>
          <w:b/>
          <w:i/>
          <w:color w:val="231F20"/>
          <w:sz w:val="20"/>
        </w:rPr>
        <w:t>tax law could adversely</w:t>
      </w:r>
      <w:r>
        <w:rPr>
          <w:color w:val="231F20"/>
        </w:rPr>
        <w:t xml:space="preserve"> </w:t>
      </w:r>
      <w:r>
        <w:rPr>
          <w:rFonts w:ascii="Times New Roman;sans-serif" w:hAnsi="Times New Roman;sans-serif"/>
          <w:b/>
          <w:i/>
          <w:color w:val="231F20"/>
          <w:sz w:val="20"/>
        </w:rPr>
        <w:t>affect</w:t>
      </w:r>
      <w:r>
        <w:rPr>
          <w:color w:val="231F20"/>
        </w:rPr>
        <w:t xml:space="preserve"> </w:t>
      </w:r>
      <w:r>
        <w:rPr>
          <w:rFonts w:ascii="Times New Roman;sans-serif" w:hAnsi="Times New Roman;sans-serif"/>
          <w:b/>
          <w:i/>
          <w:color w:val="231F20"/>
          <w:sz w:val="20"/>
        </w:rPr>
        <w:t>our financial</w:t>
      </w:r>
      <w:r>
        <w:rPr>
          <w:color w:val="231F20"/>
        </w:rPr>
        <w:t xml:space="preserve"> </w:t>
      </w:r>
      <w:r>
        <w:rPr>
          <w:rFonts w:ascii="Times New Roman;sans-serif" w:hAnsi="Times New Roman;sans-serif"/>
          <w:b/>
          <w:i/>
          <w:color w:val="231F20"/>
          <w:sz w:val="20"/>
        </w:rPr>
        <w:t>condition</w:t>
      </w:r>
      <w:r>
        <w:rPr>
          <w:color w:val="231F20"/>
        </w:rPr>
        <w:t xml:space="preserve"> </w:t>
      </w:r>
      <w:r>
        <w:rPr>
          <w:rFonts w:ascii="Times New Roman;sans-serif" w:hAnsi="Times New Roman;sans-serif"/>
          <w:b/>
          <w:i/>
          <w:color w:val="231F20"/>
          <w:sz w:val="20"/>
        </w:rPr>
        <w:t>and results</w:t>
      </w:r>
      <w:r>
        <w:rPr>
          <w:color w:val="231F20"/>
        </w:rPr>
        <w:t xml:space="preserve"> </w:t>
      </w:r>
      <w:r>
        <w:rPr>
          <w:rFonts w:ascii="Times New Roman;sans-serif" w:hAnsi="Times New Roman;sans-serif"/>
          <w:b/>
          <w:i/>
          <w:color w:val="231F20"/>
          <w:sz w:val="20"/>
        </w:rPr>
        <w:t>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rules dealing with U.S. federal, state and local income taxation are constantly under review by persons involved in the legislative process and by the U.S. Internal Revenue Service and the U.S. Treasury Department. Changes to tax laws (which changes may have retroactive application) could adversely affect us or holders of our common stock. In recent years, many such changes have been made and changes are likely to continue to occur in the future. Future changes in U.S. tax laws could have a material adverse effect on our business, cash flow, financial condition or results of operations. We urge investors to consult with their legal and tax advisors regarding the implications of potential changes in U.S. tax laws on an investment in our common stock.</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information systems, or those of our collaborators or other contractors or consultants, may fail or suffer security breaches, which could result in a material disruption of our product development programs.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information systems and those of our current and any future collaborators, other contractors or consultants, and third-party suppliers (i.e. our supply chain) are vulnerable to damage from computer viruses, unauthorized access, natural disasters, terrorism, war and telecommunication and electrical failures. We exercise little or no direct control over how these third parties operate their networks, which increases our vulnerability to problems with their systems. While we have not experienced any such material system failure, accident or security breach to date, if such an event were to occur and cause interruptions in our information systems or those of our collaborators, vendors, contractors or consultants, it could result in a disruption of our development programs and our business operations, whether due to a loss of our trade secrets or other proprietary information or other similar disruptions, as well as reputational harm and adverse legal and regulatory consequences. For example, the loss of clinical trial data from future clinical trials could result in delays in our regulatory approval efforts and significantly increase our costs to recover or reproduce the data. To the extent that any disruption or security breach were to result in a loss of,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cybersecurity risks caused by misappropriation, misuse, leakage, falsification or intentional or accidental release, exposure or loss of information maintained in the information systems and networks of our company and our vendors, including personal information of our employees and study subjects, and company and vendor confidential data. In addition, outside parties may attempt to penetrate our systems or those of our vendors or fraudulently induce our personnel or the personnel of our vendors to disclose sensitive information in order to gain access to our data and/or systems. We may experience threats to our data and systems, including malicious code and viruses, supply chain attacks, phishing and other cyberattacks. The number and complexity of these threats continue to increase over time. While we have not experienced, to date, a cybersecurity threat, including as a result of any previous cybersecurity incidents, that has materially affected or is reasonably likely to materially affect us, including our business strategy, results of operations, or financial condition, we cannot guarantee that we will not experience such a threat or incident in the future. If a material breach of, or accidental or intentional loss of data from, our information technology systems or those of our vendors occurs, the market perception of the effectiveness of our security measures could be harmed and our reputation and credibility could be damaged and we could be subject to adverse legal and regulatory consequences. We could be required to expend significant amounts of money and other resources to repair or replace information systems or networks.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could be subject to regulatory actions and/or claims made by individuals and groups in private litigation involving privacy issues related to data collection and use practices and other data privacy laws and regulations, including claims for misuse or inappropriate disclosure of data, as well as unfair or deceptive practices. Although we develop and maintain systems and controls designed to prevent these events from occurring, and we have a process to identify and mitigate threats, the development and maintenance of these systems, controls and processes is costly and requires ongoing monitoring and updating as technologies change and efforts to overcome security measures become increasingly sophisticated. Moreover, despite our efforts, the possibility of these events occurring cannot be eliminated entirely. As we outsource more of our information systems to vendors, engage in more electronic transactions with payors and patients, and rely more on cloud- based information systems, the related security risks will increase and we will need to expend additional resources to protect our technology and information systems.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can be no assurance that our internal information technology systems or those of our third- party contractors, or our consultants’ efforts to implement adequate security and control measures, will be sufficient to protect us against breakdowns, service disruption, data deterioration or loss in the event of a system malfunction, or prevent data from being stolen or corrupted in the event of a cyberattack, security breach, industrial espionage attacks or insider threat attacks which could result in financial, legal, business or reputational harm.</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maintain insurance policies that may cover certain liabilities in connection with a cybersecurity incident, we cannot be certain that the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that exceed available insurance coverage, or the occurrence of changes in insurance policies, including premium increases or the imposition of large deductible or co-insurance requirements, could have a material adverse effect on our business, including its financial condition, results of operations and reputation.</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Unfavorable global economic conditions could adversely affect our business, financial condition or results of operations.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could be adversely affected by general conditions in the global economy and in the global financial markets. Portions of our future clinical trials may be conducted outside of the United States and unfavorable economic conditions resulting in the weakening of the U.S. dollar would make those clinical trials costlier to operate. Furthermore, the most recent global financial crisis caused extreme volatility and disruptions in the capital and credit markets. A severe or prolonged economic downturn, due to factors including the effects of health epidemics and pandemics, such as COVID-19, geopolitical events, such as the Russian invasion of Ukraine, the Israel-Hamas conflict and related global escalation of geopolitical tensions, rising inflationary pressures and rising interest rates could result in a variety of risks to our business, including a reduced ability to raise additional capital when needed on acceptable terms, if at all. A weak or declining economy or international trade disputes could also strain our suppliers, some of which are located outside of the United States,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lineRule="auto" w:line="288" w:before="120" w:after="283"/>
        <w:ind w:left="0" w:right="0" w:firstLine="450"/>
        <w:jc w:val="left"/>
        <w:rPr>
          <w:rFonts w:ascii="Times New Roman;sans-serif" w:hAnsi="Times New Roman;sans-serif"/>
          <w:b/>
          <w:i/>
          <w:color w:val="231F20"/>
          <w:sz w:val="20"/>
        </w:rPr>
      </w:pPr>
      <w:r>
        <w:rPr>
          <w:rFonts w:ascii="Times New Roman;sans-serif" w:hAnsi="Times New Roman;sans-serif"/>
          <w:b/>
          <w:i/>
          <w:color w:val="231F20"/>
          <w:sz w:val="20"/>
        </w:rPr>
        <w:t>The increasing use of social media platforms presents new risks and challenges.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Social media is increasingly being used to communicate about our clinical development programs and the diseases our therapeutics are being developed to treat, and we intend to utilize appropriate social media in connection with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commercialization efforts following approval of our product candidates, if any. Social media practices in the biopharmaceutical industry continue to evolve and regulations and regulatory guidance relating to such use are evolving and not always clear. This evolution creates uncertainty and risk of noncompliance with regulations applicable to our business, resulting in potential regulatory actions against us, along with the potential for litigation related to off-label marketing or other prohibited activities. For example, patients may use social media channels to comment on their experience in an ongoing blinded clinical trial or to report an alleged adverse event. When such disclosures occur, there is a risk that trial enrollment may be adversely impacted, that we may fail to monitor and comply with applicable adverse event reporting obligations or that we may not be able to defend our business or the public’s legitimate interests in the face of the political and market pressures generated by social media due to restrictions on what we may say about our product candidates. There is also a risk of inappropriate disclosure of sensitive information or negative or inaccurate posts or comments about us on any social networking website. If any of these events were to occur or we otherwise fail to comply with applicable regulations, we could incur liability, face regulatory actions or incur other harm to our business.</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Our estimates of market opportunity and forecasts of market growth may prove to be inaccurate, and even if the markets in which we compete achieve the forecasted growth, our business may not grow at similar rates, or at all.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market opportunity estimates and growth forecasts are subject to significant uncertainty and are based on assumptions and estimates which may not prove to be accurate. Our estimates and forecasts relating to size and expected growth of our target market may prove to be inaccurate. Even if the markets in which we compete meet our size estimates and growth forecasts, our business may not grow at similar rates, or at all. Our growth is subject to many factors, including our success in implementing our business strategy, which is subject to many risks and uncertainties.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None of the Company’s directors or officers adopted, modified or terminated a Rule 10b5-1 trading arrangement or a non-Rule 10b5-1 trading arrangement during the three months ended March 31, 2024, as such terms are defined under Item 408(a) of Regulation S-K.</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center"/>
        <w:tblInd w:w="0" w:type="dxa"/>
        <w:tblLayout w:type="fixed"/>
        <w:tblCellMar>
          <w:top w:w="28" w:type="dxa"/>
          <w:left w:w="28" w:type="dxa"/>
          <w:bottom w:w="28" w:type="dxa"/>
          <w:right w:w="28" w:type="dxa"/>
        </w:tblCellMar>
      </w:tblPr>
      <w:tblGrid>
        <w:gridCol w:w="281"/>
        <w:gridCol w:w="247"/>
        <w:gridCol w:w="249"/>
        <w:gridCol w:w="109"/>
        <w:gridCol w:w="109"/>
        <w:gridCol w:w="109"/>
        <w:gridCol w:w="2725"/>
        <w:gridCol w:w="2626"/>
        <w:gridCol w:w="3750"/>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c>
          <w:tcPr>
            <w:tcW w:w="3750" w:type="dxa"/>
            <w:tcBorders/>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Amended and Restated Certificate of Incorporation of the Registrant, as currently in effect (incorporated by reference to Exhibit 3.1 of the Registrant’s quarterly report on Form 10-Q (File No. 001-39303) filed on August 11, 2020).</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Second Amended and Restated Bylaws of the Registrant, as currently in effect (incorporated by reference to Exhibit 3.1 of the Registrant’s Current Report on Form 8-K (File No. 001-39303) filed on September 16, 2022).</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 xml:space="preserve">Specimen Common Stock Certificate (incorporated by reference to Exhibit 4.1 of the Registrant’s Registration Statement on Form S-1, as amended (File No. 333-238146) filed on May 26, 2020). </w:t>
              </w:r>
            </w:hyperlink>
          </w:p>
          <w:p>
            <w:pPr>
              <w:pStyle w:val="TableContents"/>
              <w:bidi w:val="0"/>
              <w:spacing w:lineRule="auto" w:line="240" w:before="0" w:after="0"/>
              <w:jc w:val="left"/>
              <w:rPr>
                <w:color w:val="000000"/>
              </w:rPr>
            </w:pPr>
            <w:r>
              <w:rPr>
                <w:color w:val="000000"/>
              </w:rPr>
              <w:t> </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Office Lease Agreement by and between the Registrant and HCP BTC, LLC , dated September 28, 2023.(incorporated herein by reference to Exhibit 10.1 of the Registrant's Current Report on Form 8-K (File No. 001-39303) filed on October 3, 2023.</w:t>
              </w:r>
            </w:hyperlink>
            <w:r>
              <w:rPr>
                <w:rFonts w:ascii="Times New Roman;sans-serif" w:hAnsi="Times New Roman;sans-serif"/>
                <w:b w:val="false"/>
                <w:color w:val="000000"/>
                <w:sz w:val="20"/>
              </w:rPr>
              <w: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Termination Agreement by and between the Registrant and Healthpeak OP, LLC, dated September 28, 2023.(incorporated herein by reference to Exhibit 10.2 of the Registrant's Current Report on Form 8-K (File No. 001-39303) filed on October 3, 2023.)</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restatedloanagreement-.htm">
              <w:r>
                <w:rPr>
                  <w:rStyle w:val="InternetLink"/>
                  <w:rFonts w:ascii="Times New Roman;sans-serif" w:hAnsi="Times New Roman;sans-serif"/>
                  <w:b w:val="false"/>
                  <w:color w:val="0000FF"/>
                  <w:sz w:val="20"/>
                  <w:u w:val="single"/>
                </w:rPr>
                <w:t>10.3</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restatedloanagreement-.htm">
              <w:r>
                <w:rPr>
                  <w:rStyle w:val="InternetLink"/>
                  <w:rFonts w:ascii="Times New Roman;sans-serif" w:hAnsi="Times New Roman;sans-serif"/>
                  <w:b w:val="false"/>
                  <w:color w:val="0000FF"/>
                  <w:sz w:val="20"/>
                  <w:u w:val="single"/>
                </w:rPr>
                <w:t>Amended and Restated Loan and Security Agreement, by and among the Registrant, the lenders from time to time party thereto and Oxford Finance LLC, dated March 11, 2024</w:t>
              </w:r>
            </w:hyperlink>
            <w:r>
              <w:rPr>
                <w:rFonts w:ascii="Times New Roman;sans-serif" w:hAnsi="Times New Roman;sans-serif"/>
                <w:b w:val="false"/>
                <w:color w:val="000000"/>
                <w:sz w:val="20"/>
              </w:rPr>
              <w: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331xex311.htm">
              <w:r>
                <w:rPr>
                  <w:rStyle w:val="InternetLink"/>
                  <w:rFonts w:ascii="Times New Roman;sans-serif" w:hAnsi="Times New Roman;sans-serif"/>
                  <w:b w:val="false"/>
                  <w:color w:val="0000FF"/>
                  <w:sz w:val="20"/>
                  <w:u w:val="single"/>
                </w:rPr>
                <w:t>31.1</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331xex311.htm">
              <w:r>
                <w:rPr>
                  <w:rStyle w:val="InternetLink"/>
                  <w:rFonts w:ascii="Times New Roman;sans-serif" w:hAnsi="Times New Roman;sans-serif"/>
                  <w:b w:val="false"/>
                  <w:color w:val="0000FF"/>
                  <w:sz w:val="20"/>
                  <w:u w:val="single"/>
                </w:rPr>
                <w:t>Certification of Chief Executive Officer required by Rule 13a-14(a) or Rule 15d-14(a) of the Securities Exchange Act of 1934, as adopted pursuant to Section 302 of the Sarbanes-Oxley Act of 2002.</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331xex312.htm">
              <w:r>
                <w:rPr>
                  <w:rStyle w:val="InternetLink"/>
                  <w:rFonts w:ascii="Times New Roman;sans-serif" w:hAnsi="Times New Roman;sans-serif"/>
                  <w:b w:val="false"/>
                  <w:color w:val="0000FF"/>
                  <w:sz w:val="20"/>
                  <w:u w:val="single"/>
                </w:rPr>
                <w:t>31.2</w:t>
              </w:r>
            </w:hyperlink>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331xex312.htm">
              <w:r>
                <w:rPr>
                  <w:rStyle w:val="InternetLink"/>
                  <w:rFonts w:ascii="Times New Roman;sans-serif" w:hAnsi="Times New Roman;sans-serif"/>
                  <w:b w:val="false"/>
                  <w:color w:val="0000FF"/>
                  <w:sz w:val="20"/>
                  <w:u w:val="single"/>
                </w:rPr>
                <w:t>Certification of Chief Financial Officer required by Rule 13a-14(a) or Rule 15d-14(a) of the Securities Exchange Act of 1934, as adopted pursuant to Section 302 of the Sarbanes-Oxley Act of 2002.</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331xex321.htm">
              <w:r>
                <w:rPr>
                  <w:rStyle w:val="InternetLink"/>
                  <w:rFonts w:ascii="Times New Roman;sans-serif" w:hAnsi="Times New Roman;sans-serif"/>
                  <w:b w:val="false"/>
                  <w:color w:val="0000FF"/>
                  <w:sz w:val="20"/>
                  <w:u w:val="single"/>
                </w:rPr>
                <w:t>32.1</w:t>
              </w:r>
            </w:hyperlink>
            <w:r>
              <w:rPr>
                <w:rFonts w:ascii="Times New Roman;sans-serif" w:hAnsi="Times New Roman;sans-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lrx-20240331xex321.htm">
              <w:r>
                <w:rPr>
                  <w:rStyle w:val="InternetLink"/>
                  <w:rFonts w:ascii="Times New Roman;sans-serif" w:hAnsi="Times New Roman;sans-serif"/>
                  <w:b w:val="false"/>
                  <w:color w:val="0000FF"/>
                  <w:sz w:val="20"/>
                  <w:u w:val="single"/>
                </w:rPr>
                <w:t>Certification of Chief Executive Officer and Chief Financial Officer pursuant to 18 U.S.C. Section 1350, as adopted pursuant to Section 906 of the Sarbanes-Oxley Act of 2002.</w:t>
              </w:r>
            </w:hyperlink>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Document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r>
      <w:tr>
        <w:trPr/>
        <w:tc>
          <w:tcPr>
            <w:tcW w:w="7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ind w:left="0" w:right="0" w:firstLine="12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w:t>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0"/>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    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them by reference.</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Act of 1934, the Registrant has duly caused this report to be signed on its behalf by the undersigned, thereunto duly authorized.</w:t>
      </w:r>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6, 2024 </w:t>
      </w:r>
    </w:p>
    <w:tbl>
      <w:tblPr>
        <w:tblW w:w="6352"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429"/>
        <w:gridCol w:w="429"/>
        <w:gridCol w:w="429"/>
        <w:gridCol w:w="1258"/>
        <w:gridCol w:w="1258"/>
        <w:gridCol w:w="18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61" w:after="283"/>
        <w:jc w:val="left"/>
        <w:rPr>
          <w:rFonts w:ascii="Times New Roman;sans-serif" w:hAnsi="Times New Roman;sans-serif"/>
          <w:b/>
          <w:color w:val="000000"/>
          <w:sz w:val="20"/>
        </w:rPr>
      </w:pPr>
      <w:r>
        <w:rPr>
          <w:rFonts w:ascii="Times New Roman;sans-serif" w:hAnsi="Times New Roman;sans-serif"/>
          <w:b/>
          <w:color w:val="000000"/>
          <w:sz w:val="20"/>
        </w:rPr>
        <w:t>AMENDED AND RESTATED LOAN AND SECURITY AGREEMENT</w:t>
      </w:r>
    </w:p>
    <w:p>
      <w:pPr>
        <w:pStyle w:val="TextBody"/>
        <w:bidi w:val="0"/>
        <w:spacing w:lineRule="auto" w:line="288" w:before="237" w:after="283"/>
        <w:jc w:val="left"/>
        <w:rPr/>
      </w:pPr>
      <w:r>
        <w:rPr>
          <w:rFonts w:ascii="Times New Roman;sans-serif" w:hAnsi="Times New Roman;sans-serif"/>
          <w:b/>
          <w:color w:val="000000"/>
          <w:sz w:val="20"/>
        </w:rPr>
        <w:t xml:space="preserve">THIS AMENDED AND RESTATED LOAN AND SECURITY AGREEMENT </w:t>
      </w:r>
      <w:r>
        <w:rPr>
          <w:rFonts w:ascii="Times New Roman;sans-serif" w:hAnsi="Times New Roman;sans-serif"/>
          <w:b w:val="false"/>
          <w:color w:val="000000"/>
          <w:sz w:val="20"/>
        </w:rPr>
        <w:t>(as the same</w:t>
      </w:r>
    </w:p>
    <w:p>
      <w:pPr>
        <w:pStyle w:val="TextBody"/>
        <w:bidi w:val="0"/>
        <w:spacing w:lineRule="auto" w:line="288" w:before="1" w:after="283"/>
        <w:jc w:val="both"/>
        <w:rPr/>
      </w:pPr>
      <w:r>
        <w:rPr>
          <w:rFonts w:ascii="Times New Roman;sans-serif" w:hAnsi="Times New Roman;sans-serif"/>
          <w:b w:val="false"/>
          <w:color w:val="000000"/>
          <w:sz w:val="20"/>
        </w:rPr>
        <w:t>may from time to time be amended, restated, amended and restated, supplemented or otherwise modified from time to time, this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dated as of March 11, 2024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 among OXFORD FINANCE LLC, a Delaware limited liability company with an office located at 115 South Union Street, Suite 300, Alexandria, VA 22314 (“</w:t>
      </w:r>
      <w:r>
        <w:rPr>
          <w:rFonts w:ascii="Times New Roman;sans-serif" w:hAnsi="Times New Roman;sans-serif"/>
          <w:b/>
          <w:color w:val="000000"/>
          <w:sz w:val="20"/>
        </w:rPr>
        <w:t>Oxford</w:t>
      </w:r>
      <w:r>
        <w:rPr>
          <w:color w:val="000000"/>
        </w:rPr>
        <w:t>”</w:t>
      </w:r>
      <w:r>
        <w:rPr>
          <w:rFonts w:ascii="Times New Roman;sans-serif" w:hAnsi="Times New Roman;sans-serif"/>
          <w:b w:val="false"/>
          <w:color w:val="000000"/>
          <w:sz w:val="20"/>
        </w:rPr>
        <w:t>), as collateral agent (in such capacity, “</w:t>
      </w:r>
      <w:r>
        <w:rPr>
          <w:rFonts w:ascii="Times New Roman;sans-serif" w:hAnsi="Times New Roman;sans-serif"/>
          <w:b/>
          <w:color w:val="000000"/>
          <w:sz w:val="20"/>
        </w:rPr>
        <w:t>Collateral Agent</w:t>
      </w:r>
      <w:r>
        <w:rPr>
          <w:color w:val="000000"/>
        </w:rPr>
        <w:t>”</w:t>
      </w:r>
      <w:r>
        <w:rPr>
          <w:rFonts w:ascii="Times New Roman;sans-serif" w:hAnsi="Times New Roman;sans-serif"/>
          <w:b w:val="false"/>
          <w:color w:val="000000"/>
          <w:sz w:val="20"/>
        </w:rPr>
        <w:t xml:space="preserve">), the Lenders listed on </w:t>
      </w:r>
      <w:r>
        <w:rPr>
          <w:rFonts w:ascii="Times New Roman;sans-serif" w:hAnsi="Times New Roman;sans-serif"/>
          <w:b w:val="false"/>
          <w:color w:val="000000"/>
          <w:sz w:val="20"/>
          <w:u w:val="single"/>
        </w:rPr>
        <w:t>Schedule 1.1</w:t>
      </w:r>
      <w:r>
        <w:rPr>
          <w:color w:val="000000"/>
        </w:rPr>
        <w:t xml:space="preserve"> </w:t>
      </w:r>
      <w:r>
        <w:rPr>
          <w:rFonts w:ascii="Times New Roman;sans-serif" w:hAnsi="Times New Roman;sans-serif"/>
          <w:b w:val="false"/>
          <w:color w:val="000000"/>
          <w:sz w:val="20"/>
        </w:rPr>
        <w:t>hereof or otherwise a party hereto from time to time, including Oxford in its capacity as a Lender, OXFORD FINANCE CREDIT FUND II LP, by its manager Oxford Finance Advisors, LLC, and OXFORD FINANCE CREDIT FUND III LP, by its manager Oxford Finance Advisors, LLC, each with an office located at 115 South Union Street, Suite 300, Alexandria, VA 22314 (each a “</w:t>
      </w:r>
      <w:r>
        <w:rPr>
          <w:rFonts w:ascii="Times New Roman;sans-serif" w:hAnsi="Times New Roman;sans-serif"/>
          <w:b/>
          <w:color w:val="000000"/>
          <w:sz w:val="20"/>
        </w:rPr>
        <w:t>Lender</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color w:val="000000"/>
          <w:sz w:val="20"/>
        </w:rPr>
        <w:t>Lenders</w:t>
      </w:r>
      <w:r>
        <w:rPr>
          <w:color w:val="000000"/>
        </w:rPr>
        <w:t>”</w:t>
      </w:r>
      <w:r>
        <w:rPr>
          <w:rFonts w:ascii="Times New Roman;sans-serif" w:hAnsi="Times New Roman;sans-serif"/>
          <w:b w:val="false"/>
          <w:color w:val="000000"/>
          <w:sz w:val="20"/>
        </w:rPr>
        <w:t>), and PLIANT THERAPEUTICS, INC., a Delaware corporation with offices located at 260 Littlefield Avenue, S San Francisco CA 94080 (“</w:t>
      </w:r>
      <w:r>
        <w:rPr>
          <w:rFonts w:ascii="Times New Roman;sans-serif" w:hAnsi="Times New Roman;sans-serif"/>
          <w:b/>
          <w:color w:val="000000"/>
          <w:sz w:val="20"/>
        </w:rPr>
        <w:t>Borrower</w:t>
      </w:r>
      <w:r>
        <w:rPr>
          <w:color w:val="000000"/>
        </w:rPr>
        <w:t>”</w:t>
      </w:r>
      <w:r>
        <w:rPr>
          <w:rFonts w:ascii="Times New Roman;sans-serif" w:hAnsi="Times New Roman;sans-serif"/>
          <w:b w:val="false"/>
          <w:color w:val="000000"/>
          <w:sz w:val="20"/>
        </w:rPr>
        <w:t>), and provides the terms on which the Lenders shall lend to Borrower and Borrower shall repay the Lenders and amends and restates, in its entirety, that certain Loan and Security Agreement by and among the Collateral Agent, Lenders (as defined therein) and Borrower dated as of May 4, 2022 (as amended, restated, amended and restated, supplemented or otherwise modified prior to the date hereof, including without limitation by that certain First Amendment to Loan and Security Agreement by and between Collateral Agent, Lenders (as defined therein) and Borrower dated as of October 4, 2022, (collectively, the “</w:t>
      </w:r>
      <w:r>
        <w:rPr>
          <w:rFonts w:ascii="Times New Roman;sans-serif" w:hAnsi="Times New Roman;sans-serif"/>
          <w:b/>
          <w:color w:val="000000"/>
          <w:sz w:val="20"/>
        </w:rPr>
        <w:t>Prior Agreement</w:t>
      </w:r>
      <w:r>
        <w:rPr>
          <w:color w:val="000000"/>
        </w:rPr>
        <w:t>”</w:t>
      </w:r>
      <w:r>
        <w:rPr>
          <w:rFonts w:ascii="Times New Roman;sans-serif" w:hAnsi="Times New Roman;sans-serif"/>
          <w:b w:val="false"/>
          <w:color w:val="000000"/>
          <w:sz w:val="20"/>
        </w:rPr>
        <w:t>). The parties agree as follows:</w:t>
      </w:r>
    </w:p>
    <w:p>
      <w:pPr>
        <w:pStyle w:val="TextBody"/>
        <w:bidi w:val="0"/>
        <w:spacing w:before="1" w:after="283"/>
        <w:jc w:val="left"/>
        <w:rPr/>
      </w:pPr>
      <w:r>
        <w:rPr/>
      </w:r>
    </w:p>
    <w:p>
      <w:pPr>
        <w:pStyle w:val="TextBody"/>
        <w:bidi w:val="0"/>
        <w:spacing w:lineRule="auto" w:line="288" w:before="1" w:after="283"/>
        <w:ind w:left="0" w:right="0" w:hanging="719"/>
        <w:jc w:val="left"/>
        <w:rPr/>
      </w:pPr>
      <w:r>
        <w:rPr>
          <w:rFonts w:ascii="Times New Roman;sans-serif" w:hAnsi="Times New Roman;sans-serif"/>
          <w:b/>
          <w:color w:val="000000"/>
          <w:sz w:val="20"/>
        </w:rPr>
        <w:t>1.</w:t>
      </w:r>
      <w:r>
        <w:rPr>
          <w:rFonts w:ascii="Times New Roman;sans-serif" w:hAnsi="Times New Roman;sans-serif"/>
          <w:b/>
          <w:color w:val="000000"/>
          <w:sz w:val="20"/>
          <w:u w:val="single"/>
        </w:rPr>
        <w:t>ACCOUNTING AND OTHER TERMS</w:t>
      </w:r>
    </w:p>
    <w:p>
      <w:pPr>
        <w:pStyle w:val="TextBody"/>
        <w:bidi w:val="0"/>
        <w:spacing w:lineRule="auto" w:line="288" w:before="238" w:after="283"/>
        <w:ind w:left="0" w:right="0" w:firstLine="720"/>
        <w:jc w:val="both"/>
        <w:rPr/>
      </w:pPr>
      <w:r>
        <w:rPr>
          <w:rFonts w:ascii="Times New Roman;sans-serif" w:hAnsi="Times New Roman;sans-serif"/>
          <w:b/>
          <w:color w:val="000000"/>
          <w:sz w:val="20"/>
        </w:rPr>
        <w:t>1.1</w:t>
      </w:r>
      <w:r>
        <w:rPr>
          <w:rFonts w:ascii="Times New Roman;sans-serif" w:hAnsi="Times New Roman;sans-serif"/>
          <w:b w:val="false"/>
          <w:color w:val="000000"/>
          <w:sz w:val="20"/>
        </w:rPr>
        <w:t xml:space="preserve">Accounting terms not defined in this Agreement shall be construed in accordance with GAAP. Calculations and determinations shall be made in accordance with GAAP (except with respect to unaudited financial statements for the absence of footnotes and subject to year-end audit adjustments),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however, that if at any time any change in GAAP would affect the computation of any covenant or requirement set forth in any Loan Document, and either Borrower or any Lender shall so request, Borrower and the Lenders shall negotiate in good faith to amend such covenant or requirement to preserve the original intent thereof in light of such change in GAAP;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further, that, until so amended,</w:t>
      </w:r>
    </w:p>
    <w:p>
      <w:pPr>
        <w:pStyle w:val="TextBody"/>
        <w:bidi w:val="0"/>
        <w:spacing w:lineRule="auto" w:line="288" w:before="0" w:after="0"/>
        <w:jc w:val="both"/>
        <w:rPr/>
      </w:pPr>
      <w:r>
        <w:rPr>
          <w:rFonts w:ascii="Times New Roman;sans-serif" w:hAnsi="Times New Roman;sans-serif"/>
          <w:b w:val="false"/>
          <w:color w:val="000000"/>
          <w:sz w:val="20"/>
        </w:rPr>
        <w:t>(i) such covenant or requirement shall continue to be computed in accordance with GAAP prior to such change therein and (ii) Borrower shall provide the Lenders financial statements and other documents required under this Agreement or as reasonably requested hereunder setting forth a reconciliation between calculations of requirement made before and after giving effect to such change in GAAP; provided, further, that (x) all obligations of any Person that are or would have been treated as operating leases for purposes of GAAP prior to the issuance by the Financial Accounting Standards Board on February 25, 2016 of an Accounting Standards Update (the “</w:t>
      </w:r>
      <w:r>
        <w:rPr>
          <w:rFonts w:ascii="Times New Roman;sans-serif" w:hAnsi="Times New Roman;sans-serif"/>
          <w:b/>
          <w:color w:val="000000"/>
          <w:sz w:val="20"/>
        </w:rPr>
        <w:t>ASU</w:t>
      </w:r>
      <w:r>
        <w:rPr>
          <w:color w:val="000000"/>
        </w:rPr>
        <w:t>”</w:t>
      </w:r>
      <w:r>
        <w:rPr>
          <w:rFonts w:ascii="Times New Roman;sans-serif" w:hAnsi="Times New Roman;sans-serif"/>
          <w:b w:val="false"/>
          <w:color w:val="000000"/>
          <w:sz w:val="20"/>
        </w:rPr>
        <w:t xml:space="preserve">)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 Lease Obligations in accordance with GAAP. Capitalized terms not otherwise defined in this Agreement shall have the meanings set forth in </w:t>
      </w:r>
      <w:r>
        <w:rPr>
          <w:rFonts w:ascii="Times New Roman;sans-serif" w:hAnsi="Times New Roman;sans-serif"/>
          <w:b w:val="false"/>
          <w:color w:val="000000"/>
          <w:sz w:val="20"/>
          <w:u w:val="single"/>
        </w:rPr>
        <w:t>Section 13</w:t>
      </w:r>
      <w:r>
        <w:rPr>
          <w:rFonts w:ascii="Times New Roman;sans-serif" w:hAnsi="Times New Roman;sans-serif"/>
          <w:b w:val="false"/>
          <w:color w:val="000000"/>
          <w:sz w:val="20"/>
        </w:rPr>
        <w:t>. All other terms contained in this Agreement, unless otherwise indicated, shall have the meaning provided by the Code to the extent such terms are defined therein. All references to “</w:t>
      </w:r>
      <w:r>
        <w:rPr>
          <w:rFonts w:ascii="Times New Roman;sans-serif" w:hAnsi="Times New Roman;sans-serif"/>
          <w:b/>
          <w:color w:val="000000"/>
          <w:sz w:val="20"/>
        </w:rPr>
        <w:t>Dollars</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are United States Dollars, unless otherwise noted.</w:t>
      </w:r>
    </w:p>
    <w:p>
      <w:pPr>
        <w:pStyle w:val="TextBody"/>
        <w:bidi w:val="0"/>
        <w:spacing w:lineRule="auto" w:line="288" w:before="243" w:after="283"/>
        <w:ind w:left="0" w:right="0" w:hanging="719"/>
        <w:jc w:val="both"/>
        <w:rPr/>
      </w:pPr>
      <w:r>
        <w:rPr>
          <w:rFonts w:ascii="Times New Roman;sans-serif" w:hAnsi="Times New Roman;sans-serif"/>
          <w:b/>
          <w:color w:val="000000"/>
          <w:sz w:val="20"/>
        </w:rPr>
        <w:t>2.</w:t>
      </w:r>
      <w:r>
        <w:rPr>
          <w:rFonts w:ascii="Times New Roman;sans-serif" w:hAnsi="Times New Roman;sans-serif"/>
          <w:b/>
          <w:color w:val="000000"/>
          <w:sz w:val="20"/>
          <w:u w:val="single"/>
        </w:rPr>
        <w:t>LOANS AND TERMS OF PAYMENT</w:t>
      </w:r>
    </w:p>
    <w:p>
      <w:pPr>
        <w:pStyle w:val="TextBody"/>
        <w:bidi w:val="0"/>
        <w:spacing w:lineRule="auto" w:line="288" w:before="237" w:after="283"/>
        <w:ind w:left="0" w:right="0" w:firstLine="720"/>
        <w:jc w:val="both"/>
        <w:rPr/>
      </w:pPr>
      <w:r>
        <w:rPr>
          <w:rFonts w:ascii="Times New Roman;sans-serif" w:hAnsi="Times New Roman;sans-serif"/>
          <w:b/>
          <w:color w:val="000000"/>
          <w:sz w:val="20"/>
        </w:rPr>
        <w:t xml:space="preserve">1.1Promise to Pay. </w:t>
      </w:r>
      <w:r>
        <w:rPr>
          <w:rFonts w:ascii="Times New Roman;sans-serif" w:hAnsi="Times New Roman;sans-serif"/>
          <w:b w:val="false"/>
          <w:color w:val="000000"/>
          <w:sz w:val="20"/>
        </w:rPr>
        <w:t>Borrower hereby unconditionally promises to pay each Lender, the outstanding principal amount of all Term Loans advanced to Borrower by such Lender and accrued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30250"/>
                <wp:effectExtent l="0" t="0" r="0" b="0"/>
                <wp:wrapNone/>
                <wp:docPr id="74" name="Frame74"/>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left"/>
        <w:rPr>
          <w:rFonts w:ascii="Times New Roman;sans-serif" w:hAnsi="Times New Roman;sans-serif"/>
          <w:b w:val="false"/>
          <w:color w:val="000000"/>
          <w:sz w:val="22"/>
        </w:rPr>
      </w:pPr>
      <w:r>
        <w:rPr>
          <w:rFonts w:ascii="Times New Roman;sans-serif" w:hAnsi="Times New Roman;sans-serif"/>
          <w:b w:val="false"/>
          <w:color w:val="000000"/>
          <w:sz w:val="22"/>
        </w:rPr>
        <w:t>unpaid interest thereon and any other amounts due hereunder as and when due in accordance with this Agreement.</w:t>
      </w:r>
    </w:p>
    <w:p>
      <w:pPr>
        <w:pStyle w:val="TextBody"/>
        <w:bidi w:val="0"/>
        <w:spacing w:lineRule="auto" w:line="288" w:before="243" w:after="283"/>
        <w:ind w:left="0" w:right="0" w:hanging="719"/>
        <w:jc w:val="left"/>
        <w:rPr/>
      </w:pPr>
      <w:r>
        <w:rPr>
          <w:rFonts w:ascii="Times New Roman;sans-serif" w:hAnsi="Times New Roman;sans-serif"/>
          <w:b/>
          <w:color w:val="000000"/>
          <w:sz w:val="22"/>
        </w:rPr>
        <w:t>1.1Term Loans</w:t>
      </w:r>
      <w:r>
        <w:rPr>
          <w:rFonts w:ascii="Times New Roman;sans-serif" w:hAnsi="Times New Roman;sans-serif"/>
          <w:b w:val="false"/>
          <w:color w:val="000000"/>
          <w:sz w:val="22"/>
        </w:rPr>
        <w:t>.</w:t>
      </w:r>
    </w:p>
    <w:p>
      <w:pPr>
        <w:pStyle w:val="TextBody"/>
        <w:bidi w:val="0"/>
        <w:spacing w:lineRule="auto" w:line="288" w:before="239" w:after="283"/>
        <w:ind w:left="0" w:right="0" w:hanging="719"/>
        <w:jc w:val="both"/>
        <w:rPr/>
      </w:pPr>
      <w:r>
        <w:rPr>
          <w:rFonts w:ascii="Times New Roman;sans-serif" w:hAnsi="Times New Roman;sans-serif"/>
          <w:b w:val="false"/>
          <w:color w:val="000000"/>
          <w:sz w:val="22"/>
        </w:rPr>
        <w:t>(a)</w:t>
      </w:r>
      <w:r>
        <w:rPr>
          <w:rFonts w:ascii="Times New Roman;sans-serif" w:hAnsi="Times New Roman;sans-serif"/>
          <w:b w:val="false"/>
          <w:color w:val="000000"/>
          <w:sz w:val="22"/>
          <w:u w:val="single"/>
        </w:rPr>
        <w:t>Availability</w:t>
      </w:r>
      <w:r>
        <w:rPr>
          <w:rFonts w:ascii="Times New Roman;sans-serif" w:hAnsi="Times New Roman;sans-serif"/>
          <w:b w:val="false"/>
          <w:color w:val="000000"/>
          <w:sz w:val="22"/>
        </w:rPr>
        <w:t>.</w:t>
      </w:r>
    </w:p>
    <w:p>
      <w:pPr>
        <w:pStyle w:val="TextBody"/>
        <w:bidi w:val="0"/>
        <w:spacing w:lineRule="auto" w:line="288" w:before="239" w:after="283"/>
        <w:ind w:left="0" w:right="0" w:firstLine="2160"/>
        <w:jc w:val="both"/>
        <w:rPr/>
      </w:pPr>
      <w:r>
        <w:rPr>
          <w:rFonts w:ascii="Times New Roman;sans-serif" w:hAnsi="Times New Roman;sans-serif"/>
          <w:b w:val="false"/>
          <w:color w:val="000000"/>
          <w:sz w:val="22"/>
        </w:rPr>
        <w:t>(i)Subject to the terms and conditions of the Prior Agreement, prior to the Effective Date, Oxford made a term loan to Borrower in an aggregate principal amount of Ten Million Dollars ($10,000,000.00) (the, “</w:t>
      </w:r>
      <w:r>
        <w:rPr>
          <w:rFonts w:ascii="Times New Roman;sans-serif" w:hAnsi="Times New Roman;sans-serif"/>
          <w:b/>
          <w:color w:val="000000"/>
          <w:sz w:val="22"/>
        </w:rPr>
        <w:t>Original Term A Loan</w:t>
      </w:r>
      <w:r>
        <w:rPr>
          <w:color w:val="000000"/>
        </w:rPr>
        <w:t>”</w:t>
      </w:r>
      <w:r>
        <w:rPr>
          <w:rFonts w:ascii="Times New Roman;sans-serif" w:hAnsi="Times New Roman;sans-serif"/>
          <w:b w:val="false"/>
          <w:color w:val="000000"/>
          <w:sz w:val="22"/>
        </w:rPr>
        <w:t>).</w:t>
      </w:r>
    </w:p>
    <w:p>
      <w:pPr>
        <w:pStyle w:val="TextBody"/>
        <w:bidi w:val="0"/>
        <w:spacing w:lineRule="auto" w:line="288" w:before="240" w:after="283"/>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(ii)Subject to the terms and conditions of this Agreement, the Lenders agree, severally and not jointly, on the Effective Date, as follows:</w:t>
      </w:r>
    </w:p>
    <w:p>
      <w:pPr>
        <w:pStyle w:val="TextBody"/>
        <w:bidi w:val="0"/>
        <w:spacing w:lineRule="auto" w:line="288" w:before="240" w:after="283"/>
        <w:ind w:left="0" w:right="0" w:firstLine="2880"/>
        <w:jc w:val="both"/>
        <w:rPr>
          <w:rFonts w:ascii="Times New Roman;sans-serif" w:hAnsi="Times New Roman;sans-serif"/>
          <w:b w:val="false"/>
          <w:color w:val="000000"/>
          <w:sz w:val="22"/>
        </w:rPr>
      </w:pPr>
      <w:r>
        <w:rPr>
          <w:rFonts w:ascii="Times New Roman;sans-serif" w:hAnsi="Times New Roman;sans-serif"/>
          <w:b w:val="false"/>
          <w:color w:val="000000"/>
          <w:sz w:val="22"/>
        </w:rPr>
        <w:t>(1)The secured promissory note issued by Borrower evidencing the Original Term A Loan made by Oxford on May 4, 2022 in an aggregate principal amount equal to Ten Million Dollars ($10,000,000.00), shall be replaced with an amended and restated secured promissory note in the same amount; and</w:t>
      </w:r>
    </w:p>
    <w:p>
      <w:pPr>
        <w:pStyle w:val="TextBody"/>
        <w:bidi w:val="0"/>
        <w:spacing w:lineRule="auto" w:line="288" w:before="239" w:after="283"/>
        <w:ind w:left="0" w:right="0" w:firstLine="2880"/>
        <w:jc w:val="both"/>
        <w:rPr/>
      </w:pPr>
      <w:r>
        <w:rPr>
          <w:rFonts w:ascii="Times New Roman;sans-serif" w:hAnsi="Times New Roman;sans-serif"/>
          <w:b w:val="false"/>
          <w:color w:val="000000"/>
          <w:sz w:val="22"/>
        </w:rPr>
        <w:t xml:space="preserve">(2)The Lenders shall make term loans to Borrower in an aggregate principal amount equal to Twenty Million Dollars ($20,000,000.00) ratably according to each Lender’s respective Term A Loan Commitment (after giving effect to the Original Term A Loan) as set forth on </w:t>
      </w:r>
      <w:r>
        <w:rPr>
          <w:rFonts w:ascii="Times New Roman;sans-serif" w:hAnsi="Times New Roman;sans-serif"/>
          <w:b w:val="false"/>
          <w:color w:val="000000"/>
          <w:sz w:val="22"/>
          <w:u w:val="single"/>
        </w:rPr>
        <w:t>Schedule 1.1</w:t>
      </w:r>
      <w:r>
        <w:rPr>
          <w:color w:val="000000"/>
        </w:rPr>
        <w:t xml:space="preserve"> </w:t>
      </w:r>
      <w:r>
        <w:rPr>
          <w:rFonts w:ascii="Times New Roman;sans-serif" w:hAnsi="Times New Roman;sans-serif"/>
          <w:b w:val="false"/>
          <w:color w:val="000000"/>
          <w:sz w:val="22"/>
        </w:rPr>
        <w:t>hereto (such term loans are hereinafter referred to singly as a “</w:t>
      </w:r>
      <w:r>
        <w:rPr>
          <w:rFonts w:ascii="Times New Roman;sans-serif" w:hAnsi="Times New Roman;sans-serif"/>
          <w:b/>
          <w:color w:val="000000"/>
          <w:sz w:val="22"/>
        </w:rPr>
        <w:t>New Term A Loan</w:t>
      </w:r>
      <w:r>
        <w:rPr>
          <w:color w:val="000000"/>
        </w:rPr>
        <w:t>”</w:t>
      </w:r>
      <w:r>
        <w:rPr>
          <w:rFonts w:ascii="Times New Roman;sans-serif" w:hAnsi="Times New Roman;sans-serif"/>
          <w:b w:val="false"/>
          <w:color w:val="000000"/>
          <w:sz w:val="22"/>
        </w:rPr>
        <w:t>, and collectively as the “</w:t>
      </w:r>
      <w:r>
        <w:rPr>
          <w:rFonts w:ascii="Times New Roman;sans-serif" w:hAnsi="Times New Roman;sans-serif"/>
          <w:b/>
          <w:color w:val="000000"/>
          <w:sz w:val="22"/>
        </w:rPr>
        <w:t>New Term A Loans</w:t>
      </w:r>
      <w:r>
        <w:rPr>
          <w:color w:val="000000"/>
        </w:rPr>
        <w:t>”</w:t>
      </w:r>
      <w:r>
        <w:rPr>
          <w:rFonts w:ascii="Times New Roman;sans-serif" w:hAnsi="Times New Roman;sans-serif"/>
          <w:b w:val="false"/>
          <w:color w:val="000000"/>
          <w:sz w:val="22"/>
        </w:rPr>
        <w:t>; the Original Term A Loan, as well as each New Term A Loan is hereinafter referred to singly as a “</w:t>
      </w:r>
      <w:r>
        <w:rPr>
          <w:rFonts w:ascii="Times New Roman;sans-serif" w:hAnsi="Times New Roman;sans-serif"/>
          <w:b/>
          <w:color w:val="000000"/>
          <w:sz w:val="22"/>
        </w:rPr>
        <w:t>Term A Loan</w:t>
      </w:r>
      <w:r>
        <w:rPr>
          <w:color w:val="000000"/>
        </w:rPr>
        <w:t xml:space="preserve">” </w:t>
      </w:r>
      <w:r>
        <w:rPr>
          <w:rFonts w:ascii="Times New Roman;sans-serif" w:hAnsi="Times New Roman;sans-serif"/>
          <w:b w:val="false"/>
          <w:color w:val="000000"/>
          <w:sz w:val="22"/>
        </w:rPr>
        <w:t>and collectively as the “</w:t>
      </w:r>
      <w:r>
        <w:rPr>
          <w:rFonts w:ascii="Times New Roman;sans-serif" w:hAnsi="Times New Roman;sans-serif"/>
          <w:b/>
          <w:color w:val="000000"/>
          <w:sz w:val="22"/>
        </w:rPr>
        <w:t>Term A Loans</w:t>
      </w:r>
      <w:r>
        <w:rPr>
          <w:color w:val="000000"/>
        </w:rPr>
        <w:t>”</w:t>
      </w:r>
      <w:r>
        <w:rPr>
          <w:rFonts w:ascii="Times New Roman;sans-serif" w:hAnsi="Times New Roman;sans-serif"/>
          <w:b w:val="false"/>
          <w:color w:val="000000"/>
          <w:sz w:val="22"/>
        </w:rPr>
        <w:t>). After repayment, no Term A Loan may be re-borrowed.</w:t>
      </w:r>
    </w:p>
    <w:p>
      <w:pPr>
        <w:pStyle w:val="TextBody"/>
        <w:bidi w:val="0"/>
        <w:spacing w:lineRule="auto" w:line="288" w:before="240" w:after="283"/>
        <w:ind w:left="0" w:right="0" w:firstLine="2160"/>
        <w:jc w:val="both"/>
        <w:rPr/>
      </w:pPr>
      <w:r>
        <w:rPr>
          <w:rFonts w:ascii="Times New Roman;sans-serif" w:hAnsi="Times New Roman;sans-serif"/>
          <w:b w:val="false"/>
          <w:color w:val="000000"/>
          <w:sz w:val="22"/>
        </w:rPr>
        <w:t xml:space="preserve">(iii)Subject to the terms and conditions of this Agreement, the Lenders agree, severally and not jointly, during the Term B Draw Period, to make term loans to Borrower in an aggregate principal amount up to Thirty-Five Million Dollars ($35,000,000.00) to be disbursed in a single advance equal to or greater than Twenty Million Dollars ($20,000,000) on the Funding Date of the initial Term B Loan, ratably according to each Lender’s respective Term B Loan Commitment as set forth on </w:t>
      </w:r>
      <w:r>
        <w:rPr>
          <w:rFonts w:ascii="Times New Roman;sans-serif" w:hAnsi="Times New Roman;sans-serif"/>
          <w:b w:val="false"/>
          <w:color w:val="000000"/>
          <w:sz w:val="22"/>
          <w:u w:val="single"/>
        </w:rPr>
        <w:t>Schedule 1.1</w:t>
      </w:r>
      <w:r>
        <w:rPr>
          <w:color w:val="000000"/>
        </w:rPr>
        <w:t xml:space="preserve"> </w:t>
      </w:r>
      <w:r>
        <w:rPr>
          <w:rFonts w:ascii="Times New Roman;sans-serif" w:hAnsi="Times New Roman;sans-serif"/>
          <w:b w:val="false"/>
          <w:color w:val="000000"/>
          <w:sz w:val="22"/>
        </w:rPr>
        <w:t>hereto (such term loans are hereinafter referred to singly as a “</w:t>
      </w:r>
      <w:r>
        <w:rPr>
          <w:rFonts w:ascii="Times New Roman;sans-serif" w:hAnsi="Times New Roman;sans-serif"/>
          <w:b/>
          <w:color w:val="000000"/>
          <w:sz w:val="22"/>
        </w:rPr>
        <w:t>Term B Loan</w:t>
      </w:r>
      <w:r>
        <w:rPr>
          <w:color w:val="000000"/>
        </w:rPr>
        <w:t>”</w:t>
      </w:r>
      <w:r>
        <w:rPr>
          <w:rFonts w:ascii="Times New Roman;sans-serif" w:hAnsi="Times New Roman;sans-serif"/>
          <w:b w:val="false"/>
          <w:color w:val="000000"/>
          <w:sz w:val="22"/>
        </w:rPr>
        <w:t>, and collectively as the “</w:t>
      </w:r>
      <w:r>
        <w:rPr>
          <w:rFonts w:ascii="Times New Roman;sans-serif" w:hAnsi="Times New Roman;sans-serif"/>
          <w:b/>
          <w:color w:val="000000"/>
          <w:sz w:val="22"/>
        </w:rPr>
        <w:t>Term B Loans</w:t>
      </w:r>
      <w:r>
        <w:rPr>
          <w:color w:val="000000"/>
        </w:rPr>
        <w:t>”</w:t>
      </w:r>
      <w:r>
        <w:rPr>
          <w:rFonts w:ascii="Times New Roman;sans-serif" w:hAnsi="Times New Roman;sans-serif"/>
          <w:b w:val="false"/>
          <w:color w:val="000000"/>
          <w:sz w:val="22"/>
        </w:rPr>
        <w:t>). After repayment, no Term B Loan may be re-borrowed. If the Term B Draw Period terminates on December 31, 2025 (other than as the result of an Event of Default), up to Fifteen Million Dollars ($15,000,000) of the remaining amount of the Term B Loan Commitment on December 31, 2025 shall be added to the Term C Loan Commitment (such additional amount, the “</w:t>
      </w:r>
      <w:r>
        <w:rPr>
          <w:rFonts w:ascii="Times New Roman;sans-serif" w:hAnsi="Times New Roman;sans-serif"/>
          <w:b/>
          <w:color w:val="000000"/>
          <w:sz w:val="22"/>
        </w:rPr>
        <w:t>Additional Term C Loan Commitment Amount</w:t>
      </w:r>
      <w:r>
        <w:rPr>
          <w:color w:val="000000"/>
        </w:rPr>
        <w:t>”</w:t>
      </w:r>
      <w:r>
        <w:rPr>
          <w:rFonts w:ascii="Times New Roman;sans-serif" w:hAnsi="Times New Roman;sans-serif"/>
          <w:b w:val="false"/>
          <w:color w:val="000000"/>
          <w:sz w:val="22"/>
        </w:rPr>
        <w:t>) effective as of January 1, 2026 on a pro rata basis in accordance with the Commitment Percentage for the Term C Loans.</w:t>
      </w:r>
    </w:p>
    <w:p>
      <w:pPr>
        <w:pStyle w:val="TextBody"/>
        <w:bidi w:val="0"/>
        <w:spacing w:lineRule="auto" w:line="288" w:before="240" w:after="283"/>
        <w:ind w:left="0" w:right="0" w:firstLine="2160"/>
        <w:jc w:val="both"/>
        <w:rPr/>
      </w:pPr>
      <w:r>
        <w:rPr>
          <w:rFonts w:ascii="Times New Roman;sans-serif" w:hAnsi="Times New Roman;sans-serif"/>
          <w:b w:val="false"/>
          <w:color w:val="000000"/>
          <w:sz w:val="22"/>
        </w:rPr>
        <w:t xml:space="preserve">(iv)Subject to the terms and conditions of this Agreement, the Lenders agree, severally and not jointly, during the Term C Draw Period, to make term loans to Borrower in an aggregate principal amount equal to Thirty-Five Million Dollars ($35,000,000.00), plus the Additional Term C Loan Commitment Amount, if any, and disbursed during the Term C Draw Period ratably according to each Lender’s respective Term C Loan Commitment as set forth on </w:t>
      </w:r>
      <w:r>
        <w:rPr>
          <w:rFonts w:ascii="Times New Roman;sans-serif" w:hAnsi="Times New Roman;sans-serif"/>
          <w:b w:val="false"/>
          <w:color w:val="000000"/>
          <w:sz w:val="22"/>
          <w:u w:val="single"/>
        </w:rPr>
        <w:t>Schedule 1.1</w:t>
      </w:r>
      <w:r>
        <w:rPr>
          <w:color w:val="000000"/>
        </w:rPr>
        <w:t xml:space="preserve"> </w:t>
      </w:r>
      <w:r>
        <w:rPr>
          <w:rFonts w:ascii="Times New Roman;sans-serif" w:hAnsi="Times New Roman;sans-serif"/>
          <w:b w:val="false"/>
          <w:color w:val="000000"/>
          <w:sz w:val="22"/>
        </w:rPr>
        <w:t>hereto (such term loans are hereinafter referred to singly as a “</w:t>
      </w:r>
      <w:r>
        <w:rPr>
          <w:rFonts w:ascii="Times New Roman;sans-serif" w:hAnsi="Times New Roman;sans-serif"/>
          <w:b/>
          <w:color w:val="000000"/>
          <w:sz w:val="22"/>
        </w:rPr>
        <w:t>Term C Loan</w:t>
      </w:r>
      <w:r>
        <w:rPr>
          <w:color w:val="000000"/>
        </w:rPr>
        <w:t>”</w:t>
      </w:r>
      <w:r>
        <w:rPr>
          <w:rFonts w:ascii="Times New Roman;sans-serif" w:hAnsi="Times New Roman;sans-serif"/>
          <w:b w:val="false"/>
          <w:color w:val="000000"/>
          <w:sz w:val="22"/>
        </w:rPr>
        <w:t>, and collectively as the “</w:t>
      </w:r>
      <w:r>
        <w:rPr>
          <w:rFonts w:ascii="Times New Roman;sans-serif" w:hAnsi="Times New Roman;sans-serif"/>
          <w:b/>
          <w:color w:val="000000"/>
          <w:sz w:val="22"/>
        </w:rPr>
        <w:t>Term C Loans</w:t>
      </w:r>
      <w:r>
        <w:rPr>
          <w:color w:val="000000"/>
        </w:rPr>
        <w:t>”</w:t>
      </w:r>
      <w:r>
        <w:rPr>
          <w:rFonts w:ascii="Times New Roman;sans-serif" w:hAnsi="Times New Roman;sans-serif"/>
          <w:b w:val="false"/>
          <w:color w:val="000000"/>
          <w:sz w:val="22"/>
        </w:rPr>
        <w:t>). After repayment, no Term C Loan may be re-borrowed.</w:t>
      </w:r>
    </w:p>
    <w:p>
      <w:pPr>
        <w:pStyle w:val="TextBody"/>
        <w:bidi w:val="0"/>
        <w:spacing w:lineRule="auto" w:line="288" w:before="241" w:after="283"/>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(v)Subject to the terms and conditions of this Agreement, the Lenders may, in their sole discretion upon Borrower’s request, agree to make term loans to Borrower prior to the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36675"/>
                <wp:effectExtent l="0" t="0" r="0" b="0"/>
                <wp:wrapNone/>
                <wp:docPr id="75" name="Frame75"/>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1" w:after="283"/>
        <w:jc w:val="both"/>
        <w:rPr/>
      </w:pPr>
      <w:r>
        <w:rPr>
          <w:rFonts w:ascii="Times New Roman;sans-serif" w:hAnsi="Times New Roman;sans-serif"/>
          <w:b w:val="false"/>
          <w:color w:val="000000"/>
          <w:sz w:val="22"/>
        </w:rPr>
        <w:t>Amortization Date in an aggregate principal amount equal to Fifty Million Dollars ($50,000,000.00) disbursed in a single advance and, if made, according to a commitment schedule to be provided by the Lenders prior to the Funding Date of such term loans (such term loans are hereinafter referred to singly as a “</w:t>
      </w:r>
      <w:r>
        <w:rPr>
          <w:rFonts w:ascii="Times New Roman;sans-serif" w:hAnsi="Times New Roman;sans-serif"/>
          <w:b/>
          <w:color w:val="000000"/>
          <w:sz w:val="22"/>
        </w:rPr>
        <w:t>Term D Loan</w:t>
      </w:r>
      <w:r>
        <w:rPr>
          <w:color w:val="000000"/>
        </w:rPr>
        <w:t>”</w:t>
      </w:r>
      <w:r>
        <w:rPr>
          <w:rFonts w:ascii="Times New Roman;sans-serif" w:hAnsi="Times New Roman;sans-serif"/>
          <w:b w:val="false"/>
          <w:color w:val="000000"/>
          <w:sz w:val="22"/>
        </w:rPr>
        <w:t>, and collectively as the “</w:t>
      </w:r>
      <w:r>
        <w:rPr>
          <w:rFonts w:ascii="Times New Roman;sans-serif" w:hAnsi="Times New Roman;sans-serif"/>
          <w:b/>
          <w:color w:val="000000"/>
          <w:sz w:val="22"/>
        </w:rPr>
        <w:t>Term D Loans</w:t>
      </w:r>
      <w:r>
        <w:rPr>
          <w:color w:val="000000"/>
        </w:rPr>
        <w:t>”</w:t>
      </w:r>
      <w:r>
        <w:rPr>
          <w:rFonts w:ascii="Times New Roman;sans-serif" w:hAnsi="Times New Roman;sans-serif"/>
          <w:b w:val="false"/>
          <w:color w:val="000000"/>
          <w:sz w:val="22"/>
        </w:rPr>
        <w:t>; each Term A Loan, Term B Loan, Term C Loan or Term D Loan is hereinafter referred to singly as a “</w:t>
      </w:r>
      <w:r>
        <w:rPr>
          <w:rFonts w:ascii="Times New Roman;sans-serif" w:hAnsi="Times New Roman;sans-serif"/>
          <w:b/>
          <w:color w:val="000000"/>
          <w:sz w:val="22"/>
        </w:rPr>
        <w:t>Term Loan</w:t>
      </w:r>
      <w:r>
        <w:rPr>
          <w:color w:val="000000"/>
        </w:rPr>
        <w:t xml:space="preserve">” </w:t>
      </w:r>
      <w:r>
        <w:rPr>
          <w:rFonts w:ascii="Times New Roman;sans-serif" w:hAnsi="Times New Roman;sans-serif"/>
          <w:b w:val="false"/>
          <w:color w:val="000000"/>
          <w:sz w:val="22"/>
        </w:rPr>
        <w:t>and the Term A Loans, the Term B Loans, the Term C Loans and the Term D Loans are hereinafter referred to collectively as the “</w:t>
      </w:r>
      <w:r>
        <w:rPr>
          <w:rFonts w:ascii="Times New Roman;sans-serif" w:hAnsi="Times New Roman;sans-serif"/>
          <w:b/>
          <w:color w:val="000000"/>
          <w:sz w:val="22"/>
        </w:rPr>
        <w:t>Term Loans</w:t>
      </w:r>
      <w:r>
        <w:rPr>
          <w:color w:val="000000"/>
        </w:rPr>
        <w:t>”</w:t>
      </w:r>
      <w:r>
        <w:rPr>
          <w:rFonts w:ascii="Times New Roman;sans-serif" w:hAnsi="Times New Roman;sans-serif"/>
          <w:b w:val="false"/>
          <w:color w:val="000000"/>
          <w:sz w:val="22"/>
        </w:rPr>
        <w:t>). After repayment, no Term D Loan may be re-borrowed.</w:t>
      </w:r>
    </w:p>
    <w:p>
      <w:pPr>
        <w:pStyle w:val="TextBody"/>
        <w:bidi w:val="0"/>
        <w:spacing w:lineRule="auto" w:line="288" w:before="242" w:after="283"/>
        <w:ind w:left="0" w:right="0" w:hanging="719"/>
        <w:jc w:val="both"/>
        <w:rPr/>
      </w:pPr>
      <w:r>
        <w:rPr>
          <w:rFonts w:ascii="Times New Roman;sans-serif" w:hAnsi="Times New Roman;sans-serif"/>
          <w:b w:val="false"/>
          <w:color w:val="000000"/>
          <w:sz w:val="22"/>
        </w:rPr>
        <w:t>(b)</w:t>
      </w:r>
      <w:r>
        <w:rPr>
          <w:rFonts w:ascii="Times New Roman;sans-serif" w:hAnsi="Times New Roman;sans-serif"/>
          <w:b w:val="false"/>
          <w:color w:val="000000"/>
          <w:sz w:val="22"/>
          <w:u w:val="single"/>
        </w:rPr>
        <w:t>Repayment</w:t>
      </w:r>
      <w:r>
        <w:rPr>
          <w:rFonts w:ascii="Times New Roman;sans-serif" w:hAnsi="Times New Roman;sans-serif"/>
          <w:b w:val="false"/>
          <w:color w:val="000000"/>
          <w:sz w:val="22"/>
        </w:rPr>
        <w:t>.</w:t>
      </w:r>
    </w:p>
    <w:p>
      <w:pPr>
        <w:pStyle w:val="TextBody"/>
        <w:bidi w:val="0"/>
        <w:spacing w:lineRule="auto" w:line="288" w:before="239" w:after="283"/>
        <w:ind w:left="0" w:right="0" w:firstLine="2160"/>
        <w:jc w:val="both"/>
        <w:rPr/>
      </w:pPr>
      <w:r>
        <w:rPr>
          <w:rFonts w:ascii="Times New Roman;sans-serif" w:hAnsi="Times New Roman;sans-serif"/>
          <w:b w:val="false"/>
          <w:color w:val="000000"/>
          <w:sz w:val="22"/>
        </w:rPr>
        <w:t>(i)Borrower shall make monthly payments of interest only commencing on the first (1</w:t>
      </w:r>
      <w:r>
        <w:rPr>
          <w:rFonts w:ascii="Times New Roman;sans-serif" w:hAnsi="Times New Roman;sans-serif"/>
          <w:b w:val="false"/>
          <w:color w:val="000000"/>
          <w:sz w:val="14"/>
        </w:rPr>
        <w:t>st</w:t>
      </w:r>
      <w:r>
        <w:rPr>
          <w:rFonts w:ascii="Times New Roman;sans-serif" w:hAnsi="Times New Roman;sans-serif"/>
          <w:b w:val="false"/>
          <w:color w:val="000000"/>
          <w:sz w:val="22"/>
        </w:rPr>
        <w:t>) Payment Date following the first full calendar month to occur after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last calendar day of the calendar month in which such Funding Date occurs.</w:t>
      </w:r>
    </w:p>
    <w:p>
      <w:pPr>
        <w:pStyle w:val="TextBody"/>
        <w:bidi w:val="0"/>
        <w:spacing w:lineRule="auto" w:line="288" w:before="240" w:after="283"/>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(ii)Commencing on the Amortization Date, and continuing on the Payment Date of each month thereafter, Borrower shall make consecutive equal monthly payments of principal, together with applicable interest, in arrears, to Collateral Agent, for the account of the Lenders (payable to each Lender in accordance with its Pro Rata Share), as calculated by Collateral Agent (which calculations shall be deemed correct absent manifest error) based upon: (1) the amount of such Lender’s Term Loan,</w:t>
      </w:r>
    </w:p>
    <w:p>
      <w:pPr>
        <w:pStyle w:val="TextBody"/>
        <w:bidi w:val="0"/>
        <w:spacing w:lineRule="auto" w:line="276" w:before="0" w:after="0"/>
        <w:jc w:val="both"/>
        <w:rPr/>
      </w:pPr>
      <w:r>
        <w:rPr>
          <w:rFonts w:ascii="Times New Roman;sans-serif" w:hAnsi="Times New Roman;sans-serif"/>
          <w:b w:val="false"/>
          <w:color w:val="000000"/>
          <w:sz w:val="22"/>
        </w:rPr>
        <w:t xml:space="preserve">(2) the effective rate of interest, as determined in </w:t>
      </w:r>
      <w:r>
        <w:rPr>
          <w:rFonts w:ascii="Times New Roman;sans-serif" w:hAnsi="Times New Roman;sans-serif"/>
          <w:b w:val="false"/>
          <w:color w:val="000000"/>
          <w:sz w:val="22"/>
          <w:u w:val="single"/>
        </w:rPr>
        <w:t>Section 2.3(a)</w:t>
      </w:r>
      <w:r>
        <w:rPr>
          <w:rFonts w:ascii="Times New Roman;sans-serif" w:hAnsi="Times New Roman;sans-serif"/>
          <w:b w:val="false"/>
          <w:color w:val="000000"/>
          <w:sz w:val="22"/>
        </w:rPr>
        <w:t>, and (3) a repayment schedule equal to nine</w:t>
      </w:r>
    </w:p>
    <w:p>
      <w:pPr>
        <w:pStyle w:val="TextBody"/>
        <w:bidi w:val="0"/>
        <w:spacing w:lineRule="auto" w:line="288" w:before="0" w:after="0"/>
        <w:jc w:val="both"/>
        <w:rPr/>
      </w:pPr>
      <w:r>
        <w:rPr>
          <w:rFonts w:ascii="Times New Roman;sans-serif" w:hAnsi="Times New Roman;sans-serif"/>
          <w:b w:val="false"/>
          <w:color w:val="000000"/>
          <w:sz w:val="22"/>
        </w:rPr>
        <w:t xml:space="preserve">(9) months. All unpaid principal and accrued and unpaid interest with respect to each Term Loan is due and payable in full on the Maturity Date. Each Term Loan may only be prepaid in accordance with </w:t>
      </w:r>
      <w:r>
        <w:rPr>
          <w:rFonts w:ascii="Times New Roman;sans-serif" w:hAnsi="Times New Roman;sans-serif"/>
          <w:b w:val="false"/>
          <w:color w:val="000000"/>
          <w:sz w:val="22"/>
          <w:u w:val="single"/>
        </w:rPr>
        <w:t>Sections</w:t>
      </w:r>
      <w:r>
        <w:rPr>
          <w:color w:val="000000"/>
        </w:rPr>
        <w:t xml:space="preserve"> </w:t>
      </w:r>
      <w:r>
        <w:rPr>
          <w:rFonts w:ascii="Times New Roman;sans-serif" w:hAnsi="Times New Roman;sans-serif"/>
          <w:b w:val="false"/>
          <w:color w:val="000000"/>
          <w:sz w:val="22"/>
          <w:u w:val="single"/>
        </w:rPr>
        <w:t>2.2(c)</w:t>
      </w:r>
      <w:r>
        <w:rPr>
          <w:color w:val="000000"/>
        </w:rPr>
        <w:t xml:space="preserve"> </w:t>
      </w:r>
      <w:r>
        <w:rPr>
          <w:rFonts w:ascii="Times New Roman;sans-serif" w:hAnsi="Times New Roman;sans-serif"/>
          <w:b w:val="false"/>
          <w:color w:val="000000"/>
          <w:sz w:val="22"/>
        </w:rPr>
        <w:t xml:space="preserve">and </w:t>
      </w:r>
      <w:r>
        <w:rPr>
          <w:rFonts w:ascii="Times New Roman;sans-serif" w:hAnsi="Times New Roman;sans-serif"/>
          <w:b w:val="false"/>
          <w:color w:val="000000"/>
          <w:sz w:val="22"/>
          <w:u w:val="single"/>
        </w:rPr>
        <w:t>2.2(d)</w:t>
      </w:r>
      <w:r>
        <w:rPr>
          <w:rFonts w:ascii="Times New Roman;sans-serif" w:hAnsi="Times New Roman;sans-serif"/>
          <w:b w:val="false"/>
          <w:color w:val="000000"/>
          <w:sz w:val="22"/>
        </w:rPr>
        <w:t>.</w:t>
      </w:r>
    </w:p>
    <w:p>
      <w:pPr>
        <w:pStyle w:val="TextBody"/>
        <w:bidi w:val="0"/>
        <w:spacing w:lineRule="auto" w:line="288" w:before="239" w:after="283"/>
        <w:ind w:left="0" w:right="0" w:firstLine="1440"/>
        <w:jc w:val="both"/>
        <w:rPr/>
      </w:pPr>
      <w:r>
        <w:rPr>
          <w:rFonts w:ascii="Times New Roman;sans-serif" w:hAnsi="Times New Roman;sans-serif"/>
          <w:b w:val="false"/>
          <w:color w:val="000000"/>
          <w:sz w:val="22"/>
        </w:rPr>
        <w:t>(c)</w:t>
      </w:r>
      <w:r>
        <w:rPr>
          <w:rFonts w:ascii="Times New Roman;sans-serif" w:hAnsi="Times New Roman;sans-serif"/>
          <w:b w:val="false"/>
          <w:color w:val="000000"/>
          <w:sz w:val="22"/>
          <w:u w:val="single"/>
        </w:rPr>
        <w:t>Mandatory Prepayments</w:t>
      </w:r>
      <w:r>
        <w:rPr>
          <w:rFonts w:ascii="Times New Roman;sans-serif" w:hAnsi="Times New Roman;sans-serif"/>
          <w:b w:val="false"/>
          <w:color w:val="000000"/>
          <w:sz w:val="22"/>
        </w:rPr>
        <w:t xml:space="preserve">. If the Term Loans are accelerated following the occurrence of an Event of Default, Borrower shall immediately pay to Collateral Agent, for the account of the Lenders (payable to each Lender in accordance with its respective Pro Rata Share), an amount equal to the sum of: (i) all outstanding principal of the Term Loans plus accrued and unpaid interest thereon through such prepayment date, (ii) the Final Payment, (iii) the Prepayment Fee, </w:t>
      </w:r>
      <w:r>
        <w:rPr>
          <w:rFonts w:ascii="Times New Roman;sans-serif" w:hAnsi="Times New Roman;sans-serif"/>
          <w:b w:val="false"/>
          <w:color w:val="000000"/>
          <w:sz w:val="22"/>
          <w:u w:val="single"/>
        </w:rPr>
        <w:t>plus</w:t>
      </w:r>
      <w:r>
        <w:rPr>
          <w:color w:val="000000"/>
        </w:rPr>
        <w:t xml:space="preserve"> </w:t>
      </w:r>
      <w:r>
        <w:rPr>
          <w:rFonts w:ascii="Times New Roman;sans-serif" w:hAnsi="Times New Roman;sans-serif"/>
          <w:b w:val="false"/>
          <w:color w:val="000000"/>
          <w:sz w:val="22"/>
        </w:rPr>
        <w:t>(iv) all other Obligations that are due and payable, including Lenders’ Expenses and interest at the Default Rate with respect to any past due amounts. Notwithstanding (but without duplication with) the foregoing, on the Maturity Date, if the Final Payment had not previously been paid in full in connection with the prepayment of the Term Loans in full, Borrower shall pay to Collateral Agent, for payment to each Lender in accordance with its respective Pro Rata Share, the Final Payment in respect of the Term Loans.</w:t>
      </w:r>
    </w:p>
    <w:p>
      <w:pPr>
        <w:pStyle w:val="TextBody"/>
        <w:bidi w:val="0"/>
        <w:spacing w:lineRule="auto" w:line="288" w:before="242" w:after="283"/>
        <w:ind w:left="0" w:right="0" w:hanging="719"/>
        <w:jc w:val="both"/>
        <w:rPr/>
      </w:pPr>
      <w:r>
        <w:rPr>
          <w:rFonts w:ascii="Times New Roman;sans-serif" w:hAnsi="Times New Roman;sans-serif"/>
          <w:b w:val="false"/>
          <w:color w:val="000000"/>
          <w:sz w:val="22"/>
        </w:rPr>
        <w:t>(d)</w:t>
      </w:r>
      <w:r>
        <w:rPr>
          <w:rFonts w:ascii="Times New Roman;sans-serif" w:hAnsi="Times New Roman;sans-serif"/>
          <w:b w:val="false"/>
          <w:color w:val="000000"/>
          <w:sz w:val="22"/>
          <w:u w:val="single"/>
        </w:rPr>
        <w:t>Permitted Prepayment of Term Loans</w:t>
      </w:r>
      <w:r>
        <w:rPr>
          <w:rFonts w:ascii="Times New Roman;sans-serif" w:hAnsi="Times New Roman;sans-serif"/>
          <w:b w:val="false"/>
          <w:color w:val="000000"/>
          <w:sz w:val="22"/>
        </w:rPr>
        <w:t>.</w:t>
      </w:r>
    </w:p>
    <w:p>
      <w:pPr>
        <w:pStyle w:val="TextBody"/>
        <w:bidi w:val="0"/>
        <w:spacing w:lineRule="auto" w:line="288" w:before="240" w:after="283"/>
        <w:ind w:left="0" w:right="0" w:firstLine="21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(i)Borrower shall have the option to prepay all, but not less than all, of the Term Loans advanced by the Lenders under this Agreement, provided Borrower (i) provides written notice to Collateral Agent of its election to prepay the Term Loans at least ten (10) Business Days (or such shorter period as Collateral Agent may agree in its sole discretion) prior to such prepayment, and (ii) pays to the Collateral Agent, for the account of the Lenders, on the date of such prepayment, payable to each Lender in accordance with its respective Pro Rata Share, an amount equal to the sum of (A) all outstanding principal of the Term Loans plus accrued and unpaid interest thereon through the prepayment date, (B) the Final Payment, (C) the Prepayment Fee, plus (D) all other Obligations that are due and payable, including Lenders’ Expenses and interest at the Default Rate with respect to any past due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36675"/>
                <wp:effectExtent l="0" t="0" r="0" b="0"/>
                <wp:wrapNone/>
                <wp:docPr id="76" name="Frame76"/>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ans-serif" w:hAnsi="Times New Roman;sans-serif"/>
          <w:b w:val="false"/>
          <w:color w:val="000000"/>
          <w:sz w:val="22"/>
        </w:rPr>
        <w:t>a</w:t>
      </w:r>
      <w:r>
        <w:rPr>
          <w:rFonts w:ascii="Times New Roman;sans-serif" w:hAnsi="Times New Roman;sans-serif"/>
          <w:b w:val="false"/>
          <w:color w:val="000000"/>
          <w:sz w:val="20"/>
        </w:rPr>
        <w:t xml:space="preserve">mounts. The Lenders hereby agrees to waive the Prepayment Fee (as defined in the Prior Agreement) with respect to the Original Term A Loan owed under the Previous Agreement. </w:t>
      </w:r>
    </w:p>
    <w:p>
      <w:pPr>
        <w:pStyle w:val="TextBody"/>
        <w:bidi w:val="0"/>
        <w:spacing w:lineRule="auto" w:line="288" w:before="78"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(ii)Notwithstanding anything herein to the contrary, Borrower shall also have the option to prepay part of Term Loans advanced by the Lenders under this Agreement, provided Borrower</w:t>
      </w:r>
    </w:p>
    <w:p>
      <w:pPr>
        <w:pStyle w:val="TextBody"/>
        <w:bidi w:val="0"/>
        <w:spacing w:lineRule="auto" w:line="288" w:before="1" w:after="283"/>
        <w:jc w:val="both"/>
        <w:rPr/>
      </w:pPr>
      <w:r>
        <w:rPr>
          <w:rFonts w:ascii="Times New Roman;sans-serif" w:hAnsi="Times New Roman;sans-serif"/>
          <w:b w:val="false"/>
          <w:color w:val="000000"/>
          <w:sz w:val="20"/>
        </w:rPr>
        <w:t xml:space="preserve">(i) provides written notice to Collateral Agent of its election to prepay the Term Loans at least ten (10) Business Days (or such shorter period as Collateral Agent may agree in its sole discretion) prior to such prepayment, (ii) prepays such part of the Term Loans in a denomination that is a whole number multiple of Five Million Dollars ($5,000,000.00) (or such lesser amount as is acceptable to Collateral Agent in its sole discretion), and (iii) pays to the Collateral Agent, for the account of the Lenders, on the date of such prepayment, payable to each Lender in accordance with its respective Pro Rata Share, an amount equal to the sum of (A) the portion of outstanding principal of such Term Loans plus all accrued and unpaid interest thereon through the prepayment date, (B) the applicable Final Payment, and (C) all other Obligations that are then due and payable, including Lenders’ Expenses and interest at the Default Rate with respect to any past due amounts, (D) the applicable Prepayment Fee with respect to the portion of such Term Loans being prepaid, and (E) without duplication, any fee that would have otherwise been required to be paid pursuant to </w:t>
      </w:r>
      <w:r>
        <w:rPr>
          <w:rFonts w:ascii="Times New Roman;sans-serif" w:hAnsi="Times New Roman;sans-serif"/>
          <w:b w:val="false"/>
          <w:color w:val="000000"/>
          <w:sz w:val="20"/>
          <w:u w:val="single"/>
        </w:rPr>
        <w:t>Section 2.2(d)(i)</w:t>
      </w:r>
      <w:r>
        <w:rPr>
          <w:rFonts w:ascii="Times New Roman;sans-serif" w:hAnsi="Times New Roman;sans-serif"/>
          <w:b w:val="false"/>
          <w:color w:val="000000"/>
          <w:sz w:val="20"/>
        </w:rPr>
        <w:t xml:space="preserve">. For the purposes of clarity, any partial prepayment shall be applied pro-rata to all outstanding amounts under each Term Loan, and shall be applied pro-rata within each Term Loan tranche to reduce amortization payments under </w:t>
      </w:r>
      <w:r>
        <w:rPr>
          <w:rFonts w:ascii="Times New Roman;sans-serif" w:hAnsi="Times New Roman;sans-serif"/>
          <w:b w:val="false"/>
          <w:color w:val="000000"/>
          <w:sz w:val="20"/>
          <w:u w:val="single"/>
        </w:rPr>
        <w:t>Section 2.2(b)</w:t>
      </w:r>
      <w:r>
        <w:rPr>
          <w:color w:val="000000"/>
        </w:rPr>
        <w:t xml:space="preserve"> </w:t>
      </w:r>
      <w:r>
        <w:rPr>
          <w:rFonts w:ascii="Times New Roman;sans-serif" w:hAnsi="Times New Roman;sans-serif"/>
          <w:b w:val="false"/>
          <w:color w:val="000000"/>
          <w:sz w:val="20"/>
        </w:rPr>
        <w:t>on a pro-rata basis.</w:t>
      </w:r>
    </w:p>
    <w:p>
      <w:pPr>
        <w:pStyle w:val="TextBody"/>
        <w:bidi w:val="0"/>
        <w:spacing w:lineRule="auto" w:line="288" w:before="243" w:after="283"/>
        <w:ind w:left="0" w:right="0" w:hanging="719"/>
        <w:jc w:val="left"/>
        <w:rPr/>
      </w:pPr>
      <w:r>
        <w:rPr>
          <w:rFonts w:ascii="Times New Roman;sans-serif" w:hAnsi="Times New Roman;sans-serif"/>
          <w:b/>
          <w:color w:val="000000"/>
          <w:sz w:val="20"/>
        </w:rPr>
        <w:t>1.2Payment of Interest on the Credit Extensions</w:t>
      </w:r>
      <w:r>
        <w:rPr>
          <w:rFonts w:ascii="Times New Roman;sans-serif" w:hAnsi="Times New Roman;sans-serif"/>
          <w:b w:val="false"/>
          <w:color w:val="000000"/>
          <w:sz w:val="20"/>
        </w:rPr>
        <w:t>.</w:t>
      </w:r>
    </w:p>
    <w:p>
      <w:pPr>
        <w:pStyle w:val="TextBody"/>
        <w:bidi w:val="0"/>
        <w:spacing w:lineRule="auto" w:line="288" w:before="236" w:after="283"/>
        <w:ind w:left="0" w:right="0" w:firstLine="1440"/>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Interest Rate.</w:t>
      </w:r>
      <w:r>
        <w:rPr>
          <w:color w:val="000000"/>
        </w:rPr>
        <w:t xml:space="preserve"> </w:t>
      </w:r>
      <w:r>
        <w:rPr>
          <w:rFonts w:ascii="Times New Roman;sans-serif" w:hAnsi="Times New Roman;sans-serif"/>
          <w:b w:val="false"/>
          <w:color w:val="000000"/>
          <w:sz w:val="20"/>
        </w:rPr>
        <w:t xml:space="preserve">Subject to </w:t>
      </w:r>
      <w:r>
        <w:rPr>
          <w:rFonts w:ascii="Times New Roman;sans-serif" w:hAnsi="Times New Roman;sans-serif"/>
          <w:b w:val="false"/>
          <w:color w:val="000000"/>
          <w:sz w:val="20"/>
          <w:u w:val="single"/>
        </w:rPr>
        <w:t>Section 2.3(b)</w:t>
      </w:r>
      <w:r>
        <w:rPr>
          <w:rFonts w:ascii="Times New Roman;sans-serif" w:hAnsi="Times New Roman;sans-serif"/>
          <w:b w:val="false"/>
          <w:color w:val="000000"/>
          <w:sz w:val="20"/>
        </w:rPr>
        <w:t xml:space="preserve">, the principal amount outstanding under the Term Loans shall accrue interest at a floating per annum rate equal to the Basic Rate, determined by Collateral Agent on the Funding Date of the applicable Term Loan and monthly thereafter, which interest shall be payable monthly in arrears in accordance with </w:t>
      </w:r>
      <w:r>
        <w:rPr>
          <w:rFonts w:ascii="Times New Roman;sans-serif" w:hAnsi="Times New Roman;sans-serif"/>
          <w:b w:val="false"/>
          <w:color w:val="000000"/>
          <w:sz w:val="20"/>
          <w:u w:val="single"/>
        </w:rPr>
        <w:t>Sections 2.2(b)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2.3(e)</w:t>
      </w:r>
      <w:r>
        <w:rPr>
          <w:rFonts w:ascii="Times New Roman;sans-serif" w:hAnsi="Times New Roman;sans-serif"/>
          <w:b w:val="false"/>
          <w:color w:val="000000"/>
          <w:sz w:val="20"/>
        </w:rPr>
        <w:t>. Interest shall accrue on each Term Loan commencing on, and including, the Funding Date of such Term Loan, and shall accrue on the principal amount outstanding under such Term Loan through and including the day on which such Term Loan is paid in full.</w:t>
      </w:r>
    </w:p>
    <w:p>
      <w:pPr>
        <w:pStyle w:val="TextBody"/>
        <w:bidi w:val="0"/>
        <w:spacing w:lineRule="auto" w:line="288" w:before="241" w:after="283"/>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Default Rate</w:t>
      </w:r>
      <w:r>
        <w:rPr>
          <w:rFonts w:ascii="Times New Roman;sans-serif" w:hAnsi="Times New Roman;sans-serif"/>
          <w:b w:val="false"/>
          <w:color w:val="000000"/>
          <w:sz w:val="20"/>
        </w:rPr>
        <w:t>. Immediately upon the occurrence and during the continuance of an Event of Default, Obligations shall accrue interest at a floating per annum rate equal to the rate that is otherwise applicable thereto plus five percentage points (5.00%) (the “</w:t>
      </w:r>
      <w:r>
        <w:rPr>
          <w:rFonts w:ascii="Times New Roman;sans-serif" w:hAnsi="Times New Roman;sans-serif"/>
          <w:b/>
          <w:color w:val="000000"/>
          <w:sz w:val="20"/>
        </w:rPr>
        <w:t>Default Rate</w:t>
      </w:r>
      <w:r>
        <w:rPr>
          <w:color w:val="000000"/>
        </w:rPr>
        <w:t>”</w:t>
      </w:r>
      <w:r>
        <w:rPr>
          <w:rFonts w:ascii="Times New Roman;sans-serif" w:hAnsi="Times New Roman;sans-serif"/>
          <w:b w:val="false"/>
          <w:color w:val="000000"/>
          <w:sz w:val="20"/>
        </w:rPr>
        <w:t xml:space="preserve">). Payment or acceptance of the increased interest rate provided in this </w:t>
      </w:r>
      <w:r>
        <w:rPr>
          <w:rFonts w:ascii="Times New Roman;sans-serif" w:hAnsi="Times New Roman;sans-serif"/>
          <w:b w:val="false"/>
          <w:color w:val="000000"/>
          <w:sz w:val="20"/>
          <w:u w:val="single"/>
        </w:rPr>
        <w:t>Section 2.3(b)</w:t>
      </w:r>
      <w:r>
        <w:rPr>
          <w:color w:val="000000"/>
        </w:rPr>
        <w:t xml:space="preserve"> </w:t>
      </w:r>
      <w:r>
        <w:rPr>
          <w:rFonts w:ascii="Times New Roman;sans-serif" w:hAnsi="Times New Roman;sans-serif"/>
          <w:b w:val="false"/>
          <w:color w:val="000000"/>
          <w:sz w:val="20"/>
        </w:rPr>
        <w:t>is not a permitted alternative to timely payment and shall not constitute a waiver of any Event of Default or otherwise prejudice or limit any rights or remedies of Collateral Agent.</w:t>
      </w:r>
    </w:p>
    <w:p>
      <w:pPr>
        <w:pStyle w:val="TextBody"/>
        <w:bidi w:val="0"/>
        <w:spacing w:lineRule="auto" w:line="288" w:before="239" w:after="283"/>
        <w:ind w:left="0" w:right="0" w:hanging="719"/>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360-Day Year</w:t>
      </w:r>
      <w:r>
        <w:rPr>
          <w:rFonts w:ascii="Times New Roman;sans-serif" w:hAnsi="Times New Roman;sans-serif"/>
          <w:b w:val="false"/>
          <w:color w:val="000000"/>
          <w:sz w:val="20"/>
        </w:rPr>
        <w:t>. Interest shall be computed on the basis of a three hundred sixty</w:t>
      </w:r>
    </w:p>
    <w:p>
      <w:pPr>
        <w:pStyle w:val="TextBody"/>
        <w:bidi w:val="0"/>
        <w:spacing w:lineRule="auto" w:line="288"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(360) day year, and the actual number of days elapsed.</w:t>
      </w:r>
    </w:p>
    <w:p>
      <w:pPr>
        <w:pStyle w:val="TextBody"/>
        <w:bidi w:val="0"/>
        <w:spacing w:lineRule="auto" w:line="288" w:before="236" w:after="283"/>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Debit of Accounts</w:t>
      </w:r>
      <w:r>
        <w:rPr>
          <w:rFonts w:ascii="Times New Roman;sans-serif" w:hAnsi="Times New Roman;sans-serif"/>
          <w:b w:val="false"/>
          <w:color w:val="000000"/>
          <w:sz w:val="20"/>
        </w:rPr>
        <w:t>. Collateral Agent and each Lender may debit (or ACH) the Designated Deposit Account (or, if funds in the Designated Deposit Account are insufficient or if an Event of Default has occurred and is continuing, any other account of a Loan Party which is subject to a Control Agreement in favor of Collateral Agent), for principal and interest payments or any other amounts Borrower owes Collateral Agent or the Lenders under the Loan Documents when due. Any such debits (or ACH activity) shall not constitute a set-off.</w:t>
      </w:r>
    </w:p>
    <w:p>
      <w:pPr>
        <w:pStyle w:val="TextBody"/>
        <w:bidi w:val="0"/>
        <w:spacing w:lineRule="auto" w:line="288" w:before="239" w:after="283"/>
        <w:ind w:left="0" w:right="0" w:firstLine="1440"/>
        <w:jc w:val="both"/>
        <w:rPr/>
      </w:pPr>
      <w:r>
        <w:rPr>
          <w:rFonts w:ascii="Times New Roman;sans-serif" w:hAnsi="Times New Roman;sans-serif"/>
          <w:b w:val="false"/>
          <w:color w:val="000000"/>
          <w:sz w:val="20"/>
        </w:rPr>
        <w:t>(e)</w:t>
      </w:r>
      <w:r>
        <w:rPr>
          <w:rFonts w:ascii="Times New Roman;sans-serif" w:hAnsi="Times New Roman;sans-serif"/>
          <w:b w:val="false"/>
          <w:color w:val="000000"/>
          <w:sz w:val="20"/>
          <w:u w:val="single"/>
        </w:rPr>
        <w:t>Payments</w:t>
      </w:r>
      <w:r>
        <w:rPr>
          <w:rFonts w:ascii="Times New Roman;sans-serif" w:hAnsi="Times New Roman;sans-serif"/>
          <w:b w:val="false"/>
          <w:color w:val="000000"/>
          <w:sz w:val="20"/>
        </w:rPr>
        <w:t xml:space="preserve">. Except as otherwise expressly provided herein, all payments by Borrower under the Loan Documents shall be made to Collateral Agent (and Collateral Agent shall then make the payments to the respective Lender to which such payments are owed), at Collateral Agent’s office in immediately available funds on the date specified herein. Unless otherwise provided, interest is payable monthly on the Payment Date of each month. Payments of principal and/or interest received after 2:00 p.m. Eastern time are considered received at the opening of business on the next Business Day. When a payment is due on a day that is not a Business Day, the payment is due the next Business Day and additional fees or </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36675"/>
                <wp:effectExtent l="0" t="0" r="0" b="0"/>
                <wp:wrapNone/>
                <wp:docPr id="77" name="Frame77"/>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pStyle w:val="TextBody"/>
        <w:bidi w:val="0"/>
        <w:spacing w:lineRule="auto" w:line="288" w:before="241" w:after="283"/>
        <w:ind w:left="0" w:right="0" w:firstLine="720"/>
        <w:jc w:val="both"/>
        <w:rPr/>
      </w:pPr>
      <w:r>
        <w:rPr>
          <w:rFonts w:ascii="Times New Roman;sans-serif" w:hAnsi="Times New Roman;sans-serif"/>
          <w:b/>
          <w:color w:val="000000"/>
          <w:sz w:val="20"/>
        </w:rPr>
        <w:t xml:space="preserve">1.2Secured Promissory Notes. </w:t>
      </w:r>
      <w:r>
        <w:rPr>
          <w:rFonts w:ascii="Times New Roman;sans-serif" w:hAnsi="Times New Roman;sans-serif"/>
          <w:b w:val="false"/>
          <w:color w:val="000000"/>
          <w:sz w:val="20"/>
        </w:rPr>
        <w:t xml:space="preserve">The Term Loans shall be evidenced by a Secured Promissory Note or Notes in the form attached as </w:t>
      </w:r>
      <w:r>
        <w:rPr>
          <w:rFonts w:ascii="Times New Roman;sans-serif" w:hAnsi="Times New Roman;sans-serif"/>
          <w:b w:val="false"/>
          <w:color w:val="000000"/>
          <w:sz w:val="20"/>
          <w:u w:val="single"/>
        </w:rPr>
        <w:t>Exhibit D</w:t>
      </w:r>
      <w:r>
        <w:rPr>
          <w:color w:val="000000"/>
        </w:rPr>
        <w:t xml:space="preserve"> </w:t>
      </w:r>
      <w:r>
        <w:rPr>
          <w:rFonts w:ascii="Times New Roman;sans-serif" w:hAnsi="Times New Roman;sans-serif"/>
          <w:b w:val="false"/>
          <w:color w:val="000000"/>
          <w:sz w:val="20"/>
        </w:rPr>
        <w:t>hereto (or in the case of the Original Term A Loan, an Amended and Restated Promissory Note; each a “</w:t>
      </w:r>
      <w:r>
        <w:rPr>
          <w:rFonts w:ascii="Times New Roman;sans-serif" w:hAnsi="Times New Roman;sans-serif"/>
          <w:b/>
          <w:color w:val="000000"/>
          <w:sz w:val="20"/>
        </w:rPr>
        <w:t>Secured Promissory Note</w:t>
      </w:r>
      <w:r>
        <w:rPr>
          <w:color w:val="000000"/>
        </w:rPr>
        <w:t>”</w:t>
      </w:r>
      <w:r>
        <w:rPr>
          <w:rFonts w:ascii="Times New Roman;sans-serif" w:hAnsi="Times New Roman;sans-serif"/>
          <w:b w:val="false"/>
          <w:color w:val="000000"/>
          <w:sz w:val="20"/>
        </w:rPr>
        <w:t>), and shall be repayable as set forth in this Agreement. Borrower irrevocably authorizes each Lender to make or cause to be made, on or about the Funding Date of any Term Loan or at the time of receipt of any payment of principal on such Lender’s Secured Promissory Note, an appropriate notation on such Lender’s Secured Promissory Note Record reflecting the making of such Term Loan or (as the case may be) the receipt of such payment. The outstanding amount of each Term Loan set forth on such Lender’s Secured Promissory Note Record shall be prima facie evidence, absent manifest error,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with a customary indemnification with respect such lost, stolen, destroyed or mutilated Secured Promissory Note, Borrower shall issue, in lieu thereof, a replacement Secured Promissory Note in the same principal amount thereof and of like tenor.</w:t>
      </w:r>
    </w:p>
    <w:p>
      <w:pPr>
        <w:pStyle w:val="TextBody"/>
        <w:bidi w:val="0"/>
        <w:spacing w:lineRule="auto" w:line="280" w:before="239" w:after="283"/>
        <w:ind w:left="0" w:right="0" w:firstLine="720"/>
        <w:jc w:val="both"/>
        <w:rPr/>
      </w:pPr>
      <w:r>
        <w:rPr>
          <w:rFonts w:ascii="Times New Roman;sans-serif" w:hAnsi="Times New Roman;sans-serif"/>
          <w:b/>
          <w:color w:val="000000"/>
          <w:sz w:val="20"/>
        </w:rPr>
        <w:t xml:space="preserve">1.3Fees. </w:t>
      </w:r>
      <w:r>
        <w:rPr>
          <w:rFonts w:ascii="Times New Roman;sans-serif" w:hAnsi="Times New Roman;sans-serif"/>
          <w:b w:val="false"/>
          <w:color w:val="000000"/>
          <w:sz w:val="20"/>
        </w:rPr>
        <w:t>Borrower shall pay to Collateral Agent, for the account of the Lenders (payable to each Lender in accordance with its Pro Rata Share):</w:t>
      </w:r>
    </w:p>
    <w:p>
      <w:pPr>
        <w:pStyle w:val="TextBody"/>
        <w:bidi w:val="0"/>
        <w:spacing w:lineRule="auto" w:line="288" w:before="236" w:after="283"/>
        <w:ind w:left="0" w:right="0" w:firstLine="1288"/>
        <w:jc w:val="both"/>
        <w:rPr/>
      </w:pPr>
      <w:r>
        <w:rPr>
          <w:rFonts w:ascii="Times New Roman;sans-serif" w:hAnsi="Times New Roman;sans-serif"/>
          <w:b w:val="false"/>
          <w:color w:val="000000"/>
          <w:sz w:val="20"/>
        </w:rPr>
        <w:t>(a)</w:t>
      </w:r>
      <w:r>
        <w:rPr>
          <w:rFonts w:ascii="Times New Roman;sans-serif" w:hAnsi="Times New Roman;sans-serif"/>
          <w:b w:val="false"/>
          <w:color w:val="000000"/>
          <w:sz w:val="20"/>
          <w:u w:val="single"/>
        </w:rPr>
        <w:t>Amendment Fee</w:t>
      </w:r>
      <w:r>
        <w:rPr>
          <w:rFonts w:ascii="Times New Roman;sans-serif" w:hAnsi="Times New Roman;sans-serif"/>
          <w:b w:val="false"/>
          <w:color w:val="000000"/>
          <w:sz w:val="20"/>
        </w:rPr>
        <w:t>. A non-refundable amendment fee (the “</w:t>
      </w:r>
      <w:r>
        <w:rPr>
          <w:rFonts w:ascii="Times New Roman;sans-serif" w:hAnsi="Times New Roman;sans-serif"/>
          <w:b/>
          <w:color w:val="000000"/>
          <w:sz w:val="20"/>
        </w:rPr>
        <w:t>Amendment Fee</w:t>
      </w:r>
      <w:r>
        <w:rPr>
          <w:color w:val="000000"/>
        </w:rPr>
        <w:t>”</w:t>
      </w:r>
      <w:r>
        <w:rPr>
          <w:rFonts w:ascii="Times New Roman;sans-serif" w:hAnsi="Times New Roman;sans-serif"/>
          <w:b w:val="false"/>
          <w:color w:val="000000"/>
          <w:sz w:val="20"/>
        </w:rPr>
        <w:t>) to be paid to Oxford Finance LLC in its capacity as a Lender, equal to Fifty Thousand Dollars ($50,000.00)</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which shall be fully earned due and payable on the Effective Date;</w:t>
      </w:r>
    </w:p>
    <w:p>
      <w:pPr>
        <w:pStyle w:val="TextBody"/>
        <w:bidi w:val="0"/>
        <w:spacing w:lineRule="auto" w:line="283" w:before="237" w:after="283"/>
        <w:ind w:left="0" w:right="0" w:firstLine="1440"/>
        <w:jc w:val="both"/>
        <w:rPr/>
      </w:pPr>
      <w:r>
        <w:rPr>
          <w:rFonts w:ascii="Times New Roman;sans-serif" w:hAnsi="Times New Roman;sans-serif"/>
          <w:b w:val="false"/>
          <w:color w:val="000000"/>
          <w:sz w:val="20"/>
        </w:rPr>
        <w:t>(b)</w:t>
      </w:r>
      <w:r>
        <w:rPr>
          <w:rFonts w:ascii="Times New Roman;sans-serif" w:hAnsi="Times New Roman;sans-serif"/>
          <w:b w:val="false"/>
          <w:color w:val="000000"/>
          <w:sz w:val="20"/>
          <w:u w:val="single"/>
        </w:rPr>
        <w:t>Final Payment</w:t>
      </w:r>
      <w:r>
        <w:rPr>
          <w:rFonts w:ascii="Times New Roman;sans-serif" w:hAnsi="Times New Roman;sans-serif"/>
          <w:b w:val="false"/>
          <w:color w:val="000000"/>
          <w:sz w:val="20"/>
        </w:rPr>
        <w:t>. The Final Payment, when due hereunder, to be shared between the Lenders in accordance with their respective Pro Rata Shares;</w:t>
      </w:r>
    </w:p>
    <w:p>
      <w:pPr>
        <w:pStyle w:val="TextBody"/>
        <w:bidi w:val="0"/>
        <w:spacing w:lineRule="auto" w:line="288" w:before="230" w:after="283"/>
        <w:ind w:left="0" w:right="0" w:firstLine="144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u w:val="single"/>
        </w:rPr>
        <w:t>Prepayment Fee</w:t>
      </w:r>
      <w:r>
        <w:rPr>
          <w:rFonts w:ascii="Times New Roman;sans-serif" w:hAnsi="Times New Roman;sans-serif"/>
          <w:b w:val="false"/>
          <w:color w:val="000000"/>
          <w:sz w:val="20"/>
        </w:rPr>
        <w:t>. The Prepayment Fee, when due hereunder, to be shared between the Lenders in accordance with their respective Pro Rata Shares. For the sake of clarity, for purposes of the determination of the Prepayment Fee, the Funding Date of each Term A Loan, which such Term A Loans are in the original aggregate principal amount of Thirty Million Dollars ($30,000,000.00), is the Effective Date; and</w:t>
      </w:r>
    </w:p>
    <w:p>
      <w:pPr>
        <w:pStyle w:val="TextBody"/>
        <w:bidi w:val="0"/>
        <w:spacing w:lineRule="auto" w:line="280" w:before="240" w:after="283"/>
        <w:ind w:left="0" w:right="0" w:firstLine="1440"/>
        <w:jc w:val="both"/>
        <w:rPr/>
      </w:pPr>
      <w:r>
        <w:rPr>
          <w:rFonts w:ascii="Times New Roman;sans-serif" w:hAnsi="Times New Roman;sans-serif"/>
          <w:b w:val="false"/>
          <w:color w:val="000000"/>
          <w:sz w:val="20"/>
        </w:rPr>
        <w:t>(d)</w:t>
      </w:r>
      <w:r>
        <w:rPr>
          <w:rFonts w:ascii="Times New Roman;sans-serif" w:hAnsi="Times New Roman;sans-serif"/>
          <w:b w:val="false"/>
          <w:color w:val="000000"/>
          <w:sz w:val="20"/>
          <w:u w:val="single"/>
        </w:rPr>
        <w:t>Lenders’ Expenses</w:t>
      </w:r>
      <w:r>
        <w:rPr>
          <w:rFonts w:ascii="Times New Roman;sans-serif" w:hAnsi="Times New Roman;sans-serif"/>
          <w:b w:val="false"/>
          <w:color w:val="000000"/>
          <w:sz w:val="20"/>
        </w:rPr>
        <w:t>. All Lenders’ Expenses (including reasonable attorneys’ fees and expenses for documentation and negotiation of this Agreement) incurred through and after the Effective Date, when due.</w:t>
      </w:r>
    </w:p>
    <w:p>
      <w:pPr>
        <w:pStyle w:val="TextBody"/>
        <w:bidi w:val="0"/>
        <w:spacing w:lineRule="auto" w:line="288" w:before="232" w:after="283"/>
        <w:ind w:left="0" w:right="0" w:firstLine="720"/>
        <w:jc w:val="both"/>
        <w:rPr/>
      </w:pPr>
      <w:r>
        <w:rPr>
          <w:rFonts w:ascii="Times New Roman;sans-serif" w:hAnsi="Times New Roman;sans-serif"/>
          <w:b/>
          <w:color w:val="000000"/>
          <w:sz w:val="20"/>
        </w:rPr>
        <w:t xml:space="preserve">1.4Withholding. </w:t>
      </w:r>
      <w:r>
        <w:rPr>
          <w:rFonts w:ascii="Times New Roman;sans-serif" w:hAnsi="Times New Roman;sans-serif"/>
          <w:b w:val="false"/>
          <w:color w:val="000000"/>
          <w:sz w:val="20"/>
        </w:rPr>
        <w:t xml:space="preserve">Payments received by the Lenders from Borrower hereunder will be made free and clear of and without deduction for any and all 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shall be permitted to make such withholding and deduction and hereby covenants and agrees that the amount due from Borrower with respect to such payment or other sum payable hereunder will be increased to the extent necessary to ensure that, after the making of such required withholding or </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36675"/>
                <wp:effectExtent l="0" t="0" r="0" b="0"/>
                <wp:wrapNone/>
                <wp:docPr id="78" name="Frame78"/>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pPr>
      <w:r>
        <w:rPr>
          <w:rFonts w:ascii="Times New Roman;sans-serif" w:hAnsi="Times New Roman;sans-serif"/>
          <w:b w:val="false"/>
          <w:color w:val="000000"/>
          <w:sz w:val="20"/>
        </w:rPr>
        <w:t>deduction, each Lender receives a net sum equal to the sum which it would have received had no withholding or deduction been required and Borrower shall pay the full amount withheld or deducted to the relevant Governmental Authority. The amount by which a payment is required to be increased pursuant to the prior sentence is referred to hereafter as the “</w:t>
      </w:r>
      <w:r>
        <w:rPr>
          <w:rFonts w:ascii="Times New Roman;sans-serif" w:hAnsi="Times New Roman;sans-serif"/>
          <w:b/>
          <w:color w:val="000000"/>
          <w:sz w:val="20"/>
        </w:rPr>
        <w:t>Withholding Tax Indemnity Amount</w:t>
      </w:r>
      <w:r>
        <w:rPr>
          <w:rFonts w:ascii="Times New Roman;sans-serif" w:hAnsi="Times New Roman;sans-serif"/>
          <w:b w:val="false"/>
          <w:color w:val="000000"/>
          <w:sz w:val="20"/>
        </w:rPr>
        <w:t xml:space="preserve">.”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adequate reserves have been set aside on its books in accordance with GAAP. The agreements and obligations of Borrower contained in this </w:t>
      </w:r>
      <w:r>
        <w:rPr>
          <w:rFonts w:ascii="Times New Roman;sans-serif" w:hAnsi="Times New Roman;sans-serif"/>
          <w:b w:val="false"/>
          <w:color w:val="000000"/>
          <w:sz w:val="20"/>
          <w:u w:val="single"/>
        </w:rPr>
        <w:t>Section 2.6</w:t>
      </w:r>
      <w:r>
        <w:rPr>
          <w:color w:val="000000"/>
        </w:rPr>
        <w:t xml:space="preserve"> </w:t>
      </w:r>
      <w:r>
        <w:rPr>
          <w:rFonts w:ascii="Times New Roman;sans-serif" w:hAnsi="Times New Roman;sans-serif"/>
          <w:b w:val="false"/>
          <w:color w:val="000000"/>
          <w:sz w:val="20"/>
        </w:rPr>
        <w:t>shall survive the termination of this Agreement. On the date of this Agreement, each Lender shall deliver, and upon a Lender Transfer, the applicable successor or assign shall deliver, to Borrower, a complete and properly executed IRS Form W-9 or Form W-8, as applicable, or any similar or successor certificate designated by the IRS (a “</w:t>
      </w:r>
      <w:r>
        <w:rPr>
          <w:rFonts w:ascii="Times New Roman;sans-serif" w:hAnsi="Times New Roman;sans-serif"/>
          <w:b/>
          <w:color w:val="000000"/>
          <w:sz w:val="20"/>
        </w:rPr>
        <w:t>Tax Certificate</w:t>
      </w:r>
      <w:r>
        <w:rPr>
          <w:color w:val="000000"/>
        </w:rPr>
        <w:t>”</w:t>
      </w:r>
      <w:r>
        <w:rPr>
          <w:rFonts w:ascii="Times New Roman;sans-serif" w:hAnsi="Times New Roman;sans-serif"/>
          <w:b w:val="false"/>
          <w:color w:val="000000"/>
          <w:sz w:val="20"/>
        </w:rPr>
        <w:t xml:space="preserve">). Notwithstanding anything to the contrary in this </w:t>
      </w:r>
      <w:r>
        <w:rPr>
          <w:rFonts w:ascii="Times New Roman;sans-serif" w:hAnsi="Times New Roman;sans-serif"/>
          <w:b w:val="false"/>
          <w:color w:val="000000"/>
          <w:sz w:val="20"/>
          <w:u w:val="single"/>
        </w:rPr>
        <w:t>Section 2.6</w:t>
      </w:r>
      <w:r>
        <w:rPr>
          <w:rFonts w:ascii="Times New Roman;sans-serif" w:hAnsi="Times New Roman;sans-serif"/>
          <w:b w:val="false"/>
          <w:color w:val="000000"/>
          <w:sz w:val="20"/>
        </w:rPr>
        <w:t>, so long as no Event of Default has occurred and is continuing, if a Lender fails to deliver a Tax Certificate, Borrower shall not be required to pay the Withholding Tax Indemnity Amount, if any, unless and until such Lender delivers the Tax Certificate.</w:t>
      </w:r>
    </w:p>
    <w:p>
      <w:pPr>
        <w:pStyle w:val="TextBody"/>
        <w:bidi w:val="0"/>
        <w:spacing w:lineRule="auto" w:line="288" w:before="244" w:after="283"/>
        <w:ind w:left="0" w:right="0" w:hanging="719"/>
        <w:jc w:val="left"/>
        <w:rPr/>
      </w:pPr>
      <w:r>
        <w:rPr>
          <w:rFonts w:ascii="Times New Roman;sans-serif" w:hAnsi="Times New Roman;sans-serif"/>
          <w:b/>
          <w:color w:val="000000"/>
          <w:sz w:val="20"/>
        </w:rPr>
        <w:t>3.</w:t>
      </w:r>
      <w:r>
        <w:rPr>
          <w:rFonts w:ascii="Times New Roman;sans-serif" w:hAnsi="Times New Roman;sans-serif"/>
          <w:b/>
          <w:color w:val="000000"/>
          <w:sz w:val="20"/>
          <w:u w:val="single"/>
        </w:rPr>
        <w:t>CONDITIONS OF LOANS</w:t>
      </w:r>
    </w:p>
    <w:p>
      <w:pPr>
        <w:pStyle w:val="TextBody"/>
        <w:bidi w:val="0"/>
        <w:spacing w:lineRule="auto" w:line="288" w:before="236" w:after="283"/>
        <w:ind w:left="0" w:right="0" w:firstLine="720"/>
        <w:jc w:val="both"/>
        <w:rPr/>
      </w:pPr>
      <w:r>
        <w:rPr>
          <w:rFonts w:ascii="Times New Roman;sans-serif" w:hAnsi="Times New Roman;sans-serif"/>
          <w:b/>
          <w:color w:val="000000"/>
          <w:sz w:val="20"/>
        </w:rPr>
        <w:t xml:space="preserve">1.1Conditions Precedent to Initial Credit Extension. </w:t>
      </w:r>
      <w:r>
        <w:rPr>
          <w:rFonts w:ascii="Times New Roman;sans-serif" w:hAnsi="Times New Roman;sans-serif"/>
          <w:b w:val="false"/>
          <w:color w:val="000000"/>
          <w:sz w:val="20"/>
        </w:rPr>
        <w:t>Each Lender’s obligation to make the initial Term A Loan is subject to the condition 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pStyle w:val="TextBody"/>
        <w:bidi w:val="0"/>
        <w:spacing w:lineRule="auto" w:line="288" w:before="241"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(a)Loan Documents, each duly executed by Borrower and each Subsidiary, as</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applicable;</w:t>
      </w:r>
    </w:p>
    <w:p>
      <w:pPr>
        <w:pStyle w:val="TextBody"/>
        <w:bidi w:val="0"/>
        <w:spacing w:lineRule="auto" w:line="288" w:before="239"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(b)a duly executed Control Agreement with respect to the Designated Deposit</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(c)duly executed original Amended and Restated Secured Promissory Note in favor of Oxford in the amount of Ten Million Dollars ($10,000,000) in respect of the Original Term A Loan;</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(d)duly executed original Secured Promissory Notes in favor of each Lender according to its Term A Loan Commitment Percentage in respect of the Term A Loans made by such Lender on the Effective Date;</w:t>
      </w:r>
    </w:p>
    <w:p>
      <w:pPr>
        <w:pStyle w:val="TextBody"/>
        <w:bidi w:val="0"/>
        <w:spacing w:lineRule="auto" w:line="276" w:before="241" w:after="283"/>
        <w:ind w:left="0" w:right="0" w:hanging="717"/>
        <w:jc w:val="both"/>
        <w:rPr>
          <w:rFonts w:ascii="Times New Roman;sans-serif" w:hAnsi="Times New Roman;sans-serif"/>
          <w:b w:val="false"/>
          <w:color w:val="000000"/>
          <w:sz w:val="20"/>
        </w:rPr>
      </w:pPr>
      <w:r>
        <w:rPr>
          <w:rFonts w:ascii="Times New Roman;sans-serif" w:hAnsi="Times New Roman;sans-serif"/>
          <w:b w:val="false"/>
          <w:color w:val="000000"/>
          <w:sz w:val="20"/>
        </w:rPr>
        <w:t>(e)Collateral Agent shall have received an Officer’s Certificate, (A) certifying as to</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the Operating Documents of each Loan Party (which, to the extent filed with a Governmental Authority, shall be certified as of a recent date by such Governmental Authority), (ii) the resolutions of the governing body of each Loan Party and (iii) the incumbency (including specimen signatures) of the responsible officers of each Loan Party and (B) attaching certificates of the good standing, existence or its equivalent of each Loan Party, which shall be as of a date no earlier than thirty (30) days (or such earlier date as the Collateral Agent may agree in its sole discretion) prior to the Effective Date;</w:t>
      </w:r>
    </w:p>
    <w:p>
      <w:pPr>
        <w:pStyle w:val="TextBody"/>
        <w:bidi w:val="0"/>
        <w:spacing w:lineRule="auto" w:line="283"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(f)a duly executed Perfection Certificate from Borrower (which covers Borrower and each of its Subsidiaries);</w:t>
      </w:r>
    </w:p>
    <w:p>
      <w:pPr>
        <w:pStyle w:val="TextBody"/>
        <w:bidi w:val="0"/>
        <w:spacing w:lineRule="auto" w:line="288" w:before="232"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(g)the Annual Projections, for the fiscal year ending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36675"/>
                <wp:effectExtent l="0" t="0" r="0" b="0"/>
                <wp:wrapNone/>
                <wp:docPr id="79" name="Frame79"/>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(h)that certain termination of side letter agreement, duly executed by Borrower;</w:t>
      </w:r>
    </w:p>
    <w:p>
      <w:pPr>
        <w:pStyle w:val="TextBody"/>
        <w:bidi w:val="0"/>
        <w:spacing w:lineRule="auto" w:line="288" w:before="237"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(i)certified copies, dated as of date no earlier than thirty (30) days (or such later date as the Collateral Agent may agree in its sole discretion) prior to the Effective Date, of financing statement searches, as Collateral Agent shall reasonably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pStyle w:val="TextBody"/>
        <w:bidi w:val="0"/>
        <w:spacing w:lineRule="auto" w:line="288" w:before="24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(j)a duly executed customary legal opinion of counsel to Borrower with respect to the Loan Documents, dated as of the Effective Date;</w:t>
      </w:r>
    </w:p>
    <w:p>
      <w:pPr>
        <w:pStyle w:val="TextBody"/>
        <w:bidi w:val="0"/>
        <w:spacing w:lineRule="auto" w:line="288" w:before="240" w:after="283"/>
        <w:ind w:left="0" w:right="0" w:firstLine="1440"/>
        <w:jc w:val="both"/>
        <w:rPr/>
      </w:pPr>
      <w:r>
        <w:rPr>
          <w:rFonts w:ascii="Times New Roman;sans-serif" w:hAnsi="Times New Roman;sans-serif"/>
          <w:b w:val="false"/>
          <w:color w:val="000000"/>
          <w:sz w:val="20"/>
        </w:rPr>
        <w:t xml:space="preserve">(k)evidence satisfactory to Collateral Agent and the Lenders that the insurance policies required by </w:t>
      </w:r>
      <w:r>
        <w:rPr>
          <w:rFonts w:ascii="Times New Roman;sans-serif" w:hAnsi="Times New Roman;sans-serif"/>
          <w:b w:val="false"/>
          <w:color w:val="000000"/>
          <w:sz w:val="20"/>
          <w:u w:val="single"/>
        </w:rPr>
        <w:t>Section 6.5</w:t>
      </w:r>
      <w:r>
        <w:rPr>
          <w:color w:val="000000"/>
        </w:rPr>
        <w:t xml:space="preserve"> </w:t>
      </w:r>
      <w:r>
        <w:rPr>
          <w:rFonts w:ascii="Times New Roman;sans-serif" w:hAnsi="Times New Roman;sans-serif"/>
          <w:b w:val="false"/>
          <w:color w:val="000000"/>
          <w:sz w:val="20"/>
        </w:rPr>
        <w:t>hereof are in full force and effect, together with certificates of insurance policies naming Collateral Agent as loss payee and additional insured; and</w:t>
      </w:r>
    </w:p>
    <w:p>
      <w:pPr>
        <w:pStyle w:val="TextBody"/>
        <w:bidi w:val="0"/>
        <w:spacing w:lineRule="auto" w:line="288" w:before="240" w:after="283"/>
        <w:ind w:left="0" w:right="0" w:firstLine="1440"/>
        <w:jc w:val="both"/>
        <w:rPr/>
      </w:pPr>
      <w:r>
        <w:rPr>
          <w:rFonts w:ascii="Times New Roman;sans-serif" w:hAnsi="Times New Roman;sans-serif"/>
          <w:b w:val="false"/>
          <w:color w:val="000000"/>
          <w:sz w:val="20"/>
        </w:rPr>
        <w:t xml:space="preserve">(l)payment of the fees and Lenders’ Expenses then due and payable as specified in </w:t>
      </w:r>
      <w:r>
        <w:rPr>
          <w:rFonts w:ascii="Times New Roman;sans-serif" w:hAnsi="Times New Roman;sans-serif"/>
          <w:b w:val="false"/>
          <w:color w:val="000000"/>
          <w:sz w:val="20"/>
          <w:u w:val="single"/>
        </w:rPr>
        <w:t>Section 2.5</w:t>
      </w:r>
      <w:r>
        <w:rPr>
          <w:color w:val="000000"/>
        </w:rPr>
        <w:t xml:space="preserve"> </w:t>
      </w:r>
      <w:r>
        <w:rPr>
          <w:rFonts w:ascii="Times New Roman;sans-serif" w:hAnsi="Times New Roman;sans-serif"/>
          <w:b w:val="false"/>
          <w:color w:val="000000"/>
          <w:sz w:val="20"/>
        </w:rPr>
        <w:t>hereof.</w:t>
      </w:r>
    </w:p>
    <w:p>
      <w:pPr>
        <w:pStyle w:val="TextBody"/>
        <w:bidi w:val="0"/>
        <w:spacing w:lineRule="auto" w:line="280" w:before="240" w:after="283"/>
        <w:ind w:left="0" w:right="0" w:firstLine="720"/>
        <w:jc w:val="both"/>
        <w:rPr/>
      </w:pPr>
      <w:r>
        <w:rPr>
          <w:rFonts w:ascii="Times New Roman;sans-serif" w:hAnsi="Times New Roman;sans-serif"/>
          <w:b/>
          <w:color w:val="000000"/>
          <w:sz w:val="20"/>
        </w:rPr>
        <w:t xml:space="preserve">1.2Conditions Precedent to all Credit Extensions. </w:t>
      </w:r>
      <w:r>
        <w:rPr>
          <w:rFonts w:ascii="Times New Roman;sans-serif" w:hAnsi="Times New Roman;sans-serif"/>
          <w:b w:val="false"/>
          <w:color w:val="000000"/>
          <w:sz w:val="20"/>
        </w:rPr>
        <w:t>The obligation of each Lender to make each Credit Extension, including the initial Credit Extension, is subject to the following conditions precedent:</w:t>
      </w:r>
    </w:p>
    <w:p>
      <w:pPr>
        <w:pStyle w:val="TextBody"/>
        <w:bidi w:val="0"/>
        <w:spacing w:lineRule="auto" w:line="288" w:before="232" w:after="283"/>
        <w:ind w:left="0" w:right="0" w:firstLine="1440"/>
        <w:jc w:val="both"/>
        <w:rPr/>
      </w:pPr>
      <w:r>
        <w:rPr>
          <w:rFonts w:ascii="Times New Roman;sans-serif" w:hAnsi="Times New Roman;sans-serif"/>
          <w:b w:val="false"/>
          <w:color w:val="000000"/>
          <w:sz w:val="20"/>
        </w:rPr>
        <w:t xml:space="preserve">(a)receipt by Collateral Agent of an executed Disbursement Letter in the form of </w:t>
      </w:r>
      <w:r>
        <w:rPr>
          <w:rFonts w:ascii="Times New Roman;sans-serif" w:hAnsi="Times New Roman;sans-serif"/>
          <w:b w:val="false"/>
          <w:color w:val="000000"/>
          <w:sz w:val="20"/>
          <w:u w:val="single"/>
        </w:rPr>
        <w:t>Exhibit B</w:t>
      </w:r>
      <w:r>
        <w:rPr>
          <w:color w:val="000000"/>
        </w:rPr>
        <w:t xml:space="preserve"> </w:t>
      </w:r>
      <w:r>
        <w:rPr>
          <w:rFonts w:ascii="Times New Roman;sans-serif" w:hAnsi="Times New Roman;sans-serif"/>
          <w:b w:val="false"/>
          <w:color w:val="000000"/>
          <w:sz w:val="20"/>
        </w:rPr>
        <w:t>attached hereto;</w:t>
      </w:r>
    </w:p>
    <w:p>
      <w:pPr>
        <w:pStyle w:val="TextBody"/>
        <w:bidi w:val="0"/>
        <w:spacing w:lineRule="auto" w:line="288" w:before="240" w:after="283"/>
        <w:ind w:left="0" w:right="0" w:firstLine="1440"/>
        <w:jc w:val="both"/>
        <w:rPr/>
      </w:pPr>
      <w:r>
        <w:rPr>
          <w:rFonts w:ascii="Times New Roman;sans-serif" w:hAnsi="Times New Roman;sans-serif"/>
          <w:b w:val="false"/>
          <w:color w:val="000000"/>
          <w:sz w:val="20"/>
        </w:rPr>
        <w:t xml:space="preserve">(b)the representations and warranties in </w:t>
      </w:r>
      <w:r>
        <w:rPr>
          <w:rFonts w:ascii="Times New Roman;sans-serif" w:hAnsi="Times New Roman;sans-serif"/>
          <w:b w:val="false"/>
          <w:color w:val="000000"/>
          <w:sz w:val="20"/>
          <w:u w:val="single"/>
        </w:rPr>
        <w:t>Section 5</w:t>
      </w:r>
      <w:r>
        <w:rPr>
          <w:color w:val="000000"/>
        </w:rPr>
        <w:t xml:space="preserve"> </w:t>
      </w:r>
      <w:r>
        <w:rPr>
          <w:rFonts w:ascii="Times New Roman;sans-serif" w:hAnsi="Times New Roman;sans-serif"/>
          <w:b w:val="false"/>
          <w:color w:val="000000"/>
          <w:sz w:val="20"/>
        </w:rPr>
        <w:t xml:space="preserve">hereof shall be true, accurate and complete in all material respects on the date of the Disbursement Letter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shall be deemed to be Borrower’s representation and warranty on that date that the representations and warranties in </w:t>
      </w:r>
      <w:r>
        <w:rPr>
          <w:rFonts w:ascii="Times New Roman;sans-serif" w:hAnsi="Times New Roman;sans-serif"/>
          <w:b w:val="false"/>
          <w:color w:val="000000"/>
          <w:sz w:val="20"/>
          <w:u w:val="single"/>
        </w:rPr>
        <w:t>Section 5</w:t>
      </w:r>
      <w:r>
        <w:rPr>
          <w:color w:val="000000"/>
        </w:rPr>
        <w:t xml:space="preserve"> </w:t>
      </w:r>
      <w:r>
        <w:rPr>
          <w:rFonts w:ascii="Times New Roman;sans-serif" w:hAnsi="Times New Roman;sans-serif"/>
          <w:b w:val="false"/>
          <w:color w:val="000000"/>
          <w:sz w:val="20"/>
        </w:rPr>
        <w:t xml:space="preserve">hereof are true, accurate and complete in all material respects;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pStyle w:val="TextBody"/>
        <w:bidi w:val="0"/>
        <w:spacing w:lineRule="auto" w:line="288" w:before="24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(c)in such Lender’s sole discretion, there has not been any Material Adverse Change or any material adverse deviation by Borrower from the Annual Projections of Borrower presented to and accepted by Collateral Agent and each Lender;</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(d)to the extent not delivered at the Effective Date, duly executed original Secured Promissory Notes, in number, form and content acceptable to each Lender, and in favor of each Lender according to its Commitment Percentage, with respect to each Credit Extension made by such Lender after the Effective Date;</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(e)solely with respect to any Term B Loan, Borrower’s delivery to Collateral Agent and Lenders of evidence, reasonably satisfactory to Collateral Agent and Lenders in their sole discretion, that as of the Funding Date of such Term B Loan (i) the Phase 2b trial of PLN-74809 in IPF (Idiopathic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36675"/>
                <wp:effectExtent l="0" t="0" r="0" b="0"/>
                <wp:wrapNone/>
                <wp:docPr id="80" name="Frame80"/>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Pulmonary Fibrosis) remains ongoing and (ii) if a Phase 3 trial of PLN-74809 in IPF (Idiopathic Pulmonary Fibrosis) has been initiated, then such Phase 3 trial must also be ongoing; and</w:t>
      </w:r>
    </w:p>
    <w:p>
      <w:pPr>
        <w:pStyle w:val="TextBody"/>
        <w:bidi w:val="0"/>
        <w:spacing w:lineRule="auto" w:line="288" w:before="241" w:after="283"/>
        <w:ind w:left="0" w:right="0" w:hanging="719"/>
        <w:jc w:val="both"/>
        <w:rPr/>
      </w:pPr>
      <w:r>
        <w:rPr>
          <w:rFonts w:ascii="Times New Roman;sans-serif" w:hAnsi="Times New Roman;sans-serif"/>
          <w:b w:val="false"/>
          <w:color w:val="000000"/>
          <w:sz w:val="20"/>
        </w:rPr>
        <w:t xml:space="preserve">(f)payment of the fees and Lenders’ Expenses then due as specified in </w:t>
      </w:r>
      <w:r>
        <w:rPr>
          <w:rFonts w:ascii="Times New Roman;sans-serif" w:hAnsi="Times New Roman;sans-serif"/>
          <w:b w:val="false"/>
          <w:color w:val="000000"/>
          <w:sz w:val="20"/>
          <w:u w:val="single"/>
        </w:rPr>
        <w:t>Section 2.5</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hereof.</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1.3Covenant to Deliver. </w:t>
      </w:r>
      <w:r>
        <w:rPr>
          <w:rFonts w:ascii="Times New Roman;sans-serif" w:hAnsi="Times New Roman;sans-serif"/>
          <w:b w:val="false"/>
          <w:color w:val="000000"/>
          <w:sz w:val="20"/>
        </w:rPr>
        <w:t>Borrower agrees to deliver to Collateral Agent and the Lenders each item required to be delivered to Collateral Agent under 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1.4Procedures for Borrowing. </w:t>
      </w:r>
      <w:r>
        <w:rPr>
          <w:rFonts w:ascii="Times New Roman;sans-serif" w:hAnsi="Times New Roman;sans-serif"/>
          <w:b w:val="false"/>
          <w:color w:val="000000"/>
          <w:sz w:val="20"/>
        </w:rPr>
        <w:t>Subject to the prior satisfaction of all other applicable conditions to the making of a Term Loan set forth in this Agreement, to obtain a Term Loan, Borrower shall notify the Lenders (which notice shall be irrevocable) by electronic mail, facsimile, or telephone by 12:00 noon Eastern time five (5) Business Days (or such later date as the Collateral Agent may agree in its sole discretion) prior to the date the Term Loan is to be made. Together with any such electronic, facsimile or telephonic notification, Borrower shall deliver to the Lenders by electronic mail or facsimile a completed Disbursement Letter executed by a Responsible Officer or his or her designee. The Lenders may rely on any telephone notice given by a person whom a Lender reasonably believes is a Responsible Officer or designee. On the Funding Date, each Lender shall credit and/or transfer (as applicable) to the Designated Deposit Account, an amount equal to its ratable portion of the Term Loan to be advanced on such Funding Date in accordance with its Commitment Percentage.</w:t>
      </w:r>
    </w:p>
    <w:p>
      <w:pPr>
        <w:pStyle w:val="TextBody"/>
        <w:bidi w:val="0"/>
        <w:spacing w:lineRule="auto" w:line="288" w:before="244" w:after="283"/>
        <w:ind w:left="0" w:right="0" w:hanging="719"/>
        <w:jc w:val="left"/>
        <w:rPr/>
      </w:pPr>
      <w:r>
        <w:rPr>
          <w:rFonts w:ascii="Times New Roman;sans-serif" w:hAnsi="Times New Roman;sans-serif"/>
          <w:b/>
          <w:color w:val="000000"/>
          <w:sz w:val="20"/>
        </w:rPr>
        <w:t>4.</w:t>
      </w:r>
      <w:r>
        <w:rPr>
          <w:rFonts w:ascii="Times New Roman;sans-serif" w:hAnsi="Times New Roman;sans-serif"/>
          <w:b/>
          <w:color w:val="000000"/>
          <w:sz w:val="20"/>
          <w:u w:val="single"/>
        </w:rPr>
        <w:t>CREATION OF SECURITY INTEREST</w:t>
      </w:r>
    </w:p>
    <w:p>
      <w:pPr>
        <w:pStyle w:val="TextBody"/>
        <w:bidi w:val="0"/>
        <w:spacing w:lineRule="auto" w:line="288" w:before="237" w:after="283"/>
        <w:ind w:left="0" w:right="0" w:firstLine="720"/>
        <w:jc w:val="both"/>
        <w:rPr/>
      </w:pPr>
      <w:r>
        <w:rPr>
          <w:rFonts w:ascii="Times New Roman;sans-serif" w:hAnsi="Times New Roman;sans-serif"/>
          <w:b/>
          <w:color w:val="000000"/>
          <w:sz w:val="20"/>
        </w:rPr>
        <w:t xml:space="preserve">1.1Grant of Security Interest. </w:t>
      </w:r>
      <w:r>
        <w:rPr>
          <w:rFonts w:ascii="Times New Roman;sans-serif" w:hAnsi="Times New Roman;sans-serif"/>
          <w:b w:val="false"/>
          <w:color w:val="000000"/>
          <w:sz w:val="20"/>
        </w:rPr>
        <w:t>Borrower hereby grants Collateral Agent, for the ratable benefit of the Lenders, to secure the payment and 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 to have priority to Collateral Agent’s Lien. If Borrower shall acquire a commercial tort claim (as defined in the Code),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pStyle w:val="TextBody"/>
        <w:bidi w:val="0"/>
        <w:spacing w:lineRule="auto" w:line="288" w:before="239"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 If any Collateral shall be sold, transferred or otherwise disposed of by any Loan Party (other than to a Loan Party or any Subsidiary) in a transaction permitted by this Agreement, then Collateral Agent, at the request and sole expense of such Loan Party, shall promptly execute and deliver to such Loan Party such documents as such Loan Party may reasonably request to evidence the release of such item of Collateral from the security interest granted hereunder.</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36675"/>
                <wp:effectExtent l="0" t="0" r="0" b="0"/>
                <wp:wrapNone/>
                <wp:docPr id="81" name="Frame81"/>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8" w:after="283"/>
        <w:ind w:left="0" w:right="0" w:firstLine="720"/>
        <w:jc w:val="both"/>
        <w:rPr/>
      </w:pPr>
      <w:r>
        <w:rPr>
          <w:rFonts w:ascii="Times New Roman;sans-serif" w:hAnsi="Times New Roman;sans-serif"/>
          <w:b/>
          <w:color w:val="000000"/>
          <w:sz w:val="20"/>
        </w:rPr>
        <w:t xml:space="preserve">1.2Authorization to File Financing Statements. </w:t>
      </w:r>
      <w:r>
        <w:rPr>
          <w:rFonts w:ascii="Times New Roman;sans-serif" w:hAnsi="Times New Roman;sans-serif"/>
          <w:b w:val="false"/>
          <w:color w:val="000000"/>
          <w:sz w:val="20"/>
        </w:rPr>
        <w:t>Borrower hereby authorizes Collateral Agent to file financing statements or take any other action required to perfect Collateral Agent’s security interests in the Collateral, without notice to Borrower, with all appropriate jurisdictions to perfect or protect Collateral Agent’s interest or rights under the Loan Documents, including a notice that any Transfer of the Collateral, except to the extent permitted by the terms of this Agreement, by Borrower, or any other Person, shall be deemed to violate the rights of Collateral Agent under the Code.</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1.3Pledge of Collateral. </w:t>
      </w:r>
      <w:r>
        <w:rPr>
          <w:rFonts w:ascii="Times New Roman;sans-serif" w:hAnsi="Times New Roman;sans-serif"/>
          <w:b w:val="false"/>
          <w:color w:val="000000"/>
          <w:sz w:val="20"/>
        </w:rPr>
        <w:t>Borrower hereby pledges, assigns and grants to Collateral Agent, for the ratable benefit of the Lenders, a 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On the Effective Date, or, to the extent not certificated as of the Effective Date, within ten (10) Business Days (or such longer period as the Collateral Agent may agree in its sole discretion) of the certification of any Shares,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(i)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and (ii) receive and retain any and all cash dividends, payments or other distributions made in respect of the Shares (other than stock dividends and other dividends constituting Collateral which are addressed hereinabove) to the extent they are not prohibited by the Loan Documents. All such rights to vote and give consents, waivers and ratifications shall terminate upon the occurrence and continuance of an Event of Default.</w:t>
      </w:r>
    </w:p>
    <w:p>
      <w:pPr>
        <w:pStyle w:val="TextBody"/>
        <w:bidi w:val="0"/>
        <w:spacing w:lineRule="auto" w:line="288" w:before="245" w:after="283"/>
        <w:ind w:left="0" w:right="0" w:hanging="719"/>
        <w:jc w:val="left"/>
        <w:rPr/>
      </w:pPr>
      <w:r>
        <w:rPr>
          <w:rFonts w:ascii="Times New Roman;sans-serif" w:hAnsi="Times New Roman;sans-serif"/>
          <w:b/>
          <w:color w:val="000000"/>
          <w:sz w:val="20"/>
        </w:rPr>
        <w:t>5.</w:t>
      </w:r>
      <w:r>
        <w:rPr>
          <w:rFonts w:ascii="Times New Roman;sans-serif" w:hAnsi="Times New Roman;sans-serif"/>
          <w:b/>
          <w:color w:val="000000"/>
          <w:sz w:val="20"/>
          <w:u w:val="single"/>
        </w:rPr>
        <w:t>REPRESENTATIONS AND WARRANTIES</w:t>
      </w:r>
    </w:p>
    <w:p>
      <w:pPr>
        <w:pStyle w:val="TextBody"/>
        <w:bidi w:val="0"/>
        <w:spacing w:lineRule="auto" w:line="288" w:before="239"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Borrower represents and warrants to Collateral Agent and the Lenders as follows:</w:t>
      </w:r>
    </w:p>
    <w:p>
      <w:pPr>
        <w:pStyle w:val="TextBody"/>
        <w:bidi w:val="0"/>
        <w:spacing w:lineRule="auto" w:line="288" w:before="236" w:after="283"/>
        <w:ind w:left="0" w:right="0" w:firstLine="720"/>
        <w:jc w:val="both"/>
        <w:rPr/>
      </w:pPr>
      <w:r>
        <w:rPr>
          <w:rFonts w:ascii="Times New Roman;sans-serif" w:hAnsi="Times New Roman;sans-serif"/>
          <w:b/>
          <w:color w:val="000000"/>
          <w:sz w:val="20"/>
        </w:rPr>
        <w:t xml:space="preserve">1.1Due Organization, Authorization: Power and Authority. </w:t>
      </w:r>
      <w:r>
        <w:rPr>
          <w:rFonts w:ascii="Times New Roman;sans-serif" w:hAnsi="Times New Roman;sans-serif"/>
          <w:b w:val="false"/>
          <w:color w:val="000000"/>
          <w:sz w:val="20"/>
        </w:rPr>
        <w:t xml:space="preserve">Borrower and each of its Subsidiaries is duly existing and in good standing as a 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the Borrower has delivered to Collateral Agent on the Effective Date a duly executed perfection certificate, dated on or about the date hereof (as amended, restated, amended and restated, supplemented or otherwise modified from time to time in accordance with this </w:t>
      </w:r>
      <w:r>
        <w:rPr>
          <w:rFonts w:ascii="Times New Roman;sans-serif" w:hAnsi="Times New Roman;sans-serif"/>
          <w:b w:val="false"/>
          <w:color w:val="000000"/>
          <w:sz w:val="20"/>
          <w:u w:val="single"/>
        </w:rPr>
        <w:t>Section 5.1</w:t>
      </w:r>
      <w:r>
        <w:rPr>
          <w:color w:val="000000"/>
        </w:rPr>
        <w:t xml:space="preserve"> </w:t>
      </w:r>
      <w:r>
        <w:rPr>
          <w:rFonts w:ascii="Times New Roman;sans-serif" w:hAnsi="Times New Roman;sans-serif"/>
          <w:b w:val="false"/>
          <w:color w:val="000000"/>
          <w:sz w:val="20"/>
        </w:rPr>
        <w:t>and any additional perfection certificate for any Subsidiary which is formed or acquired after the Closing Date to the extent requested by Collateral Agent, each a “</w:t>
      </w:r>
      <w:r>
        <w:rPr>
          <w:rFonts w:ascii="Times New Roman;sans-serif" w:hAnsi="Times New Roman;sans-serif"/>
          <w:b/>
          <w:color w:val="000000"/>
          <w:sz w:val="20"/>
        </w:rPr>
        <w:t>Perfection Certificate</w:t>
      </w:r>
      <w:r>
        <w:rPr>
          <w:color w:val="000000"/>
        </w:rPr>
        <w:t xml:space="preserve">” </w:t>
      </w:r>
      <w:r>
        <w:rPr>
          <w:rFonts w:ascii="Times New Roman;sans-serif" w:hAnsi="Times New Roman;sans-serif"/>
          <w:b w:val="false"/>
          <w:color w:val="000000"/>
          <w:sz w:val="20"/>
        </w:rPr>
        <w:t>and collectively, the “</w:t>
      </w:r>
      <w:r>
        <w:rPr>
          <w:rFonts w:ascii="Times New Roman;sans-serif" w:hAnsi="Times New Roman;sans-serif"/>
          <w:b/>
          <w:color w:val="000000"/>
          <w:sz w:val="20"/>
        </w:rPr>
        <w:t>Perfection Certificates</w:t>
      </w:r>
      <w:r>
        <w:rPr>
          <w:color w:val="000000"/>
        </w:rPr>
        <w:t>”</w:t>
      </w:r>
      <w:r>
        <w:rPr>
          <w:rFonts w:ascii="Times New Roman;sans-serif" w:hAnsi="Times New Roman;sans-serif"/>
          <w:b w:val="false"/>
          <w:color w:val="000000"/>
          <w:sz w:val="20"/>
        </w:rPr>
        <w:t>). Borrower represents and warrants that</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Borrower and each of its Subsidiaries’ exact legal name is that which is indicated on the Perfection Certificate and on the signature page of each Loan Document to which it is a party; (b) Borrower and each of its Subsidiaries is an organization of the type and is organized in the jurisdiction set forth on the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36675"/>
                <wp:effectExtent l="0" t="0" r="0" b="0"/>
                <wp:wrapNone/>
                <wp:docPr id="82" name="Frame82"/>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Perfection Certificate; (c) the Perfection Certificate accurately sets forth each of Borrower’s and its Subsidiaries’ organizational identification number or accurately states that Borrower or such Subsidiary has none; (d) the Perfection Certificate accurately sets forth Borrower’s and each of its Subsidiaries’ place of business, or, if more than one, its chief executive office as well as Borrower’s and each of its Subsidiaries’ mailing address (if different than its chief executive office); (e) Borrower and each of its Subsidiaries (and each of its respective predecessors) have not, in the past five (5) years prior to the Effective Date,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in all material respects (it being understood and agreed that Borrower may from time to time update certain information in the Perfection Certificates (including the information set forth in clause (d) above) after the Effective Date to the extent permitted by one or more specific provisions in this Agreement); provided that such updates to the Perfection Certificate are subject to the review and approval of Collateral Agent, unless such facts, events or circumstances being updated first arose or occurred after the Effective Date and do not constitute a breach, default or Event of Default under this Agreement or any other Loan Document.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pStyle w:val="TextBody"/>
        <w:bidi w:val="0"/>
        <w:spacing w:lineRule="auto" w:line="288" w:before="239" w:after="283"/>
        <w:ind w:left="0" w:right="0" w:firstLine="720"/>
        <w:jc w:val="both"/>
        <w:rPr/>
      </w:pPr>
      <w:r>
        <w:rPr>
          <w:rFonts w:ascii="Times New Roman;sans-serif" w:hAnsi="Times New Roman;sans-serif"/>
          <w:b w:val="false"/>
          <w:color w:val="000000"/>
          <w:sz w:val="20"/>
        </w:rPr>
        <w:t xml:space="preserve">The execution, delivery and performance by each Loan Party of the Loan Documents to which it is a party have been duly authorized, and do not (i) conflict with any Loan Party’s organizational documents, including its respective Operating Documents, (ii) contravene, conflict with, constitute a default under or violate any material Requirement of Law applicable thereto, (iii) contravene, conflict or violate, in any material respect, any applicable order, writ, judgment, injunction, decree, determination or award of any Governmental Authority by which any Loan Party,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w:t>
      </w:r>
      <w:r>
        <w:rPr>
          <w:rFonts w:ascii="Times New Roman;sans-serif" w:hAnsi="Times New Roman;sans-serif"/>
          <w:b w:val="false"/>
          <w:color w:val="000000"/>
          <w:sz w:val="20"/>
          <w:u w:val="single"/>
        </w:rPr>
        <w:t>Section 6.1(b)</w:t>
      </w:r>
      <w:r>
        <w:rPr>
          <w:rFonts w:ascii="Times New Roman;sans-serif" w:hAnsi="Times New Roman;sans-serif"/>
          <w:b w:val="false"/>
          <w:color w:val="000000"/>
          <w:sz w:val="20"/>
        </w:rPr>
        <w:t>), or (v) constitute an event of default under any material agreement by which any Loan Party, or their respective properties, is bound. No Loan Party is in default under any agreement to which it is a party or by which it or any of its assets is bound in which such default could reasonably be expected to have a Material Adverse Change.</w:t>
      </w:r>
    </w:p>
    <w:p>
      <w:pPr>
        <w:pStyle w:val="TextBody"/>
        <w:bidi w:val="0"/>
        <w:spacing w:lineRule="auto" w:line="288" w:before="243" w:after="283"/>
        <w:ind w:left="0" w:right="0" w:hanging="719"/>
        <w:jc w:val="left"/>
        <w:rPr>
          <w:rFonts w:ascii="Times New Roman;sans-serif" w:hAnsi="Times New Roman;sans-serif"/>
          <w:b/>
          <w:color w:val="000000"/>
          <w:sz w:val="20"/>
        </w:rPr>
      </w:pPr>
      <w:r>
        <w:rPr>
          <w:rFonts w:ascii="Times New Roman;sans-serif" w:hAnsi="Times New Roman;sans-serif"/>
          <w:b/>
          <w:color w:val="000000"/>
          <w:sz w:val="20"/>
        </w:rPr>
        <w:t>1.2Collateral.</w:t>
      </w:r>
    </w:p>
    <w:p>
      <w:pPr>
        <w:pStyle w:val="TextBody"/>
        <w:bidi w:val="0"/>
        <w:spacing w:lineRule="auto" w:line="288" w:before="239" w:after="283"/>
        <w:ind w:left="0" w:right="0" w:firstLine="1440"/>
        <w:jc w:val="both"/>
        <w:rPr/>
      </w:pPr>
      <w:r>
        <w:rPr>
          <w:rFonts w:ascii="Times New Roman;sans-serif" w:hAnsi="Times New Roman;sans-serif"/>
          <w:b w:val="false"/>
          <w:color w:val="000000"/>
          <w:sz w:val="20"/>
        </w:rPr>
        <w:t xml:space="preserve">(a)Borrower and each Guarantor has good title to, have rights in, and the power to transfer each item of the Collateral upon which it purports to grant a Lien under the Loan Documents, free and clear of any and all Liens except Permitted Liens, and neither Borrower nor any Guarantor or any of their respective Subsidiaries have any Deposit Accounts, Securities Accounts, Commodity Accounts or other investment accounts other than the Collateral Accounts or the other investment accounts, if any, described in the Perfection Certificates delivered to Collateral Agent in connection herewith with respect of which each Loan Party has given Collateral Agent notice and taken such actions as are necessary to give Collateral Agent a perfected security interest therein, in each case, to the extent required by </w:t>
      </w:r>
      <w:r>
        <w:rPr>
          <w:rFonts w:ascii="Times New Roman;sans-serif" w:hAnsi="Times New Roman;sans-serif"/>
          <w:b w:val="false"/>
          <w:color w:val="000000"/>
          <w:sz w:val="20"/>
          <w:u w:val="single"/>
        </w:rPr>
        <w:t>Section 6.6</w:t>
      </w:r>
      <w:r>
        <w:rPr>
          <w:rFonts w:ascii="Times New Roman;sans-serif" w:hAnsi="Times New Roman;sans-serif"/>
          <w:b w:val="false"/>
          <w:color w:val="000000"/>
          <w:sz w:val="20"/>
        </w:rPr>
        <w:t>. The Accounts are bona fide, existing obligations of the Account Debtors.</w:t>
      </w:r>
    </w:p>
    <w:p>
      <w:pPr>
        <w:pStyle w:val="TextBody"/>
        <w:bidi w:val="0"/>
        <w:spacing w:lineRule="auto" w:line="288" w:before="239" w:after="283"/>
        <w:ind w:left="0" w:right="0" w:firstLine="1440"/>
        <w:jc w:val="both"/>
        <w:rPr/>
      </w:pPr>
      <w:r>
        <w:rPr>
          <w:rFonts w:ascii="Times New Roman;sans-serif" w:hAnsi="Times New Roman;sans-serif"/>
          <w:b w:val="false"/>
          <w:color w:val="000000"/>
          <w:sz w:val="20"/>
        </w:rPr>
        <w:t xml:space="preserve">(b)On the Effective Date, and except as disclosed on the Perfection Certificate, (i) the Collateral is not in the possession of any third party bailee (such as a warehouse), and (ii) no such third party bailee possesses components of the Collateral with an aggregate value in excess of Five Hundred Thousand Dollars ($500,000.00). None of the components of the Collateral shall be maintained at locations other than as disclosed in the Perfection Certificates on the Effective Date or as permitted pursuant to </w:t>
      </w:r>
      <w:r>
        <w:rPr>
          <w:rFonts w:ascii="Times New Roman;sans-serif" w:hAnsi="Times New Roman;sans-serif"/>
          <w:b w:val="false"/>
          <w:color w:val="000000"/>
          <w:sz w:val="20"/>
          <w:u w:val="single"/>
        </w:rPr>
        <w:t>Section 6.11</w:t>
      </w:r>
      <w:r>
        <w:rPr>
          <w:rFonts w:ascii="Times New Roman;sans-serif" w:hAnsi="Times New Roman;sans-serif"/>
          <w:b w:val="false"/>
          <w:color w:val="000000"/>
          <w:sz w:val="20"/>
        </w:rPr>
        <w: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36675"/>
                <wp:effectExtent l="0" t="0" r="0" b="0"/>
                <wp:wrapNone/>
                <wp:docPr id="83" name="Frame83"/>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(c)All Inventory is in all material respects of good and marketable quality, free from material defects.</w:t>
      </w:r>
    </w:p>
    <w:p>
      <w:pPr>
        <w:pStyle w:val="TextBody"/>
        <w:bidi w:val="0"/>
        <w:spacing w:lineRule="auto" w:line="288" w:before="24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(d)Borrower and each of its Subsidiaries is the sole owner of the Intellectual Property each respectively purports to own, free and clear of all Liens other than Permitted Liens. Except as noted on the Perfection Certificates,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within ten</w:t>
      </w:r>
    </w:p>
    <w:p>
      <w:pPr>
        <w:pStyle w:val="TextBody"/>
        <w:bidi w:val="0"/>
        <w:spacing w:lineRule="auto" w:line="28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 Business Days of Borrower or any of its Subsidiaries entering into or becoming bound by any material license or agreement with respect to which Borrower or any Subsidiary is the licensee (other than over-the-counter software that is commercially available to the public).</w:t>
      </w:r>
    </w:p>
    <w:p>
      <w:pPr>
        <w:pStyle w:val="TextBody"/>
        <w:bidi w:val="0"/>
        <w:spacing w:lineRule="auto" w:line="288" w:before="231" w:after="283"/>
        <w:ind w:left="0" w:right="0" w:firstLine="720"/>
        <w:jc w:val="both"/>
        <w:rPr/>
      </w:pPr>
      <w:r>
        <w:rPr>
          <w:rFonts w:ascii="Times New Roman;sans-serif" w:hAnsi="Times New Roman;sans-serif"/>
          <w:b/>
          <w:color w:val="000000"/>
          <w:sz w:val="20"/>
        </w:rPr>
        <w:t xml:space="preserve">1.1Litigation. </w:t>
      </w:r>
      <w:r>
        <w:rPr>
          <w:rFonts w:ascii="Times New Roman;sans-serif" w:hAnsi="Times New Roman;sans-serif"/>
          <w:b w:val="false"/>
          <w:color w:val="000000"/>
          <w:sz w:val="20"/>
        </w:rPr>
        <w:t xml:space="preserve">Except as disclosed (i) on the Perfection Certificates, or (ii) in accordance with </w:t>
      </w:r>
      <w:r>
        <w:rPr>
          <w:rFonts w:ascii="Times New Roman;sans-serif" w:hAnsi="Times New Roman;sans-serif"/>
          <w:b w:val="false"/>
          <w:color w:val="000000"/>
          <w:sz w:val="20"/>
          <w:u w:val="single"/>
        </w:rPr>
        <w:t>Section 6.9</w:t>
      </w:r>
      <w:r>
        <w:rPr>
          <w:color w:val="000000"/>
        </w:rPr>
        <w:t xml:space="preserve"> </w:t>
      </w:r>
      <w:r>
        <w:rPr>
          <w:rFonts w:ascii="Times New Roman;sans-serif" w:hAnsi="Times New Roman;sans-serif"/>
          <w:b w:val="false"/>
          <w:color w:val="000000"/>
          <w:sz w:val="20"/>
        </w:rPr>
        <w:t>hereof, there are no actions, suits, investigations, or proceedings pending or, to the knowledge of the Responsible Officers, threatened in writing by or against Borrower or any of its Subsidiaries which if could reasonably be expected to result in damages or costs to Borrower or such Subsidiaries in excess of Five Hundred Thousand Dollars ($500,000.00).</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1.2No Material Deterioration in Financial Condition; Financial Statements. </w:t>
      </w:r>
      <w:r>
        <w:rPr>
          <w:rFonts w:ascii="Times New Roman;sans-serif" w:hAnsi="Times New Roman;sans-serif"/>
          <w:b w:val="false"/>
          <w:color w:val="000000"/>
          <w:sz w:val="20"/>
        </w:rPr>
        <w:t>All consolidated financial statements for Borrower and its Subsidiaries, delivered to Collateral Agent fairly present, in conformity with GAAP, in all material respects the consolidated financial condition of Borrower and its Subsidiaries as of the dates and for the periods set forth therein, and the consolidated results of operations of Borrower and its Subsidiaries. There has not been a Material Adverse Change nor any event or circumstance since December 31, 2021 that could reasonably be expected to have a Material Adverse Change.</w:t>
      </w:r>
    </w:p>
    <w:p>
      <w:pPr>
        <w:pStyle w:val="TextBody"/>
        <w:bidi w:val="0"/>
        <w:spacing w:lineRule="auto" w:line="283" w:before="240" w:after="283"/>
        <w:ind w:left="0" w:right="0" w:firstLine="720"/>
        <w:jc w:val="both"/>
        <w:rPr/>
      </w:pPr>
      <w:r>
        <w:rPr>
          <w:rFonts w:ascii="Times New Roman;sans-serif" w:hAnsi="Times New Roman;sans-serif"/>
          <w:b/>
          <w:color w:val="000000"/>
          <w:sz w:val="20"/>
        </w:rPr>
        <w:t xml:space="preserve">1.3Solvency. </w:t>
      </w:r>
      <w:r>
        <w:rPr>
          <w:rFonts w:ascii="Times New Roman;sans-serif" w:hAnsi="Times New Roman;sans-serif"/>
          <w:b w:val="false"/>
          <w:color w:val="000000"/>
          <w:sz w:val="20"/>
        </w:rPr>
        <w:t>Borrower is Solvent, and Borrower and its Subsidiaries, taken as a whole, are Solvent.</w:t>
      </w:r>
    </w:p>
    <w:p>
      <w:pPr>
        <w:pStyle w:val="TextBody"/>
        <w:bidi w:val="0"/>
        <w:spacing w:lineRule="auto" w:line="288" w:before="231" w:after="283"/>
        <w:ind w:left="0" w:right="0" w:firstLine="720"/>
        <w:jc w:val="both"/>
        <w:rPr/>
      </w:pPr>
      <w:r>
        <w:rPr>
          <w:rFonts w:ascii="Times New Roman;sans-serif" w:hAnsi="Times New Roman;sans-serif"/>
          <w:b/>
          <w:color w:val="000000"/>
          <w:sz w:val="20"/>
        </w:rPr>
        <w:t xml:space="preserve">1.4Regulatory Compliance. </w:t>
      </w:r>
      <w:r>
        <w:rPr>
          <w:rFonts w:ascii="Times New Roman;sans-serif" w:hAnsi="Times New Roman;sans-serif"/>
          <w:b w:val="false"/>
          <w:color w:val="000000"/>
          <w:sz w:val="20"/>
        </w:rPr>
        <w:t>Neither Borrower nor any of its Subsidiaries is required to register as an “investment company” under the Investment Company Act of 1940, as amended (furthermore, strictly as of the Funding Date of each Term Loan, neither Borrower nor any of its Subsidiaries is “controlled” by an “investment company” that is required to register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36675"/>
                <wp:effectExtent l="0" t="0" r="0" b="0"/>
                <wp:wrapNone/>
                <wp:docPr id="84" name="Frame84"/>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Borrower, any of its Subsidiaries, or any of Borrower’s or its Subsidiaries’ controlled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controlled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pStyle w:val="TextBody"/>
        <w:bidi w:val="0"/>
        <w:spacing w:lineRule="auto" w:line="283" w:before="239" w:after="283"/>
        <w:ind w:left="0" w:right="0" w:firstLine="720"/>
        <w:jc w:val="both"/>
        <w:rPr/>
      </w:pPr>
      <w:r>
        <w:rPr>
          <w:rFonts w:ascii="Times New Roman;sans-serif" w:hAnsi="Times New Roman;sans-serif"/>
          <w:b/>
          <w:color w:val="000000"/>
          <w:sz w:val="20"/>
        </w:rPr>
        <w:t xml:space="preserve">1.5Investments. </w:t>
      </w:r>
      <w:r>
        <w:rPr>
          <w:rFonts w:ascii="Times New Roman;sans-serif" w:hAnsi="Times New Roman;sans-serif"/>
          <w:b w:val="false"/>
          <w:color w:val="000000"/>
          <w:sz w:val="20"/>
        </w:rPr>
        <w:t>Neither Borrower nor any of its Subsidiaries owns any stock, shares, partnership interests or other equity securities except for Permitted Investments.</w:t>
      </w:r>
    </w:p>
    <w:p>
      <w:pPr>
        <w:pStyle w:val="TextBody"/>
        <w:bidi w:val="0"/>
        <w:spacing w:lineRule="auto" w:line="288" w:before="231" w:after="283"/>
        <w:ind w:left="0" w:right="0" w:firstLine="720"/>
        <w:jc w:val="both"/>
        <w:rPr/>
      </w:pPr>
      <w:r>
        <w:rPr>
          <w:rFonts w:ascii="Times New Roman;sans-serif" w:hAnsi="Times New Roman;sans-serif"/>
          <w:b/>
          <w:color w:val="000000"/>
          <w:sz w:val="20"/>
        </w:rPr>
        <w:t xml:space="preserve">1.6Tax Returns and Payments; Pension Contributions. </w:t>
      </w:r>
      <w:r>
        <w:rPr>
          <w:rFonts w:ascii="Times New Roman;sans-serif" w:hAnsi="Times New Roman;sans-serif"/>
          <w:b w:val="false"/>
          <w:color w:val="000000"/>
          <w:sz w:val="20"/>
        </w:rPr>
        <w:t>Borrower and each of its Subsidiaries has timely filed (or timely filed extensions to file) all required tax returns and reports, and Borrower and each of its Subsidiaries, has timely paid all foreign, federal, material state, and material local taxes, assessments, deposits and contributions owed by Borrower and such Subsidiaries, in all jurisdictions in which Borrower or any such Subsidiary is subject to taxes, including the United States, unless (a) such taxes are being contested in accordance with the following sentence or (b) in the case of material state and material local taxes, assessments, deposits and contributions owed do not, individually or in the aggregate, exceed One Hundred Thousand Dollars ($100,000.00). Borrower and each of its Subsidiaries, may defer payment of any contested taxes, provided that Borrower or such Subsidiary, (a) in good faith contests its obligation to pay the taxes by appropriate proceedings promptly and diligently instituted and conducted,</w:t>
      </w:r>
    </w:p>
    <w:p>
      <w:pPr>
        <w:pStyle w:val="TextBody"/>
        <w:bidi w:val="0"/>
        <w:spacing w:lineRule="auto" w:line="288" w:before="0" w:after="0"/>
        <w:jc w:val="both"/>
        <w:rPr/>
      </w:pPr>
      <w:r>
        <w:rPr>
          <w:rFonts w:ascii="Times New Roman;sans-serif" w:hAnsi="Times New Roman;sans-serif"/>
          <w:b w:val="false"/>
          <w:color w:val="000000"/>
          <w:sz w:val="20"/>
        </w:rPr>
        <w:t>(b)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Times New Roman;sans-serif" w:hAnsi="Times New Roman;sans-serif"/>
          <w:b/>
          <w:color w:val="000000"/>
          <w:sz w:val="20"/>
        </w:rPr>
        <w:t>Permitted Lien</w:t>
      </w:r>
      <w:r>
        <w:rPr>
          <w:rFonts w:ascii="Times New Roman;sans-serif" w:hAnsi="Times New Roman;sans-serif"/>
          <w:b w:val="false"/>
          <w:color w:val="000000"/>
          <w:sz w:val="20"/>
        </w:rPr>
        <w:t>.” Neither Borrower nor any of its Subsidiaries is aware of any claims or adjustments proposed for any of Borrower’s or such Subsidiaries’ prior tax years which could result in additional taxes in excess of One Hundred Thousand Dollars ($100,000.00)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pStyle w:val="TextBody"/>
        <w:bidi w:val="0"/>
        <w:spacing w:lineRule="auto" w:line="288" w:before="241" w:after="283"/>
        <w:ind w:left="0" w:right="0" w:firstLine="720"/>
        <w:jc w:val="both"/>
        <w:rPr/>
      </w:pPr>
      <w:r>
        <w:rPr>
          <w:rFonts w:ascii="Times New Roman;sans-serif" w:hAnsi="Times New Roman;sans-serif"/>
          <w:b/>
          <w:color w:val="000000"/>
          <w:sz w:val="20"/>
        </w:rPr>
        <w:t xml:space="preserve">1.7Use of Proceeds. </w:t>
      </w:r>
      <w:r>
        <w:rPr>
          <w:rFonts w:ascii="Times New Roman;sans-serif" w:hAnsi="Times New Roman;sans-serif"/>
          <w:b w:val="false"/>
          <w:color w:val="000000"/>
          <w:sz w:val="20"/>
        </w:rPr>
        <w:t>Borrower shall use the proceeds of the Credit Extensions solely as working capital and to fund its general business requirements in accordance with the provisions of this Agreement, and not for personal, family, household or agricultural purposes.</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1.8Shares. </w:t>
      </w:r>
      <w:r>
        <w:rPr>
          <w:rFonts w:ascii="Times New Roman;sans-serif" w:hAnsi="Times New Roman;sans-serif"/>
          <w:b w:val="false"/>
          <w:color w:val="000000"/>
          <w:sz w:val="20"/>
        </w:rPr>
        <w:t>Borrower has full power and authority to create a first lien on the Shares and no disability or contractual obligation exists that would 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as of the Effective Date, the Shares are not the subject of any present or threatened suit, action, arbitration, administrative or other proceeding, and Borrower knows of no reasonable grounds for the institution of any such proceedings.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36675"/>
                <wp:effectExtent l="0" t="0" r="0" b="0"/>
                <wp:wrapNone/>
                <wp:docPr id="85" name="Frame85"/>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firstLine="720"/>
        <w:jc w:val="both"/>
        <w:rPr/>
      </w:pPr>
      <w:r>
        <w:rPr>
          <w:rFonts w:ascii="Times New Roman;sans-serif" w:hAnsi="Times New Roman;sans-serif"/>
          <w:b/>
          <w:color w:val="000000"/>
          <w:sz w:val="20"/>
        </w:rPr>
        <w:t xml:space="preserve">1.9Full Disclosure. </w:t>
      </w:r>
      <w:r>
        <w:rPr>
          <w:rFonts w:ascii="Times New Roman;sans-serif" w:hAnsi="Times New Roman;sans-serif"/>
          <w:b w:val="false"/>
          <w:color w:val="000000"/>
          <w:sz w:val="20"/>
        </w:rPr>
        <w:t>No written representation, warranty or other statement of Borrower or any of its Subsidiaries in any certificate or written statement given in connection with the Loan Documents to Collateral Agent or any Lender, as of the date such representation, warranty, or other statement was made, taken together with all such written certificates and written statements given to Collateral Agent or any Lender, in each case, as such information may have heretofore been modified or supplemented by other information so furnished, contains any untrue statement of a material fact or omits to state a material fact necessary to make the statements contained in the certificates or statements not misleading in any material respect in light of the circumstances under which such statements were made (after giving effect to all supplements and updates thereto)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 and such difference may be material).</w:t>
      </w:r>
    </w:p>
    <w:p>
      <w:pPr>
        <w:pStyle w:val="TextBody"/>
        <w:bidi w:val="0"/>
        <w:spacing w:lineRule="auto" w:line="280" w:before="241" w:after="283"/>
        <w:ind w:left="0" w:right="0" w:firstLine="720"/>
        <w:jc w:val="both"/>
        <w:rPr/>
      </w:pPr>
      <w:r>
        <w:rPr>
          <w:rFonts w:ascii="Times New Roman;sans-serif" w:hAnsi="Times New Roman;sans-serif"/>
          <w:b/>
          <w:color w:val="000000"/>
          <w:sz w:val="20"/>
        </w:rPr>
        <w:t>1.10</w:t>
      </w:r>
      <w:r>
        <w:rPr>
          <w:color w:val="000000"/>
        </w:rPr>
        <w:t>“</w:t>
      </w:r>
      <w:r>
        <w:rPr>
          <w:rFonts w:ascii="Times New Roman;sans-serif" w:hAnsi="Times New Roman;sans-serif"/>
          <w:b/>
          <w:color w:val="000000"/>
          <w:sz w:val="20"/>
        </w:rPr>
        <w:t>Know Your Customer” Information</w:t>
      </w:r>
      <w:r>
        <w:rPr>
          <w:rFonts w:ascii="Times New Roman;sans-serif" w:hAnsi="Times New Roman;sans-serif"/>
          <w:b w:val="false"/>
          <w:color w:val="000000"/>
          <w:sz w:val="20"/>
        </w:rPr>
        <w:t>. All materials and information provided to Collateral Agent and Lenders in connection with applicable “know your customer” and Anti-Terrorism Laws are true and correct in all material respects.</w:t>
      </w:r>
    </w:p>
    <w:p>
      <w:pPr>
        <w:pStyle w:val="TextBody"/>
        <w:bidi w:val="0"/>
        <w:spacing w:lineRule="auto" w:line="288" w:before="232" w:after="283"/>
        <w:ind w:left="0" w:right="0" w:firstLine="720"/>
        <w:jc w:val="both"/>
        <w:rPr/>
      </w:pPr>
      <w:r>
        <w:rPr>
          <w:rFonts w:ascii="Times New Roman;sans-serif" w:hAnsi="Times New Roman;sans-serif"/>
          <w:b/>
          <w:color w:val="000000"/>
          <w:sz w:val="20"/>
        </w:rPr>
        <w:t xml:space="preserve">1.11Definition of </w:t>
      </w:r>
      <w:r>
        <w:rPr>
          <w:color w:val="000000"/>
        </w:rPr>
        <w:t>“</w:t>
      </w:r>
      <w:r>
        <w:rPr>
          <w:rFonts w:ascii="Times New Roman;sans-serif" w:hAnsi="Times New Roman;sans-serif"/>
          <w:b/>
          <w:color w:val="000000"/>
          <w:sz w:val="20"/>
        </w:rPr>
        <w:t>Knowledge.</w:t>
      </w:r>
      <w:r>
        <w:rPr>
          <w:color w:val="000000"/>
        </w:rPr>
        <w:t xml:space="preserve">” </w:t>
      </w:r>
      <w:r>
        <w:rPr>
          <w:rFonts w:ascii="Times New Roman;sans-serif" w:hAnsi="Times New Roman;sans-serif"/>
          <w:b w:val="false"/>
          <w:color w:val="000000"/>
          <w:sz w:val="20"/>
        </w:rPr>
        <w:t>For purposes of the Loan Documents, whenever a representation or warranty is made to Borrower’s knowledge or awareness, to the “best of” Borrower’s knowledge, or with a similar qualification, knowledge or awareness means the actual knowledge, after reasonable investigation, of the Responsible Officers.</w:t>
      </w:r>
    </w:p>
    <w:p>
      <w:pPr>
        <w:pStyle w:val="TextBody"/>
        <w:bidi w:val="0"/>
        <w:spacing w:lineRule="auto" w:line="288" w:before="243" w:after="283"/>
        <w:ind w:left="0" w:right="0" w:hanging="719"/>
        <w:jc w:val="left"/>
        <w:rPr/>
      </w:pPr>
      <w:r>
        <w:rPr>
          <w:rFonts w:ascii="Times New Roman;sans-serif" w:hAnsi="Times New Roman;sans-serif"/>
          <w:b/>
          <w:color w:val="000000"/>
          <w:sz w:val="20"/>
        </w:rPr>
        <w:t>6.</w:t>
      </w:r>
      <w:r>
        <w:rPr>
          <w:rFonts w:ascii="Times New Roman;sans-serif" w:hAnsi="Times New Roman;sans-serif"/>
          <w:b/>
          <w:color w:val="000000"/>
          <w:sz w:val="20"/>
          <w:u w:val="single"/>
        </w:rPr>
        <w:t>AFFIRMATIVE COVENANTS</w:t>
      </w:r>
    </w:p>
    <w:p>
      <w:pPr>
        <w:pStyle w:val="TextBody"/>
        <w:bidi w:val="0"/>
        <w:spacing w:lineRule="auto" w:line="288" w:before="239"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Each Loan Party shall do all of the following:</w:t>
      </w:r>
    </w:p>
    <w:p>
      <w:pPr>
        <w:pStyle w:val="TextBody"/>
        <w:bidi w:val="0"/>
        <w:spacing w:lineRule="auto" w:line="288" w:before="241" w:after="283"/>
        <w:ind w:left="0" w:right="0" w:hanging="719"/>
        <w:jc w:val="left"/>
        <w:rPr>
          <w:rFonts w:ascii="Times New Roman;sans-serif" w:hAnsi="Times New Roman;sans-serif"/>
          <w:b/>
          <w:color w:val="000000"/>
          <w:sz w:val="20"/>
        </w:rPr>
      </w:pPr>
      <w:r>
        <w:rPr>
          <w:rFonts w:ascii="Times New Roman;sans-serif" w:hAnsi="Times New Roman;sans-serif"/>
          <w:b/>
          <w:color w:val="000000"/>
          <w:sz w:val="20"/>
        </w:rPr>
        <w:t>1.1Government Compliance.</w:t>
      </w:r>
    </w:p>
    <w:p>
      <w:pPr>
        <w:pStyle w:val="TextBody"/>
        <w:bidi w:val="0"/>
        <w:spacing w:lineRule="auto" w:line="288" w:before="237" w:after="283"/>
        <w:ind w:left="0" w:right="0" w:firstLine="1440"/>
        <w:jc w:val="both"/>
        <w:rPr/>
      </w:pPr>
      <w:r>
        <w:rPr>
          <w:rFonts w:ascii="Times New Roman;sans-serif" w:hAnsi="Times New Roman;sans-serif"/>
          <w:b w:val="false"/>
          <w:color w:val="000000"/>
          <w:sz w:val="20"/>
        </w:rPr>
        <w:t xml:space="preserve">(a)Maintain its and, except as permitted by the second sentence of </w:t>
      </w:r>
      <w:r>
        <w:rPr>
          <w:rFonts w:ascii="Times New Roman;sans-serif" w:hAnsi="Times New Roman;sans-serif"/>
          <w:b w:val="false"/>
          <w:color w:val="000000"/>
          <w:sz w:val="20"/>
          <w:u w:val="single"/>
        </w:rPr>
        <w:t>Section 7.3</w:t>
      </w:r>
      <w:r>
        <w:rPr>
          <w:rFonts w:ascii="Times New Roman;sans-serif" w:hAnsi="Times New Roman;sans-serif"/>
          <w:b w:val="false"/>
          <w:color w:val="000000"/>
          <w:sz w:val="20"/>
        </w:rPr>
        <w:t>,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notify Collateral Agent of any material Governmental Approvals obtained by Borrower or any of its Subsidiaries and, upon Collateral Agent’s request, provide copies of such Governmental Approvals to Collateral Agent.</w:t>
      </w:r>
    </w:p>
    <w:p>
      <w:pPr>
        <w:pStyle w:val="TextBody"/>
        <w:bidi w:val="0"/>
        <w:spacing w:lineRule="auto" w:line="288" w:before="243" w:after="283"/>
        <w:ind w:left="0" w:right="0" w:hanging="719"/>
        <w:jc w:val="left"/>
        <w:rPr>
          <w:rFonts w:ascii="Times New Roman;sans-serif" w:hAnsi="Times New Roman;sans-serif"/>
          <w:b/>
          <w:color w:val="000000"/>
          <w:sz w:val="20"/>
        </w:rPr>
      </w:pPr>
      <w:r>
        <w:rPr>
          <w:rFonts w:ascii="Times New Roman;sans-serif" w:hAnsi="Times New Roman;sans-serif"/>
          <w:b/>
          <w:color w:val="000000"/>
          <w:sz w:val="20"/>
        </w:rPr>
        <w:t>1.2Financial Statements, Reports, Certificates.</w:t>
      </w:r>
    </w:p>
    <w:p>
      <w:pPr>
        <w:pStyle w:val="TextBody"/>
        <w:bidi w:val="0"/>
        <w:spacing w:lineRule="auto" w:line="288" w:before="239"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(a)Deliver to Collateral Agent:</w:t>
      </w:r>
    </w:p>
    <w:p>
      <w:pPr>
        <w:pStyle w:val="TextBody"/>
        <w:bidi w:val="0"/>
        <w:spacing w:lineRule="auto" w:line="288" w:before="240"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(i)as soon as available, but no later than forty-five (45) days (or such later date as Collateral Agent may agree in its sole discretion) after the last day of the first three (3) fiscal quarters of the Borrower’s fiscal year, a company prepared consolidated and consolidating balance sheet, income statement and cash flow statement covering the consolidated operations of Borrower and its Subsidiaries for such fiscal quarter, all in reasonable detail and prepared in accordance with GAAP, certified by a</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36675"/>
                <wp:effectExtent l="0" t="0" r="0" b="0"/>
                <wp:wrapNone/>
                <wp:docPr id="86" name="Frame86"/>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Responsible Officer and in a form reasonably acceptable to Collateral Agent (it being agreed that the financial statements delivered by the Borrower to the Collateral Agent prior to the Effective Date are in a form acceptable to the Collateral Agent), of Borrower as fairly presenting the financial condition of Borrower and its Subsidiaries in all material respects, subject only to normal year-end audit adjustments and the absence of footnotes;</w:t>
      </w:r>
    </w:p>
    <w:p>
      <w:pPr>
        <w:pStyle w:val="TextBody"/>
        <w:bidi w:val="0"/>
        <w:spacing w:lineRule="auto" w:line="288" w:before="240"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(ii)as soon as available, but no later than ninety (90) days (or such later date as Collateral Agent may agree in its sole discretion) after the last day of Borrower’s fiscal year or within five (5) Business Days (or such later date as the Collateral Agent may agree in its sole discretion) of filing with the Securities and Exchange Commission, audited consolidated financial statements all in reasonable detail and prepared in accordance with GAAP, audited and accompanied by a report and opinion of an independent certified public accountant of nationally recognized standing reasonably acceptable to Collateral Agent (it being understood and agreed that Deloitte Touche Tohmatsu Limited is acceptable), which report and opinion shall be prepared in accordance with generally accepted auditing standards and shall not be subject to any “going concern” or like qualification or exception or any qualification or exception as to the scope of such audit, other than a going concern exception or explanatory note resulting</w:t>
      </w:r>
    </w:p>
    <w:p>
      <w:pPr>
        <w:pStyle w:val="TextBody"/>
        <w:bidi w:val="0"/>
        <w:spacing w:lineRule="auto" w:line="28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solely from the Maturity Date occurring within one year of such audit report or (b) a going concern qualification typical for a venture capital backed company similar to Borrower;</w:t>
      </w:r>
    </w:p>
    <w:p>
      <w:pPr>
        <w:pStyle w:val="TextBody"/>
        <w:bidi w:val="0"/>
        <w:spacing w:lineRule="auto" w:line="288" w:before="230" w:after="283"/>
        <w:ind w:left="0" w:right="0" w:firstLine="2160"/>
        <w:jc w:val="both"/>
        <w:rPr/>
      </w:pPr>
      <w:r>
        <w:rPr>
          <w:rFonts w:ascii="Times New Roman;sans-serif" w:hAnsi="Times New Roman;sans-serif"/>
          <w:b w:val="false"/>
          <w:color w:val="000000"/>
          <w:sz w:val="20"/>
        </w:rPr>
        <w:t>(iii)as soon as available after approval thereof by Borrower’s Board of Directors, but no later than thirty (30) days (or such later date as the Collateral Agent may agree in its sole discretion) after the last day of each fiscal year of Borrower, Borrower’s annual financial projections for the entire current fiscal year as approved by Borrower’s Board of Directors, which such annual financial projections shall be set forth in a quarter-by-quarter format (such annual financial projections as delivered to Collateral Agent and the Lenders are referred to herein as the “</w:t>
      </w:r>
      <w:r>
        <w:rPr>
          <w:rFonts w:ascii="Times New Roman;sans-serif" w:hAnsi="Times New Roman;sans-serif"/>
          <w:b/>
          <w:color w:val="000000"/>
          <w:sz w:val="20"/>
        </w:rPr>
        <w:t>Annual Projections</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any revisions of the Annual Projections approved by Borrower’s Board of Directors shall be delivered to Collateral Agent and the Lenders no later than seven (7) days after such approval);</w:t>
      </w:r>
    </w:p>
    <w:p>
      <w:pPr>
        <w:pStyle w:val="TextBody"/>
        <w:bidi w:val="0"/>
        <w:spacing w:lineRule="auto" w:line="288" w:before="240"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(iv)within five (5) Business Days of delivery, copies of all non-ministerial statements, reports and notices made available to Borrower’s security holders or holders of Subordinated Debt, in such holders’ capacities as security holders or holders of Subordinated Debt;</w:t>
      </w:r>
    </w:p>
    <w:p>
      <w:pPr>
        <w:pStyle w:val="TextBody"/>
        <w:bidi w:val="0"/>
        <w:spacing w:lineRule="auto" w:line="283" w:before="239"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(v)within five (5) Business Days of filing, all reports on Form 10 K, 10 Q and 8 K filed with the Securities and Exchange Commission;</w:t>
      </w:r>
    </w:p>
    <w:p>
      <w:pPr>
        <w:pStyle w:val="TextBody"/>
        <w:bidi w:val="0"/>
        <w:spacing w:lineRule="auto" w:line="288" w:before="231"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(vi)prompt notice of (y) in the event that Borrower is no longer subject to reporting requirements under the Securities Exchange Act of 1934, as amended, any material change to the capitalization table of Borrower, and (z) any amendments of the Operating Documents of Borrower or any of its Subsidiaries, together with any copies reflecting such amendments or changes with respect thereto;</w:t>
      </w:r>
    </w:p>
    <w:p>
      <w:pPr>
        <w:pStyle w:val="TextBody"/>
        <w:bidi w:val="0"/>
        <w:spacing w:lineRule="auto" w:line="288" w:before="241"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(vii)prompt notice of any event that could reasonably be expected to materially and adversely affect the value of the Intellectual Property;</w:t>
      </w:r>
    </w:p>
    <w:p>
      <w:pPr>
        <w:pStyle w:val="TextBody"/>
        <w:bidi w:val="0"/>
        <w:spacing w:lineRule="auto" w:line="288" w:before="240"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(viii)as soon as available, but no later than thirty (30) days (or such later date as the Collateral Agent may agree in its sole discretion) after the last day of each month, copies of the month end account statements for each Collateral Account maintained by Borrower or its Subsidiaries which statements may be provided to Collateral Agent by Borrower or directly from the applicable institution(s);</w:t>
      </w:r>
    </w:p>
    <w:p>
      <w:pPr>
        <w:pStyle w:val="TextBody"/>
        <w:bidi w:val="0"/>
        <w:spacing w:lineRule="auto" w:line="283" w:before="239"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(ix)no later than ten (10) Business Days after any Key Person ceases to be actively engaged in the management of Borrower, written notice of such change;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36675"/>
                <wp:effectExtent l="0" t="0" r="0" b="0"/>
                <wp:wrapNone/>
                <wp:docPr id="87" name="Frame87"/>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(x)promptly, after Borrower or any its Subsidiaries obtains knowledge thereof, notice of any Liens which have been levied or claims made against Borrower or any of its Subsidiaries relating to unpaid employee payroll or benefits; and</w:t>
      </w:r>
    </w:p>
    <w:p>
      <w:pPr>
        <w:pStyle w:val="TextBody"/>
        <w:bidi w:val="0"/>
        <w:spacing w:lineRule="auto" w:line="288" w:before="232"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(xi)other information as reasonably requested by Collateral Agent or any</w:t>
      </w:r>
    </w:p>
    <w:p>
      <w:pPr>
        <w:pStyle w:val="TextBody"/>
        <w:bidi w:val="0"/>
        <w:spacing w:lineRule="auto" w:line="288"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Lender.</w:t>
      </w:r>
    </w:p>
    <w:p>
      <w:pPr>
        <w:pStyle w:val="TextBody"/>
        <w:bidi w:val="0"/>
        <w:spacing w:lineRule="auto" w:line="288" w:before="237"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documents required to be delivered pursuant to the terms hereof (to the extent any such documents are included in materials otherwise filed with the Securities and Exchange Commission) may be delivered electronically and if so delivered, shall be deemed to have been delivered on the date on which Borrower posts such documents, or provides a link thereto, on Borrower’s website on the internet at Borrower’s website address.</w:t>
      </w:r>
    </w:p>
    <w:p>
      <w:pPr>
        <w:pStyle w:val="TextBody"/>
        <w:bidi w:val="0"/>
        <w:spacing w:lineRule="auto" w:line="280" w:before="240" w:after="283"/>
        <w:ind w:left="0" w:right="0" w:firstLine="1440"/>
        <w:jc w:val="both"/>
        <w:rPr/>
      </w:pPr>
      <w:r>
        <w:rPr>
          <w:rFonts w:ascii="Times New Roman;sans-serif" w:hAnsi="Times New Roman;sans-serif"/>
          <w:b w:val="false"/>
          <w:color w:val="000000"/>
          <w:sz w:val="20"/>
        </w:rPr>
        <w:t xml:space="preserve">(b)Concurrently with the delivery of the financial statements specified in </w:t>
      </w:r>
      <w:r>
        <w:rPr>
          <w:rFonts w:ascii="Times New Roman;sans-serif" w:hAnsi="Times New Roman;sans-serif"/>
          <w:b w:val="false"/>
          <w:color w:val="000000"/>
          <w:sz w:val="20"/>
          <w:u w:val="single"/>
        </w:rPr>
        <w:t>Section 6.2(a)(i)</w:t>
      </w:r>
      <w:r>
        <w:rPr>
          <w:rFonts w:ascii="Times New Roman;sans-serif" w:hAnsi="Times New Roman;sans-serif"/>
          <w:b w:val="false"/>
          <w:color w:val="000000"/>
          <w:sz w:val="20"/>
        </w:rPr>
        <w:t>-</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above, deliver to Collateral Agent, a duly completed Compliance Certificate signed by a Responsible Officer.</w:t>
      </w:r>
    </w:p>
    <w:p>
      <w:pPr>
        <w:pStyle w:val="TextBody"/>
        <w:bidi w:val="0"/>
        <w:spacing w:lineRule="auto" w:line="288" w:before="232"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(c)Keep proper books of record and account in accordance with GAAP in all material respects, in which full, true and correct entries shall be made of all dealings and transactions in relation to its business and activities. Borrower shall, and shall cause each of its Subsidiaries to, allow, at the sole cost of Borrower, Collateral Agent or any Lender, during regular business hours upon reasonable prior notice (provided that no notice shall be required when an Event of Default has occurred and is continuing), to visit and inspect any of its properties, to examine and make abstracts or copies from any of its books and records, and to conduct a collateral audit and analysis of its operations and the Collateral. Such audits shall be conducted no more often than once per calendar year; provided, that when an Event of Default exists Collateral Agent (or any of its respective representatives or independent contractors) may do any of the foregoing at the expense of Borrower at any time during normal business hours and without advance notice.</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1.3Inventory; Returns. </w:t>
      </w:r>
      <w:r>
        <w:rPr>
          <w:rFonts w:ascii="Times New Roman;sans-serif" w:hAnsi="Times New Roman;sans-serif"/>
          <w:b w:val="false"/>
          <w:color w:val="000000"/>
          <w:sz w:val="20"/>
        </w:rPr>
        <w:t>Keep all Inventory of the Loan Parties and their Subsidiaries in good and marketable condition, free from material defects except for Inventory for which adequate reserves have been made. Returns and allowances between Borrower, or any of its Subsidiaries, and their respective Account Debtors shall follow Borrower’s, or such Subsidiary’s, customary practices as they exist at the Effective Date. Borrower shall promptly notify Collateral Agent of all returns, recoveries, disputes and claims that involve more than Five Hundred Thousand Dollars ($500,000.00) individually or in the aggregate in any calendar year.</w:t>
      </w:r>
    </w:p>
    <w:p>
      <w:pPr>
        <w:pStyle w:val="TextBody"/>
        <w:bidi w:val="0"/>
        <w:spacing w:lineRule="auto" w:line="288" w:before="241" w:after="283"/>
        <w:ind w:left="0" w:right="0" w:firstLine="720"/>
        <w:jc w:val="both"/>
        <w:rPr/>
      </w:pPr>
      <w:r>
        <w:rPr>
          <w:rFonts w:ascii="Times New Roman;sans-serif" w:hAnsi="Times New Roman;sans-serif"/>
          <w:b/>
          <w:color w:val="000000"/>
          <w:sz w:val="20"/>
        </w:rPr>
        <w:t xml:space="preserve">1.4Taxes; Pensions. </w:t>
      </w:r>
      <w:r>
        <w:rPr>
          <w:rFonts w:ascii="Times New Roman;sans-serif" w:hAnsi="Times New Roman;sans-serif"/>
          <w:b w:val="false"/>
          <w:color w:val="000000"/>
          <w:sz w:val="20"/>
        </w:rPr>
        <w:t xml:space="preserve">Timely file and require each of its Subsidiaries to timely file, all required tax returns and reports and timely pay, and require each of its Subsidiaries to timely file, all foreign, federal, material state, and material local taxes, assessments, deposits and contributions owed by Borrower or its Subsidiaries, except for deferred payment of any taxes contested pursuant to the terms of </w:t>
      </w:r>
      <w:r>
        <w:rPr>
          <w:rFonts w:ascii="Times New Roman;sans-serif" w:hAnsi="Times New Roman;sans-serif"/>
          <w:b w:val="false"/>
          <w:color w:val="000000"/>
          <w:sz w:val="20"/>
          <w:u w:val="single"/>
        </w:rPr>
        <w:t>Section 5.8</w:t>
      </w:r>
      <w:r>
        <w:rPr>
          <w:color w:val="000000"/>
        </w:rPr>
        <w:t xml:space="preserve"> </w:t>
      </w:r>
      <w:r>
        <w:rPr>
          <w:rFonts w:ascii="Times New Roman;sans-serif" w:hAnsi="Times New Roman;sans-serif"/>
          <w:b w:val="false"/>
          <w:color w:val="000000"/>
          <w:sz w:val="20"/>
        </w:rPr>
        <w:t>hereof, and shall deliver to Lenders, on demand, appropriate certificates attesting to such payments, and pay all amounts necessary to fund all present pension, profit sharing and deferred compensation plans in accordance with the terms of such plans; provided that, as used herein, “material state, and material local Taxes, assessments, deposits and contributions” mean those, individually or in the aggregate, equal to or exceed One Hundred Thousand Dollars ($100,000.00).</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1.5Insurance. </w:t>
      </w:r>
      <w:r>
        <w:rPr>
          <w:rFonts w:ascii="Times New Roman;sans-serif" w:hAnsi="Times New Roman;sans-serif"/>
          <w:b w:val="false"/>
          <w:color w:val="000000"/>
          <w:sz w:val="20"/>
        </w:rPr>
        <w:t>Keep Borrower and its Subsidiaries’ business and the Collateral insured for risks and in amounts standard for companies in Borrower and its Subsidiaries’ industry and location and as Collateral Agent may reasonably request. Insurance policies shall be in a form, with companies, and in amounts that are reasonably satisfactory to Collateral Agent and Lenders. Subject to the Post-Closing Letter, all of the Loan Parties’ property policies shall have a lender’s loss payable endorsement showing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36675"/>
                <wp:effectExtent l="0" t="0" r="0" b="0"/>
                <wp:wrapNone/>
                <wp:docPr id="88" name="Frame88"/>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Collateral Agent as lender loss payee and waive subrogation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subject to the Post-Closing Letter, by endorsement upon the policy or policies issued by it or by independent instruments furnished to the Collateral Agent, that it will give the Collateral Agent thirty (30) days prior written notice before any such policy or policies shall be materially altered or canceled. At Collateral Agent’s request, Borrower shall deliver certified copies of policies and evidence of all premium payments. Proceeds payable under any policy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One Million Dollars ($1,000,000.00) with respect to any loss, but not exceeding One Million Dollars ($1,000,000.00), in the aggregate for all losses under all casualty policies in any one year, toward the replacement or repair of destroyed or damaged property; provided that any such replaced or repaired property (i) shall be of equal or like value as the replaced or repaired Collateral and</w:t>
      </w:r>
    </w:p>
    <w:p>
      <w:pPr>
        <w:pStyle w:val="TextBody"/>
        <w:bidi w:val="0"/>
        <w:spacing w:lineRule="auto" w:line="288" w:before="0" w:after="0"/>
        <w:jc w:val="both"/>
        <w:rPr/>
      </w:pPr>
      <w:r>
        <w:rPr>
          <w:rFonts w:ascii="Times New Roman;sans-serif" w:hAnsi="Times New Roman;sans-serif"/>
          <w:b w:val="false"/>
          <w:color w:val="000000"/>
          <w:sz w:val="20"/>
        </w:rPr>
        <w:t xml:space="preserve">(ii)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w:t>
      </w:r>
      <w:r>
        <w:rPr>
          <w:rFonts w:ascii="Times New Roman;sans-serif" w:hAnsi="Times New Roman;sans-serif"/>
          <w:b w:val="false"/>
          <w:color w:val="000000"/>
          <w:sz w:val="20"/>
          <w:u w:val="single"/>
        </w:rPr>
        <w:t>Section 6.5</w:t>
      </w:r>
      <w:r>
        <w:rPr>
          <w:color w:val="000000"/>
        </w:rPr>
        <w:t xml:space="preserve"> </w:t>
      </w:r>
      <w:r>
        <w:rPr>
          <w:rFonts w:ascii="Times New Roman;sans-serif" w:hAnsi="Times New Roman;sans-serif"/>
          <w:b w:val="false"/>
          <w:color w:val="000000"/>
          <w:sz w:val="20"/>
        </w:rPr>
        <w:t xml:space="preserve">or to pay any amount or furnish any required proof of payment to third persons, Collateral Agent and/or any Lender may make, at Borrower’s expense, all or part of such payment or obtain such insurance policies required in this </w:t>
      </w:r>
      <w:r>
        <w:rPr>
          <w:rFonts w:ascii="Times New Roman;sans-serif" w:hAnsi="Times New Roman;sans-serif"/>
          <w:b w:val="false"/>
          <w:color w:val="000000"/>
          <w:sz w:val="20"/>
          <w:u w:val="single"/>
        </w:rPr>
        <w:t>Section 6.5</w:t>
      </w:r>
      <w:r>
        <w:rPr>
          <w:rFonts w:ascii="Times New Roman;sans-serif" w:hAnsi="Times New Roman;sans-serif"/>
          <w:b w:val="false"/>
          <w:color w:val="000000"/>
          <w:sz w:val="20"/>
        </w:rPr>
        <w:t>, and take any action under the policies Collateral Agent or such Lender deems prudent.</w:t>
      </w:r>
    </w:p>
    <w:p>
      <w:pPr>
        <w:pStyle w:val="TextBody"/>
        <w:bidi w:val="0"/>
        <w:spacing w:lineRule="auto" w:line="288" w:before="242" w:after="283"/>
        <w:ind w:left="0" w:right="0" w:hanging="719"/>
        <w:jc w:val="left"/>
        <w:rPr>
          <w:rFonts w:ascii="Times New Roman;sans-serif" w:hAnsi="Times New Roman;sans-serif"/>
          <w:b/>
          <w:color w:val="000000"/>
          <w:sz w:val="20"/>
        </w:rPr>
      </w:pPr>
      <w:r>
        <w:rPr>
          <w:rFonts w:ascii="Times New Roman;sans-serif" w:hAnsi="Times New Roman;sans-serif"/>
          <w:b/>
          <w:color w:val="000000"/>
          <w:sz w:val="20"/>
        </w:rPr>
        <w:t>1.6Operating Accounts.</w:t>
      </w:r>
    </w:p>
    <w:p>
      <w:pPr>
        <w:pStyle w:val="TextBody"/>
        <w:bidi w:val="0"/>
        <w:spacing w:lineRule="auto" w:line="288" w:before="239" w:after="283"/>
        <w:ind w:left="0" w:right="0" w:firstLine="1440"/>
        <w:jc w:val="both"/>
        <w:rPr/>
      </w:pPr>
      <w:r>
        <w:rPr>
          <w:rFonts w:ascii="Times New Roman;sans-serif" w:hAnsi="Times New Roman;sans-serif"/>
          <w:b w:val="false"/>
          <w:color w:val="000000"/>
          <w:sz w:val="20"/>
        </w:rPr>
        <w:t xml:space="preserve">(a)Maintain all of Borrower’s and its Subsidiaries’ Collateral Accounts at the banks and financial institutions as disclosed in the Perfection Certificates delivered on the Effective Date; provided that if Borrower desires to establish a Collateral Account with any bank or financial institution that is not disclosed in the Perfection Certificate delivered on the Effective Date, (i) such Person shall be acceptable to Collateral Agent in its reasonable discretion (except for a new Excluded Account as Collateral Agent will not need to approve the bank or financial institution at which such new Excluded Account is maintained) and (ii) Borrower shall be in compliance with the requirements of </w:t>
      </w:r>
      <w:r>
        <w:rPr>
          <w:rFonts w:ascii="Times New Roman;sans-serif" w:hAnsi="Times New Roman;sans-serif"/>
          <w:b w:val="false"/>
          <w:color w:val="000000"/>
          <w:sz w:val="20"/>
          <w:u w:val="single"/>
        </w:rPr>
        <w:t>Section 6.6(b)</w:t>
      </w:r>
      <w:r>
        <w:rPr>
          <w:rFonts w:ascii="Times New Roman;sans-serif" w:hAnsi="Times New Roman;sans-serif"/>
          <w:b w:val="false"/>
          <w:color w:val="000000"/>
          <w:sz w:val="20"/>
        </w:rPr>
        <w:t xml:space="preserve">; provided further that, subject to the Post-Closing Letter, such Loan Parties’ Collateral Accounts (other than the Excluded Accounts) shall at all times be subject to a Control Agreement or other appropriate instrument under applicable law in favor of Collateral Agent with respect to any such Collateral Accounts to perfect Collateral Agent’s Lien in such Collateral Accounts in accordance with the terms hereunder and provide Collateral Agent with the ability to assert control with respect thereto. Notwithstanding the foregoing, until all Collateral Accounts (other than Excluded Accounts) in existence on the Effective Date are subject to a Control Agreement in favor of the Collateral Agent in accordance with the terms of this </w:t>
      </w:r>
      <w:r>
        <w:rPr>
          <w:rFonts w:ascii="Times New Roman;sans-serif" w:hAnsi="Times New Roman;sans-serif"/>
          <w:b w:val="false"/>
          <w:color w:val="000000"/>
          <w:sz w:val="20"/>
          <w:u w:val="single"/>
        </w:rPr>
        <w:t>Section 6.6</w:t>
      </w:r>
      <w:r>
        <w:rPr>
          <w:color w:val="000000"/>
        </w:rPr>
        <w:t xml:space="preserve"> </w:t>
      </w:r>
      <w:r>
        <w:rPr>
          <w:rFonts w:ascii="Times New Roman;sans-serif" w:hAnsi="Times New Roman;sans-serif"/>
          <w:b w:val="false"/>
          <w:color w:val="000000"/>
          <w:sz w:val="20"/>
        </w:rPr>
        <w:t>and the Post Closing Letter, the Designated Deposit Account shall maintain funds of not less than an amount equal to the aggregate principal amount of Term Loans which have been funded.</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(b)Borrower shall provide Collateral Agent five (5) days’ prior written notice before Borrower or any of its Subsidiaries establishes any Collateral Account, other than Excluded Accounts, at or with any Person following the Effective Date. In addition, for each Collateral Account that a Loan Party at any time maintains, such Loan Party shall cause the applicable bank or financial institution at or with which such Collateral Account is maintained to execute and deliver a Control Agreement or other appropriate instrument under applicable law with respect to such Collateral Account to perfect Collateral Agent’s Lien in such Collateral Account in accordance with the terms hereunder and provide Collateral Agent with the ability to assert control with respect thereto prior to the establishment of such Collateral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36675"/>
                <wp:effectExtent l="0" t="0" r="0" b="0"/>
                <wp:wrapNone/>
                <wp:docPr id="89" name="Frame89"/>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 which Control Agreement or other appropriate instrument under applicable law may not be terminated without prior written consent of Collateral Agent. The provisions of the previous sentence shall not apply to Excluded Accounts.</w:t>
      </w:r>
    </w:p>
    <w:p>
      <w:pPr>
        <w:pStyle w:val="TextBody"/>
        <w:bidi w:val="0"/>
        <w:spacing w:lineRule="auto" w:line="283" w:before="232" w:after="283"/>
        <w:ind w:left="0" w:right="0" w:firstLine="1440"/>
        <w:jc w:val="both"/>
        <w:rPr/>
      </w:pPr>
      <w:r>
        <w:rPr>
          <w:rFonts w:ascii="Times New Roman;sans-serif" w:hAnsi="Times New Roman;sans-serif"/>
          <w:b w:val="false"/>
          <w:color w:val="000000"/>
          <w:sz w:val="20"/>
        </w:rPr>
        <w:t xml:space="preserve">(c)Neither Borrower nor any of its Subsidiaries shall maintain any Collateral Accounts except Collateral Accounts maintained in accordance with </w:t>
      </w:r>
      <w:r>
        <w:rPr>
          <w:rFonts w:ascii="Times New Roman;sans-serif" w:hAnsi="Times New Roman;sans-serif"/>
          <w:b w:val="false"/>
          <w:color w:val="000000"/>
          <w:sz w:val="20"/>
          <w:u w:val="single"/>
        </w:rPr>
        <w:t>Sections 6.6(a)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w:t>
      </w:r>
    </w:p>
    <w:p>
      <w:pPr>
        <w:pStyle w:val="TextBody"/>
        <w:bidi w:val="0"/>
        <w:spacing w:lineRule="auto" w:line="276" w:before="231" w:after="283"/>
        <w:ind w:left="0" w:right="0" w:hanging="719"/>
        <w:jc w:val="both"/>
        <w:rPr/>
      </w:pPr>
      <w:r>
        <w:rPr>
          <w:rFonts w:ascii="Times New Roman;sans-serif" w:hAnsi="Times New Roman;sans-serif"/>
          <w:b/>
          <w:color w:val="000000"/>
          <w:sz w:val="20"/>
        </w:rPr>
        <w:t xml:space="preserve">1.7Protection of Intellectual Property Rights. </w:t>
      </w:r>
      <w:r>
        <w:rPr>
          <w:rFonts w:ascii="Times New Roman;sans-serif" w:hAnsi="Times New Roman;sans-serif"/>
          <w:b w:val="false"/>
          <w:color w:val="000000"/>
          <w:sz w:val="20"/>
        </w:rPr>
        <w:t>Borrower and each of its Subsidiaries shall:</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use commercially reasonable efforts to protect, defend and maintain the validity and enforceability of its Intellectual Property that is material to Borrower’s business; (b) promptly, after Borrower or any of its Subsidiaries obtains knowledge thereof,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1.8Litigation Cooperation. </w:t>
      </w:r>
      <w:r>
        <w:rPr>
          <w:rFonts w:ascii="Times New Roman;sans-serif" w:hAnsi="Times New Roman;sans-serif"/>
          <w:b w:val="false"/>
          <w:color w:val="000000"/>
          <w:sz w:val="20"/>
        </w:rPr>
        <w:t>Commencing on the Effective Date and continuing through the termination of this Agreement, make available to 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1.9Notices of Litigation and Default. </w:t>
      </w:r>
      <w:r>
        <w:rPr>
          <w:rFonts w:ascii="Times New Roman;sans-serif" w:hAnsi="Times New Roman;sans-serif"/>
          <w:b w:val="false"/>
          <w:color w:val="000000"/>
          <w:sz w:val="20"/>
        </w:rPr>
        <w:t>Borrower will give prompt written notice to Collateral Agent of any litigation or governmental proceedings pending or threatened (in writing) against Borrower or any of its Subsidiaries, which could reasonably be expected to result in damages or costs to Borrower or any of its Subsidiaries of Five Hundred Thousand Dollars ($500,000.00)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pStyle w:val="TextBody"/>
        <w:bidi w:val="0"/>
        <w:spacing w:lineRule="auto" w:line="288" w:before="244" w:after="283"/>
        <w:ind w:left="0" w:right="0" w:hanging="719"/>
        <w:jc w:val="both"/>
        <w:rPr>
          <w:rFonts w:ascii="Times New Roman;sans-serif" w:hAnsi="Times New Roman;sans-serif"/>
          <w:b/>
          <w:color w:val="000000"/>
          <w:sz w:val="20"/>
        </w:rPr>
      </w:pPr>
      <w:r>
        <w:rPr>
          <w:rFonts w:ascii="Times New Roman;sans-serif" w:hAnsi="Times New Roman;sans-serif"/>
          <w:b/>
          <w:color w:val="000000"/>
          <w:sz w:val="20"/>
        </w:rPr>
        <w:t>1.10Financial Covenant.</w:t>
      </w:r>
    </w:p>
    <w:p>
      <w:pPr>
        <w:pStyle w:val="TextBody"/>
        <w:bidi w:val="0"/>
        <w:spacing w:lineRule="auto" w:line="288" w:before="237"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(a)Minimum Cash. Upon the occurrence of the Minimum Cash Trigger Event, and at all such times thereafter when Borrower’s Market Capitalization is not equal to or greater than Eight Hundred Million Dollars ($800,000,000.00), Borrower shall, subject to the immediately succeeding paragraph, maintain unrestricted cash, in Collateral Accounts subject to a Control Agreement in favor of Collateral Agent, in an amount equal to or greater than fifty percent (50%) the aggregate principal amount of Term Loans at any time currently outstanding.</w:t>
      </w:r>
    </w:p>
    <w:p>
      <w:pPr>
        <w:pStyle w:val="TextBody"/>
        <w:bidi w:val="0"/>
        <w:spacing w:lineRule="auto" w:line="288" w:before="24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if promptly following (and in no event later than two (2) Business Days thereafter) the occurrence of the Minimum Cash Trigger Event, Borrower prepays fifty percent (50%) of the aggregate principal amount of Term Loans then currently outstanding (and in accordance with Section 2.2(d) hereof), then the aforementioned “Minimum Cash” covenant shall not apply.</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(b)Intellectual Property Lien. No later than the date on which the aggregate original principal amount of Term Loans advanced by the Lenders outstanding under this Agreement is greater than Fifty Million Dollars ($50,000,000.00) (or such later date as the Collateral Agent may agree in its sole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36675"/>
                <wp:effectExtent l="0" t="0" r="0" b="0"/>
                <wp:wrapNone/>
                <wp:docPr id="90" name="Frame90"/>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discretion), Borrower shall have executed and delivered to Collateral Agent and the Lenders an amendment to this Agreement, intellectual property security agreement, and any other documentation reasonably requested by Collateral Agent, in each case, to effect the grant of such lien in Borrower’s Intellectual Property.</w:t>
      </w:r>
    </w:p>
    <w:p>
      <w:pPr>
        <w:pStyle w:val="TextBody"/>
        <w:bidi w:val="0"/>
        <w:spacing w:lineRule="auto" w:line="288" w:before="241" w:after="283"/>
        <w:ind w:left="0" w:right="0" w:firstLine="720"/>
        <w:jc w:val="both"/>
        <w:rPr/>
      </w:pPr>
      <w:r>
        <w:rPr>
          <w:rFonts w:ascii="Times New Roman;sans-serif" w:hAnsi="Times New Roman;sans-serif"/>
          <w:b/>
          <w:color w:val="000000"/>
          <w:sz w:val="20"/>
        </w:rPr>
        <w:t xml:space="preserve">1.11Landlord Waivers; Bailee Waivers. </w:t>
      </w:r>
      <w:r>
        <w:rPr>
          <w:rFonts w:ascii="Times New Roman;sans-serif" w:hAnsi="Times New Roman;sans-serif"/>
          <w:b w:val="false"/>
          <w:color w:val="000000"/>
          <w:sz w:val="20"/>
        </w:rPr>
        <w:t>In the event that any Loan Party, after the Effective Date, adds any new offices or business locations, including warehouses, or otherwise stores any portion of the Collateral with, or delivers any portion of the Collateral to, a bailee, in each case in accordance with Section 7.2, then such Loan Party will promptly notify Collateral Agent in writing and, in the event that the new location is the chief executive office of a Loan Party or the Collateral at any such new location is valued in excess of Five Hundred Thousand Dollars ($500,000.00) in the aggregate, such Loan Party shall use commercially reasonable efforts to cause such bailee or landlord, as applicable, to execute and deliver a bailee waiver or landlord waiver, as applicable, in form and substance reasonably satisfactory to Collateral Agent within thirty (30) days of the addition of any new offices or business locations, or any such storage with or delivery to any such bailee, as the case may be.</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1.12Creation/Acquisition of Subsidiaries. </w:t>
      </w:r>
      <w:r>
        <w:rPr>
          <w:rFonts w:ascii="Times New Roman;sans-serif" w:hAnsi="Times New Roman;sans-serif"/>
          <w:b w:val="false"/>
          <w:color w:val="000000"/>
          <w:sz w:val="20"/>
        </w:rPr>
        <w:t xml:space="preserve">In the event Borrower, or any of its Subsidiaries creates or acquires any Subsidiary (including, without limitation, pursuant to a Division), Borrower shall provide prior written notice to Collateral Agent of the creation or acquisition of such new Subsidiary and take all such action as may be reasonably required by Collateral Agent (if any) to cause each such Subsidiary to become a co-Borrower hereunder or to guarantee the Obligations of Borrower under the Loan Documents and, in each case, grant a continuing pledge and security interest in and to the assets of such Subsidiary (substantially as described on </w:t>
      </w:r>
      <w:r>
        <w:rPr>
          <w:rFonts w:ascii="Times New Roman;sans-serif" w:hAnsi="Times New Roman;sans-serif"/>
          <w:b w:val="false"/>
          <w:color w:val="000000"/>
          <w:sz w:val="20"/>
          <w:u w:val="single"/>
        </w:rPr>
        <w:t>Exhibit A</w:t>
      </w:r>
      <w:r>
        <w:rPr>
          <w:color w:val="000000"/>
        </w:rPr>
        <w:t xml:space="preserve"> </w:t>
      </w:r>
      <w:r>
        <w:rPr>
          <w:rFonts w:ascii="Times New Roman;sans-serif" w:hAnsi="Times New Roman;sans-serif"/>
          <w:b w:val="false"/>
          <w:color w:val="000000"/>
          <w:sz w:val="20"/>
        </w:rPr>
        <w:t xml:space="preserve">hereto); and Borrower (or its Subsidiary, as applicable) shall grant and pledge to Collateral Agent, for the ratable benefit of the Lenders, a perfected security interest in the Shares of each such newly created Subsidiary. Notwithstanding anything to the contrary herein, the parties hereto agree that so long as the Loan Parties are in compliance with </w:t>
      </w:r>
      <w:r>
        <w:rPr>
          <w:rFonts w:ascii="Times New Roman;sans-serif" w:hAnsi="Times New Roman;sans-serif"/>
          <w:b w:val="false"/>
          <w:color w:val="000000"/>
          <w:sz w:val="20"/>
          <w:u w:val="single"/>
        </w:rPr>
        <w:t>Section 7.12</w:t>
      </w:r>
      <w:r>
        <w:rPr>
          <w:rFonts w:ascii="Times New Roman;sans-serif" w:hAnsi="Times New Roman;sans-serif"/>
          <w:b w:val="false"/>
          <w:color w:val="000000"/>
          <w:sz w:val="20"/>
        </w:rPr>
        <w:t>, (i) Pliant Belgium shall not be required to become a co-Borrower or provide a guarantee of the Obligations, (ii) Pliant Belgium shall not be required to grant a security interest in any of its assets and (iii) no Loan Party shall be required to provide a perfected security interest in the Shares of Pliant Belgium under the laws of Belgium or take any other actions in Belgium with respect to such Shares.</w:t>
      </w:r>
    </w:p>
    <w:p>
      <w:pPr>
        <w:pStyle w:val="TextBody"/>
        <w:bidi w:val="0"/>
        <w:spacing w:lineRule="auto" w:line="288" w:before="239" w:after="283"/>
        <w:ind w:left="0" w:right="0" w:firstLine="720"/>
        <w:jc w:val="both"/>
        <w:rPr/>
      </w:pPr>
      <w:r>
        <w:rPr>
          <w:rFonts w:ascii="Times New Roman;sans-serif" w:hAnsi="Times New Roman;sans-serif"/>
          <w:b/>
          <w:color w:val="000000"/>
          <w:sz w:val="20"/>
        </w:rPr>
        <w:t>1.13Use of Proceeds</w:t>
      </w:r>
      <w:r>
        <w:rPr>
          <w:rFonts w:ascii="Times New Roman;sans-serif" w:hAnsi="Times New Roman;sans-serif"/>
          <w:b w:val="false"/>
          <w:color w:val="000000"/>
          <w:sz w:val="20"/>
        </w:rPr>
        <w:t>. Use the proceeds of the Credit Extensions for working capital purposes, to fund its general business requirements in accordance with the provisions of this Agreement, and to fund cost and expenses incurred in connection with the execution, delivery and performance by the Loan Parties of the Loan Documents; provided that the Credit Extensions shall not be used for personal, family, household or agricultural purposes.</w:t>
      </w:r>
    </w:p>
    <w:p>
      <w:pPr>
        <w:pStyle w:val="TextBody"/>
        <w:bidi w:val="0"/>
        <w:spacing w:lineRule="auto" w:line="288" w:before="242" w:after="283"/>
        <w:ind w:left="0" w:right="0" w:hanging="719"/>
        <w:jc w:val="left"/>
        <w:rPr/>
      </w:pPr>
      <w:r>
        <w:rPr>
          <w:rFonts w:ascii="Times New Roman;sans-serif" w:hAnsi="Times New Roman;sans-serif"/>
          <w:b/>
          <w:color w:val="000000"/>
          <w:sz w:val="20"/>
        </w:rPr>
        <w:t>1.14Further Assurances</w:t>
      </w:r>
      <w:r>
        <w:rPr>
          <w:rFonts w:ascii="Times New Roman;sans-serif" w:hAnsi="Times New Roman;sans-serif"/>
          <w:b w:val="false"/>
          <w:color w:val="000000"/>
          <w:sz w:val="20"/>
        </w:rPr>
        <w:t>.</w:t>
      </w:r>
    </w:p>
    <w:p>
      <w:pPr>
        <w:pStyle w:val="TextBody"/>
        <w:bidi w:val="0"/>
        <w:spacing w:lineRule="auto" w:line="280"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(a)Execute any further instruments and take further action as Collateral Agent or any Lender reasonably requests to perfect or continue Collateral Agent’s Lien in the Collateral or to effect the purposes of this Agreement.</w:t>
      </w:r>
    </w:p>
    <w:p>
      <w:pPr>
        <w:pStyle w:val="TextBody"/>
        <w:bidi w:val="0"/>
        <w:spacing w:lineRule="auto" w:line="288" w:before="232"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36675"/>
                <wp:effectExtent l="0" t="0" r="0" b="0"/>
                <wp:wrapNone/>
                <wp:docPr id="91" name="Frame91"/>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hanging="719"/>
        <w:jc w:val="left"/>
        <w:rPr/>
      </w:pPr>
      <w:r>
        <w:rPr>
          <w:rFonts w:ascii="Times New Roman;sans-serif" w:hAnsi="Times New Roman;sans-serif"/>
          <w:b/>
          <w:color w:val="000000"/>
          <w:sz w:val="20"/>
        </w:rPr>
        <w:t>7.</w:t>
      </w:r>
      <w:r>
        <w:rPr>
          <w:rFonts w:ascii="Times New Roman;sans-serif" w:hAnsi="Times New Roman;sans-serif"/>
          <w:b/>
          <w:color w:val="000000"/>
          <w:sz w:val="20"/>
          <w:u w:val="single"/>
        </w:rPr>
        <w:t>NEGATIVE COVENANTS</w:t>
      </w:r>
    </w:p>
    <w:p>
      <w:pPr>
        <w:pStyle w:val="TextBody"/>
        <w:bidi w:val="0"/>
        <w:spacing w:lineRule="auto" w:line="288" w:before="239"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Loan Parties shall not:</w:t>
      </w:r>
    </w:p>
    <w:p>
      <w:pPr>
        <w:pStyle w:val="TextBody"/>
        <w:bidi w:val="0"/>
        <w:spacing w:lineRule="auto" w:line="280" w:before="239" w:after="283"/>
        <w:ind w:left="0" w:right="0" w:firstLine="720"/>
        <w:jc w:val="both"/>
        <w:rPr/>
      </w:pPr>
      <w:r>
        <w:rPr>
          <w:rFonts w:ascii="Times New Roman;sans-serif" w:hAnsi="Times New Roman;sans-serif"/>
          <w:b/>
          <w:color w:val="000000"/>
          <w:sz w:val="20"/>
        </w:rPr>
        <w:t xml:space="preserve">1.1Dispositions. </w:t>
      </w:r>
      <w:r>
        <w:rPr>
          <w:rFonts w:ascii="Times New Roman;sans-serif" w:hAnsi="Times New Roman;sans-serif"/>
          <w:b w:val="false"/>
          <w:color w:val="000000"/>
          <w:sz w:val="20"/>
        </w:rPr>
        <w:t>Convey, sell, lease, transfer, assign, or otherwise dispose of (including, without limitation, pursuant to a Division) (collectively, “</w:t>
      </w:r>
      <w:r>
        <w:rPr>
          <w:rFonts w:ascii="Times New Roman;sans-serif" w:hAnsi="Times New Roman;sans-serif"/>
          <w:b/>
          <w:color w:val="000000"/>
          <w:sz w:val="20"/>
        </w:rPr>
        <w:t>Transfer</w:t>
      </w:r>
      <w:r>
        <w:rPr>
          <w:color w:val="000000"/>
        </w:rPr>
        <w:t>”</w:t>
      </w:r>
      <w:r>
        <w:rPr>
          <w:rFonts w:ascii="Times New Roman;sans-serif" w:hAnsi="Times New Roman;sans-serif"/>
          <w:b w:val="false"/>
          <w:color w:val="000000"/>
          <w:sz w:val="20"/>
        </w:rPr>
        <w:t>), or permit any of its Subsidiaries to Transfer, all or any part of its business or property, except for Transfers:</w:t>
      </w:r>
    </w:p>
    <w:p>
      <w:pPr>
        <w:pStyle w:val="TextBody"/>
        <w:bidi w:val="0"/>
        <w:spacing w:lineRule="auto" w:line="288" w:before="234"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(a)of Inventory in the ordinary course of business;</w:t>
      </w:r>
    </w:p>
    <w:p>
      <w:pPr>
        <w:pStyle w:val="TextBody"/>
        <w:bidi w:val="0"/>
        <w:spacing w:lineRule="auto" w:line="288" w:before="239"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(b)of worn out or obsolete Equipment;</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(c)of cash and Cash Equivalents in connection with transactions not prohibited hereunder to the extent such transactions are in the ordinary course of business;</w:t>
      </w:r>
    </w:p>
    <w:p>
      <w:pPr>
        <w:pStyle w:val="TextBody"/>
        <w:bidi w:val="0"/>
        <w:spacing w:lineRule="auto" w:line="288" w:before="241"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(d)in connection with Permitted Liens, Permitted Investments and Permitted</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p>
      <w:pPr>
        <w:pStyle w:val="TextBody"/>
        <w:bidi w:val="0"/>
        <w:spacing w:lineRule="auto" w:line="288" w:before="237"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(e)other Transfers in the ordinary course of business not exceeding Five Hundred Thousand Dollars ($500,000.00) in the aggregate in any fiscal year of Borrower so long as no Event of Default has occurred and is then continuing or could reasonably be expected to result therefrom;</w:t>
      </w:r>
    </w:p>
    <w:p>
      <w:pPr>
        <w:pStyle w:val="TextBody"/>
        <w:bidi w:val="0"/>
        <w:spacing w:lineRule="auto" w:line="288" w:before="242" w:after="283"/>
        <w:ind w:left="0" w:right="0" w:firstLine="1440"/>
        <w:jc w:val="both"/>
        <w:rPr/>
      </w:pPr>
      <w:r>
        <w:rPr>
          <w:rFonts w:ascii="Times New Roman;sans-serif" w:hAnsi="Times New Roman;sans-serif"/>
          <w:b w:val="false"/>
          <w:color w:val="000000"/>
          <w:sz w:val="20"/>
        </w:rPr>
        <w:t xml:space="preserve">(f)Transfers to Borrower’s contract manufacturers to facilitate product manufacturing; provided that the fair market value of the assets or property sold or otherwise transferred pursuant to this </w:t>
      </w:r>
      <w:r>
        <w:rPr>
          <w:rFonts w:ascii="Times New Roman;sans-serif" w:hAnsi="Times New Roman;sans-serif"/>
          <w:b w:val="false"/>
          <w:color w:val="000000"/>
          <w:sz w:val="20"/>
          <w:u w:val="single"/>
        </w:rPr>
        <w:t>clause (g)</w:t>
      </w:r>
      <w:r>
        <w:rPr>
          <w:color w:val="000000"/>
        </w:rPr>
        <w:t xml:space="preserve"> </w:t>
      </w:r>
      <w:r>
        <w:rPr>
          <w:rFonts w:ascii="Times New Roman;sans-serif" w:hAnsi="Times New Roman;sans-serif"/>
          <w:b w:val="false"/>
          <w:color w:val="000000"/>
          <w:sz w:val="20"/>
        </w:rPr>
        <w:t>shall not exceed Five Hundred Thousand Dollars ($500,000.00) in the aggregate in any period of twelve (12) consecutive months;</w:t>
      </w:r>
    </w:p>
    <w:p>
      <w:pPr>
        <w:pStyle w:val="TextBody"/>
        <w:bidi w:val="0"/>
        <w:spacing w:lineRule="auto" w:line="283" w:before="238"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(g)the cancellation of intercompany Indebtedness owing between Loan Parties or by Loan Parties to Subsidiaries that are not Loan Parties; and</w:t>
      </w:r>
    </w:p>
    <w:p>
      <w:pPr>
        <w:pStyle w:val="TextBody"/>
        <w:bidi w:val="0"/>
        <w:spacing w:lineRule="auto" w:line="288" w:before="23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(h)Transfers of equipment or real property to the extent that (A) such property is exchanged for credit against the purchase price of similar replacement property or (B) the proceeds of such Transfer are reasonably promptly applied to the purchase price of such replacement property.</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1.2Changes in Business, Management, Ownership, or Business Locations. </w:t>
      </w:r>
      <w:r>
        <w:rPr>
          <w:rFonts w:ascii="Times New Roman;sans-serif" w:hAnsi="Times New Roman;sans-serif"/>
          <w:b w:val="false"/>
          <w:color w:val="000000"/>
          <w:sz w:val="20"/>
        </w:rPr>
        <w:t>(a) Engage in or permit any of its Subsidiaries to engage in any business other than the businesses engaged in by Borrower or any of its Subsidiaries as of the Effective Date or reasonably related or incidental thereto or constituting a reasonable extension thereof; (b) liquidate or dissolve; or (c) permit a Change of Control. Borrower shall not, without at least ten (10) Business Days’ (or such shorter period as the Collateral Agent may agree in its sole discretion) prior written notice to Collateral Agent: (A) add any new offices or business locations, including warehouses (unless such new offices or business locations (i) contain less than Five Hundred Thousand Dollars ($500,000.00) in assets or property of Borrower or any of its Subsidiaries and (ii) are not Borrower’s or its Subsidiaries’ chief executive office); (B) change its jurisdiction of organization,</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(C) change its organizational structure or type, (D) change its legal name, or (E) change any organizational number (if any) assigned by its jurisdiction of organization.</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1.3Mergers or Acquisitions. </w:t>
      </w:r>
      <w:r>
        <w:rPr>
          <w:rFonts w:ascii="Times New Roman;sans-serif" w:hAnsi="Times New Roman;sans-serif"/>
          <w:b w:val="false"/>
          <w:color w:val="000000"/>
          <w:sz w:val="20"/>
        </w:rPr>
        <w:t xml:space="preserve">Merge or consolidate, or permit any of its Subsidiaries to merge or consolidate, with any other Person, or acquire, or permit any of its Subsidiaries to acquire, all or substantially all of the capital stock, shares or property of another Person (including, without limitation, pursuant to a Division). A Subsidiary may merge or consolidate (i) into any one or more other Subsidiaries of Borrower,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when any Loan Party is merging with another Subsidiary of a Loan Party that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36675"/>
                <wp:effectExtent l="0" t="0" r="0" b="0"/>
                <wp:wrapNone/>
                <wp:docPr id="92" name="Frame92"/>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0"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is not a Loan Party, such Loan Party shall be the continuing or surviving Person or (ii) with (or into) Borrower provided Borrower is the surviving legal entity, and as long as no Event of Default is occurring prior thereto or arises as a result therefrom.</w:t>
      </w:r>
    </w:p>
    <w:p>
      <w:pPr>
        <w:pStyle w:val="TextBody"/>
        <w:bidi w:val="0"/>
        <w:spacing w:lineRule="auto" w:line="283" w:before="232" w:after="283"/>
        <w:ind w:left="0" w:right="0" w:firstLine="720"/>
        <w:jc w:val="both"/>
        <w:rPr/>
      </w:pPr>
      <w:r>
        <w:rPr>
          <w:rFonts w:ascii="Times New Roman;sans-serif" w:hAnsi="Times New Roman;sans-serif"/>
          <w:b/>
          <w:color w:val="000000"/>
          <w:sz w:val="20"/>
        </w:rPr>
        <w:t xml:space="preserve">1.15Indebtedness. </w:t>
      </w:r>
      <w:r>
        <w:rPr>
          <w:rFonts w:ascii="Times New Roman;sans-serif" w:hAnsi="Times New Roman;sans-serif"/>
          <w:b w:val="false"/>
          <w:color w:val="000000"/>
          <w:sz w:val="20"/>
        </w:rPr>
        <w:t>Create, incur, assume, or be liable for any Indebtedness, or permit any Subsidiary to do so, other than Permitted Indebtedness.</w:t>
      </w:r>
    </w:p>
    <w:p>
      <w:pPr>
        <w:pStyle w:val="TextBody"/>
        <w:bidi w:val="0"/>
        <w:spacing w:lineRule="auto" w:line="288" w:before="231" w:after="283"/>
        <w:ind w:left="0" w:right="0" w:firstLine="720"/>
        <w:jc w:val="both"/>
        <w:rPr/>
      </w:pPr>
      <w:r>
        <w:rPr>
          <w:rFonts w:ascii="Times New Roman;sans-serif" w:hAnsi="Times New Roman;sans-serif"/>
          <w:b/>
          <w:color w:val="000000"/>
          <w:sz w:val="20"/>
        </w:rPr>
        <w:t xml:space="preserve">1.16Encumbrance. </w:t>
      </w:r>
      <w:r>
        <w:rPr>
          <w:rFonts w:ascii="Times New Roman;sans-serif" w:hAnsi="Times New Roman;sans-serif"/>
          <w:b w:val="false"/>
          <w:color w:val="000000"/>
          <w:sz w:val="20"/>
        </w:rPr>
        <w:t xml:space="preserve">Create, incur, allow, or suffer any Lien on any of its property, or assign or convey any right to receive income, including the sale of any Accounts, or permit any of its Subsidiaries to do so, except for Permitted Liens,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hereof and the definition of “</w:t>
      </w:r>
      <w:r>
        <w:rPr>
          <w:rFonts w:ascii="Times New Roman;sans-serif" w:hAnsi="Times New Roman;sans-serif"/>
          <w:b/>
          <w:color w:val="000000"/>
          <w:sz w:val="20"/>
        </w:rPr>
        <w:t>Permitted Liens</w:t>
      </w:r>
      <w:r>
        <w:rPr>
          <w:color w:val="000000"/>
        </w:rPr>
        <w:t xml:space="preserve">” </w:t>
      </w:r>
      <w:r>
        <w:rPr>
          <w:rFonts w:ascii="Times New Roman;sans-serif" w:hAnsi="Times New Roman;sans-serif"/>
          <w:b w:val="false"/>
          <w:color w:val="000000"/>
          <w:sz w:val="20"/>
        </w:rPr>
        <w:t>herein.</w:t>
      </w:r>
    </w:p>
    <w:p>
      <w:pPr>
        <w:pStyle w:val="TextBody"/>
        <w:bidi w:val="0"/>
        <w:spacing w:lineRule="auto" w:line="283" w:before="240" w:after="283"/>
        <w:ind w:left="0" w:right="0" w:firstLine="720"/>
        <w:jc w:val="both"/>
        <w:rPr/>
      </w:pPr>
      <w:r>
        <w:rPr>
          <w:rFonts w:ascii="Times New Roman;sans-serif" w:hAnsi="Times New Roman;sans-serif"/>
          <w:b/>
          <w:color w:val="000000"/>
          <w:sz w:val="20"/>
        </w:rPr>
        <w:t xml:space="preserve">1.17Maintenance of Collateral Accounts. </w:t>
      </w:r>
      <w:r>
        <w:rPr>
          <w:rFonts w:ascii="Times New Roman;sans-serif" w:hAnsi="Times New Roman;sans-serif"/>
          <w:b w:val="false"/>
          <w:color w:val="000000"/>
          <w:sz w:val="20"/>
        </w:rPr>
        <w:t xml:space="preserve">Maintain any Collateral Account except as permitted pursuant to the terms of </w:t>
      </w:r>
      <w:r>
        <w:rPr>
          <w:rFonts w:ascii="Times New Roman;sans-serif" w:hAnsi="Times New Roman;sans-serif"/>
          <w:b w:val="false"/>
          <w:color w:val="000000"/>
          <w:sz w:val="20"/>
          <w:u w:val="single"/>
        </w:rPr>
        <w:t>Section 6.6</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232" w:after="283"/>
        <w:ind w:left="0" w:right="0" w:hanging="719"/>
        <w:jc w:val="left"/>
        <w:rPr>
          <w:rFonts w:ascii="Times New Roman;sans-serif" w:hAnsi="Times New Roman;sans-serif"/>
          <w:b/>
          <w:color w:val="000000"/>
          <w:sz w:val="20"/>
        </w:rPr>
      </w:pPr>
      <w:r>
        <w:rPr>
          <w:rFonts w:ascii="Times New Roman;sans-serif" w:hAnsi="Times New Roman;sans-serif"/>
          <w:b/>
          <w:color w:val="000000"/>
          <w:sz w:val="20"/>
        </w:rPr>
        <w:t>1.18Distributions; Investments.</w:t>
      </w:r>
    </w:p>
    <w:p>
      <w:pPr>
        <w:pStyle w:val="TextBody"/>
        <w:bidi w:val="0"/>
        <w:spacing w:lineRule="auto" w:line="283" w:before="237"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(a)Pay any dividends or make any distribution or payment or redeem, retire or purchase any capital stock except:</w:t>
      </w:r>
    </w:p>
    <w:p>
      <w:pPr>
        <w:pStyle w:val="TextBody"/>
        <w:bidi w:val="0"/>
        <w:spacing w:lineRule="auto" w:line="280" w:before="230"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(i)dividends with respect to Borrower’s capital stock payable solely in additional capital stock that constitute common stock (or the equivalent);</w:t>
      </w:r>
    </w:p>
    <w:p>
      <w:pPr>
        <w:pStyle w:val="TextBody"/>
        <w:bidi w:val="0"/>
        <w:spacing w:lineRule="auto" w:line="288" w:before="236"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(ii)Borrower’s purchase, redemption, retirement, or other acquisition of its capital stock with the proceeds received from a substantially concurrent issue of new shares of its capital stock, provided that (x) no Event of Default has occurred and is continuing or would result therefrom and</w:t>
      </w:r>
    </w:p>
    <w:p>
      <w:pPr>
        <w:pStyle w:val="TextBody"/>
        <w:bidi w:val="0"/>
        <w:spacing w:lineRule="auto" w:line="283"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(y) the aggregate amount of all such dividends or other distributions permitted under this clause (ii) shall not exceed Five Hundred Thousand Dollars ($500,000.00) in the aggregate in any fiscal year of Borrower;</w:t>
      </w:r>
    </w:p>
    <w:p>
      <w:pPr>
        <w:pStyle w:val="TextBody"/>
        <w:bidi w:val="0"/>
        <w:spacing w:lineRule="auto" w:line="288" w:before="232"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(iii)dividends paid by any Subsidiary to any other Loan Party;</w:t>
      </w:r>
    </w:p>
    <w:p>
      <w:pPr>
        <w:pStyle w:val="TextBody"/>
        <w:bidi w:val="0"/>
        <w:spacing w:lineRule="auto" w:line="288" w:before="236" w:after="283"/>
        <w:ind w:left="0" w:right="0" w:firstLine="2160"/>
        <w:jc w:val="both"/>
        <w:rPr/>
      </w:pPr>
      <w:r>
        <w:rPr>
          <w:rFonts w:ascii="Times New Roman;sans-serif" w:hAnsi="Times New Roman;sans-serif"/>
          <w:b w:val="false"/>
          <w:color w:val="000000"/>
          <w:sz w:val="20"/>
        </w:rPr>
        <w:t xml:space="preserve">(iv)Borrower may make dividends or other distributions pursuant to and in accordance with restricted stock agreements, stockholder rights plans, director or consultant stock option plans or other similar plans for management or employees of Borrower and its Subsidiaries or in connection with the satisfaction of withholding tax obligations; provided that the aggregate amount of all such dividends or other distributions permitted under this clause </w:t>
      </w:r>
      <w:hyperlink w:anchor="iddd88a075230427d966e886321cbf46e_16">
        <w:r>
          <w:rPr>
            <w:rStyle w:val="InternetLink"/>
            <w:rFonts w:ascii="Times New Roman;sans-serif" w:hAnsi="Times New Roman;sans-serif"/>
            <w:b w:val="false"/>
            <w:strike w:val="false"/>
            <w:dstrike w:val="false"/>
            <w:color w:val="000000"/>
            <w:sz w:val="20"/>
            <w:u w:val="none"/>
            <w:effect w:val="none"/>
          </w:rPr>
          <w:t>(iv)</w:t>
        </w:r>
      </w:hyperlink>
      <w:r>
        <w:rPr>
          <w:rFonts w:ascii="Times New Roman;sans-serif" w:hAnsi="Times New Roman;sans-serif"/>
          <w:b w:val="false"/>
          <w:color w:val="000000"/>
          <w:sz w:val="20"/>
        </w:rPr>
        <w:t xml:space="preserve"> shall not exceed Five Hundred Thousand Dollars ($500,000.00) in the aggregate in any fiscal year of Borrower;</w:t>
      </w:r>
    </w:p>
    <w:p>
      <w:pPr>
        <w:pStyle w:val="TextBody"/>
        <w:bidi w:val="0"/>
        <w:spacing w:lineRule="auto" w:line="280" w:before="242"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(v)Borrower may pay cash in lieu of the issuance of fractional shares in an amount not to exceed Fifty Thousand Dollars ($50,000) in any fiscal year, provided that no Event of Default has occurred and is continuing or could result therefrom;</w:t>
      </w:r>
    </w:p>
    <w:p>
      <w:pPr>
        <w:pStyle w:val="TextBody"/>
        <w:bidi w:val="0"/>
        <w:spacing w:lineRule="auto" w:line="280" w:before="231"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(vi)Borrower may honor any non-cash conversion requests in respect of any convertible securities of Borrower permitted under this Agreement into capital stock of Borrower pursuant to the terms of such convertible securities;</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36675"/>
                <wp:effectExtent l="0" t="0" r="0" b="0"/>
                <wp:wrapNone/>
                <wp:docPr id="93" name="Frame93"/>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(vii)Borrower may honor any exercise request in respect of warrants to purchase capital stock of Borrower pursuant to the terms of such warrants, and so long as such exercise does not result in a payment of any cash by Borrower (other than cash in lieu of fractional shares which shall be subject to the cap set forth in clause (v) above), provided that no Event of Default has occurred and is continuing or would result therefrom; and</w:t>
      </w:r>
    </w:p>
    <w:p>
      <w:pPr>
        <w:pStyle w:val="TextBody"/>
        <w:bidi w:val="0"/>
        <w:spacing w:lineRule="auto" w:line="288" w:before="240"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(viii)Borrower may agree to pay and accrue dividends on its capital stock payable so long as Borrower does not make actual payment of any such dividend until (x) all Obligations have been paid in full (other than unasserted indemnification and expense reimbursement Obligations) and</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(y) this Agreement has been terminated;</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(b)directly or indirectly make any Investment (including, without limitation, by the formation of any Subsidiary) other than Permitted Investments.</w:t>
      </w:r>
    </w:p>
    <w:p>
      <w:pPr>
        <w:pStyle w:val="TextBody"/>
        <w:bidi w:val="0"/>
        <w:spacing w:lineRule="auto" w:line="283" w:before="238" w:after="283"/>
        <w:ind w:left="0" w:right="0" w:firstLine="720"/>
        <w:jc w:val="both"/>
        <w:rPr/>
      </w:pPr>
      <w:r>
        <w:rPr>
          <w:rFonts w:ascii="Times New Roman;sans-serif" w:hAnsi="Times New Roman;sans-serif"/>
          <w:b/>
          <w:color w:val="000000"/>
          <w:sz w:val="20"/>
        </w:rPr>
        <w:t xml:space="preserve">1.4Transactions with Affiliates. </w:t>
      </w:r>
      <w:r>
        <w:rPr>
          <w:rFonts w:ascii="Times New Roman;sans-serif" w:hAnsi="Times New Roman;sans-serif"/>
          <w:b w:val="false"/>
          <w:color w:val="000000"/>
          <w:sz w:val="20"/>
        </w:rPr>
        <w:t>Directly or indirectly enter into or permit to exist any material transaction with any Affiliate of Borrower or any of its Subsidiaries, except for:</w:t>
      </w:r>
    </w:p>
    <w:p>
      <w:pPr>
        <w:pStyle w:val="TextBody"/>
        <w:bidi w:val="0"/>
        <w:spacing w:lineRule="auto" w:line="288" w:before="23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(a)transactions that are in the ordinary course of Borrower’s or such Subsidiary’s business, upon fair and reasonable terms that are no less favorable to Borrower or such Subsidiary than would be obtained in an arm’s length transaction with a non-affiliated Person;</w:t>
      </w:r>
    </w:p>
    <w:p>
      <w:pPr>
        <w:pStyle w:val="TextBody"/>
        <w:bidi w:val="0"/>
        <w:spacing w:lineRule="auto" w:line="288" w:before="242"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(b)Subordinated Debt or equity investments by Borrower’s investors in Borrower or</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Subsidiaries;</w:t>
      </w:r>
    </w:p>
    <w:p>
      <w:pPr>
        <w:pStyle w:val="TextBody"/>
        <w:bidi w:val="0"/>
        <w:spacing w:lineRule="auto" w:line="288" w:before="239"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(c)Permitted Investment and Permitted Indebtedness;</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(d)transactions among the Borrower and its Subsidiaries in respect of transfer pricing and cost-plus arrangements;</w:t>
      </w:r>
    </w:p>
    <w:p>
      <w:pPr>
        <w:pStyle w:val="TextBody"/>
        <w:bidi w:val="0"/>
        <w:spacing w:lineRule="auto" w:line="288" w:before="24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(e)normal and reasonable compensation and reimbursement of expenses of officers and directors entered into in the ordinary course of business and approved by Borrower’s Board of Directors to the extent required by Borrower’s organizational documents;</w:t>
      </w:r>
    </w:p>
    <w:p>
      <w:pPr>
        <w:pStyle w:val="TextBody"/>
        <w:bidi w:val="0"/>
        <w:spacing w:lineRule="auto" w:line="288" w:before="242"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(f)transactions between and among Loan Parties;</w:t>
      </w:r>
    </w:p>
    <w:p>
      <w:pPr>
        <w:pStyle w:val="TextBody"/>
        <w:bidi w:val="0"/>
        <w:spacing w:lineRule="auto" w:line="288" w:before="237"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(g)employment, compensation and benefits arrangements in the ordinary course of business with current or former officers, employees, directors, managers and consultants and transactions pursuant to stock option, stock appreciation rights, stock incentive or other equity compensation plans and employee benefit plans and arrangements in the ordinary course of business and approved by Borrower’s Board of Directors to the extent required by Borrower’s organizational documents; and</w:t>
      </w:r>
    </w:p>
    <w:p>
      <w:pPr>
        <w:pStyle w:val="TextBody"/>
        <w:bidi w:val="0"/>
        <w:spacing w:lineRule="auto" w:line="288" w:before="242" w:after="283"/>
        <w:ind w:left="0" w:right="0" w:hanging="719"/>
        <w:jc w:val="both"/>
        <w:rPr/>
      </w:pPr>
      <w:r>
        <w:rPr>
          <w:rFonts w:ascii="Times New Roman;sans-serif" w:hAnsi="Times New Roman;sans-serif"/>
          <w:b w:val="false"/>
          <w:color w:val="000000"/>
          <w:sz w:val="20"/>
        </w:rPr>
        <w:t xml:space="preserve">(h)transactions permitted by </w:t>
      </w:r>
      <w:r>
        <w:rPr>
          <w:rFonts w:ascii="Times New Roman;sans-serif" w:hAnsi="Times New Roman;sans-serif"/>
          <w:b w:val="false"/>
          <w:color w:val="000000"/>
          <w:sz w:val="20"/>
          <w:u w:val="single"/>
        </w:rPr>
        <w:t>Sections 7.1(g)</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7.3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7.7</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1.5Subordinated Debt. </w:t>
      </w:r>
      <w:r>
        <w:rPr>
          <w:rFonts w:ascii="Times New Roman;sans-serif" w:hAnsi="Times New Roman;sans-serif"/>
          <w:b w:val="false"/>
          <w:color w:val="000000"/>
          <w:sz w:val="20"/>
        </w:rPr>
        <w:t>(a) Make or permit any payment on any Subordinated Debt, except as permitted under the terms of the subordination, intercreditor, or other similar agreement to which such Subordinated Debt is subject, or (b) amend any provision in any document relating to the Subordinated Debt which would increase the principal amount thereof or adversely affect the subordination thereof to Obligations owed to the Lenders.</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1.6Compliance. </w:t>
      </w:r>
      <w:r>
        <w:rPr>
          <w:rFonts w:ascii="Times New Roman;sans-serif" w:hAnsi="Times New Roman;sans-serif"/>
          <w:b w:val="false"/>
          <w:color w:val="000000"/>
          <w:sz w:val="20"/>
        </w:rPr>
        <w:t>Become required to register as an “investment company” under the Investment Company Act of 1940, as amended, or undertake as one of its important activities extending</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36675"/>
                <wp:effectExtent l="0" t="0" r="0" b="0"/>
                <wp:wrapNone/>
                <wp:docPr id="94" name="Frame94"/>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1.7Compliance with Anti-Terrorism Laws. </w:t>
      </w:r>
      <w:r>
        <w:rPr>
          <w:rFonts w:ascii="Times New Roman;sans-serif" w:hAnsi="Times New Roman;sans-serif"/>
          <w:b w:val="false"/>
          <w:color w:val="000000"/>
          <w:sz w:val="20"/>
        </w:rPr>
        <w:t xml:space="preserve">Collateral Agent hereby notifies Borrower and each of its Subsidiaries that pursuant to the requirements 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Collateral Agent to identify such party in accordance with Anti-Terrorism Laws. Neither Borrower nor any of its Subsidiaries shall, nor shall Borrower or any of its Subsidiaries permit any controlled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w:t>
      </w:r>
      <w:r>
        <w:rPr>
          <w:rFonts w:ascii="Times New Roman;sans-serif" w:hAnsi="Times New Roman;sans-serif"/>
          <w:b w:val="false"/>
          <w:i/>
          <w:color w:val="000000"/>
          <w:sz w:val="20"/>
        </w:rPr>
        <w:t xml:space="preserve">nolo contendere </w:t>
      </w:r>
      <w:r>
        <w:rPr>
          <w:rFonts w:ascii="Times New Roman;sans-serif" w:hAnsi="Times New Roman;sans-serif"/>
          <w:b w:val="false"/>
          <w:color w:val="000000"/>
          <w:sz w:val="20"/>
        </w:rPr>
        <w:t>to, (c) is indicted on, or (d) is arraigned and held over on charges involving money laundering or predicate crimes to money laundering. Neither Borrower nor any of its Subsidiaries shall, nor shall Borrower or any of its Subsidiaries, permit any controlled Affiliate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pStyle w:val="TextBody"/>
        <w:bidi w:val="0"/>
        <w:spacing w:lineRule="auto" w:line="288" w:before="241" w:after="283"/>
        <w:ind w:left="0" w:right="0" w:firstLine="720"/>
        <w:jc w:val="both"/>
        <w:rPr/>
      </w:pPr>
      <w:r>
        <w:rPr>
          <w:rFonts w:ascii="Times New Roman;sans-serif" w:hAnsi="Times New Roman;sans-serif"/>
          <w:b/>
          <w:color w:val="000000"/>
          <w:sz w:val="20"/>
        </w:rPr>
        <w:t>1.8Pliant Belgium</w:t>
      </w:r>
      <w:r>
        <w:rPr>
          <w:rFonts w:ascii="Times New Roman;sans-serif" w:hAnsi="Times New Roman;sans-serif"/>
          <w:b w:val="false"/>
          <w:color w:val="000000"/>
          <w:sz w:val="20"/>
        </w:rPr>
        <w:t>. (a) Permit the aggregate amount of cash and the value of assets held or maintained by Pliant Belgium to exceed Five Hundred Thousand Dollars ($500,000.00) at any time or (b) permit Pliant Belgium to own or license any Intellectual Property.</w:t>
      </w:r>
    </w:p>
    <w:p>
      <w:pPr>
        <w:pStyle w:val="TextBody"/>
        <w:bidi w:val="0"/>
        <w:spacing w:lineRule="auto" w:line="288" w:before="242" w:after="283"/>
        <w:ind w:left="0" w:right="0" w:hanging="719"/>
        <w:jc w:val="left"/>
        <w:rPr/>
      </w:pPr>
      <w:r>
        <w:rPr>
          <w:rFonts w:ascii="Times New Roman;sans-serif" w:hAnsi="Times New Roman;sans-serif"/>
          <w:b/>
          <w:color w:val="000000"/>
          <w:sz w:val="20"/>
        </w:rPr>
        <w:t>8.</w:t>
      </w:r>
      <w:r>
        <w:rPr>
          <w:rFonts w:ascii="Times New Roman;sans-serif" w:hAnsi="Times New Roman;sans-serif"/>
          <w:b/>
          <w:color w:val="000000"/>
          <w:sz w:val="20"/>
          <w:u w:val="single"/>
        </w:rPr>
        <w:t>EVENTS OF DEFAULT</w:t>
      </w:r>
    </w:p>
    <w:p>
      <w:pPr>
        <w:pStyle w:val="TextBody"/>
        <w:bidi w:val="0"/>
        <w:spacing w:lineRule="auto" w:line="283" w:before="237" w:after="283"/>
        <w:ind w:left="0" w:right="0" w:firstLine="720"/>
        <w:jc w:val="left"/>
        <w:rPr/>
      </w:pPr>
      <w:r>
        <w:rPr>
          <w:rFonts w:ascii="Times New Roman;sans-serif" w:hAnsi="Times New Roman;sans-serif"/>
          <w:b w:val="false"/>
          <w:color w:val="000000"/>
          <w:sz w:val="20"/>
        </w:rPr>
        <w:t>Any one of the following shall constitute an event of default (an “</w:t>
      </w:r>
      <w:r>
        <w:rPr>
          <w:rFonts w:ascii="Times New Roman;sans-serif" w:hAnsi="Times New Roman;sans-serif"/>
          <w:b/>
          <w:color w:val="000000"/>
          <w:sz w:val="20"/>
        </w:rPr>
        <w:t>Event of Default</w:t>
      </w:r>
      <w:r>
        <w:rPr>
          <w:color w:val="000000"/>
        </w:rPr>
        <w:t>”</w:t>
      </w:r>
      <w:r>
        <w:rPr>
          <w:rFonts w:ascii="Times New Roman;sans-serif" w:hAnsi="Times New Roman;sans-serif"/>
          <w:b w:val="false"/>
          <w:color w:val="000000"/>
          <w:sz w:val="20"/>
        </w:rPr>
        <w:t>) under this Agreement:</w:t>
      </w:r>
    </w:p>
    <w:p>
      <w:pPr>
        <w:pStyle w:val="TextBody"/>
        <w:bidi w:val="0"/>
        <w:spacing w:lineRule="auto" w:line="288" w:before="230" w:after="283"/>
        <w:ind w:left="0" w:right="0" w:firstLine="720"/>
        <w:jc w:val="both"/>
        <w:rPr/>
      </w:pPr>
      <w:r>
        <w:rPr>
          <w:rFonts w:ascii="Times New Roman;sans-serif" w:hAnsi="Times New Roman;sans-serif"/>
          <w:b/>
          <w:color w:val="000000"/>
          <w:sz w:val="20"/>
        </w:rPr>
        <w:t xml:space="preserve">1.1Payment Default. </w:t>
      </w:r>
      <w:r>
        <w:rPr>
          <w:rFonts w:ascii="Times New Roman;sans-serif" w:hAnsi="Times New Roman;sans-serif"/>
          <w:b w:val="false"/>
          <w:color w:val="000000"/>
          <w:sz w:val="20"/>
        </w:rPr>
        <w:t>Borrower fails to (a) make any payment of principal or interest on any Credit Extension on its due date unless such failure is caused by Collateral Agent’s failing to auto debit Borrower’s Designated Deposit Account when sufficient funds were contained therein of the Obligations when due, (b) in the event Collateral Agent fails to auto debit Borrower’s Designated Deposit Account when sufficient funds were contained therein of the Obligations when due, pay any Obligations within three</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(3) Business Days after such Obligations are due and payable (which three (3) Business Day grace period shall not apply to payments due on the Maturity Date or the date of acceleration pursuant to Section 9.1 (a) hereof) or (c) pay any other Obligations within three (3) Business Days after such Obligations are due and payable (which three (3) Business Day grace period shall not apply to payments due on the Maturity Date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36675"/>
                <wp:effectExtent l="0" t="0" r="0" b="0"/>
                <wp:wrapNone/>
                <wp:docPr id="95" name="Frame95"/>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8" w:after="283"/>
        <w:jc w:val="left"/>
        <w:rPr>
          <w:rFonts w:ascii="Times New Roman;sans-serif" w:hAnsi="Times New Roman;sans-serif"/>
          <w:b w:val="false"/>
          <w:color w:val="000000"/>
          <w:sz w:val="20"/>
        </w:rPr>
      </w:pPr>
      <w:r>
        <w:rPr>
          <w:rFonts w:ascii="Times New Roman;sans-serif" w:hAnsi="Times New Roman;sans-serif"/>
          <w:b w:val="false"/>
          <w:color w:val="000000"/>
          <w:sz w:val="20"/>
        </w:rPr>
        <w:t>or the date of acceleration pursuant to Section 9.1 (a) hereof). During the cure period, the failure to cure the payment default is not an Event of Default (but no Credit Extension will be made during the cure period).</w:t>
      </w:r>
    </w:p>
    <w:p>
      <w:pPr>
        <w:pStyle w:val="TextBody"/>
        <w:bidi w:val="0"/>
        <w:spacing w:lineRule="auto" w:line="288" w:before="243" w:after="283"/>
        <w:ind w:left="0" w:right="0" w:hanging="719"/>
        <w:jc w:val="left"/>
        <w:rPr>
          <w:rFonts w:ascii="Times New Roman;sans-serif" w:hAnsi="Times New Roman;sans-serif"/>
          <w:b/>
          <w:color w:val="000000"/>
          <w:sz w:val="20"/>
        </w:rPr>
      </w:pPr>
      <w:r>
        <w:rPr>
          <w:rFonts w:ascii="Times New Roman;sans-serif" w:hAnsi="Times New Roman;sans-serif"/>
          <w:b/>
          <w:color w:val="000000"/>
          <w:sz w:val="20"/>
        </w:rPr>
        <w:t>1.2Covenant Default.</w:t>
      </w:r>
    </w:p>
    <w:p>
      <w:pPr>
        <w:pStyle w:val="TextBody"/>
        <w:bidi w:val="0"/>
        <w:spacing w:lineRule="auto" w:line="288" w:before="237" w:after="283"/>
        <w:ind w:left="0" w:right="0" w:firstLine="1440"/>
        <w:jc w:val="both"/>
        <w:rPr/>
      </w:pPr>
      <w:r>
        <w:rPr>
          <w:rFonts w:ascii="Times New Roman;sans-serif" w:hAnsi="Times New Roman;sans-serif"/>
          <w:b w:val="false"/>
          <w:color w:val="000000"/>
          <w:sz w:val="20"/>
        </w:rPr>
        <w:t xml:space="preserve">(a)Any Loan Party fails or neglects to perform any obligation in </w:t>
      </w:r>
      <w:r>
        <w:rPr>
          <w:rFonts w:ascii="Times New Roman;sans-serif" w:hAnsi="Times New Roman;sans-serif"/>
          <w:b w:val="false"/>
          <w:color w:val="000000"/>
          <w:sz w:val="20"/>
          <w:u w:val="single"/>
        </w:rPr>
        <w:t>Sections 6.2</w:t>
      </w:r>
      <w:r>
        <w:rPr>
          <w:color w:val="000000"/>
        </w:rPr>
        <w:t xml:space="preserve"> </w:t>
      </w:r>
      <w:r>
        <w:rPr>
          <w:rFonts w:ascii="Times New Roman;sans-serif" w:hAnsi="Times New Roman;sans-serif"/>
          <w:b w:val="false"/>
          <w:color w:val="000000"/>
          <w:sz w:val="20"/>
        </w:rPr>
        <w:t xml:space="preserve">(Financial Statements, Reports, Certificates), </w:t>
      </w:r>
      <w:r>
        <w:rPr>
          <w:rFonts w:ascii="Times New Roman;sans-serif" w:hAnsi="Times New Roman;sans-serif"/>
          <w:b w:val="false"/>
          <w:color w:val="000000"/>
          <w:sz w:val="20"/>
          <w:u w:val="single"/>
        </w:rPr>
        <w:t>6.4</w:t>
      </w:r>
      <w:r>
        <w:rPr>
          <w:color w:val="000000"/>
        </w:rPr>
        <w:t xml:space="preserve"> </w:t>
      </w:r>
      <w:r>
        <w:rPr>
          <w:rFonts w:ascii="Times New Roman;sans-serif" w:hAnsi="Times New Roman;sans-serif"/>
          <w:b w:val="false"/>
          <w:color w:val="000000"/>
          <w:sz w:val="20"/>
        </w:rPr>
        <w:t xml:space="preserve">(Taxes), </w:t>
      </w:r>
      <w:r>
        <w:rPr>
          <w:rFonts w:ascii="Times New Roman;sans-serif" w:hAnsi="Times New Roman;sans-serif"/>
          <w:b w:val="false"/>
          <w:color w:val="000000"/>
          <w:sz w:val="20"/>
          <w:u w:val="single"/>
        </w:rPr>
        <w:t>6.5</w:t>
      </w:r>
      <w:r>
        <w:rPr>
          <w:color w:val="000000"/>
        </w:rPr>
        <w:t xml:space="preserve"> </w:t>
      </w:r>
      <w:r>
        <w:rPr>
          <w:rFonts w:ascii="Times New Roman;sans-serif" w:hAnsi="Times New Roman;sans-serif"/>
          <w:b w:val="false"/>
          <w:color w:val="000000"/>
          <w:sz w:val="20"/>
        </w:rPr>
        <w:t xml:space="preserve">(Insurance), </w:t>
      </w:r>
      <w:r>
        <w:rPr>
          <w:rFonts w:ascii="Times New Roman;sans-serif" w:hAnsi="Times New Roman;sans-serif"/>
          <w:b w:val="false"/>
          <w:color w:val="000000"/>
          <w:sz w:val="20"/>
          <w:u w:val="single"/>
        </w:rPr>
        <w:t>6.6</w:t>
      </w:r>
      <w:r>
        <w:rPr>
          <w:color w:val="000000"/>
        </w:rPr>
        <w:t xml:space="preserve"> </w:t>
      </w:r>
      <w:r>
        <w:rPr>
          <w:rFonts w:ascii="Times New Roman;sans-serif" w:hAnsi="Times New Roman;sans-serif"/>
          <w:b w:val="false"/>
          <w:color w:val="000000"/>
          <w:sz w:val="20"/>
        </w:rPr>
        <w:t xml:space="preserve">(Operating Accounts), </w:t>
      </w:r>
      <w:r>
        <w:rPr>
          <w:rFonts w:ascii="Times New Roman;sans-serif" w:hAnsi="Times New Roman;sans-serif"/>
          <w:b w:val="false"/>
          <w:color w:val="000000"/>
          <w:sz w:val="20"/>
          <w:u w:val="single"/>
        </w:rPr>
        <w:t>6.9</w:t>
      </w:r>
      <w:r>
        <w:rPr>
          <w:color w:val="000000"/>
        </w:rPr>
        <w:t xml:space="preserve"> </w:t>
      </w:r>
      <w:r>
        <w:rPr>
          <w:rFonts w:ascii="Times New Roman;sans-serif" w:hAnsi="Times New Roman;sans-serif"/>
          <w:b w:val="false"/>
          <w:color w:val="000000"/>
          <w:sz w:val="20"/>
        </w:rPr>
        <w:t xml:space="preserve">(Notice of Litigation and Default) or </w:t>
      </w:r>
      <w:r>
        <w:rPr>
          <w:rFonts w:ascii="Times New Roman;sans-serif" w:hAnsi="Times New Roman;sans-serif"/>
          <w:b w:val="false"/>
          <w:color w:val="000000"/>
          <w:sz w:val="20"/>
          <w:u w:val="single"/>
        </w:rPr>
        <w:t>6.12</w:t>
      </w:r>
      <w:r>
        <w:rPr>
          <w:color w:val="000000"/>
        </w:rPr>
        <w:t xml:space="preserve"> </w:t>
      </w:r>
      <w:r>
        <w:rPr>
          <w:rFonts w:ascii="Times New Roman;sans-serif" w:hAnsi="Times New Roman;sans-serif"/>
          <w:b w:val="false"/>
          <w:color w:val="000000"/>
          <w:sz w:val="20"/>
        </w:rPr>
        <w:t xml:space="preserve">(Creation/Acquisition of Subsidiaries) or Borrower violates any covenant in </w:t>
      </w:r>
      <w:r>
        <w:rPr>
          <w:rFonts w:ascii="Times New Roman;sans-serif" w:hAnsi="Times New Roman;sans-serif"/>
          <w:b w:val="false"/>
          <w:color w:val="000000"/>
          <w:sz w:val="20"/>
          <w:u w:val="single"/>
        </w:rPr>
        <w:t>Section 7</w:t>
      </w:r>
      <w:r>
        <w:rPr>
          <w:rFonts w:ascii="Times New Roman;sans-serif" w:hAnsi="Times New Roman;sans-serif"/>
          <w:b w:val="false"/>
          <w:color w:val="000000"/>
          <w:sz w:val="20"/>
        </w:rPr>
        <w:t>; or</w:t>
      </w:r>
    </w:p>
    <w:p>
      <w:pPr>
        <w:pStyle w:val="TextBody"/>
        <w:bidi w:val="0"/>
        <w:spacing w:lineRule="auto" w:line="288" w:before="241" w:after="283"/>
        <w:ind w:left="0" w:right="0" w:firstLine="1440"/>
        <w:jc w:val="both"/>
        <w:rPr/>
      </w:pPr>
      <w:r>
        <w:rPr>
          <w:rFonts w:ascii="Times New Roman;sans-serif" w:hAnsi="Times New Roman;sans-serif"/>
          <w:b w:val="false"/>
          <w:color w:val="000000"/>
          <w:sz w:val="20"/>
        </w:rPr>
        <w:t xml:space="preserve">(b)Any Loan Party fails or neglects to perform, keep, or observe any other term, provision, condition, covenant or agreement contained in this Agreement or any Loan Documents, and as to any default (other than those specified in this </w:t>
      </w:r>
      <w:r>
        <w:rPr>
          <w:rFonts w:ascii="Times New Roman;sans-serif" w:hAnsi="Times New Roman;sans-serif"/>
          <w:b w:val="false"/>
          <w:color w:val="000000"/>
          <w:sz w:val="20"/>
          <w:u w:val="single"/>
        </w:rPr>
        <w:t>Section 8</w:t>
      </w:r>
      <w:r>
        <w:rPr>
          <w:rFonts w:ascii="Times New Roman;sans-serif" w:hAnsi="Times New Roman;sans-serif"/>
          <w:b w:val="false"/>
          <w:color w:val="000000"/>
          <w:sz w:val="20"/>
        </w:rPr>
        <w:t>) under such other term, provision, condition, covenant or agreement that can be cured, has failed to cure the default within fifteen (15) Business Days after the occurrence thereof; provided, however, that if the default cannot by its nature be cured within the ten (15) Business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the covenants set forth in subsection (a) above;</w:t>
      </w:r>
    </w:p>
    <w:p>
      <w:pPr>
        <w:pStyle w:val="TextBody"/>
        <w:bidi w:val="0"/>
        <w:spacing w:lineRule="auto" w:line="288" w:before="241" w:after="283"/>
        <w:ind w:left="0" w:right="0" w:hanging="719"/>
        <w:jc w:val="both"/>
        <w:rPr/>
      </w:pPr>
      <w:r>
        <w:rPr>
          <w:rFonts w:ascii="Times New Roman;sans-serif" w:hAnsi="Times New Roman;sans-serif"/>
          <w:b/>
          <w:color w:val="000000"/>
          <w:sz w:val="20"/>
        </w:rPr>
        <w:t xml:space="preserve">1.3Material Adverse Change. </w:t>
      </w:r>
      <w:r>
        <w:rPr>
          <w:rFonts w:ascii="Times New Roman;sans-serif" w:hAnsi="Times New Roman;sans-serif"/>
          <w:b w:val="false"/>
          <w:color w:val="000000"/>
          <w:sz w:val="20"/>
        </w:rPr>
        <w:t>A Material Adverse Change occurs.</w:t>
      </w:r>
    </w:p>
    <w:p>
      <w:pPr>
        <w:pStyle w:val="TextBody"/>
        <w:bidi w:val="0"/>
        <w:spacing w:lineRule="auto" w:line="288" w:before="241" w:after="283"/>
        <w:ind w:left="0" w:right="0" w:hanging="719"/>
        <w:jc w:val="left"/>
        <w:rPr>
          <w:rFonts w:ascii="Times New Roman;sans-serif" w:hAnsi="Times New Roman;sans-serif"/>
          <w:b/>
          <w:color w:val="000000"/>
          <w:sz w:val="20"/>
        </w:rPr>
      </w:pPr>
      <w:r>
        <w:rPr>
          <w:rFonts w:ascii="Times New Roman;sans-serif" w:hAnsi="Times New Roman;sans-serif"/>
          <w:b/>
          <w:color w:val="000000"/>
          <w:sz w:val="20"/>
        </w:rPr>
        <w:t>1.4Attachment; Levy; Restraint on Business.</w:t>
      </w:r>
    </w:p>
    <w:p>
      <w:pPr>
        <w:pStyle w:val="TextBody"/>
        <w:bidi w:val="0"/>
        <w:spacing w:lineRule="auto" w:line="288" w:before="237"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 assets by any government agency, and the same under subclauses (i) and (ii) hereof are not, within fifteen (15) Business Days after the occurrence thereof, discharged or stayed (whether through the posting of a bond or otherwise); provided, however, no Credit Extensions shall be made during any fifteen (15) Business Day cure period; and</w:t>
      </w:r>
    </w:p>
    <w:p>
      <w:pPr>
        <w:pStyle w:val="TextBody"/>
        <w:bidi w:val="0"/>
        <w:spacing w:lineRule="auto" w:line="288" w:before="24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pStyle w:val="TextBody"/>
        <w:bidi w:val="0"/>
        <w:spacing w:lineRule="auto" w:line="288" w:before="241" w:after="283"/>
        <w:ind w:left="0" w:right="0" w:firstLine="720"/>
        <w:jc w:val="both"/>
        <w:rPr/>
      </w:pPr>
      <w:r>
        <w:rPr>
          <w:rFonts w:ascii="Times New Roman;sans-serif" w:hAnsi="Times New Roman;sans-serif"/>
          <w:b/>
          <w:color w:val="000000"/>
          <w:sz w:val="20"/>
        </w:rPr>
        <w:t xml:space="preserve">1.1Insolvency. </w:t>
      </w:r>
      <w:r>
        <w:rPr>
          <w:rFonts w:ascii="Times New Roman;sans-serif" w:hAnsi="Times New Roman;sans-serif"/>
          <w:b w:val="false"/>
          <w:color w:val="000000"/>
          <w:sz w:val="20"/>
        </w:rPr>
        <w:t>(a) Borrower is or becomes Insolvent, or Borrower and its Subsidiaries, taken as a whole, are or become Insolvent; (b) Borrower or any of its Subsidiaries begins an Insolvency Proceeding; or (c) an Insolvency Proceeding is begun against Borrower or any of its Subsidiaries and not dismissed or stayed within forty-five (45) days (but no Credit Extensions shall be made while Borrower is, or Borrower and its Subsidiaries, taken as a whole, are, Insolvent and/or until any Insolvency Proceeding is dismissed);</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1.2Other Agreements. </w:t>
      </w:r>
      <w:r>
        <w:rPr>
          <w:rFonts w:ascii="Times New Roman;sans-serif" w:hAnsi="Times New Roman;sans-serif"/>
          <w:b w:val="false"/>
          <w:color w:val="000000"/>
          <w:sz w:val="20"/>
        </w:rPr>
        <w:t xml:space="preserve">There is a default under any agreement to which Borrower or any of its Subsidiaries is a party with a third party or parties resulting in a right by such third party or parties, whether or not exercised, to accelerate the maturity of any Indebtedness in an aggregate principal amount in excess of Five Hundred Thousand Dollars ($500,000.00) or that could reasonably be expected to have a Material Adverse Change; provided, however, that the Event of Default under this </w:t>
      </w:r>
      <w:r>
        <w:rPr>
          <w:rFonts w:ascii="Times New Roman;sans-serif" w:hAnsi="Times New Roman;sans-serif"/>
          <w:b w:val="false"/>
          <w:color w:val="000000"/>
          <w:sz w:val="20"/>
          <w:u w:val="single"/>
        </w:rPr>
        <w:t>Section 8.6</w:t>
      </w:r>
      <w:r>
        <w:rPr>
          <w:color w:val="000000"/>
        </w:rPr>
        <w:t xml:space="preserve"> </w:t>
      </w:r>
      <w:r>
        <w:rPr>
          <w:rFonts w:ascii="Times New Roman;sans-serif" w:hAnsi="Times New Roman;sans-serif"/>
          <w:b w:val="false"/>
          <w:color w:val="000000"/>
          <w:sz w:val="20"/>
        </w:rPr>
        <w:t>caused by</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36675"/>
                <wp:effectExtent l="0" t="0" r="0" b="0"/>
                <wp:wrapNone/>
                <wp:docPr id="96" name="Frame96"/>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occurrence of a breach or default under such other agreement shall be cured or waived for purposes of this Agreement upon Collateral Agent receiving written notice from the party asserting such breach or default of such cure or waiver of the breach or default under such other agreement, if at the time of such cure or waiver under such other agreement (x) Collateral Agent or any Lender has not declared an Event of Default under this Agreement and/or exercised any rights with respect thereto; (y) 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in the good faith business judgment of Collateral Agent be materially less advantageous to Borrower;</w:t>
      </w:r>
    </w:p>
    <w:p>
      <w:pPr>
        <w:pStyle w:val="TextBody"/>
        <w:bidi w:val="0"/>
        <w:spacing w:lineRule="auto" w:line="288" w:before="241" w:after="283"/>
        <w:ind w:left="0" w:right="0" w:firstLine="720"/>
        <w:jc w:val="both"/>
        <w:rPr/>
      </w:pPr>
      <w:r>
        <w:rPr>
          <w:rFonts w:ascii="Times New Roman;sans-serif" w:hAnsi="Times New Roman;sans-serif"/>
          <w:b/>
          <w:color w:val="000000"/>
          <w:sz w:val="20"/>
        </w:rPr>
        <w:t xml:space="preserve">1.3Judgments. </w:t>
      </w:r>
      <w:r>
        <w:rPr>
          <w:rFonts w:ascii="Times New Roman;sans-serif" w:hAnsi="Times New Roman;sans-serif"/>
          <w:b w:val="false"/>
          <w:color w:val="000000"/>
          <w:sz w:val="20"/>
        </w:rPr>
        <w:t>One or more judgments, orders, or decrees for the payment of money in an amount, individually or in the aggregate, of at least Five Hundred Thousand Dollars ($500,000.00) (not covered by independent third-party insurance as to which liability has been accepted by such insurance carrier) shall be rendered against Borrower or any of its Subsidiaries and shall remain unsatisfied, unvacated, or unstayed for a period of fifteen (15) Business Days after the entry thereof (provided that no Credit Extensions will be made prior to the satisfaction, vacation, or stay of such judgment, order or decree);</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1.4Misrepresentations. </w:t>
      </w:r>
      <w:r>
        <w:rPr>
          <w:rFonts w:ascii="Times New Roman;sans-serif" w:hAnsi="Times New Roman;sans-serif"/>
          <w:b w:val="false"/>
          <w:color w:val="000000"/>
          <w:sz w:val="20"/>
        </w:rPr>
        <w:t>Borrower or any of its Subsidiaries or any Person acting for Borrower or any of its Subsidiaries makes any representation, warranty, or other statement of fact made by or on behalf of Borrower or any of its Subsidiaries herein or in any other any Loan Document delivered in writing to Collateral Agent and/or Lenders or to induce Collateral Agent and/or the Lenders to enter this Agreement or any Loan Document, and such representation, warranty, or other statement of fact shall be incorrect in any material respect when made;</w:t>
      </w:r>
    </w:p>
    <w:p>
      <w:pPr>
        <w:pStyle w:val="TextBody"/>
        <w:bidi w:val="0"/>
        <w:spacing w:lineRule="auto" w:line="288" w:before="241" w:after="283"/>
        <w:ind w:left="0" w:right="0" w:firstLine="720"/>
        <w:jc w:val="both"/>
        <w:rPr/>
      </w:pPr>
      <w:r>
        <w:rPr>
          <w:rFonts w:ascii="Times New Roman;sans-serif" w:hAnsi="Times New Roman;sans-serif"/>
          <w:b/>
          <w:color w:val="000000"/>
          <w:sz w:val="20"/>
        </w:rPr>
        <w:t xml:space="preserve">1.5Subordinated Debt. </w:t>
      </w:r>
      <w:r>
        <w:rPr>
          <w:rFonts w:ascii="Times New Roman;sans-serif" w:hAnsi="Times New Roman;sans-serif"/>
          <w:b w:val="false"/>
          <w:color w:val="000000"/>
          <w:sz w:val="20"/>
        </w:rPr>
        <w:t>(a) Any document, instrument, or agreement evidencing any Subordinated Debt shall for any reason be revoked or invalidated or otherwise cease to be in full force and effect, in each case, other than in accordance with the terms thereof; (b) the Borrower or any Subsidiary shall be in breach thereof or contest in any manner the validity or enforceability thereof or deny that it has any further liability or obligation thereunder, or (c) the Obligations shall for any reason be subordinated or shall not have the priority contemplated by this Agreement or any applicable subordination or intercreditor agreement;</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1.6Guaranty. </w:t>
      </w:r>
      <w:r>
        <w:rPr>
          <w:rFonts w:ascii="Times New Roman;sans-serif" w:hAnsi="Times New Roman;sans-serif"/>
          <w:b w:val="false"/>
          <w:color w:val="000000"/>
          <w:sz w:val="20"/>
        </w:rPr>
        <w:t>(a) Any Guaranty terminates or ceases for any reason to be in full force and effect (other than in accordance with its terms); (b) any Guarantor does not perform any material obligation or covenant under any Guaranty; (c) any circumstance described in Sections 8.3, 8.4, 8.5, 8.7, or 8.8 occurs with respect to any Guarantor, or (d) the liquidation, winding up, or termination of existence of any Guarantor;</w:t>
      </w:r>
    </w:p>
    <w:p>
      <w:pPr>
        <w:pStyle w:val="TextBody"/>
        <w:bidi w:val="0"/>
        <w:spacing w:lineRule="auto" w:line="280" w:before="239" w:after="283"/>
        <w:ind w:left="0" w:right="0" w:firstLine="720"/>
        <w:jc w:val="both"/>
        <w:rPr/>
      </w:pPr>
      <w:r>
        <w:rPr>
          <w:rFonts w:ascii="Times New Roman;sans-serif" w:hAnsi="Times New Roman;sans-serif"/>
          <w:b/>
          <w:color w:val="000000"/>
          <w:sz w:val="20"/>
        </w:rPr>
        <w:t xml:space="preserve">1.7Governmental Approvals. </w:t>
      </w:r>
      <w:r>
        <w:rPr>
          <w:rFonts w:ascii="Times New Roman;sans-serif" w:hAnsi="Times New Roman;sans-serif"/>
          <w:b w:val="false"/>
          <w:color w:val="000000"/>
          <w:sz w:val="20"/>
        </w:rPr>
        <w:t xml:space="preserve">Any Governmental Approval shall have been revoked, rescinded, suspended, modified in an adverse manner, or not renewed in the ordinary course for a full term </w:t>
      </w:r>
      <w:r>
        <w:rPr>
          <w:rFonts w:ascii="Times New Roman;sans-serif" w:hAnsi="Times New Roman;sans-serif"/>
          <w:b w:val="false"/>
          <w:i/>
          <w:color w:val="000000"/>
          <w:sz w:val="20"/>
        </w:rPr>
        <w:t xml:space="preserve">and </w:t>
      </w:r>
      <w:r>
        <w:rPr>
          <w:rFonts w:ascii="Times New Roman;sans-serif" w:hAnsi="Times New Roman;sans-serif"/>
          <w:b w:val="false"/>
          <w:color w:val="000000"/>
          <w:sz w:val="20"/>
        </w:rPr>
        <w:t>such revocation, rescission, suspension, modification or non-renewal has resulted in or could reasonably be expected to result in a Material Adverse Change;</w:t>
      </w:r>
    </w:p>
    <w:p>
      <w:pPr>
        <w:pStyle w:val="TextBody"/>
        <w:bidi w:val="0"/>
        <w:spacing w:lineRule="auto" w:line="288" w:before="231" w:after="283"/>
        <w:ind w:left="0" w:right="0" w:firstLine="720"/>
        <w:jc w:val="both"/>
        <w:rPr/>
      </w:pPr>
      <w:r>
        <w:rPr>
          <w:rFonts w:ascii="Times New Roman;sans-serif" w:hAnsi="Times New Roman;sans-serif"/>
          <w:b/>
          <w:color w:val="000000"/>
          <w:sz w:val="20"/>
        </w:rPr>
        <w:t xml:space="preserve">1.8Lien Priority. </w:t>
      </w:r>
      <w:r>
        <w:rPr>
          <w:rFonts w:ascii="Times New Roman;sans-serif" w:hAnsi="Times New Roman;sans-serif"/>
          <w:b w:val="false"/>
          <w:color w:val="000000"/>
          <w:sz w:val="20"/>
        </w:rPr>
        <w:t>Any Lien created hereunder or by any other Loan Document shall at any time fail to constitute a valid and perfected Lien on any material portion of the Collateral purported to be secured thereby, subject to no prior or equal Lien, other than Permitted Liens which are permitted to have priority in accordance with the terms of this Agreement; provided that such circumstance is not due to Collateral Agent’s failure to file an appropriate continuation financing statement, amendment financing statement or initial financing statement;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36675"/>
                <wp:effectExtent l="0" t="0" r="0" b="0"/>
                <wp:wrapNone/>
                <wp:docPr id="97" name="Frame97"/>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firstLine="720"/>
        <w:jc w:val="both"/>
        <w:rPr/>
      </w:pPr>
      <w:r>
        <w:rPr>
          <w:rFonts w:ascii="Times New Roman;sans-serif" w:hAnsi="Times New Roman;sans-serif"/>
          <w:b/>
          <w:color w:val="000000"/>
          <w:sz w:val="20"/>
        </w:rPr>
        <w:t>1.9Delisting</w:t>
      </w:r>
      <w:r>
        <w:rPr>
          <w:rFonts w:ascii="Times New Roman;sans-serif" w:hAnsi="Times New Roman;sans-serif"/>
          <w:b w:val="false"/>
          <w:color w:val="000000"/>
          <w:sz w:val="20"/>
        </w:rPr>
        <w:t>. The shares of common stock of Borrower are delisted from NASDAQ Global Select Market because of failure to comply with continued listing standards thereof or due to a voluntary delisting which results in such shares not being listed on any other nationally recognized stock exchange in the United States having listing standards at least as restrictive as the NASDAQ Global Select Market.</w:t>
      </w:r>
    </w:p>
    <w:p>
      <w:pPr>
        <w:pStyle w:val="TextBody"/>
        <w:bidi w:val="0"/>
        <w:spacing w:before="2" w:after="283"/>
        <w:jc w:val="left"/>
        <w:rPr/>
      </w:pPr>
      <w:r>
        <w:rPr/>
      </w:r>
    </w:p>
    <w:p>
      <w:pPr>
        <w:pStyle w:val="TextBody"/>
        <w:bidi w:val="0"/>
        <w:spacing w:lineRule="auto" w:line="288" w:before="1" w:after="283"/>
        <w:ind w:left="0" w:right="0" w:hanging="719"/>
        <w:jc w:val="left"/>
        <w:rPr/>
      </w:pPr>
      <w:r>
        <w:rPr>
          <w:rFonts w:ascii="Times New Roman;sans-serif" w:hAnsi="Times New Roman;sans-serif"/>
          <w:b/>
          <w:color w:val="000000"/>
          <w:sz w:val="20"/>
        </w:rPr>
        <w:t>9.</w:t>
      </w:r>
      <w:r>
        <w:rPr>
          <w:rFonts w:ascii="Times New Roman;sans-serif" w:hAnsi="Times New Roman;sans-serif"/>
          <w:b/>
          <w:color w:val="000000"/>
          <w:sz w:val="20"/>
          <w:u w:val="single"/>
        </w:rPr>
        <w:t>RIGHTS AND REMEDIES</w:t>
      </w:r>
    </w:p>
    <w:p>
      <w:pPr>
        <w:pStyle w:val="TextBody"/>
        <w:bidi w:val="0"/>
        <w:spacing w:lineRule="auto" w:line="288" w:before="239" w:after="283"/>
        <w:ind w:left="0" w:right="0" w:hanging="719"/>
        <w:jc w:val="both"/>
        <w:rPr/>
      </w:pPr>
      <w:r>
        <w:rPr>
          <w:rFonts w:ascii="Times New Roman;sans-serif" w:hAnsi="Times New Roman;sans-serif"/>
          <w:b/>
          <w:color w:val="000000"/>
          <w:sz w:val="20"/>
        </w:rPr>
        <w:t>1.1</w:t>
      </w:r>
      <w:r>
        <w:rPr>
          <w:rFonts w:ascii="Times New Roman;sans-serif" w:hAnsi="Times New Roman;sans-serif"/>
          <w:b w:val="false"/>
          <w:color w:val="000000"/>
          <w:sz w:val="20"/>
        </w:rPr>
        <w:t>Rights and Remedies.</w:t>
      </w:r>
    </w:p>
    <w:p>
      <w:pPr>
        <w:pStyle w:val="TextBody"/>
        <w:bidi w:val="0"/>
        <w:spacing w:lineRule="auto" w:line="288" w:before="239" w:after="283"/>
        <w:ind w:left="0" w:right="0" w:firstLine="1440"/>
        <w:jc w:val="both"/>
        <w:rPr/>
      </w:pPr>
      <w:r>
        <w:rPr>
          <w:rFonts w:ascii="Times New Roman;sans-serif" w:hAnsi="Times New Roman;sans-serif"/>
          <w:b w:val="false"/>
          <w:color w:val="000000"/>
          <w:sz w:val="20"/>
        </w:rPr>
        <w:t xml:space="preserve">(a)Upon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w:t>
      </w:r>
      <w:r>
        <w:rPr>
          <w:rFonts w:ascii="Times New Roman;sans-serif" w:hAnsi="Times New Roman;sans-serif"/>
          <w:b w:val="false"/>
          <w:color w:val="000000"/>
          <w:sz w:val="20"/>
          <w:u w:val="single"/>
        </w:rPr>
        <w:t>Section 8.5</w:t>
      </w:r>
      <w:r>
        <w:rPr>
          <w:color w:val="000000"/>
        </w:rPr>
        <w:t xml:space="preserve"> </w:t>
      </w:r>
      <w:r>
        <w:rPr>
          <w:rFonts w:ascii="Times New Roman;sans-serif" w:hAnsi="Times New Roman;sans-serif"/>
          <w:b w:val="false"/>
          <w:color w:val="000000"/>
          <w:sz w:val="20"/>
        </w:rPr>
        <w:t xml:space="preserve">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w:t>
      </w:r>
      <w:r>
        <w:rPr>
          <w:rFonts w:ascii="Times New Roman;sans-serif" w:hAnsi="Times New Roman;sans-serif"/>
          <w:b w:val="false"/>
          <w:color w:val="000000"/>
          <w:sz w:val="20"/>
          <w:u w:val="single"/>
        </w:rPr>
        <w:t>Section 8.5</w:t>
      </w:r>
      <w:r>
        <w:rPr>
          <w:color w:val="000000"/>
        </w:rPr>
        <w:t xml:space="preserve"> </w:t>
      </w:r>
      <w:r>
        <w:rPr>
          <w:rFonts w:ascii="Times New Roman;sans-serif" w:hAnsi="Times New Roman;sans-serif"/>
          <w:b w:val="false"/>
          <w:color w:val="000000"/>
          <w:sz w:val="20"/>
        </w:rPr>
        <w:t>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pStyle w:val="TextBody"/>
        <w:bidi w:val="0"/>
        <w:spacing w:lineRule="auto" w:line="280" w:before="238" w:after="283"/>
        <w:ind w:left="0" w:right="0" w:firstLine="1440"/>
        <w:jc w:val="both"/>
        <w:rPr/>
      </w:pPr>
      <w:r>
        <w:rPr>
          <w:rFonts w:ascii="Times New Roman;sans-serif" w:hAnsi="Times New Roman;sans-serif"/>
          <w:b w:val="false"/>
          <w:color w:val="000000"/>
          <w:sz w:val="20"/>
        </w:rPr>
        <w:t xml:space="preserve">(b)Without limiting the rights of Collateral Agent and the Lenders set forth in </w:t>
      </w:r>
      <w:r>
        <w:rPr>
          <w:rFonts w:ascii="Times New Roman;sans-serif" w:hAnsi="Times New Roman;sans-serif"/>
          <w:b w:val="false"/>
          <w:color w:val="000000"/>
          <w:sz w:val="20"/>
          <w:u w:val="single"/>
        </w:rPr>
        <w:t>Section 9.1(a)</w:t>
      </w:r>
      <w:r>
        <w:rPr>
          <w:color w:val="000000"/>
        </w:rPr>
        <w:t xml:space="preserve"> </w:t>
      </w:r>
      <w:r>
        <w:rPr>
          <w:rFonts w:ascii="Times New Roman;sans-serif" w:hAnsi="Times New Roman;sans-serif"/>
          <w:b w:val="false"/>
          <w:color w:val="000000"/>
          <w:sz w:val="20"/>
        </w:rPr>
        <w:t>above, upon the occurrence and during the continuance of an Event of Default, Collateral Agent shall have the right at the written direction of the Required Lenders, without notice or demand, to do any or all of the following:</w:t>
      </w:r>
    </w:p>
    <w:p>
      <w:pPr>
        <w:pStyle w:val="TextBody"/>
        <w:bidi w:val="0"/>
        <w:spacing w:lineRule="auto" w:line="288" w:before="234"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(i)foreclose upon and/or sell or otherwise liquidate, the Collateral;</w:t>
      </w:r>
    </w:p>
    <w:p>
      <w:pPr>
        <w:pStyle w:val="TextBody"/>
        <w:bidi w:val="0"/>
        <w:spacing w:lineRule="auto" w:line="288" w:before="236"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(ii)apply to the Obligations any (a) balances and deposits of Borrower that Collateral Agent or any Lender holds or controls, or (b) any amount held or controlled by Collateral Agent or any Lender owing to or for the credit or the account of Borrower; and/or</w:t>
      </w:r>
    </w:p>
    <w:p>
      <w:pPr>
        <w:pStyle w:val="TextBody"/>
        <w:bidi w:val="0"/>
        <w:spacing w:lineRule="auto" w:line="288" w:before="242"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(iii)commence and prosecute an Insolvency Proceeding or consent to Borrower commencing any Insolvency Proceeding.</w:t>
      </w:r>
    </w:p>
    <w:p>
      <w:pPr>
        <w:pStyle w:val="TextBody"/>
        <w:bidi w:val="0"/>
        <w:spacing w:lineRule="auto" w:line="288" w:before="238" w:after="283"/>
        <w:ind w:left="0" w:right="0" w:firstLine="1440"/>
        <w:jc w:val="both"/>
        <w:rPr/>
      </w:pPr>
      <w:r>
        <w:rPr>
          <w:rFonts w:ascii="Times New Roman;sans-serif" w:hAnsi="Times New Roman;sans-serif"/>
          <w:b w:val="false"/>
          <w:color w:val="000000"/>
          <w:sz w:val="20"/>
        </w:rPr>
        <w:t xml:space="preserve">(c)Without limiting the rights of Collateral Agent and the Lenders set forth in </w:t>
      </w:r>
      <w:r>
        <w:rPr>
          <w:rFonts w:ascii="Times New Roman;sans-serif" w:hAnsi="Times New Roman;sans-serif"/>
          <w:b w:val="false"/>
          <w:color w:val="000000"/>
          <w:sz w:val="20"/>
          <w:u w:val="single"/>
        </w:rPr>
        <w:t>Sections</w:t>
      </w:r>
      <w:r>
        <w:rPr>
          <w:color w:val="000000"/>
        </w:rPr>
        <w:t xml:space="preserve"> </w:t>
      </w:r>
      <w:r>
        <w:rPr>
          <w:rFonts w:ascii="Times New Roman;sans-serif" w:hAnsi="Times New Roman;sans-serif"/>
          <w:b w:val="false"/>
          <w:color w:val="000000"/>
          <w:sz w:val="20"/>
          <w:u w:val="single"/>
        </w:rPr>
        <w:t>9.1(a)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above, upon the occurrence and during the continuance of an Event of Default, Collateral Agent shall have the right, without notice or demand, to do any or all of the following:</w:t>
      </w:r>
    </w:p>
    <w:p>
      <w:pPr>
        <w:pStyle w:val="TextBody"/>
        <w:bidi w:val="0"/>
        <w:spacing w:lineRule="auto" w:line="288" w:before="242"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pStyle w:val="TextBody"/>
        <w:bidi w:val="0"/>
        <w:spacing w:lineRule="auto" w:line="288" w:before="239"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36675"/>
                <wp:effectExtent l="0" t="0" r="0" b="0"/>
                <wp:wrapNone/>
                <wp:docPr id="98" name="Frame98"/>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enter and occupy any of its premises, without charge, to exercise any of Collateral Agent’s rights or remedies;</w:t>
      </w:r>
    </w:p>
    <w:p>
      <w:pPr>
        <w:pStyle w:val="TextBody"/>
        <w:bidi w:val="0"/>
        <w:spacing w:lineRule="auto" w:line="288" w:before="241" w:after="283"/>
        <w:ind w:left="0" w:right="0" w:firstLine="2160"/>
        <w:jc w:val="both"/>
        <w:rPr/>
      </w:pPr>
      <w:r>
        <w:rPr>
          <w:rFonts w:ascii="Times New Roman;sans-serif" w:hAnsi="Times New Roman;sans-serif"/>
          <w:b w:val="false"/>
          <w:color w:val="000000"/>
          <w:sz w:val="20"/>
        </w:rPr>
        <w:t xml:space="preserve">(iii)ship, reclaim, recover, store, finish, maintain, repair, prepare for sale, and/or advertise for sale, the Collateral. Collateral Agent is hereby granted a non-exclusive, royalty-free license or other right to use, without charge, each Loan Party’s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w:t>
      </w:r>
      <w:r>
        <w:rPr>
          <w:rFonts w:ascii="Times New Roman;sans-serif" w:hAnsi="Times New Roman;sans-serif"/>
          <w:b w:val="false"/>
          <w:color w:val="000000"/>
          <w:sz w:val="20"/>
          <w:u w:val="single"/>
        </w:rPr>
        <w:t>Section 9.1</w:t>
      </w:r>
      <w:r>
        <w:rPr>
          <w:rFonts w:ascii="Times New Roman;sans-serif" w:hAnsi="Times New Roman;sans-serif"/>
          <w:b w:val="false"/>
          <w:color w:val="000000"/>
          <w:sz w:val="20"/>
        </w:rPr>
        <w:t>, each Loan Party’s rights under all licenses and all franchise agreements inure to Collateral Agent, for the benefit of the Lenders;</w:t>
      </w:r>
    </w:p>
    <w:p>
      <w:pPr>
        <w:pStyle w:val="TextBody"/>
        <w:bidi w:val="0"/>
        <w:spacing w:lineRule="auto" w:line="280" w:before="239"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(iv)place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pStyle w:val="TextBody"/>
        <w:bidi w:val="0"/>
        <w:spacing w:lineRule="auto" w:line="288" w:before="234"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(v)demand and receive possession of Borrower’s Books;</w:t>
      </w:r>
    </w:p>
    <w:p>
      <w:pPr>
        <w:pStyle w:val="TextBody"/>
        <w:bidi w:val="0"/>
        <w:spacing w:lineRule="auto" w:line="280" w:before="240"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(vi)appoint a receiver to seize, manage and realize any of the Collateral, and such receiver shall have any right and authority as any competent court will grant or authorize in accordance with any applicable law, including any power or authority to manage the business of any Loan Party; and</w:t>
      </w:r>
    </w:p>
    <w:p>
      <w:pPr>
        <w:pStyle w:val="TextBody"/>
        <w:bidi w:val="0"/>
        <w:spacing w:lineRule="auto" w:line="280" w:before="231" w:after="283"/>
        <w:ind w:left="0" w:right="0" w:firstLine="2160"/>
        <w:jc w:val="both"/>
        <w:rPr/>
      </w:pPr>
      <w:r>
        <w:rPr>
          <w:rFonts w:ascii="Times New Roman;sans-serif" w:hAnsi="Times New Roman;sans-serif"/>
          <w:b w:val="false"/>
          <w:color w:val="000000"/>
          <w:sz w:val="20"/>
        </w:rPr>
        <w:t xml:space="preserve">(vii)subject to </w:t>
      </w:r>
      <w:r>
        <w:rPr>
          <w:rFonts w:ascii="Times New Roman;sans-serif" w:hAnsi="Times New Roman;sans-serif"/>
          <w:b w:val="false"/>
          <w:color w:val="000000"/>
          <w:sz w:val="20"/>
          <w:u w:val="single"/>
        </w:rPr>
        <w:t>Sections 9.1(a)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exercise all rights and remedies available to Collateral Agent and each Lender under the Loan Documents or at law or equity, including all remedies provided under the Code (including disposal of the Collateral pursuant to the terms thereof).</w:t>
      </w:r>
    </w:p>
    <w:p>
      <w:pPr>
        <w:pStyle w:val="TextBody"/>
        <w:bidi w:val="0"/>
        <w:spacing w:lineRule="auto" w:line="288" w:before="232" w:after="283"/>
        <w:jc w:val="both"/>
        <w:rPr/>
      </w:pPr>
      <w:r>
        <w:rPr>
          <w:rFonts w:ascii="Times New Roman;sans-serif" w:hAnsi="Times New Roman;sans-serif"/>
          <w:b w:val="false"/>
          <w:color w:val="000000"/>
          <w:sz w:val="20"/>
        </w:rPr>
        <w:t xml:space="preserve">Notwithstanding any provision of this </w:t>
      </w:r>
      <w:r>
        <w:rPr>
          <w:rFonts w:ascii="Times New Roman;sans-serif" w:hAnsi="Times New Roman;sans-serif"/>
          <w:b w:val="false"/>
          <w:color w:val="000000"/>
          <w:sz w:val="20"/>
          <w:u w:val="single"/>
        </w:rPr>
        <w:t>Section 9.1</w:t>
      </w:r>
      <w:r>
        <w:rPr>
          <w:color w:val="000000"/>
        </w:rPr>
        <w:t xml:space="preserve"> </w:t>
      </w:r>
      <w:r>
        <w:rPr>
          <w:rFonts w:ascii="Times New Roman;sans-serif" w:hAnsi="Times New Roman;sans-serif"/>
          <w:b w:val="false"/>
          <w:color w:val="000000"/>
          <w:sz w:val="20"/>
        </w:rPr>
        <w:t xml:space="preserve">to the contrary, upon the occurrence of any Event of Default, Collateral Agent shall have the right to exercise any and all remedies referenced in this </w:t>
      </w:r>
      <w:r>
        <w:rPr>
          <w:rFonts w:ascii="Times New Roman;sans-serif" w:hAnsi="Times New Roman;sans-serif"/>
          <w:b w:val="false"/>
          <w:color w:val="000000"/>
          <w:sz w:val="20"/>
          <w:u w:val="single"/>
        </w:rPr>
        <w:t>Section 9.1</w:t>
      </w:r>
      <w:r>
        <w:rPr>
          <w:color w:val="000000"/>
        </w:rPr>
        <w:t xml:space="preserve"> </w:t>
      </w:r>
      <w:r>
        <w:rPr>
          <w:rFonts w:ascii="Times New Roman;sans-serif" w:hAnsi="Times New Roman;sans-serif"/>
          <w:b w:val="false"/>
          <w:color w:val="000000"/>
          <w:sz w:val="20"/>
        </w:rPr>
        <w:t>without the written consent of Required Lenders following the occurrence of an Exigent Circumstance. As used in the immediately preceding sentence, “</w:t>
      </w:r>
      <w:r>
        <w:rPr>
          <w:rFonts w:ascii="Times New Roman;sans-serif" w:hAnsi="Times New Roman;sans-serif"/>
          <w:b/>
          <w:color w:val="000000"/>
          <w:sz w:val="20"/>
        </w:rPr>
        <w:t>Exigent Circumstance</w:t>
      </w:r>
      <w:r>
        <w:rPr>
          <w:color w:val="000000"/>
        </w:rPr>
        <w:t xml:space="preserve">” </w:t>
      </w:r>
      <w:r>
        <w:rPr>
          <w:rFonts w:ascii="Times New Roman;sans-serif" w:hAnsi="Times New Roman;sans-serif"/>
          <w:b w:val="false"/>
          <w:color w:val="000000"/>
          <w:sz w:val="20"/>
        </w:rPr>
        <w:t>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any Loan Party after reasonable demand to maintain or reinstate adequate casualty insurance coverage, or which, in the judgment of Collateral Agent, could reasonably be expected to result in a material diminution in value of the Collateral.</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1.2Power of Attorney. </w:t>
      </w:r>
      <w:r>
        <w:rPr>
          <w:rFonts w:ascii="Times New Roman;sans-serif" w:hAnsi="Times New Roman;sans-serif"/>
          <w:b w:val="false"/>
          <w:color w:val="000000"/>
          <w:sz w:val="20"/>
        </w:rPr>
        <w:t>Borrower hereby irrevocably appoints Collateral Agent as its lawful attorney in fact, exercisable upon the occurrence and during the continuance of an Event of Default, to: (a) endorse any Loan Party’s name on any checks or other forms of payment or security; (b) sign any Loan Party’s name on any invoice or bill of lading for any Account or drafts against Account Debtors; (c) settle and adjust disputes and claims about the Accounts directly with Account Debtors, for amounts and on terms Collateral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 in 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Credit Extensions hereunder.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36675"/>
                <wp:effectExtent l="0" t="0" r="0" b="0"/>
                <wp:wrapNone/>
                <wp:docPr id="99" name="Frame99"/>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Credit Extensions terminates.</w:t>
      </w:r>
    </w:p>
    <w:p>
      <w:pPr>
        <w:pStyle w:val="TextBody"/>
        <w:bidi w:val="0"/>
        <w:spacing w:lineRule="auto" w:line="288" w:before="241" w:after="283"/>
        <w:ind w:left="0" w:right="0" w:firstLine="720"/>
        <w:jc w:val="both"/>
        <w:rPr/>
      </w:pPr>
      <w:r>
        <w:rPr>
          <w:rFonts w:ascii="Times New Roman;sans-serif" w:hAnsi="Times New Roman;sans-serif"/>
          <w:b/>
          <w:color w:val="000000"/>
          <w:sz w:val="20"/>
        </w:rPr>
        <w:t xml:space="preserve">1.3Protective Payments. </w:t>
      </w:r>
      <w:r>
        <w:rPr>
          <w:rFonts w:ascii="Times New Roman;sans-serif" w:hAnsi="Times New Roman;sans-serif"/>
          <w:b w:val="false"/>
          <w:color w:val="000000"/>
          <w:sz w:val="20"/>
        </w:rPr>
        <w:t xml:space="preserve">If any Loan Party fails to obtain the insurance called for by </w:t>
      </w:r>
      <w:r>
        <w:rPr>
          <w:rFonts w:ascii="Times New Roman;sans-serif" w:hAnsi="Times New Roman;sans-serif"/>
          <w:b w:val="false"/>
          <w:color w:val="000000"/>
          <w:sz w:val="20"/>
          <w:u w:val="single"/>
        </w:rPr>
        <w:t>Section 6.5</w:t>
      </w:r>
      <w:r>
        <w:rPr>
          <w:color w:val="000000"/>
        </w:rPr>
        <w:t xml:space="preserve"> </w:t>
      </w:r>
      <w:r>
        <w:rPr>
          <w:rFonts w:ascii="Times New Roman;sans-serif" w:hAnsi="Times New Roman;sans-serif"/>
          <w:b w:val="false"/>
          <w:color w:val="000000"/>
          <w:sz w:val="20"/>
        </w:rPr>
        <w:t>or fails to pay any premium thereon or fails to pay any other amount which any Loan Party is obligated to pay under this Agreement or any other Loan Document, Collateral Agent may obtain such insurance or make such payment, and all amounts so paid by Collateral Agent are Lenders’ Expenses and immediately due and 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1.4Application of Payments and Proceeds. </w:t>
      </w:r>
      <w:r>
        <w:rPr>
          <w:rFonts w:ascii="Times New Roman;sans-serif" w:hAnsi="Times New Roman;sans-serif"/>
          <w:b w:val="false"/>
          <w:color w:val="000000"/>
          <w:sz w:val="20"/>
        </w:rPr>
        <w:t>Notwithstanding anything to the contrary contained in this Agreement, upon the occurrence and during the continuance of an Event of Default,</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(a)Borrower irrevocably waives the right to direct the application of any and all payments at any time or times thereafter received by Collateral Agent from or on behalf of any Loan Party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 (x) 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36675"/>
                <wp:effectExtent l="0" t="0" r="0" b="0"/>
                <wp:wrapNone/>
                <wp:docPr id="100" name="Frame100"/>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firstLine="720"/>
        <w:jc w:val="both"/>
        <w:rPr/>
      </w:pPr>
      <w:r>
        <w:rPr>
          <w:rFonts w:ascii="Times New Roman;sans-serif" w:hAnsi="Times New Roman;sans-serif"/>
          <w:b/>
          <w:color w:val="000000"/>
          <w:sz w:val="20"/>
        </w:rPr>
        <w:t xml:space="preserve">1.5Liability for Collateral. </w:t>
      </w:r>
      <w:r>
        <w:rPr>
          <w:rFonts w:ascii="Times New Roman;sans-serif" w:hAnsi="Times New Roman;sans-serif"/>
          <w:b w:val="false"/>
          <w:color w:val="000000"/>
          <w:sz w:val="20"/>
        </w:rPr>
        <w:t>So long as Collateral Agent and the Lenders comply with reasonable banking practices regarding the safekeeping of 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1.6No Waiver; Remedies Cumulative. </w:t>
      </w:r>
      <w:r>
        <w:rPr>
          <w:rFonts w:ascii="Times New Roman;sans-serif" w:hAnsi="Times New Roman;sans-serif"/>
          <w:b w:val="false"/>
          <w:color w:val="000000"/>
          <w:sz w:val="20"/>
        </w:rPr>
        <w:t>Failure by Collateral Agent or any Lender, at any time or times, to require strict performance by Borrower 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pStyle w:val="TextBody"/>
        <w:bidi w:val="0"/>
        <w:spacing w:lineRule="auto" w:line="288" w:before="241" w:after="283"/>
        <w:ind w:left="0" w:right="0" w:firstLine="720"/>
        <w:jc w:val="both"/>
        <w:rPr/>
      </w:pPr>
      <w:r>
        <w:rPr>
          <w:rFonts w:ascii="Times New Roman;sans-serif" w:hAnsi="Times New Roman;sans-serif"/>
          <w:b/>
          <w:color w:val="000000"/>
          <w:sz w:val="20"/>
        </w:rPr>
        <w:t xml:space="preserve">1.7Demand Waiver. </w:t>
      </w:r>
      <w:r>
        <w:rPr>
          <w:rFonts w:ascii="Times New Roman;sans-serif" w:hAnsi="Times New Roman;sans-serif"/>
          <w:b w:val="false"/>
          <w:color w:val="000000"/>
          <w:sz w:val="20"/>
        </w:rPr>
        <w:t>Borrower waives, to the fullest extent permitted by law, demand, notice of default or dishonor, notice of payment and nonpayment, notice of any default, nonpayment at maturity, release, compromise, settlement, extension, or renewal of accounts, documents, instruments, chattel paper, and guarantees held by Collateral Agent or any Lender on which any Loan Party is liable.</w:t>
      </w:r>
    </w:p>
    <w:p>
      <w:pPr>
        <w:pStyle w:val="TextBody"/>
        <w:bidi w:val="0"/>
        <w:spacing w:lineRule="auto" w:line="288" w:before="244" w:after="283"/>
        <w:ind w:left="0" w:right="0" w:hanging="719"/>
        <w:jc w:val="left"/>
        <w:rPr/>
      </w:pPr>
      <w:r>
        <w:rPr>
          <w:rFonts w:ascii="Times New Roman;sans-serif" w:hAnsi="Times New Roman;sans-serif"/>
          <w:b/>
          <w:color w:val="000000"/>
          <w:sz w:val="20"/>
        </w:rPr>
        <w:t>10.</w:t>
      </w:r>
      <w:r>
        <w:rPr>
          <w:rFonts w:ascii="Times New Roman;sans-serif" w:hAnsi="Times New Roman;sans-serif"/>
          <w:b/>
          <w:color w:val="000000"/>
          <w:sz w:val="20"/>
          <w:u w:val="single"/>
        </w:rPr>
        <w:t>NOTICES</w:t>
      </w:r>
    </w:p>
    <w:p>
      <w:pPr>
        <w:pStyle w:val="TextBody"/>
        <w:bidi w:val="0"/>
        <w:spacing w:lineRule="auto" w:line="288" w:before="237" w:after="283"/>
        <w:ind w:left="0" w:right="0" w:firstLine="720"/>
        <w:jc w:val="both"/>
        <w:rPr/>
      </w:pPr>
      <w:r>
        <w:rPr>
          <w:rFonts w:ascii="Times New Roman;sans-serif" w:hAnsi="Times New Roman;sans-serif"/>
          <w:b w:val="false"/>
          <w:color w:val="000000"/>
          <w:sz w:val="20"/>
        </w:rPr>
        <w:t>All notices, consents, requests, approvals, demands, or other communication (collectively, “</w:t>
      </w:r>
      <w:r>
        <w:rPr>
          <w:rFonts w:ascii="Times New Roman;sans-serif" w:hAnsi="Times New Roman;sans-serif"/>
          <w:b/>
          <w:color w:val="000000"/>
          <w:sz w:val="20"/>
        </w:rPr>
        <w:t>Communication</w:t>
      </w:r>
      <w:r>
        <w:rPr>
          <w:color w:val="000000"/>
        </w:rPr>
        <w:t>”</w:t>
      </w:r>
      <w:r>
        <w:rPr>
          <w:rFonts w:ascii="Times New Roman;sans-serif" w:hAnsi="Times New Roman;sans-serif"/>
          <w:b w:val="false"/>
          <w:color w:val="000000"/>
          <w:sz w:val="20"/>
        </w:rPr>
        <w:t xml:space="preserve">)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or electronic mail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Any of Collateral Agent, Lender or Borrower may change its mailing address, facsimile number, or email address by giving the other party written notice thereof in accordance with the terms of this </w:t>
      </w:r>
      <w:r>
        <w:rPr>
          <w:rFonts w:ascii="Times New Roman;sans-serif" w:hAnsi="Times New Roman;sans-serif"/>
          <w:b w:val="false"/>
          <w:color w:val="000000"/>
          <w:sz w:val="20"/>
          <w:u w:val="single"/>
        </w:rPr>
        <w:t>Section 10</w:t>
      </w:r>
      <w:r>
        <w:rPr>
          <w:rFonts w:ascii="Times New Roman;sans-serif" w:hAnsi="Times New Roman;sans-serif"/>
          <w:b w:val="false"/>
          <w:color w:val="000000"/>
          <w:sz w:val="20"/>
        </w:rPr>
        <w:t>.</w:t>
      </w:r>
    </w:p>
    <w:p>
      <w:pPr>
        <w:pStyle w:val="TextBody"/>
        <w:bidi w:val="0"/>
        <w:spacing w:before="18" w:after="283"/>
        <w:jc w:val="left"/>
        <w:rPr/>
      </w:pPr>
      <w:r>
        <w:rPr/>
      </w:r>
    </w:p>
    <w:tbl>
      <w:tblPr>
        <w:tblW w:w="5654" w:type="dxa"/>
        <w:jc w:val="left"/>
        <w:tblInd w:w="0" w:type="dxa"/>
        <w:tblLayout w:type="fixed"/>
        <w:tblCellMar>
          <w:top w:w="28" w:type="dxa"/>
          <w:left w:w="28" w:type="dxa"/>
          <w:bottom w:w="28" w:type="dxa"/>
          <w:right w:w="28" w:type="dxa"/>
        </w:tblCellMar>
      </w:tblPr>
      <w:tblGrid>
        <w:gridCol w:w="608"/>
        <w:gridCol w:w="534"/>
        <w:gridCol w:w="538"/>
        <w:gridCol w:w="1162"/>
        <w:gridCol w:w="1162"/>
        <w:gridCol w:w="1650"/>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to Borrower:</w:t>
            </w:r>
          </w:p>
        </w:tc>
        <w:tc>
          <w:tcPr>
            <w:tcW w:w="3974"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(CFO) 260 Littlefield Avenue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South San Francisco, CA 94080 </w:t>
            </w:r>
          </w:p>
        </w:tc>
      </w:tr>
      <w:tr>
        <w:trPr/>
        <w:tc>
          <w:tcPr>
            <w:tcW w:w="1680" w:type="dxa"/>
            <w:gridSpan w:val="3"/>
            <w:tcBorders/>
            <w:tcMar>
              <w:top w:w="0" w:type="dxa"/>
              <w:left w:w="0" w:type="dxa"/>
              <w:bottom w:w="0" w:type="dxa"/>
              <w:right w:w="0" w:type="dxa"/>
            </w:tcMar>
            <w:vAlign w:val="center"/>
          </w:tcPr>
          <w:p>
            <w:pPr>
              <w:pStyle w:val="TableContents"/>
              <w:bidi w:val="0"/>
              <w:spacing w:lineRule="auto" w:line="259" w:before="122"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(which</w:t>
            </w:r>
          </w:p>
        </w:tc>
        <w:tc>
          <w:tcPr>
            <w:tcW w:w="3974" w:type="dxa"/>
            <w:gridSpan w:val="3"/>
            <w:tcBorders/>
            <w:tcMar>
              <w:top w:w="0" w:type="dxa"/>
              <w:left w:w="0" w:type="dxa"/>
              <w:bottom w:w="0" w:type="dxa"/>
              <w:right w:w="0" w:type="dxa"/>
            </w:tcMar>
            <w:vAlign w:val="center"/>
          </w:tcPr>
          <w:p>
            <w:pPr>
              <w:pStyle w:val="TableContents"/>
              <w:bidi w:val="0"/>
              <w:spacing w:lineRule="auto" w:line="259" w:before="122"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SIDLEY AUSTIN LLP</w:t>
            </w:r>
          </w:p>
        </w:tc>
      </w:tr>
      <w:tr>
        <w:trPr/>
        <w:tc>
          <w:tcPr>
            <w:tcW w:w="1680" w:type="dxa"/>
            <w:gridSpan w:val="3"/>
            <w:tcBorders/>
            <w:tcMar>
              <w:top w:w="0" w:type="dxa"/>
              <w:left w:w="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shall not constitute</w:t>
            </w:r>
          </w:p>
        </w:tc>
        <w:tc>
          <w:tcPr>
            <w:tcW w:w="3974" w:type="dxa"/>
            <w:gridSpan w:val="3"/>
            <w:tcBorders/>
            <w:tcMar>
              <w:top w:w="0" w:type="dxa"/>
              <w:left w:w="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Sharon Flanagan</w:t>
            </w:r>
          </w:p>
        </w:tc>
      </w:tr>
      <w:tr>
        <w:trPr/>
        <w:tc>
          <w:tcPr>
            <w:tcW w:w="1680" w:type="dxa"/>
            <w:gridSpan w:val="3"/>
            <w:tcBorders/>
            <w:tcMar>
              <w:top w:w="0" w:type="dxa"/>
              <w:left w:w="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notice) to:</w:t>
            </w:r>
          </w:p>
        </w:tc>
        <w:tc>
          <w:tcPr>
            <w:tcW w:w="3974" w:type="dxa"/>
            <w:gridSpan w:val="3"/>
            <w:tcBorders/>
            <w:tcMar>
              <w:top w:w="0" w:type="dxa"/>
              <w:left w:w="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555 California Street, Suite 2000</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Francisco, CA 94104</w:t>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36675"/>
                <wp:effectExtent l="0" t="0" r="0" b="0"/>
                <wp:wrapNone/>
                <wp:docPr id="101" name="Frame101"/>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4" w:after="283"/>
        <w:jc w:val="left"/>
        <w:rPr/>
      </w:pPr>
      <w:r>
        <w:rPr/>
      </w:r>
    </w:p>
    <w:tbl>
      <w:tblPr>
        <w:tblW w:w="9943" w:type="dxa"/>
        <w:jc w:val="left"/>
        <w:tblInd w:w="0" w:type="dxa"/>
        <w:tblLayout w:type="fixed"/>
        <w:tblCellMar>
          <w:top w:w="28" w:type="dxa"/>
          <w:left w:w="28" w:type="dxa"/>
          <w:bottom w:w="28" w:type="dxa"/>
          <w:right w:w="28" w:type="dxa"/>
        </w:tblCellMar>
      </w:tblPr>
      <w:tblGrid>
        <w:gridCol w:w="1503"/>
        <w:gridCol w:w="1320"/>
        <w:gridCol w:w="1331"/>
        <w:gridCol w:w="1695"/>
        <w:gridCol w:w="1695"/>
        <w:gridCol w:w="2399"/>
      </w:tblGrid>
      <w:tr>
        <w:trPr/>
        <w:tc>
          <w:tcPr>
            <w:tcW w:w="1503"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2399"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to Collateral Agent:</w:t>
            </w:r>
          </w:p>
        </w:tc>
        <w:tc>
          <w:tcPr>
            <w:tcW w:w="5789"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OXFORD FINANCE LLC</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115 South Union Street Suite 300</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Alexandria, VA 22314 Attention: Legal Department </w:t>
            </w:r>
          </w:p>
        </w:tc>
      </w:tr>
      <w:tr>
        <w:trPr/>
        <w:tc>
          <w:tcPr>
            <w:tcW w:w="4154" w:type="dxa"/>
            <w:gridSpan w:val="3"/>
            <w:tcBorders/>
            <w:tcMar>
              <w:top w:w="0" w:type="dxa"/>
              <w:left w:w="0" w:type="dxa"/>
              <w:bottom w:w="0" w:type="dxa"/>
              <w:right w:w="0" w:type="dxa"/>
            </w:tcMar>
            <w:vAlign w:val="center"/>
          </w:tcPr>
          <w:p>
            <w:pPr>
              <w:pStyle w:val="TableContents"/>
              <w:bidi w:val="0"/>
              <w:spacing w:lineRule="auto" w:line="288" w:before="122"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 a copy (which shall not constitute notice) to:</w:t>
            </w:r>
          </w:p>
        </w:tc>
        <w:tc>
          <w:tcPr>
            <w:tcW w:w="5789" w:type="dxa"/>
            <w:gridSpan w:val="3"/>
            <w:tcBorders/>
            <w:tcMar>
              <w:top w:w="0" w:type="dxa"/>
              <w:left w:w="0" w:type="dxa"/>
              <w:bottom w:w="0" w:type="dxa"/>
              <w:right w:w="0" w:type="dxa"/>
            </w:tcMar>
            <w:vAlign w:val="center"/>
          </w:tcPr>
          <w:p>
            <w:pPr>
              <w:pStyle w:val="TableContents"/>
              <w:bidi w:val="0"/>
              <w:spacing w:lineRule="auto" w:line="276" w:before="122" w:after="283"/>
              <w:jc w:val="left"/>
              <w:rPr>
                <w:rFonts w:ascii="Times New Roman;sans-serif" w:hAnsi="Times New Roman;sans-serif"/>
                <w:b w:val="false"/>
                <w:color w:val="000000"/>
                <w:sz w:val="20"/>
              </w:rPr>
            </w:pPr>
            <w:r>
              <w:rPr>
                <w:rFonts w:ascii="Times New Roman;sans-serif" w:hAnsi="Times New Roman;sans-serif"/>
                <w:b w:val="false"/>
                <w:color w:val="000000"/>
                <w:sz w:val="20"/>
              </w:rPr>
              <w:t>DLA PIPER LLP (US)</w:t>
            </w:r>
          </w:p>
          <w:p>
            <w:pPr>
              <w:pStyle w:val="TableContents"/>
              <w:bidi w:val="0"/>
              <w:spacing w:lineRule="auto" w:line="288" w:before="0" w:after="0"/>
              <w:jc w:val="left"/>
              <w:rPr/>
            </w:pPr>
            <w:r>
              <w:rPr>
                <w:rFonts w:ascii="Times New Roman;sans-serif" w:hAnsi="Times New Roman;sans-serif"/>
                <w:b w:val="false"/>
                <w:color w:val="000000"/>
                <w:sz w:val="20"/>
              </w:rPr>
              <w:t>500 8</w:t>
            </w:r>
            <w:r>
              <w:rPr>
                <w:rFonts w:ascii="Times New Roman;sans-serif" w:hAnsi="Times New Roman;sans-serif"/>
                <w:b w:val="false"/>
                <w:color w:val="000000"/>
                <w:sz w:val="13"/>
              </w:rPr>
              <w:t>th</w:t>
            </w:r>
            <w:r>
              <w:rPr>
                <w:color w:val="000000"/>
              </w:rPr>
              <w:t xml:space="preserve"> </w:t>
            </w:r>
            <w:r>
              <w:rPr>
                <w:rFonts w:ascii="Times New Roman;sans-serif" w:hAnsi="Times New Roman;sans-serif"/>
                <w:b w:val="false"/>
                <w:color w:val="000000"/>
                <w:sz w:val="20"/>
              </w:rPr>
              <w:t xml:space="preserve">Street, NW Washington, DC 20004 Attention: Eric Eisenberg </w:t>
            </w:r>
          </w:p>
        </w:tc>
      </w:tr>
    </w:tbl>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288" w:before="1" w:after="283"/>
        <w:ind w:left="0" w:right="0" w:hanging="719"/>
        <w:jc w:val="left"/>
        <w:rPr/>
      </w:pPr>
      <w:r>
        <w:rPr>
          <w:rFonts w:ascii="Times New Roman;sans-serif" w:hAnsi="Times New Roman;sans-serif"/>
          <w:b/>
          <w:color w:val="000000"/>
          <w:sz w:val="20"/>
        </w:rPr>
        <w:t>11.</w:t>
      </w:r>
      <w:r>
        <w:rPr>
          <w:rFonts w:ascii="Times New Roman;sans-serif" w:hAnsi="Times New Roman;sans-serif"/>
          <w:b/>
          <w:color w:val="000000"/>
          <w:sz w:val="20"/>
          <w:u w:val="single"/>
        </w:rPr>
        <w:t>CHOICE OF LAW, VENUE AND JURY TRIAL WAIVER, AND JUDICIAL REFERENCE</w:t>
      </w:r>
    </w:p>
    <w:p>
      <w:pPr>
        <w:pStyle w:val="TextBody"/>
        <w:bidi w:val="0"/>
        <w:spacing w:lineRule="auto" w:line="288" w:before="236" w:after="283"/>
        <w:ind w:left="0" w:right="0" w:firstLine="720"/>
        <w:jc w:val="both"/>
        <w:rPr/>
      </w:pPr>
      <w:r>
        <w:rPr>
          <w:rFonts w:ascii="Times New Roman;sans-serif" w:hAnsi="Times New Roman;sans-serif"/>
          <w:b w:val="false"/>
          <w:color w:val="000000"/>
          <w:sz w:val="20"/>
        </w:rPr>
        <w:t xml:space="preserve">California law governs the Loan Documents without regard to principles of conflicts of law. Each party hereto submits to the exclusive jurisdiction of the State and Federal courts in Santa 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and any Loan Party may respond action or proceeding or assert counterclaims relating thereto in such jurisdiction. Each party hereto expressly submits and consents in advance to such jurisdiction in any action or suit commenced in any such court, and each party hereto hereby waives any objection that it may have based upon lack of personal jurisdiction, improper venue, or forum non conveniens and hereby consents to the granting of such legal or equitable relief as is deemed appropriate by such court. Each party hereto hereby waives personal service of the summons, complaints, and other process issued in such action or suit and agrees that service of such summons, complaints, and other process may be made by registered or certified mail addressed to such Person at the address set forth in, or subsequently provided by such Person in accordance with, </w:t>
      </w:r>
      <w:r>
        <w:rPr>
          <w:rFonts w:ascii="Times New Roman;sans-serif" w:hAnsi="Times New Roman;sans-serif"/>
          <w:b w:val="false"/>
          <w:color w:val="000000"/>
          <w:sz w:val="20"/>
          <w:u w:val="single"/>
        </w:rPr>
        <w:t>Section 10</w:t>
      </w:r>
      <w:r>
        <w:rPr>
          <w:color w:val="000000"/>
        </w:rPr>
        <w:t xml:space="preserve"> </w:t>
      </w:r>
      <w:r>
        <w:rPr>
          <w:rFonts w:ascii="Times New Roman;sans-serif" w:hAnsi="Times New Roman;sans-serif"/>
          <w:b w:val="false"/>
          <w:color w:val="000000"/>
          <w:sz w:val="20"/>
        </w:rPr>
        <w:t>of this Agreement and that service so made shall be deemed completed upon the earlier to occur of such Person’s actual receipt thereof or three (3) days after deposit in the U.S. mails, proper postage prepaid.</w:t>
      </w:r>
    </w:p>
    <w:p>
      <w:pPr>
        <w:pStyle w:val="TextBody"/>
        <w:bidi w:val="0"/>
        <w:spacing w:lineRule="auto" w:line="288" w:before="242" w:after="283"/>
        <w:jc w:val="both"/>
        <w:rPr>
          <w:rFonts w:ascii="Times New Roman;sans-serif" w:hAnsi="Times New Roman;sans-serif"/>
          <w:b/>
          <w:color w:val="000000"/>
          <w:sz w:val="20"/>
        </w:rPr>
      </w:pPr>
      <w:r>
        <w:rPr>
          <w:rFonts w:ascii="Times New Roman;sans-serif" w:hAnsi="Times New Roman;sans-serif"/>
          <w:b/>
          <w:color w:val="000000"/>
          <w:sz w:val="20"/>
        </w:rPr>
        <w:t>TO THE FULLEST EXTENT PERMITTED BY APPLICABLE LAW, EACH PARTY HERETO WAIVES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pStyle w:val="TextBody"/>
        <w:bidi w:val="0"/>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WITHOUT INTENDING IN ANY WAY TO LIMIT THE PARTIES’ AGREEMENT TO WAIVE THEIR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36675"/>
                <wp:effectExtent l="0" t="0" r="0" b="0"/>
                <wp:wrapNone/>
                <wp:docPr id="102" name="Frame102"/>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pStyle w:val="TextBody"/>
        <w:bidi w:val="0"/>
        <w:spacing w:lineRule="auto" w:line="288" w:before="243" w:after="283"/>
        <w:ind w:left="0" w:right="0" w:hanging="719"/>
        <w:jc w:val="left"/>
        <w:rPr/>
      </w:pPr>
      <w:r>
        <w:rPr>
          <w:rFonts w:ascii="Times New Roman;sans-serif" w:hAnsi="Times New Roman;sans-serif"/>
          <w:b/>
          <w:color w:val="000000"/>
          <w:sz w:val="20"/>
        </w:rPr>
        <w:t>12.</w:t>
      </w:r>
      <w:r>
        <w:rPr>
          <w:rFonts w:ascii="Times New Roman;sans-serif" w:hAnsi="Times New Roman;sans-serif"/>
          <w:b/>
          <w:color w:val="000000"/>
          <w:sz w:val="20"/>
          <w:u w:val="single"/>
        </w:rPr>
        <w:t>GENERAL PROVISIONS</w:t>
      </w:r>
    </w:p>
    <w:p>
      <w:pPr>
        <w:pStyle w:val="TextBody"/>
        <w:bidi w:val="0"/>
        <w:spacing w:lineRule="auto" w:line="288" w:before="240" w:after="283"/>
        <w:ind w:left="0" w:right="0" w:hanging="719"/>
        <w:jc w:val="left"/>
        <w:rPr>
          <w:rFonts w:ascii="Times New Roman;sans-serif" w:hAnsi="Times New Roman;sans-serif"/>
          <w:b/>
          <w:color w:val="000000"/>
          <w:sz w:val="20"/>
        </w:rPr>
      </w:pPr>
      <w:r>
        <w:rPr>
          <w:rFonts w:ascii="Times New Roman;sans-serif" w:hAnsi="Times New Roman;sans-serif"/>
          <w:b/>
          <w:color w:val="000000"/>
          <w:sz w:val="20"/>
        </w:rPr>
        <w:t>1.1Successors and Assigns.</w:t>
      </w:r>
    </w:p>
    <w:p>
      <w:pPr>
        <w:pStyle w:val="TextBody"/>
        <w:bidi w:val="0"/>
        <w:spacing w:lineRule="auto" w:line="288" w:before="238" w:after="283"/>
        <w:ind w:left="0" w:right="0" w:firstLine="1440"/>
        <w:jc w:val="both"/>
        <w:rPr/>
      </w:pPr>
      <w:r>
        <w:rPr>
          <w:rFonts w:ascii="Times New Roman;sans-serif" w:hAnsi="Times New Roman;sans-serif"/>
          <w:b w:val="false"/>
          <w:color w:val="000000"/>
          <w:sz w:val="20"/>
        </w:rPr>
        <w:t xml:space="preserve">(a)This Agreement binds and is for the benefit of the successors and permitted assigns of each party. Borrower may not transfer, pledge or assign this Agreement or any rights or obligations under it without Collateral Agent’s and each Lender’s prior written consent (which may be granted or withheld in Collateral Agent’s and each Lender’s discretion, subject to </w:t>
      </w:r>
      <w:r>
        <w:rPr>
          <w:rFonts w:ascii="Times New Roman;sans-serif" w:hAnsi="Times New Roman;sans-serif"/>
          <w:b w:val="false"/>
          <w:color w:val="000000"/>
          <w:sz w:val="20"/>
          <w:u w:val="single"/>
        </w:rPr>
        <w:t>Section 12.6</w:t>
      </w:r>
      <w:r>
        <w:rPr>
          <w:rFonts w:ascii="Times New Roman;sans-serif" w:hAnsi="Times New Roman;sans-serif"/>
          <w:b w:val="false"/>
          <w:color w:val="000000"/>
          <w:sz w:val="20"/>
        </w:rPr>
        <w:t>). The Lenders have the right, without the consent of or notice to Borrower, to sell, transfer, assign, pledge, negotiate, or grant participation in (any such sale, transfer, assignment, negotiation</w:t>
      </w:r>
      <w:r>
        <w:rPr>
          <w:rFonts w:ascii="Times New Roman;sans-serif" w:hAnsi="Times New Roman;sans-serif"/>
          <w:b/>
          <w:color w:val="000000"/>
          <w:sz w:val="20"/>
        </w:rPr>
        <w:t xml:space="preserve">, </w:t>
      </w:r>
      <w:r>
        <w:rPr>
          <w:rFonts w:ascii="Times New Roman;sans-serif" w:hAnsi="Times New Roman;sans-serif"/>
          <w:b w:val="false"/>
          <w:color w:val="000000"/>
          <w:sz w:val="20"/>
        </w:rPr>
        <w:t>or grant of a participation, a “</w:t>
      </w:r>
      <w:r>
        <w:rPr>
          <w:rFonts w:ascii="Times New Roman;sans-serif" w:hAnsi="Times New Roman;sans-serif"/>
          <w:b/>
          <w:color w:val="000000"/>
          <w:sz w:val="20"/>
        </w:rPr>
        <w:t>Lender Transfer</w:t>
      </w:r>
      <w:r>
        <w:rPr>
          <w:color w:val="000000"/>
        </w:rPr>
        <w:t>”</w:t>
      </w:r>
      <w:r>
        <w:rPr>
          <w:rFonts w:ascii="Times New Roman;sans-serif" w:hAnsi="Times New Roman;sans-serif"/>
          <w:b w:val="false"/>
          <w:color w:val="000000"/>
          <w:sz w:val="20"/>
        </w:rPr>
        <w:t xml:space="preserve">) all or any part of, or any interest in, the Lenders’ obligations, rights, and benefits under this Agreement and the other Loan Documents; </w:t>
      </w:r>
      <w:r>
        <w:rPr>
          <w:rFonts w:ascii="Times New Roman;sans-serif" w:hAnsi="Times New Roman;sans-serif"/>
          <w:b w:val="false"/>
          <w:i/>
          <w:color w:val="000000"/>
          <w:sz w:val="20"/>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however</w:t>
      </w:r>
      <w:r>
        <w:rPr>
          <w:rFonts w:ascii="Times New Roman;sans-serif" w:hAnsi="Times New Roman;sans-serif"/>
          <w:b w:val="false"/>
          <w:color w:val="000000"/>
          <w:sz w:val="20"/>
        </w:rPr>
        <w:t>,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Times New Roman;sans-serif" w:hAnsi="Times New Roman;sans-serif"/>
          <w:b/>
          <w:color w:val="000000"/>
          <w:sz w:val="20"/>
        </w:rPr>
        <w:t>Approved Lender</w:t>
      </w:r>
      <w:r>
        <w:rPr>
          <w:color w:val="000000"/>
        </w:rPr>
        <w:t>”</w:t>
      </w:r>
      <w:r>
        <w:rPr>
          <w:rFonts w:ascii="Times New Roman;sans-serif" w:hAnsi="Times New Roman;sans-serif"/>
          <w:b w:val="false"/>
          <w:color w:val="000000"/>
          <w:sz w:val="20"/>
        </w:rPr>
        <w:t>)</w:t>
      </w:r>
      <w:r>
        <w:rPr>
          <w:rFonts w:ascii="Times New Roman;sans-serif" w:hAnsi="Times New Roman;sans-serif"/>
          <w:b/>
          <w:color w:val="000000"/>
          <w:sz w:val="20"/>
        </w:rPr>
        <w:t xml:space="preserve">. </w:t>
      </w:r>
      <w:r>
        <w:rPr>
          <w:rFonts w:ascii="Times New Roman;sans-serif" w:hAnsi="Times New Roman;sans-serif"/>
          <w:b w:val="false"/>
          <w:color w:val="000000"/>
          <w:sz w:val="20"/>
        </w:rPr>
        <w:t>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in connection with (i) assignments by a Lender due to a forced divestiture at the request of any regulatory agency; or (ii)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pStyle w:val="TextBody"/>
        <w:bidi w:val="0"/>
        <w:spacing w:lineRule="auto" w:line="288" w:before="24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(b)Collateral Agent, acting as a non-fiduciary agent of Borrower (solely for tax purposes), shall maintain (a) a copy (or electronic equivalent) of the documentation for each Lender Transfer delivered to it, and (b) a register for recordation of the names, addresses, Term Loan Commitments of and Obligations owing to, each Lender. Entries in the register shall be conclusive, absent manifest error,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36675"/>
                <wp:effectExtent l="0" t="0" r="0" b="0"/>
                <wp:wrapNone/>
                <wp:docPr id="103" name="Frame103"/>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 Borrower, Collateral Agent and Lenders shall treat each Person recorded in such register as a Lender for all purposes under the Loan Documents, notwithstanding any notice to the contrary. The register shall be available for inspection by Borrower or any Lender, from time to time upon reasonable notice.</w:t>
      </w:r>
    </w:p>
    <w:p>
      <w:pPr>
        <w:pStyle w:val="TextBody"/>
        <w:bidi w:val="0"/>
        <w:spacing w:lineRule="auto" w:line="288" w:before="232" w:after="283"/>
        <w:ind w:left="0" w:right="0" w:firstLine="1440"/>
        <w:jc w:val="both"/>
        <w:rPr/>
      </w:pPr>
      <w:r>
        <w:rPr>
          <w:rFonts w:ascii="Times New Roman;sans-serif" w:hAnsi="Times New Roman;sans-serif"/>
          <w:b w:val="false"/>
          <w:color w:val="000000"/>
          <w:sz w:val="20"/>
        </w:rPr>
        <w:t>(c)Each Lender that sells a participation shall, acting as a non-fiduciary agent of Borrower (solely for tax purposes), maintain a register in which it enters the participant’s name, address and interest in Term Loan Commitments and Obligations (the “</w:t>
      </w:r>
      <w:r>
        <w:rPr>
          <w:rFonts w:ascii="Times New Roman;sans-serif" w:hAnsi="Times New Roman;sans-serif"/>
          <w:b/>
          <w:color w:val="000000"/>
          <w:sz w:val="20"/>
        </w:rPr>
        <w:t>Participant Register</w:t>
      </w:r>
      <w:r>
        <w:rPr>
          <w:color w:val="000000"/>
        </w:rPr>
        <w:t>”</w:t>
      </w:r>
      <w:r>
        <w:rPr>
          <w:rFonts w:ascii="Times New Roman;sans-serif" w:hAnsi="Times New Roman;sans-serif"/>
          <w:b w:val="false"/>
          <w:color w:val="000000"/>
          <w:sz w:val="20"/>
        </w:rPr>
        <w:t>). Entries in the Participant Register shall be conclusive, absent manifest error, and such Lender shall treat each Person recorded in the register as the owner of the participation for all purposes, notwithstanding any notice to the contrary. No Lender shall have an obligation to disclose any information in such Participant Register, except to the extent necessary to establish that a participant’s interest is in registered form under the U.S. Internal Revenue Code and Section 5f.103-1(c) of the U.S. Treasury Regulations. Collateral Agent (in its capacity as Collateral Agent) shall have no responsibility for maintaining a Participant Register.</w:t>
      </w:r>
    </w:p>
    <w:p>
      <w:pPr>
        <w:pStyle w:val="TextBody"/>
        <w:bidi w:val="0"/>
        <w:spacing w:lineRule="auto" w:line="288" w:before="241" w:after="283"/>
        <w:ind w:left="0" w:right="0" w:firstLine="720"/>
        <w:jc w:val="both"/>
        <w:rPr/>
      </w:pPr>
      <w:r>
        <w:rPr>
          <w:rFonts w:ascii="Times New Roman;sans-serif" w:hAnsi="Times New Roman;sans-serif"/>
          <w:b/>
          <w:color w:val="000000"/>
          <w:sz w:val="20"/>
        </w:rPr>
        <w:t xml:space="preserve">1.1Indemnification. </w:t>
      </w:r>
      <w:r>
        <w:rPr>
          <w:rFonts w:ascii="Times New Roman;sans-serif" w:hAnsi="Times New Roman;sans-serif"/>
          <w:b w:val="false"/>
          <w:color w:val="000000"/>
          <w:sz w:val="20"/>
        </w:rPr>
        <w:t>Borrower agrees to indemnify, defend and hold Collateral Agent and the Lenders and their respective directors, officers, employees, agents, attorneys, or any other Person affiliated with or representing Collateral Agent or the Lenders (each, an “</w:t>
      </w:r>
      <w:r>
        <w:rPr>
          <w:rFonts w:ascii="Times New Roman;sans-serif" w:hAnsi="Times New Roman;sans-serif"/>
          <w:b/>
          <w:color w:val="000000"/>
          <w:sz w:val="20"/>
        </w:rPr>
        <w:t>Indemnified Person</w:t>
      </w:r>
      <w:r>
        <w:rPr>
          <w:color w:val="000000"/>
        </w:rPr>
        <w:t>”</w:t>
      </w:r>
      <w:r>
        <w:rPr>
          <w:rFonts w:ascii="Times New Roman;sans-serif" w:hAnsi="Times New Roman;sans-serif"/>
          <w:b w:val="false"/>
          <w:color w:val="000000"/>
          <w:sz w:val="20"/>
        </w:rPr>
        <w:t>) harmless against: (a) all obligations, demands, claims, and liabilities (collectively, “</w:t>
      </w:r>
      <w:r>
        <w:rPr>
          <w:rFonts w:ascii="Times New Roman;sans-serif" w:hAnsi="Times New Roman;sans-serif"/>
          <w:b/>
          <w:color w:val="000000"/>
          <w:sz w:val="20"/>
        </w:rPr>
        <w:t>Claims</w:t>
      </w:r>
      <w:r>
        <w:rPr>
          <w:color w:val="000000"/>
        </w:rPr>
        <w:t>”</w:t>
      </w:r>
      <w:r>
        <w:rPr>
          <w:rFonts w:ascii="Times New Roman;sans-serif" w:hAnsi="Times New Roman;sans-serif"/>
          <w:b w:val="false"/>
          <w:color w:val="000000"/>
          <w:sz w:val="20"/>
        </w:rPr>
        <w:t xml:space="preserve">)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and documented out-of-pocket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reasonable and documented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 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loan proceeds except for liabilities, obligations, losses, damages, penalties, actions, judgments, suits, claims, costs, expenses and disbursements directly caused by such Indemnified Person’s gross negligence or willful misconduct. This </w:t>
      </w:r>
      <w:r>
        <w:rPr>
          <w:rFonts w:ascii="Times New Roman;sans-serif" w:hAnsi="Times New Roman;sans-serif"/>
          <w:b w:val="false"/>
          <w:color w:val="000000"/>
          <w:sz w:val="20"/>
          <w:u w:val="single"/>
        </w:rPr>
        <w:t>Section 12.2</w:t>
      </w:r>
      <w:r>
        <w:rPr>
          <w:color w:val="000000"/>
        </w:rPr>
        <w:t xml:space="preserve"> </w:t>
      </w:r>
      <w:r>
        <w:rPr>
          <w:rFonts w:ascii="Times New Roman;sans-serif" w:hAnsi="Times New Roman;sans-serif"/>
          <w:b w:val="false"/>
          <w:color w:val="000000"/>
          <w:sz w:val="20"/>
        </w:rPr>
        <w:t>with respect to taxes other than any taxes that represent losses, claims, damages, etc. arising from any non-tax claim.</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1.2Time of Essence. </w:t>
      </w:r>
      <w:r>
        <w:rPr>
          <w:rFonts w:ascii="Times New Roman;sans-serif" w:hAnsi="Times New Roman;sans-serif"/>
          <w:b w:val="false"/>
          <w:color w:val="000000"/>
          <w:sz w:val="20"/>
        </w:rPr>
        <w:t>Time is of the essence for the performance of all Obligations in this Agreement.</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1.3Severability of Provisions. </w:t>
      </w:r>
      <w:r>
        <w:rPr>
          <w:rFonts w:ascii="Times New Roman;sans-serif" w:hAnsi="Times New Roman;sans-serif"/>
          <w:b w:val="false"/>
          <w:color w:val="000000"/>
          <w:sz w:val="20"/>
        </w:rPr>
        <w:t>Each provision of this Agreement is severable from every other provision in determining the enforceability of any provision.</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1.4Correction of Loan Documents. </w:t>
      </w:r>
      <w:r>
        <w:rPr>
          <w:rFonts w:ascii="Times New Roman;sans-serif" w:hAnsi="Times New Roman;sans-serif"/>
          <w:b w:val="false"/>
          <w:color w:val="000000"/>
          <w:sz w:val="20"/>
        </w:rPr>
        <w:t>Collateral Agent and the Lenders may correct patent errors and fill in any blanks in this Agreement and the other Loan Documents consistent with the agreement of the parties, so long as Collateral Agent and Lenders provider Borrower with written notice of such correction and allows Borrower at least ten (10) Business Days to object to such correction. In the event</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36675"/>
                <wp:effectExtent l="0" t="0" r="0" b="0"/>
                <wp:wrapNone/>
                <wp:docPr id="104" name="Frame104"/>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left"/>
        <w:rPr/>
      </w:pPr>
      <w:r>
        <w:rPr>
          <w:rFonts w:ascii="Times New Roman;sans-serif" w:hAnsi="Times New Roman;sans-serif"/>
          <w:b w:val="false"/>
          <w:color w:val="000000"/>
          <w:sz w:val="20"/>
        </w:rPr>
        <w:t xml:space="preserve">of such objection, such correction shall not be made except by an amendment signed by Borrower and requisite Lenders, in accordance with </w:t>
      </w:r>
      <w:r>
        <w:rPr>
          <w:rFonts w:ascii="Times New Roman;sans-serif" w:hAnsi="Times New Roman;sans-serif"/>
          <w:b w:val="false"/>
          <w:color w:val="000000"/>
          <w:sz w:val="20"/>
          <w:u w:val="single"/>
        </w:rPr>
        <w:t>Section 12.6</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241" w:after="283"/>
        <w:ind w:left="0" w:right="0" w:firstLine="720"/>
        <w:jc w:val="both"/>
        <w:rPr/>
      </w:pPr>
      <w:r>
        <w:rPr>
          <w:rFonts w:ascii="Times New Roman;sans-serif" w:hAnsi="Times New Roman;sans-serif"/>
          <w:b/>
          <w:color w:val="000000"/>
          <w:sz w:val="20"/>
        </w:rPr>
        <w:t xml:space="preserve">1.5Amendments in Writing; Integration. </w:t>
      </w:r>
      <w:r>
        <w:rPr>
          <w:rFonts w:ascii="Times New Roman;sans-serif" w:hAnsi="Times New Roman;sans-serif"/>
          <w:b w:val="false"/>
          <w:color w:val="000000"/>
          <w:sz w:val="20"/>
        </w:rPr>
        <w:t>(a) No amendment, modification, termination or waiver of any provision of this Agreement or any 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pStyle w:val="TextBody"/>
        <w:bidi w:val="0"/>
        <w:spacing w:lineRule="auto" w:line="280" w:before="240"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(i)no such amendment, waiver or other modification that would have the effect of increasing or reducing a Lender’s Term Loan Commitment or Commitment Percentage shall be effective as to such Lender without such Lender’s written consent;</w:t>
      </w:r>
    </w:p>
    <w:p>
      <w:pPr>
        <w:pStyle w:val="TextBody"/>
        <w:bidi w:val="0"/>
        <w:spacing w:lineRule="auto" w:line="288" w:before="232"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(ii)no such amendment, waiver or modification that would affect the rights and duties of Collateral Agent shall be effective without Collateral Agent’s written consent or signature;</w:t>
      </w:r>
    </w:p>
    <w:p>
      <w:pPr>
        <w:pStyle w:val="TextBody"/>
        <w:bidi w:val="0"/>
        <w:spacing w:lineRule="auto" w:line="288" w:before="240" w:after="283"/>
        <w:ind w:left="0" w:right="0" w:firstLine="2160"/>
        <w:jc w:val="both"/>
        <w:rPr/>
      </w:pPr>
      <w:r>
        <w:rPr>
          <w:rFonts w:ascii="Times New Roman;sans-serif" w:hAnsi="Times New Roman;sans-serif"/>
          <w:b w:val="false"/>
          <w:color w:val="000000"/>
          <w:sz w:val="20"/>
        </w:rPr>
        <w:t>(iii)no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(B) postpone the date fixed for, or waive, any payment of principal of any Term Loan or of interest on any Term Loan (other than default interest) or any fees provided for hereunder (other than late charges or for any termination of any commitment); (C) change the definition of the term “</w:t>
      </w:r>
      <w:r>
        <w:rPr>
          <w:rFonts w:ascii="Times New Roman;sans-serif" w:hAnsi="Times New Roman;sans-serif"/>
          <w:b/>
          <w:color w:val="000000"/>
          <w:sz w:val="20"/>
        </w:rPr>
        <w:t>Required Lenders</w:t>
      </w:r>
      <w:r>
        <w:rPr>
          <w:color w:val="000000"/>
        </w:rPr>
        <w:t xml:space="preserve">” </w:t>
      </w:r>
      <w:r>
        <w:rPr>
          <w:rFonts w:ascii="Times New Roman;sans-serif" w:hAnsi="Times New Roman;sans-serif"/>
          <w:b w:val="false"/>
          <w:color w:val="000000"/>
          <w:sz w:val="20"/>
        </w:rPr>
        <w:t xml:space="preserve">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 disposition permitted hereunder); (E) amend, waive or otherwise modify this </w:t>
      </w:r>
      <w:r>
        <w:rPr>
          <w:rFonts w:ascii="Times New Roman;sans-serif" w:hAnsi="Times New Roman;sans-serif"/>
          <w:b w:val="false"/>
          <w:color w:val="000000"/>
          <w:sz w:val="20"/>
          <w:u w:val="single"/>
        </w:rPr>
        <w:t>Section 12.6</w:t>
      </w:r>
      <w:r>
        <w:rPr>
          <w:color w:val="000000"/>
        </w:rPr>
        <w:t xml:space="preserve"> </w:t>
      </w:r>
      <w:r>
        <w:rPr>
          <w:rFonts w:ascii="Times New Roman;sans-serif" w:hAnsi="Times New Roman;sans-serif"/>
          <w:b w:val="false"/>
          <w:color w:val="000000"/>
          <w:sz w:val="20"/>
        </w:rPr>
        <w:t xml:space="preserve">or the definitions of the terms used in this </w:t>
      </w:r>
      <w:r>
        <w:rPr>
          <w:rFonts w:ascii="Times New Roman;sans-serif" w:hAnsi="Times New Roman;sans-serif"/>
          <w:b w:val="false"/>
          <w:color w:val="000000"/>
          <w:sz w:val="20"/>
          <w:u w:val="single"/>
        </w:rPr>
        <w:t>Section 12.6</w:t>
      </w:r>
      <w:r>
        <w:rPr>
          <w:color w:val="000000"/>
        </w:rPr>
        <w:t xml:space="preserve"> </w:t>
      </w:r>
      <w:r>
        <w:rPr>
          <w:rFonts w:ascii="Times New Roman;sans-serif" w:hAnsi="Times New Roman;sans-serif"/>
          <w:b w:val="false"/>
          <w:color w:val="000000"/>
          <w:sz w:val="20"/>
        </w:rPr>
        <w:t xml:space="preserve">insofar as the definitions affect the substance of this </w:t>
      </w:r>
      <w:r>
        <w:rPr>
          <w:rFonts w:ascii="Times New Roman;sans-serif" w:hAnsi="Times New Roman;sans-serif"/>
          <w:b w:val="false"/>
          <w:color w:val="000000"/>
          <w:sz w:val="20"/>
          <w:u w:val="single"/>
        </w:rPr>
        <w:t>Section 12.6</w:t>
      </w:r>
      <w:r>
        <w:rPr>
          <w:rFonts w:ascii="Times New Roman;sans-serif" w:hAnsi="Times New Roman;sans-serif"/>
          <w:b w:val="false"/>
          <w:color w:val="000000"/>
          <w:sz w:val="20"/>
        </w:rPr>
        <w:t>;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w:t>
      </w:r>
    </w:p>
    <w:p>
      <w:pPr>
        <w:pStyle w:val="TextBody"/>
        <w:bidi w:val="0"/>
        <w:spacing w:lineRule="auto" w:line="288" w:before="0" w:after="0"/>
        <w:jc w:val="both"/>
        <w:rPr/>
      </w:pPr>
      <w:r>
        <w:rPr>
          <w:rFonts w:ascii="Times New Roman;sans-serif" w:hAnsi="Times New Roman;sans-serif"/>
          <w:b w:val="false"/>
          <w:color w:val="000000"/>
          <w:sz w:val="20"/>
        </w:rPr>
        <w:t xml:space="preserve">(G) amend any of the provisions of </w:t>
      </w:r>
      <w:r>
        <w:rPr>
          <w:rFonts w:ascii="Times New Roman;sans-serif" w:hAnsi="Times New Roman;sans-serif"/>
          <w:b w:val="false"/>
          <w:color w:val="000000"/>
          <w:sz w:val="20"/>
          <w:u w:val="single"/>
        </w:rPr>
        <w:t>Section 9.4</w:t>
      </w:r>
      <w:r>
        <w:rPr>
          <w:color w:val="000000"/>
        </w:rPr>
        <w:t xml:space="preserve"> </w:t>
      </w:r>
      <w:r>
        <w:rPr>
          <w:rFonts w:ascii="Times New Roman;sans-serif" w:hAnsi="Times New Roman;sans-serif"/>
          <w:b w:val="false"/>
          <w:color w:val="000000"/>
          <w:sz w:val="20"/>
        </w:rPr>
        <w:t xml:space="preserve">or amend any of the definitions of Pro Rata Share, Term Loan Commitment, Commitment Percentage or that provide for the Lenders to receive their Pro Rata Shares of any fees, payments, setoffs or proceeds of Collateral hereunder; (H) subordinate the Liens granted in favor of Collateral Agent securing the Obligations; or (I) amend any of the provisions of </w:t>
      </w:r>
      <w:r>
        <w:rPr>
          <w:rFonts w:ascii="Times New Roman;sans-serif" w:hAnsi="Times New Roman;sans-serif"/>
          <w:b w:val="false"/>
          <w:color w:val="000000"/>
          <w:sz w:val="20"/>
          <w:u w:val="single"/>
        </w:rPr>
        <w:t>Section 12.10</w:t>
      </w:r>
      <w:r>
        <w:rPr>
          <w:rFonts w:ascii="Times New Roman;sans-serif" w:hAnsi="Times New Roman;sans-serif"/>
          <w:b w:val="false"/>
          <w:color w:val="000000"/>
          <w:sz w:val="20"/>
        </w:rPr>
        <w:t>. It is hereby understood and agreed that all Lenders shall be deemed directly affected by an amendment, waiver or other modification of the type described in the preceding clauses (C), (D), (E), (F), (G) and (H) of the preceding sentence;</w:t>
      </w:r>
    </w:p>
    <w:p>
      <w:pPr>
        <w:pStyle w:val="TextBody"/>
        <w:bidi w:val="0"/>
        <w:spacing w:lineRule="auto" w:line="288" w:before="24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pStyle w:val="TextBody"/>
        <w:bidi w:val="0"/>
        <w:spacing w:lineRule="auto" w:line="288" w:before="238" w:after="283"/>
        <w:ind w:left="0" w:right="0" w:firstLine="1440"/>
        <w:jc w:val="both"/>
        <w:rPr/>
      </w:pPr>
      <w:r>
        <w:rPr>
          <w:rFonts w:ascii="Times New Roman;sans-serif" w:hAnsi="Times New Roman;sans-serif"/>
          <w:b w:val="false"/>
          <w:color w:val="000000"/>
          <w:sz w:val="20"/>
        </w:rPr>
        <w:t xml:space="preserve">(c)Other than as expressly provided for in </w:t>
      </w:r>
      <w:r>
        <w:rPr>
          <w:rFonts w:ascii="Times New Roman;sans-serif" w:hAnsi="Times New Roman;sans-serif"/>
          <w:b w:val="false"/>
          <w:color w:val="000000"/>
          <w:sz w:val="20"/>
          <w:u w:val="single"/>
        </w:rPr>
        <w:t>Section 12.6(a)(i)-(iii)</w:t>
      </w:r>
      <w:r>
        <w:rPr>
          <w:rFonts w:ascii="Times New Roman;sans-serif" w:hAnsi="Times New Roman;sans-serif"/>
          <w:b w:val="false"/>
          <w:color w:val="000000"/>
          <w:sz w:val="20"/>
        </w:rPr>
        <w:t>, Collateral Agent may, if requested by the Required Lenders, from time to time designate covenants in this Agreement less restrictive by notification to a representative of Borrower.</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36675"/>
                <wp:effectExtent l="0" t="0" r="0" b="0"/>
                <wp:wrapNone/>
                <wp:docPr id="105" name="Frame105"/>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(d)This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pStyle w:val="TextBody"/>
        <w:bidi w:val="0"/>
        <w:spacing w:lineRule="auto" w:line="288" w:before="241" w:after="283"/>
        <w:ind w:left="0" w:right="0" w:firstLine="720"/>
        <w:jc w:val="both"/>
        <w:rPr/>
      </w:pPr>
      <w:r>
        <w:rPr>
          <w:rFonts w:ascii="Times New Roman;sans-serif" w:hAnsi="Times New Roman;sans-serif"/>
          <w:b/>
          <w:color w:val="000000"/>
          <w:sz w:val="20"/>
        </w:rPr>
        <w:t xml:space="preserve">1.6Counterparts. </w:t>
      </w:r>
      <w:r>
        <w:rPr>
          <w:rFonts w:ascii="Times New Roman;sans-serif" w:hAnsi="Times New Roman;sans-serif"/>
          <w:b w:val="false"/>
          <w:color w:val="000000"/>
          <w:sz w:val="20"/>
        </w:rPr>
        <w:t>This Agreement may be executed in any number of counterparts and by different parties on separate counterparts, each of which, when executed and delivered, is an original, and all taken together, constitute one Agreement.</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1.7Survival. </w:t>
      </w:r>
      <w:r>
        <w:rPr>
          <w:rFonts w:ascii="Times New Roman;sans-serif" w:hAnsi="Times New Roman;sans-serif"/>
          <w:b w:val="false"/>
          <w:color w:val="000000"/>
          <w:sz w:val="20"/>
        </w:rPr>
        <w:t xml:space="preserve">All covenants, representations and warranties made in this Agreement continue in full force and effect until this Agreement has terminated pursuant to its terms and all Obligations (other than inchoate indemnity obligations and any other obligations which, by their terms, are to survive the termination of this Agreement) have been satisfied. The obligation of Borrower in </w:t>
      </w:r>
      <w:r>
        <w:rPr>
          <w:rFonts w:ascii="Times New Roman;sans-serif" w:hAnsi="Times New Roman;sans-serif"/>
          <w:b w:val="false"/>
          <w:color w:val="000000"/>
          <w:sz w:val="20"/>
          <w:u w:val="single"/>
        </w:rPr>
        <w:t>Section 12.2</w:t>
      </w:r>
      <w:r>
        <w:rPr>
          <w:color w:val="000000"/>
        </w:rPr>
        <w:t xml:space="preserve"> </w:t>
      </w:r>
      <w:r>
        <w:rPr>
          <w:rFonts w:ascii="Times New Roman;sans-serif" w:hAnsi="Times New Roman;sans-serif"/>
          <w:b w:val="false"/>
          <w:color w:val="000000"/>
          <w:sz w:val="20"/>
        </w:rPr>
        <w:t xml:space="preserve">to indemnify each Lender and Collateral Agent, as well as the confidentiality provisions in </w:t>
      </w:r>
      <w:r>
        <w:rPr>
          <w:rFonts w:ascii="Times New Roman;sans-serif" w:hAnsi="Times New Roman;sans-serif"/>
          <w:b w:val="false"/>
          <w:color w:val="000000"/>
          <w:sz w:val="20"/>
          <w:u w:val="single"/>
        </w:rPr>
        <w:t>Section 12.9</w:t>
      </w:r>
      <w:r>
        <w:rPr>
          <w:color w:val="000000"/>
        </w:rPr>
        <w:t xml:space="preserve"> </w:t>
      </w:r>
      <w:r>
        <w:rPr>
          <w:rFonts w:ascii="Times New Roman;sans-serif" w:hAnsi="Times New Roman;sans-serif"/>
          <w:b w:val="false"/>
          <w:color w:val="000000"/>
          <w:sz w:val="20"/>
        </w:rPr>
        <w:t>below, shall survive until the statute of limitations with respect to such claim or cause of action shall have run.</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1.8Confidentiality. </w:t>
      </w:r>
      <w:r>
        <w:rPr>
          <w:rFonts w:ascii="Times New Roman;sans-serif" w:hAnsi="Times New Roman;sans-serif"/>
          <w:b w:val="false"/>
          <w:color w:val="000000"/>
          <w:sz w:val="20"/>
        </w:rPr>
        <w:t xml:space="preserve">In handling any confidential information of Borrower, the Lenders and Collateral Agent shall exercise the same degree of care that it exercises for their 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relating to the administration of this Agreement, including, without limitation, for the development of client databases, reporting purposes, and market analysis, in each case on an aggregated basis without identifying information regarding the Borrower or its Subsidiaries. The provisions of the immediately preceding sentence shall survive the termination of this Agreement. The agreements provided under this </w:t>
      </w:r>
      <w:r>
        <w:rPr>
          <w:rFonts w:ascii="Times New Roman;sans-serif" w:hAnsi="Times New Roman;sans-serif"/>
          <w:b w:val="false"/>
          <w:color w:val="000000"/>
          <w:sz w:val="20"/>
          <w:u w:val="single"/>
        </w:rPr>
        <w:t>Section 12.9</w:t>
      </w:r>
      <w:r>
        <w:rPr>
          <w:color w:val="000000"/>
        </w:rPr>
        <w:t xml:space="preserve"> </w:t>
      </w:r>
      <w:r>
        <w:rPr>
          <w:rFonts w:ascii="Times New Roman;sans-serif" w:hAnsi="Times New Roman;sans-serif"/>
          <w:b w:val="false"/>
          <w:color w:val="000000"/>
          <w:sz w:val="20"/>
        </w:rPr>
        <w:t xml:space="preserve">supersede all prior agreements, understanding, representations, warranties, and negotiations between the parties about the subject matter of this </w:t>
      </w:r>
      <w:r>
        <w:rPr>
          <w:rFonts w:ascii="Times New Roman;sans-serif" w:hAnsi="Times New Roman;sans-serif"/>
          <w:b w:val="false"/>
          <w:color w:val="000000"/>
          <w:sz w:val="20"/>
          <w:u w:val="single"/>
        </w:rPr>
        <w:t>Section 12.9</w:t>
      </w:r>
      <w:r>
        <w:rPr>
          <w:rFonts w:ascii="Times New Roman;sans-serif" w:hAnsi="Times New Roman;sans-serif"/>
          <w:b w:val="false"/>
          <w:color w:val="000000"/>
          <w:sz w:val="20"/>
        </w:rPr>
        <w:t>.</w:t>
      </w:r>
    </w:p>
    <w:p>
      <w:pPr>
        <w:pStyle w:val="TextBody"/>
        <w:bidi w:val="0"/>
        <w:spacing w:lineRule="auto" w:line="288" w:before="239" w:after="283"/>
        <w:ind w:left="0" w:right="0" w:firstLine="720"/>
        <w:jc w:val="both"/>
        <w:rPr/>
      </w:pPr>
      <w:r>
        <w:rPr>
          <w:rFonts w:ascii="Times New Roman;sans-serif" w:hAnsi="Times New Roman;sans-serif"/>
          <w:b/>
          <w:color w:val="000000"/>
          <w:sz w:val="20"/>
        </w:rPr>
        <w:t xml:space="preserve">1.9Public Announcement. </w:t>
      </w:r>
      <w:r>
        <w:rPr>
          <w:rFonts w:ascii="Times New Roman;sans-serif" w:hAnsi="Times New Roman;sans-serif"/>
          <w:b w:val="false"/>
          <w:color w:val="000000"/>
          <w:sz w:val="20"/>
        </w:rPr>
        <w:t>Notwithstanding anything else herein to the contrary, Borrower hereby agrees that Collateral Agent and each Lender may make a public announcement of the transactions contemplated by this Agreement, and may publicize the same on its company website, in marketing materials, newspapers and other publications, and otherwise, and in connection therewith may use Borrower’s name, tradenames, logos, and any information related to the transactions to the extent such information is not confidential.</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36675"/>
                <wp:effectExtent l="0" t="0" r="0" b="0"/>
                <wp:wrapNone/>
                <wp:docPr id="106" name="Frame106"/>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firstLine="720"/>
        <w:jc w:val="both"/>
        <w:rPr/>
      </w:pPr>
      <w:r>
        <w:rPr>
          <w:rFonts w:ascii="Times New Roman;sans-serif" w:hAnsi="Times New Roman;sans-serif"/>
          <w:b/>
          <w:color w:val="000000"/>
          <w:sz w:val="20"/>
        </w:rPr>
        <w:t xml:space="preserve">1.10Right of Set Off. </w:t>
      </w:r>
      <w:r>
        <w:rPr>
          <w:rFonts w:ascii="Times New Roman;sans-serif" w:hAnsi="Times New Roman;sans-serif"/>
          <w:b w:val="false"/>
          <w:color w:val="000000"/>
          <w:sz w:val="20"/>
        </w:rPr>
        <w:t>Borrower hereby grants to Collateral Agent and to each Lender, a lien, security interest and right of set off as security for 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pStyle w:val="TextBody"/>
        <w:bidi w:val="0"/>
        <w:spacing w:lineRule="auto" w:line="288" w:before="240" w:after="283"/>
        <w:ind w:left="0" w:right="0" w:firstLine="720"/>
        <w:jc w:val="both"/>
        <w:rPr/>
      </w:pPr>
      <w:r>
        <w:rPr>
          <w:rFonts w:ascii="Times New Roman;sans-serif" w:hAnsi="Times New Roman;sans-serif"/>
          <w:b/>
          <w:color w:val="000000"/>
          <w:sz w:val="20"/>
        </w:rPr>
        <w:t xml:space="preserve">1.11Cooperation of Borrower. </w:t>
      </w:r>
      <w:r>
        <w:rPr>
          <w:rFonts w:ascii="Times New Roman;sans-serif" w:hAnsi="Times New Roman;sans-serif"/>
          <w:b w:val="false"/>
          <w:color w:val="000000"/>
          <w:sz w:val="20"/>
        </w:rPr>
        <w:t xml:space="preserve">If necessary, Borrower agrees to (i) execute any documents (including new Secured Promissory Notes) reasonably required to effectuate and acknowledge each assignment of a Term Loan Commitment or Term Loan to an assignee in accordance with </w:t>
      </w:r>
      <w:r>
        <w:rPr>
          <w:rFonts w:ascii="Times New Roman;sans-serif" w:hAnsi="Times New Roman;sans-serif"/>
          <w:b w:val="false"/>
          <w:color w:val="000000"/>
          <w:sz w:val="20"/>
          <w:u w:val="single"/>
        </w:rPr>
        <w:t>Section 12.1</w:t>
      </w:r>
      <w:r>
        <w:rPr>
          <w:rFonts w:ascii="Times New Roman;sans-serif" w:hAnsi="Times New Roman;sans-serif"/>
          <w:b w:val="false"/>
          <w:color w:val="000000"/>
          <w:sz w:val="20"/>
        </w:rPr>
        <w:t>,</w:t>
      </w:r>
    </w:p>
    <w:p>
      <w:pPr>
        <w:pStyle w:val="TextBody"/>
        <w:bidi w:val="0"/>
        <w:spacing w:lineRule="auto" w:line="288" w:before="2"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 make Borrower’s management available to meet with Collateral Agent and prospective participants and assignees of Term Loan Commitments or Credit Extensions (which meetings shall be conducted no more often than twice every twelve months unless an Event of Default has occurred and is continuing), and</w:t>
      </w:r>
    </w:p>
    <w:p>
      <w:pPr>
        <w:pStyle w:val="TextBody"/>
        <w:bidi w:val="0"/>
        <w:spacing w:lineRule="auto" w:line="288" w:before="0" w:after="0"/>
        <w:jc w:val="both"/>
        <w:rPr/>
      </w:pPr>
      <w:r>
        <w:rPr>
          <w:rFonts w:ascii="Times New Roman;sans-serif" w:hAnsi="Times New Roman;sans-serif"/>
          <w:b w:val="false"/>
          <w:color w:val="000000"/>
          <w:sz w:val="20"/>
        </w:rPr>
        <w:t xml:space="preserve">(iii) assist Collateral Agent or the Lenders in the preparation of information relating to the financial affairs of Borrower as any prospective participant or assignee of a Term Loan Commitment or Term Loan reasonably may request. Subject to the provisions of </w:t>
      </w:r>
      <w:r>
        <w:rPr>
          <w:rFonts w:ascii="Times New Roman;sans-serif" w:hAnsi="Times New Roman;sans-serif"/>
          <w:b w:val="false"/>
          <w:color w:val="000000"/>
          <w:sz w:val="20"/>
          <w:u w:val="single"/>
        </w:rPr>
        <w:t>Section 12.9</w:t>
      </w:r>
      <w:r>
        <w:rPr>
          <w:rFonts w:ascii="Times New Roman;sans-serif" w:hAnsi="Times New Roman;sans-serif"/>
          <w:b w:val="false"/>
          <w:color w:val="000000"/>
          <w:sz w:val="20"/>
        </w:rPr>
        <w:t>,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pStyle w:val="TextBody"/>
        <w:bidi w:val="0"/>
        <w:spacing w:lineRule="auto" w:line="288" w:before="238" w:after="283"/>
        <w:ind w:left="0" w:right="0" w:firstLine="720"/>
        <w:jc w:val="both"/>
        <w:rPr/>
      </w:pPr>
      <w:r>
        <w:rPr>
          <w:rFonts w:ascii="Times New Roman;sans-serif" w:hAnsi="Times New Roman;sans-serif"/>
          <w:b/>
          <w:color w:val="000000"/>
          <w:sz w:val="20"/>
        </w:rPr>
        <w:t xml:space="preserve">1.12Effect of Amendment and Restatement. </w:t>
      </w:r>
      <w:r>
        <w:rPr>
          <w:rFonts w:ascii="Times New Roman;sans-serif" w:hAnsi="Times New Roman;sans-serif"/>
          <w:b w:val="false"/>
          <w:color w:val="000000"/>
          <w:sz w:val="20"/>
        </w:rPr>
        <w:t>This Agreement is intended to and does completely amend and restate, without novation, the Prior Agreement and the terms and provisions of the Prior Agreement shall be superseded by this Agreement. All security interests granted by Borrower under the Prior Agreement are hereby confirmed and ratified and shall continue to secure all Obligations under this Agreement. Without limiting the foregoing, all other Loan Documents issued in connection with the Prior Agreement (to the extent not yet exercised, terminated or amended and restated in connection with this Agreement) shall remain in full force and effect.</w:t>
      </w:r>
    </w:p>
    <w:p>
      <w:pPr>
        <w:pStyle w:val="TextBody"/>
        <w:bidi w:val="0"/>
        <w:spacing w:lineRule="auto" w:line="288" w:before="243" w:after="283"/>
        <w:ind w:left="0" w:right="0" w:hanging="719"/>
        <w:jc w:val="both"/>
        <w:rPr/>
      </w:pPr>
      <w:r>
        <w:rPr>
          <w:rFonts w:ascii="Times New Roman;sans-serif" w:hAnsi="Times New Roman;sans-serif"/>
          <w:b/>
          <w:color w:val="000000"/>
          <w:sz w:val="20"/>
        </w:rPr>
        <w:t>13.</w:t>
      </w:r>
      <w:r>
        <w:rPr>
          <w:rFonts w:ascii="Times New Roman;sans-serif" w:hAnsi="Times New Roman;sans-serif"/>
          <w:b/>
          <w:color w:val="000000"/>
          <w:sz w:val="20"/>
          <w:u w:val="single"/>
        </w:rPr>
        <w:t>DEFINITIONS</w:t>
      </w:r>
    </w:p>
    <w:p>
      <w:pPr>
        <w:pStyle w:val="TextBody"/>
        <w:bidi w:val="0"/>
        <w:spacing w:lineRule="auto" w:line="619" w:before="2" w:after="283"/>
        <w:jc w:val="both"/>
        <w:rPr/>
      </w:pPr>
      <w:r>
        <w:rPr>
          <w:rFonts w:ascii="Times New Roman;sans-serif" w:hAnsi="Times New Roman;sans-serif"/>
          <w:b/>
          <w:color w:val="000000"/>
          <w:sz w:val="20"/>
        </w:rPr>
        <w:t xml:space="preserve">1.1Definitions. </w:t>
      </w:r>
      <w:r>
        <w:rPr>
          <w:rFonts w:ascii="Times New Roman;sans-serif" w:hAnsi="Times New Roman;sans-serif"/>
          <w:b w:val="false"/>
          <w:color w:val="000000"/>
          <w:sz w:val="20"/>
        </w:rPr>
        <w:t>As used in this Agreement, the following terms have the following meanings: “</w:t>
      </w:r>
      <w:r>
        <w:rPr>
          <w:rFonts w:ascii="Times New Roman;sans-serif" w:hAnsi="Times New Roman;sans-serif"/>
          <w:b/>
          <w:color w:val="000000"/>
          <w:sz w:val="20"/>
        </w:rPr>
        <w:t>1-Month CME Term SOFR</w:t>
      </w:r>
      <w:r>
        <w:rPr>
          <w:color w:val="000000"/>
        </w:rPr>
        <w:t xml:space="preserve">” </w:t>
      </w:r>
      <w:r>
        <w:rPr>
          <w:rFonts w:ascii="Times New Roman;sans-serif" w:hAnsi="Times New Roman;sans-serif"/>
          <w:b w:val="false"/>
          <w:color w:val="000000"/>
          <w:sz w:val="20"/>
        </w:rPr>
        <w:t>is the 1-month CME Term SOFR reference rate as published by</w:t>
      </w:r>
    </w:p>
    <w:p>
      <w:pPr>
        <w:pStyle w:val="TextBody"/>
        <w:bidi w:val="0"/>
        <w:spacing w:lineRule="auto" w:line="288"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CME Term SOFR Administrator on the CME Term SOFR Administrator’s Website.</w:t>
      </w:r>
    </w:p>
    <w:p>
      <w:pPr>
        <w:pStyle w:val="TextBody"/>
        <w:bidi w:val="0"/>
        <w:spacing w:lineRule="auto" w:line="288" w:before="236" w:after="283"/>
        <w:ind w:left="0" w:right="0" w:firstLine="720"/>
        <w:jc w:val="both"/>
        <w:rPr/>
      </w:pPr>
      <w:r>
        <w:rPr>
          <w:color w:val="000000"/>
        </w:rPr>
        <w:t>“</w:t>
      </w:r>
      <w:r>
        <w:rPr>
          <w:rFonts w:ascii="Times New Roman;sans-serif" w:hAnsi="Times New Roman;sans-serif"/>
          <w:b/>
          <w:color w:val="000000"/>
          <w:sz w:val="20"/>
        </w:rPr>
        <w:t>Account</w:t>
      </w:r>
      <w:r>
        <w:rPr>
          <w:color w:val="000000"/>
        </w:rPr>
        <w:t xml:space="preserve">” </w:t>
      </w:r>
      <w:r>
        <w:rPr>
          <w:rFonts w:ascii="Times New Roman;sans-serif" w:hAnsi="Times New Roman;sans-serif"/>
          <w:b w:val="false"/>
          <w:color w:val="000000"/>
          <w:sz w:val="20"/>
        </w:rPr>
        <w:t>is any “account” as defined in the Code with such additions to such term as may hereafter be made, and includes, without limitation, all accounts receivable and other sums owing to Borrower.</w:t>
      </w:r>
    </w:p>
    <w:p>
      <w:pPr>
        <w:pStyle w:val="TextBody"/>
        <w:bidi w:val="0"/>
        <w:spacing w:lineRule="auto" w:line="288" w:before="242" w:after="283"/>
        <w:ind w:left="0" w:right="0" w:firstLine="720"/>
        <w:jc w:val="both"/>
        <w:rPr/>
      </w:pPr>
      <w:r>
        <w:rPr>
          <w:color w:val="000000"/>
        </w:rPr>
        <w:t>“</w:t>
      </w:r>
      <w:r>
        <w:rPr>
          <w:rFonts w:ascii="Times New Roman;sans-serif" w:hAnsi="Times New Roman;sans-serif"/>
          <w:b/>
          <w:color w:val="000000"/>
          <w:sz w:val="20"/>
        </w:rPr>
        <w:t>Account Debtor</w:t>
      </w:r>
      <w:r>
        <w:rPr>
          <w:color w:val="000000"/>
        </w:rPr>
        <w:t xml:space="preserve">” </w:t>
      </w:r>
      <w:r>
        <w:rPr>
          <w:rFonts w:ascii="Times New Roman;sans-serif" w:hAnsi="Times New Roman;sans-serif"/>
          <w:b w:val="false"/>
          <w:color w:val="000000"/>
          <w:sz w:val="20"/>
        </w:rPr>
        <w:t>is any “account debtor” as defined in the Code with such additions to such term as may hereafter be made.</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36675"/>
                <wp:effectExtent l="0" t="0" r="0" b="0"/>
                <wp:wrapNone/>
                <wp:docPr id="107" name="Frame107"/>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8" w:after="283"/>
        <w:ind w:left="0" w:right="0" w:firstLine="720"/>
        <w:jc w:val="both"/>
        <w:rPr/>
      </w:pPr>
      <w:r>
        <w:rPr>
          <w:color w:val="000000"/>
        </w:rPr>
        <w:t>“</w:t>
      </w:r>
      <w:r>
        <w:rPr>
          <w:rFonts w:ascii="Times New Roman;sans-serif" w:hAnsi="Times New Roman;sans-serif"/>
          <w:b/>
          <w:color w:val="000000"/>
          <w:sz w:val="20"/>
        </w:rPr>
        <w:t>Affiliate</w:t>
      </w:r>
      <w:r>
        <w:rPr>
          <w:color w:val="000000"/>
        </w:rPr>
        <w:t xml:space="preserve">” </w:t>
      </w:r>
      <w:r>
        <w:rPr>
          <w:rFonts w:ascii="Times New Roman;sans-serif" w:hAnsi="Times New Roman;sans-serif"/>
          <w:b w:val="false"/>
          <w:color w:val="000000"/>
          <w:sz w:val="20"/>
        </w:rPr>
        <w:t>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For purposes of this definition, the term “control” means, in respect of a particular Person, the possession, directly or indirect, of the power to direct or cause the direction of the management or policies of such Person, whether through the ability to exercise voting power, by contract, or otherwise.</w:t>
      </w:r>
    </w:p>
    <w:p>
      <w:pPr>
        <w:pStyle w:val="TextBody"/>
        <w:bidi w:val="0"/>
        <w:spacing w:lineRule="auto" w:line="542" w:before="243" w:after="283"/>
        <w:jc w:val="both"/>
        <w:rPr/>
      </w:pPr>
      <w:r>
        <w:rPr>
          <w:color w:val="000000"/>
        </w:rPr>
        <w:t>“</w:t>
      </w:r>
      <w:r>
        <w:rPr>
          <w:rFonts w:ascii="Times New Roman;sans-serif" w:hAnsi="Times New Roman;sans-serif"/>
          <w:b/>
          <w:color w:val="000000"/>
          <w:sz w:val="20"/>
        </w:rPr>
        <w:t>Agreement</w:t>
      </w:r>
      <w:r>
        <w:rPr>
          <w:color w:val="000000"/>
        </w:rPr>
        <w:t xml:space="preserve">” </w:t>
      </w:r>
      <w:r>
        <w:rPr>
          <w:rFonts w:ascii="Times New Roman;sans-serif" w:hAnsi="Times New Roman;sans-serif"/>
          <w:b w:val="false"/>
          <w:color w:val="000000"/>
          <w:sz w:val="20"/>
        </w:rPr>
        <w:t>is defined in the preamble hereof. “</w:t>
      </w:r>
      <w:r>
        <w:rPr>
          <w:rFonts w:ascii="Times New Roman;sans-serif" w:hAnsi="Times New Roman;sans-serif"/>
          <w:b/>
          <w:color w:val="000000"/>
          <w:sz w:val="20"/>
        </w:rPr>
        <w:t>Amendment Fee</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2.5</w:t>
      </w:r>
      <w:r>
        <w:rPr>
          <w:rFonts w:ascii="Times New Roman;sans-serif" w:hAnsi="Times New Roman;sans-serif"/>
          <w:b w:val="false"/>
          <w:color w:val="000000"/>
          <w:sz w:val="20"/>
        </w:rPr>
        <w:t>.</w:t>
      </w:r>
    </w:p>
    <w:p>
      <w:pPr>
        <w:pStyle w:val="TextBody"/>
        <w:bidi w:val="0"/>
        <w:spacing w:lineRule="auto" w:line="288" w:before="0" w:after="0"/>
        <w:ind w:left="0" w:right="0" w:firstLine="720"/>
        <w:jc w:val="both"/>
        <w:rPr/>
      </w:pPr>
      <w:r>
        <w:rPr>
          <w:color w:val="000000"/>
        </w:rPr>
        <w:t>“</w:t>
      </w:r>
      <w:r>
        <w:rPr>
          <w:rFonts w:ascii="Times New Roman;sans-serif" w:hAnsi="Times New Roman;sans-serif"/>
          <w:b/>
          <w:color w:val="000000"/>
          <w:sz w:val="20"/>
        </w:rPr>
        <w:t>Amortization Date</w:t>
      </w:r>
      <w:r>
        <w:rPr>
          <w:color w:val="000000"/>
        </w:rPr>
        <w:t xml:space="preserve">” </w:t>
      </w:r>
      <w:r>
        <w:rPr>
          <w:rFonts w:ascii="Times New Roman;sans-serif" w:hAnsi="Times New Roman;sans-serif"/>
          <w:b w:val="false"/>
          <w:color w:val="000000"/>
          <w:sz w:val="20"/>
        </w:rPr>
        <w:t>is July 1, 2028; provided that, if Borrower achieves the Interest-Only Extension Milestone, then, upon Borrower written request to Collateral Agent therefor prior to July 1, 2028 and within thirty (30) days after the later of (i) achievement of the Interest-Only Extension Milestone and</w:t>
      </w:r>
    </w:p>
    <w:p>
      <w:pPr>
        <w:pStyle w:val="TextBody"/>
        <w:bidi w:val="0"/>
        <w:spacing w:lineRule="auto" w:line="540" w:before="0" w:after="0"/>
        <w:ind w:left="0" w:right="0" w:hanging="720"/>
        <w:jc w:val="both"/>
        <w:rPr/>
      </w:pPr>
      <w:r>
        <w:rPr>
          <w:rFonts w:ascii="Times New Roman;sans-serif" w:hAnsi="Times New Roman;sans-serif"/>
          <w:b w:val="false"/>
          <w:color w:val="000000"/>
          <w:sz w:val="20"/>
        </w:rPr>
        <w:t>(ii) April 11, 2025, “</w:t>
      </w:r>
      <w:r>
        <w:rPr>
          <w:rFonts w:ascii="Times New Roman;sans-serif" w:hAnsi="Times New Roman;sans-serif"/>
          <w:b/>
          <w:color w:val="000000"/>
          <w:sz w:val="20"/>
        </w:rPr>
        <w:t>Amortization Date</w:t>
      </w:r>
      <w:r>
        <w:rPr>
          <w:color w:val="000000"/>
        </w:rPr>
        <w:t xml:space="preserve">” </w:t>
      </w:r>
      <w:r>
        <w:rPr>
          <w:rFonts w:ascii="Times New Roman;sans-serif" w:hAnsi="Times New Roman;sans-serif"/>
          <w:b w:val="false"/>
          <w:color w:val="000000"/>
          <w:sz w:val="20"/>
        </w:rPr>
        <w:t>shall be July 1, 2029. “</w:t>
      </w:r>
      <w:r>
        <w:rPr>
          <w:rFonts w:ascii="Times New Roman;sans-serif" w:hAnsi="Times New Roman;sans-serif"/>
          <w:b/>
          <w:color w:val="000000"/>
          <w:sz w:val="20"/>
        </w:rPr>
        <w:t>Annual Projections</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6.2(a)</w:t>
      </w:r>
      <w:r>
        <w:rPr>
          <w:rFonts w:ascii="Times New Roman;sans-serif" w:hAnsi="Times New Roman;sans-serif"/>
          <w:b w:val="false"/>
          <w:color w:val="000000"/>
          <w:sz w:val="20"/>
        </w:rPr>
        <w:t>.</w:t>
      </w:r>
    </w:p>
    <w:p>
      <w:pPr>
        <w:pStyle w:val="TextBody"/>
        <w:bidi w:val="0"/>
        <w:spacing w:lineRule="auto" w:line="280" w:before="2" w:after="283"/>
        <w:ind w:left="0" w:right="0" w:firstLine="720"/>
        <w:jc w:val="both"/>
        <w:rPr/>
      </w:pPr>
      <w:r>
        <w:rPr>
          <w:color w:val="000000"/>
        </w:rPr>
        <w:t>“</w:t>
      </w:r>
      <w:r>
        <w:rPr>
          <w:rFonts w:ascii="Times New Roman;sans-serif" w:hAnsi="Times New Roman;sans-serif"/>
          <w:b/>
          <w:color w:val="000000"/>
          <w:sz w:val="20"/>
        </w:rPr>
        <w:t>Anti-Terrorism Laws</w:t>
      </w:r>
      <w:r>
        <w:rPr>
          <w:color w:val="000000"/>
        </w:rPr>
        <w:t xml:space="preserve">” </w:t>
      </w:r>
      <w:r>
        <w:rPr>
          <w:rFonts w:ascii="Times New Roman;sans-serif" w:hAnsi="Times New Roman;sans-serif"/>
          <w:b w:val="false"/>
          <w:color w:val="000000"/>
          <w:sz w:val="20"/>
        </w:rPr>
        <w:t>are any laws relating to terrorism or money laundering, including Executive Order No. 13224 (effective September 24, 2001), the USA PATRIOT Act, the laws comprising or implementing the Bank Secrecy Act, and the laws administered by OFAC.</w:t>
      </w:r>
    </w:p>
    <w:p>
      <w:pPr>
        <w:pStyle w:val="TextBody"/>
        <w:bidi w:val="0"/>
        <w:spacing w:lineRule="auto" w:line="288" w:before="232" w:after="283"/>
        <w:ind w:left="0" w:right="0" w:firstLine="720"/>
        <w:jc w:val="both"/>
        <w:rPr/>
      </w:pPr>
      <w:r>
        <w:rPr>
          <w:color w:val="000000"/>
        </w:rPr>
        <w:t>“</w:t>
      </w:r>
      <w:r>
        <w:rPr>
          <w:rFonts w:ascii="Times New Roman;sans-serif" w:hAnsi="Times New Roman;sans-serif"/>
          <w:b/>
          <w:color w:val="000000"/>
          <w:sz w:val="20"/>
        </w:rPr>
        <w:t>Approved Fund</w:t>
      </w:r>
      <w:r>
        <w:rPr>
          <w:color w:val="000000"/>
        </w:rPr>
        <w:t xml:space="preserve">” </w:t>
      </w:r>
      <w:r>
        <w:rPr>
          <w:rFonts w:ascii="Times New Roman;sans-serif" w:hAnsi="Times New Roman;sans-serif"/>
          <w:b w:val="false"/>
          <w:color w:val="000000"/>
          <w:sz w:val="20"/>
        </w:rPr>
        <w:t>is any (a) Person, investment company, fund, securitization vehicle or conduit that is (or will be) engaged in making, purchasing, holding or otherwise investing in commercial loans and similar extensions of credit in the ordinary course of its business and that is administered or managed by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a Lender, (ii) an Affiliate of a Lender, or (iii) a Person (other than a natural person) or an Affiliate of a Person (other than a natural person) that administers or manages a Lender, or (b) any Person (other than a natural person) which temporarily warehouses loans, or provides financing or securitizations, in each case, for any Lender or any entity described in the preceding clause (a).</w:t>
      </w:r>
    </w:p>
    <w:p>
      <w:pPr>
        <w:pStyle w:val="TextBody"/>
        <w:bidi w:val="0"/>
        <w:spacing w:lineRule="auto" w:line="288" w:before="243" w:after="283"/>
        <w:jc w:val="left"/>
        <w:rPr/>
      </w:pPr>
      <w:r>
        <w:rPr>
          <w:color w:val="000000"/>
        </w:rPr>
        <w:t>“</w:t>
      </w:r>
      <w:r>
        <w:rPr>
          <w:rFonts w:ascii="Times New Roman;sans-serif" w:hAnsi="Times New Roman;sans-serif"/>
          <w:b/>
          <w:color w:val="000000"/>
          <w:sz w:val="20"/>
        </w:rPr>
        <w:t>Approved Lender</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12.1</w:t>
      </w:r>
      <w:r>
        <w:rPr>
          <w:rFonts w:ascii="Times New Roman;sans-serif" w:hAnsi="Times New Roman;sans-serif"/>
          <w:b w:val="false"/>
          <w:color w:val="000000"/>
          <w:sz w:val="20"/>
        </w:rPr>
        <w:t>.</w:t>
      </w:r>
    </w:p>
    <w:p>
      <w:pPr>
        <w:pStyle w:val="TextBody"/>
        <w:bidi w:val="0"/>
        <w:spacing w:lineRule="auto" w:line="288" w:before="236" w:after="283"/>
        <w:ind w:left="0" w:right="0" w:firstLine="720"/>
        <w:jc w:val="both"/>
        <w:rPr/>
      </w:pPr>
      <w:r>
        <w:rPr>
          <w:color w:val="000000"/>
        </w:rPr>
        <w:t>“</w:t>
      </w:r>
      <w:r>
        <w:rPr>
          <w:rFonts w:ascii="Times New Roman;sans-serif" w:hAnsi="Times New Roman;sans-serif"/>
          <w:b/>
          <w:color w:val="000000"/>
          <w:sz w:val="20"/>
        </w:rPr>
        <w:t>Basic Rate</w:t>
      </w:r>
      <w:r>
        <w:rPr>
          <w:color w:val="000000"/>
        </w:rPr>
        <w:t xml:space="preserve">” </w:t>
      </w:r>
      <w:r>
        <w:rPr>
          <w:rFonts w:ascii="Times New Roman;sans-serif" w:hAnsi="Times New Roman;sans-serif"/>
          <w:b w:val="false"/>
          <w:color w:val="000000"/>
          <w:sz w:val="20"/>
        </w:rPr>
        <w:t>is with respect to each Term Loan, the per annum rate of interest (based on a year of three hundred sixty (360) days) equal to (a) the greater of (i) the 1-Month CME Term SOFR on the last Business Day of the month that immediately precedes the month in which the interest will accrue and (ii) three and one-half percent (3.50%), plus (b) five and one-quarter percent (5.25%). Notwithstanding the foregoing, (i) in no event shall the Basic Rate for any Term Loan be less than eight and three-quarters percent (8.75%), and (ii) upon the occurrence of a Benchmark Transition Event, Collateral Agent may, in good faith and with reference to the margin above such interest rate in this definition, amend this Agreement to replace the Benchmark with a replacement interest rate and replacement margin above such interest rate that results in a substantially similar interest rate floor and total rate in effect immediately prior to the effectiveness of such replacement interest rate and replacement margin, and any such amendment shall become effective at 5:00 p.m. Eastern time on the third Business Day after Collateral Agent has notified Borrower of such amendment, and (iii) the Basic Rate for the Term Loan for the period from the Effective Date through and including March 31, 2024 shall be ten and fifty-seven hundredths of one percent (10.57%). Any determination, decision or election that may be made by Collateral Agent pursuant hereto will be conclusive and binding absent manifest error and may be made in Collateral Agent’s sole discretion (except as set forth above) and without consent from any other party.</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36675"/>
                <wp:effectExtent l="0" t="0" r="0" b="0"/>
                <wp:wrapNone/>
                <wp:docPr id="108" name="Frame108"/>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8" w:after="283"/>
        <w:ind w:left="0" w:right="0" w:firstLine="720"/>
        <w:jc w:val="both"/>
        <w:rPr/>
      </w:pPr>
      <w:r>
        <w:rPr>
          <w:color w:val="000000"/>
        </w:rPr>
        <w:t>“</w:t>
      </w:r>
      <w:r>
        <w:rPr>
          <w:rFonts w:ascii="Times New Roman;sans-serif" w:hAnsi="Times New Roman;sans-serif"/>
          <w:b/>
          <w:color w:val="000000"/>
          <w:sz w:val="20"/>
        </w:rPr>
        <w:t>Benchmark</w:t>
      </w:r>
      <w:r>
        <w:rPr>
          <w:color w:val="000000"/>
        </w:rPr>
        <w:t xml:space="preserve">” </w:t>
      </w:r>
      <w:r>
        <w:rPr>
          <w:rFonts w:ascii="Times New Roman;sans-serif" w:hAnsi="Times New Roman;sans-serif"/>
          <w:b w:val="false"/>
          <w:color w:val="000000"/>
          <w:sz w:val="20"/>
        </w:rPr>
        <w:t>is, initially, the 1-Month CME Term SOFR; provided, that if a Benchmark Transition Event has occurred with respect to the 1-Month CME Term SOFR or the then-current Benchmark, then “Benchmark” means the applicable replacement rate that has replaced the immediately preceding benchmark rate pursuant to the defined term “Basic Rate”.</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0"/>
        </w:rPr>
        <w:t>Benchmark Transition Event</w:t>
      </w:r>
      <w:r>
        <w:rPr>
          <w:color w:val="000000"/>
        </w:rPr>
        <w:t xml:space="preserve">” </w:t>
      </w:r>
      <w:r>
        <w:rPr>
          <w:rFonts w:ascii="Times New Roman;sans-serif" w:hAnsi="Times New Roman;sans-serif"/>
          <w:b w:val="false"/>
          <w:color w:val="000000"/>
          <w:sz w:val="20"/>
        </w:rPr>
        <w:t>means the occurrence of one or more of the following events with respect to the then-current Benchmark:</w:t>
      </w:r>
    </w:p>
    <w:p>
      <w:pPr>
        <w:pStyle w:val="TextBody"/>
        <w:bidi w:val="0"/>
        <w:spacing w:lineRule="auto" w:line="280" w:before="238"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(a)a public statement or publication of information by or on behalf of the administrator for such Benchmark announcing that such Person has ceased or will cease to provide such Benchmark, permanently or indefinitely, provided that, at the time of such statement or publication, there is no successor administrator that will continue to provide such Benchmark;</w:t>
      </w:r>
    </w:p>
    <w:p>
      <w:pPr>
        <w:pStyle w:val="TextBody"/>
        <w:bidi w:val="0"/>
        <w:spacing w:lineRule="auto" w:line="288" w:before="23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 public statement or publication of information by the regulatory supervisor for the administrator for such Benchmark, the U.S. Federal Reserve System, an insolvency official with jurisdiction over the administrator for such Benchmark, a resolution authority with jurisdiction over the administrator for such Benchmark or a court or an entity with similar insolvency or resolution authority over the administrator for such Benchmark, which states that the administrator for such Benchmark has ceased or will cease to provide such Benchmark permanently or indefinitely, provided that, at the time of such statement or publication, there is no successor administrator that will continue to provide such Benchmark; or</w:t>
      </w:r>
    </w:p>
    <w:p>
      <w:pPr>
        <w:pStyle w:val="TextBody"/>
        <w:bidi w:val="0"/>
        <w:spacing w:lineRule="auto" w:line="280" w:before="239"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 public statement or publication of information by the regulatory supervisor for the administrator for such Benchmark announcing that such Benchmark is no longer representative or in compliance with the International Organization of Securities Commissions Principles for Financial Benchmarks.</w:t>
      </w:r>
    </w:p>
    <w:p>
      <w:pPr>
        <w:pStyle w:val="TextBody"/>
        <w:bidi w:val="0"/>
        <w:spacing w:lineRule="auto" w:line="288" w:before="231" w:after="283"/>
        <w:ind w:left="0" w:right="0" w:firstLine="720"/>
        <w:jc w:val="both"/>
        <w:rPr/>
      </w:pPr>
      <w:r>
        <w:rPr>
          <w:color w:val="000000"/>
        </w:rPr>
        <w:t>“</w:t>
      </w:r>
      <w:r>
        <w:rPr>
          <w:rFonts w:ascii="Times New Roman;sans-serif" w:hAnsi="Times New Roman;sans-serif"/>
          <w:b/>
          <w:color w:val="000000"/>
          <w:sz w:val="20"/>
        </w:rPr>
        <w:t>Blocked Person</w:t>
      </w:r>
      <w:r>
        <w:rPr>
          <w:color w:val="000000"/>
        </w:rPr>
        <w:t xml:space="preserve">” </w:t>
      </w:r>
      <w:r>
        <w:rPr>
          <w:rFonts w:ascii="Times New Roman;sans-serif" w:hAnsi="Times New Roman;sans-serif"/>
          <w:b w:val="false"/>
          <w:color w:val="000000"/>
          <w:sz w:val="20"/>
        </w:rPr>
        <w:t>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 a Person with which any Lender is prohibited from dealing or 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pStyle w:val="TextBody"/>
        <w:bidi w:val="0"/>
        <w:spacing w:lineRule="auto" w:line="288" w:before="243" w:after="283"/>
        <w:jc w:val="left"/>
        <w:rPr/>
      </w:pPr>
      <w:r>
        <w:rPr>
          <w:color w:val="000000"/>
        </w:rPr>
        <w:t>“</w:t>
      </w:r>
      <w:r>
        <w:rPr>
          <w:rFonts w:ascii="Times New Roman;sans-serif" w:hAnsi="Times New Roman;sans-serif"/>
          <w:b/>
          <w:color w:val="000000"/>
          <w:sz w:val="20"/>
        </w:rPr>
        <w:t>Borrower</w:t>
      </w:r>
      <w:r>
        <w:rPr>
          <w:color w:val="000000"/>
        </w:rPr>
        <w:t xml:space="preserve">” </w:t>
      </w:r>
      <w:r>
        <w:rPr>
          <w:rFonts w:ascii="Times New Roman;sans-serif" w:hAnsi="Times New Roman;sans-serif"/>
          <w:b w:val="false"/>
          <w:color w:val="000000"/>
          <w:sz w:val="20"/>
        </w:rPr>
        <w:t>is defined in the preamble hereof.</w:t>
      </w:r>
    </w:p>
    <w:p>
      <w:pPr>
        <w:pStyle w:val="TextBody"/>
        <w:bidi w:val="0"/>
        <w:spacing w:lineRule="auto" w:line="288" w:before="237" w:after="283"/>
        <w:ind w:left="0" w:right="0" w:firstLine="720"/>
        <w:jc w:val="both"/>
        <w:rPr/>
      </w:pPr>
      <w:r>
        <w:rPr>
          <w:color w:val="000000"/>
        </w:rPr>
        <w:t>“</w:t>
      </w:r>
      <w:r>
        <w:rPr>
          <w:rFonts w:ascii="Times New Roman;sans-serif" w:hAnsi="Times New Roman;sans-serif"/>
          <w:b/>
          <w:color w:val="000000"/>
          <w:sz w:val="20"/>
        </w:rPr>
        <w:t>Borrower’s Books</w:t>
      </w:r>
      <w:r>
        <w:rPr>
          <w:color w:val="000000"/>
        </w:rPr>
        <w:t xml:space="preserve">” </w:t>
      </w:r>
      <w:r>
        <w:rPr>
          <w:rFonts w:ascii="Times New Roman;sans-serif" w:hAnsi="Times New Roman;sans-serif"/>
          <w:b w:val="false"/>
          <w:color w:val="000000"/>
          <w:sz w:val="20"/>
        </w:rPr>
        <w:t>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pStyle w:val="TextBody"/>
        <w:bidi w:val="0"/>
        <w:spacing w:lineRule="auto" w:line="288" w:before="241" w:after="283"/>
        <w:jc w:val="left"/>
        <w:rPr/>
      </w:pPr>
      <w:r>
        <w:rPr>
          <w:color w:val="000000"/>
        </w:rPr>
        <w:t>“</w:t>
      </w:r>
      <w:r>
        <w:rPr>
          <w:rFonts w:ascii="Times New Roman;sans-serif" w:hAnsi="Times New Roman;sans-serif"/>
          <w:b/>
          <w:color w:val="000000"/>
          <w:sz w:val="20"/>
        </w:rPr>
        <w:t>Business Day</w:t>
      </w:r>
      <w:r>
        <w:rPr>
          <w:color w:val="000000"/>
        </w:rPr>
        <w:t xml:space="preserve">” </w:t>
      </w:r>
      <w:r>
        <w:rPr>
          <w:rFonts w:ascii="Times New Roman;sans-serif" w:hAnsi="Times New Roman;sans-serif"/>
          <w:b w:val="false"/>
          <w:color w:val="000000"/>
          <w:sz w:val="20"/>
        </w:rPr>
        <w:t>is any day that is not a Saturday, Sunday or a day on which Collateral Agent is</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closed.</w:t>
      </w:r>
    </w:p>
    <w:p>
      <w:pPr>
        <w:pStyle w:val="TextBody"/>
        <w:bidi w:val="0"/>
        <w:spacing w:lineRule="auto" w:line="288" w:before="239" w:after="283"/>
        <w:ind w:left="0" w:right="0" w:firstLine="720"/>
        <w:jc w:val="both"/>
        <w:rPr/>
      </w:pPr>
      <w:r>
        <w:rPr>
          <w:color w:val="000000"/>
        </w:rPr>
        <w:t>“</w:t>
      </w:r>
      <w:r>
        <w:rPr>
          <w:rFonts w:ascii="Times New Roman;sans-serif" w:hAnsi="Times New Roman;sans-serif"/>
          <w:b/>
          <w:color w:val="000000"/>
          <w:sz w:val="20"/>
        </w:rPr>
        <w:t>Capital Lease</w:t>
      </w:r>
      <w:r>
        <w:rPr>
          <w:color w:val="000000"/>
        </w:rPr>
        <w:t xml:space="preserve">” </w:t>
      </w:r>
      <w:r>
        <w:rPr>
          <w:rFonts w:ascii="Times New Roman;sans-serif" w:hAnsi="Times New Roman;sans-serif"/>
          <w:b w:val="false"/>
          <w:color w:val="000000"/>
          <w:sz w:val="20"/>
        </w:rPr>
        <w:t>means any lease that has been or is required to be, in accordance with GAAP, recorded, classified and accounted for as a capitalized lease or financing lease.</w:t>
      </w:r>
    </w:p>
    <w:p>
      <w:pPr>
        <w:pStyle w:val="TextBody"/>
        <w:bidi w:val="0"/>
        <w:spacing w:lineRule="auto" w:line="288" w:before="238" w:after="283"/>
        <w:ind w:left="0" w:right="0" w:firstLine="720"/>
        <w:jc w:val="both"/>
        <w:rPr/>
      </w:pPr>
      <w:r>
        <w:rPr>
          <w:color w:val="000000"/>
        </w:rPr>
        <w:t>“</w:t>
      </w:r>
      <w:r>
        <w:rPr>
          <w:rFonts w:ascii="Times New Roman;sans-serif" w:hAnsi="Times New Roman;sans-serif"/>
          <w:b/>
          <w:color w:val="000000"/>
          <w:sz w:val="20"/>
        </w:rPr>
        <w:t>Capital Lease Obligation</w:t>
      </w:r>
      <w:r>
        <w:rPr>
          <w:color w:val="000000"/>
        </w:rPr>
        <w:t xml:space="preserve">” </w:t>
      </w:r>
      <w:r>
        <w:rPr>
          <w:rFonts w:ascii="Times New Roman;sans-serif" w:hAnsi="Times New Roman;sans-serif"/>
          <w:b w:val="false"/>
          <w:color w:val="000000"/>
          <w:sz w:val="20"/>
        </w:rPr>
        <w:t>means, as to any Person, any obligation of such Person to pay rent or other amounts under a lease of (or other agreement conveying the right to use) real or personal property, which obligations are required to be classified and accounted for as a Capital Lease on a balance sheet of</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36675"/>
                <wp:effectExtent l="0" t="0" r="0" b="0"/>
                <wp:wrapNone/>
                <wp:docPr id="109" name="Frame109"/>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8"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such Person under GAAP and, for purposes of this Agreement, the amount of any such obligation shall be the capitalized amount thereof, determined in accordance with GAAP.</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0"/>
        </w:rPr>
        <w:t>Cash Equivalents</w:t>
      </w:r>
      <w:r>
        <w:rPr>
          <w:color w:val="000000"/>
        </w:rPr>
        <w:t xml:space="preserve">” </w:t>
      </w:r>
      <w:r>
        <w:rPr>
          <w:rFonts w:ascii="Times New Roman;sans-serif" w:hAnsi="Times New Roman;sans-serif"/>
          <w:b w:val="false"/>
          <w:color w:val="000000"/>
          <w:sz w:val="20"/>
        </w:rPr>
        <w:t>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Times New Roman;sans-serif" w:hAnsi="Times New Roman;sans-serif"/>
          <w:b/>
          <w:color w:val="000000"/>
          <w:sz w:val="20"/>
        </w:rPr>
        <w:t>Auction Rate Security</w:t>
      </w:r>
      <w:r>
        <w:rPr>
          <w:color w:val="000000"/>
        </w:rPr>
        <w:t>”</w:t>
      </w:r>
      <w:r>
        <w:rPr>
          <w:rFonts w:ascii="Times New Roman;sans-serif" w:hAnsi="Times New Roman;sans-serif"/>
          <w:b w:val="false"/>
          <w:color w:val="000000"/>
          <w:sz w:val="20"/>
        </w:rPr>
        <w: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0"/>
        </w:rPr>
        <w:t>Change of Control</w:t>
      </w:r>
      <w:r>
        <w:rPr>
          <w:color w:val="000000"/>
        </w:rPr>
        <w:t xml:space="preserve">” </w:t>
      </w:r>
      <w:r>
        <w:rPr>
          <w:rFonts w:ascii="Times New Roman;sans-serif" w:hAnsi="Times New Roman;sans-serif"/>
          <w:b w:val="false"/>
          <w:color w:val="000000"/>
          <w:sz w:val="20"/>
        </w:rPr>
        <w:t>means an event or series of events by which: 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“option right”)), directly or indirectly, of forty-nine percent (49%) or more of the equity securities of Borrower entitled to vote for members of the board of directors or equivalent governing body of Borrower on a fully-diluted basis (and taking into account all such securities that such “person” or “group” has the right to acquire pursuant to any option right).</w:t>
      </w:r>
    </w:p>
    <w:p>
      <w:pPr>
        <w:pStyle w:val="TextBody"/>
        <w:bidi w:val="0"/>
        <w:spacing w:lineRule="auto" w:line="288" w:before="241" w:after="283"/>
        <w:jc w:val="left"/>
        <w:rPr/>
      </w:pPr>
      <w:r>
        <w:rPr>
          <w:color w:val="000000"/>
        </w:rPr>
        <w:t>“</w:t>
      </w:r>
      <w:r>
        <w:rPr>
          <w:rFonts w:ascii="Times New Roman;sans-serif" w:hAnsi="Times New Roman;sans-serif"/>
          <w:b/>
          <w:color w:val="000000"/>
          <w:sz w:val="20"/>
        </w:rPr>
        <w:t>Claims</w:t>
      </w:r>
      <w:r>
        <w:rPr>
          <w:color w:val="000000"/>
        </w:rPr>
        <w:t xml:space="preserve">” </w:t>
      </w:r>
      <w:r>
        <w:rPr>
          <w:rFonts w:ascii="Times New Roman;sans-serif" w:hAnsi="Times New Roman;sans-serif"/>
          <w:b w:val="false"/>
          <w:color w:val="000000"/>
          <w:sz w:val="20"/>
        </w:rPr>
        <w:t xml:space="preserve">are defined in </w:t>
      </w:r>
      <w:r>
        <w:rPr>
          <w:rFonts w:ascii="Times New Roman;sans-serif" w:hAnsi="Times New Roman;sans-serif"/>
          <w:b w:val="false"/>
          <w:color w:val="000000"/>
          <w:sz w:val="20"/>
          <w:u w:val="single"/>
        </w:rPr>
        <w:t>Section 12.2</w:t>
      </w:r>
      <w:r>
        <w:rPr>
          <w:rFonts w:ascii="Times New Roman;sans-serif" w:hAnsi="Times New Roman;sans-serif"/>
          <w:b w:val="false"/>
          <w:color w:val="000000"/>
          <w:sz w:val="20"/>
        </w:rPr>
        <w:t>.</w:t>
      </w:r>
    </w:p>
    <w:p>
      <w:pPr>
        <w:pStyle w:val="TextBody"/>
        <w:bidi w:val="0"/>
        <w:spacing w:lineRule="auto" w:line="288" w:before="239" w:after="283"/>
        <w:ind w:left="0" w:right="0" w:firstLine="720"/>
        <w:jc w:val="both"/>
        <w:rPr/>
      </w:pPr>
      <w:r>
        <w:rPr>
          <w:color w:val="000000"/>
        </w:rPr>
        <w:t>“</w:t>
      </w:r>
      <w:r>
        <w:rPr>
          <w:rFonts w:ascii="Times New Roman;sans-serif" w:hAnsi="Times New Roman;sans-serif"/>
          <w:b/>
          <w:color w:val="000000"/>
          <w:sz w:val="20"/>
        </w:rPr>
        <w:t>CME Term SOFR Administrator</w:t>
      </w:r>
      <w:r>
        <w:rPr>
          <w:color w:val="000000"/>
        </w:rPr>
        <w:t xml:space="preserve">” </w:t>
      </w:r>
      <w:r>
        <w:rPr>
          <w:rFonts w:ascii="Times New Roman;sans-serif" w:hAnsi="Times New Roman;sans-serif"/>
          <w:b w:val="false"/>
          <w:color w:val="000000"/>
          <w:sz w:val="20"/>
        </w:rPr>
        <w:t>is CME Group Benchmark Administration Limited, as administrator of the forward-looking term SOFR, or any successor administrator.</w:t>
      </w:r>
    </w:p>
    <w:p>
      <w:pPr>
        <w:pStyle w:val="TextBody"/>
        <w:bidi w:val="0"/>
        <w:spacing w:lineRule="auto" w:line="283" w:before="238" w:after="283"/>
        <w:ind w:left="0" w:right="0" w:firstLine="720"/>
        <w:jc w:val="both"/>
        <w:rPr/>
      </w:pPr>
      <w:r>
        <w:rPr>
          <w:color w:val="000000"/>
        </w:rPr>
        <w:t>“</w:t>
      </w:r>
      <w:r>
        <w:rPr>
          <w:rFonts w:ascii="Times New Roman;sans-serif" w:hAnsi="Times New Roman;sans-serif"/>
          <w:b/>
          <w:color w:val="000000"/>
          <w:sz w:val="20"/>
        </w:rPr>
        <w:t>CME Term SOFR Administrator’s Website</w:t>
      </w:r>
      <w:r>
        <w:rPr>
          <w:color w:val="000000"/>
        </w:rPr>
        <w:t xml:space="preserve">” </w:t>
      </w:r>
      <w:r>
        <w:rPr>
          <w:rFonts w:ascii="Times New Roman;sans-serif" w:hAnsi="Times New Roman;sans-serif"/>
          <w:b w:val="false"/>
          <w:color w:val="000000"/>
          <w:sz w:val="20"/>
        </w:rPr>
        <w:t>is the website of the CME Group Benchmark Administrator at http://www.cmegroup.com, or any successor source.</w:t>
      </w:r>
    </w:p>
    <w:p>
      <w:pPr>
        <w:pStyle w:val="TextBody"/>
        <w:bidi w:val="0"/>
        <w:spacing w:lineRule="auto" w:line="288" w:before="231" w:after="283"/>
        <w:ind w:left="0" w:right="0" w:firstLine="720"/>
        <w:jc w:val="both"/>
        <w:rPr/>
      </w:pP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 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36675"/>
                <wp:effectExtent l="0" t="0" r="0" b="0"/>
                <wp:wrapNone/>
                <wp:docPr id="110" name="Frame110"/>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center"/>
        <w:rPr/>
      </w:pPr>
      <w:r>
        <w:rPr>
          <w:color w:val="000000"/>
        </w:rPr>
        <w:t>“</w:t>
      </w:r>
      <w:r>
        <w:rPr>
          <w:rFonts w:ascii="Times New Roman;sans-serif" w:hAnsi="Times New Roman;sans-serif"/>
          <w:b/>
          <w:color w:val="000000"/>
          <w:sz w:val="20"/>
        </w:rPr>
        <w:t>Collateral</w:t>
      </w:r>
      <w:r>
        <w:rPr>
          <w:color w:val="000000"/>
        </w:rPr>
        <w:t xml:space="preserve">” </w:t>
      </w:r>
      <w:r>
        <w:rPr>
          <w:rFonts w:ascii="Times New Roman;sans-serif" w:hAnsi="Times New Roman;sans-serif"/>
          <w:b w:val="false"/>
          <w:color w:val="000000"/>
          <w:sz w:val="20"/>
        </w:rPr>
        <w:t xml:space="preserve">is any and all properties, rights and assets of Borrower described on </w:t>
      </w:r>
      <w:r>
        <w:rPr>
          <w:rFonts w:ascii="Times New Roman;sans-serif" w:hAnsi="Times New Roman;sans-serif"/>
          <w:b w:val="false"/>
          <w:color w:val="000000"/>
          <w:sz w:val="20"/>
          <w:u w:val="single"/>
        </w:rPr>
        <w:t>Exhibit A</w:t>
      </w:r>
      <w:r>
        <w:rPr>
          <w:rFonts w:ascii="Times New Roman;sans-serif" w:hAnsi="Times New Roman;sans-serif"/>
          <w:b w:val="false"/>
          <w:color w:val="000000"/>
          <w:sz w:val="20"/>
        </w:rPr>
        <w:t>.</w:t>
      </w:r>
    </w:p>
    <w:p>
      <w:pPr>
        <w:pStyle w:val="TextBody"/>
        <w:bidi w:val="0"/>
        <w:spacing w:lineRule="auto" w:line="283" w:before="237" w:after="283"/>
        <w:ind w:left="0" w:right="0" w:firstLine="720"/>
        <w:jc w:val="left"/>
        <w:rPr/>
      </w:pPr>
      <w:r>
        <w:rPr>
          <w:color w:val="000000"/>
        </w:rPr>
        <w:t>“</w:t>
      </w:r>
      <w:r>
        <w:rPr>
          <w:rFonts w:ascii="Times New Roman;sans-serif" w:hAnsi="Times New Roman;sans-serif"/>
          <w:b/>
          <w:color w:val="000000"/>
          <w:sz w:val="20"/>
        </w:rPr>
        <w:t>Collateral Account</w:t>
      </w:r>
      <w:r>
        <w:rPr>
          <w:color w:val="000000"/>
        </w:rPr>
        <w:t xml:space="preserve">” </w:t>
      </w:r>
      <w:r>
        <w:rPr>
          <w:rFonts w:ascii="Times New Roman;sans-serif" w:hAnsi="Times New Roman;sans-serif"/>
          <w:b w:val="false"/>
          <w:color w:val="000000"/>
          <w:sz w:val="20"/>
        </w:rPr>
        <w:t>is any Deposit Account, Securities Account, or Commodity Account, or any other bank account maintained by Borrower or any Subsidiary at any time.</w:t>
      </w:r>
    </w:p>
    <w:p>
      <w:pPr>
        <w:pStyle w:val="TextBody"/>
        <w:bidi w:val="0"/>
        <w:spacing w:lineRule="auto" w:line="283" w:before="230" w:after="283"/>
        <w:ind w:left="0" w:right="0" w:firstLine="720"/>
        <w:jc w:val="left"/>
        <w:rPr/>
      </w:pPr>
      <w:r>
        <w:rPr>
          <w:color w:val="000000"/>
        </w:rPr>
        <w:t>“</w:t>
      </w:r>
      <w:r>
        <w:rPr>
          <w:rFonts w:ascii="Times New Roman;sans-serif" w:hAnsi="Times New Roman;sans-serif"/>
          <w:b/>
          <w:color w:val="000000"/>
          <w:sz w:val="20"/>
        </w:rPr>
        <w:t>Collateral Agent</w:t>
      </w:r>
      <w:r>
        <w:rPr>
          <w:color w:val="000000"/>
        </w:rPr>
        <w:t xml:space="preserve">” </w:t>
      </w:r>
      <w:r>
        <w:rPr>
          <w:rFonts w:ascii="Times New Roman;sans-serif" w:hAnsi="Times New Roman;sans-serif"/>
          <w:b w:val="false"/>
          <w:color w:val="000000"/>
          <w:sz w:val="20"/>
        </w:rPr>
        <w:t>is, Oxford, not in its individual capacity, but solely in its capacity as agent on behalf of and for the benefit of the Lenders.</w:t>
      </w:r>
    </w:p>
    <w:p>
      <w:pPr>
        <w:pStyle w:val="TextBody"/>
        <w:bidi w:val="0"/>
        <w:spacing w:lineRule="auto" w:line="288" w:before="232" w:after="283"/>
        <w:jc w:val="left"/>
        <w:rPr/>
      </w:pPr>
      <w:r>
        <w:rPr>
          <w:color w:val="000000"/>
        </w:rPr>
        <w:t>“</w:t>
      </w:r>
      <w:r>
        <w:rPr>
          <w:rFonts w:ascii="Times New Roman;sans-serif" w:hAnsi="Times New Roman;sans-serif"/>
          <w:b/>
          <w:color w:val="000000"/>
          <w:sz w:val="20"/>
        </w:rPr>
        <w:t>Commitment Percentage</w:t>
      </w:r>
      <w:r>
        <w:rPr>
          <w:color w:val="000000"/>
        </w:rPr>
        <w:t xml:space="preserve">” </w:t>
      </w:r>
      <w:r>
        <w:rPr>
          <w:rFonts w:ascii="Times New Roman;sans-serif" w:hAnsi="Times New Roman;sans-serif"/>
          <w:b w:val="false"/>
          <w:color w:val="000000"/>
          <w:sz w:val="20"/>
        </w:rPr>
        <w:t xml:space="preserve">is set forth in </w:t>
      </w:r>
      <w:r>
        <w:rPr>
          <w:rFonts w:ascii="Times New Roman;sans-serif" w:hAnsi="Times New Roman;sans-serif"/>
          <w:b w:val="false"/>
          <w:color w:val="000000"/>
          <w:sz w:val="20"/>
          <w:u w:val="single"/>
        </w:rPr>
        <w:t>Schedule 1.1</w:t>
      </w:r>
      <w:r>
        <w:rPr>
          <w:rFonts w:ascii="Times New Roman;sans-serif" w:hAnsi="Times New Roman;sans-serif"/>
          <w:b w:val="false"/>
          <w:color w:val="000000"/>
          <w:sz w:val="20"/>
        </w:rPr>
        <w:t>, as amended from time to time.</w:t>
      </w:r>
    </w:p>
    <w:p>
      <w:pPr>
        <w:pStyle w:val="TextBody"/>
        <w:bidi w:val="0"/>
        <w:spacing w:lineRule="auto" w:line="283" w:before="237" w:after="283"/>
        <w:ind w:left="0" w:right="0" w:firstLine="720"/>
        <w:jc w:val="left"/>
        <w:rPr/>
      </w:pPr>
      <w:r>
        <w:rPr>
          <w:color w:val="000000"/>
        </w:rPr>
        <w:t>“</w:t>
      </w:r>
      <w:r>
        <w:rPr>
          <w:rFonts w:ascii="Times New Roman;sans-serif" w:hAnsi="Times New Roman;sans-serif"/>
          <w:b/>
          <w:color w:val="000000"/>
          <w:sz w:val="20"/>
        </w:rPr>
        <w:t>Commodity Account</w:t>
      </w:r>
      <w:r>
        <w:rPr>
          <w:color w:val="000000"/>
        </w:rPr>
        <w:t xml:space="preserve">” </w:t>
      </w:r>
      <w:r>
        <w:rPr>
          <w:rFonts w:ascii="Times New Roman;sans-serif" w:hAnsi="Times New Roman;sans-serif"/>
          <w:b w:val="false"/>
          <w:color w:val="000000"/>
          <w:sz w:val="20"/>
        </w:rPr>
        <w:t>is any “commodity account” as defined in the Code with such additions to such term as may hereafter be made.</w:t>
      </w:r>
    </w:p>
    <w:p>
      <w:pPr>
        <w:pStyle w:val="TextBody"/>
        <w:bidi w:val="0"/>
        <w:spacing w:lineRule="auto" w:line="288" w:before="233" w:after="283"/>
        <w:jc w:val="left"/>
        <w:rPr/>
      </w:pPr>
      <w:r>
        <w:rPr>
          <w:color w:val="000000"/>
        </w:rPr>
        <w:t>“</w:t>
      </w:r>
      <w:r>
        <w:rPr>
          <w:rFonts w:ascii="Times New Roman;sans-serif" w:hAnsi="Times New Roman;sans-serif"/>
          <w:b/>
          <w:color w:val="000000"/>
          <w:sz w:val="20"/>
        </w:rPr>
        <w:t>Communication</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10</w:t>
      </w:r>
      <w:r>
        <w:rPr>
          <w:rFonts w:ascii="Times New Roman;sans-serif" w:hAnsi="Times New Roman;sans-serif"/>
          <w:b w:val="false"/>
          <w:color w:val="000000"/>
          <w:sz w:val="20"/>
        </w:rPr>
        <w:t>.</w:t>
      </w:r>
    </w:p>
    <w:p>
      <w:pPr>
        <w:pStyle w:val="TextBody"/>
        <w:bidi w:val="0"/>
        <w:spacing w:lineRule="auto" w:line="288" w:before="241" w:after="283"/>
        <w:jc w:val="center"/>
        <w:rPr/>
      </w:pPr>
      <w:r>
        <w:rPr>
          <w:color w:val="000000"/>
        </w:rPr>
        <w:t>“</w:t>
      </w:r>
      <w:r>
        <w:rPr>
          <w:rFonts w:ascii="Times New Roman;sans-serif" w:hAnsi="Times New Roman;sans-serif"/>
          <w:b/>
          <w:color w:val="000000"/>
          <w:sz w:val="20"/>
        </w:rPr>
        <w:t>Compliance Certificate</w:t>
      </w:r>
      <w:r>
        <w:rPr>
          <w:color w:val="000000"/>
        </w:rPr>
        <w:t xml:space="preserve">” </w:t>
      </w:r>
      <w:r>
        <w:rPr>
          <w:rFonts w:ascii="Times New Roman;sans-serif" w:hAnsi="Times New Roman;sans-serif"/>
          <w:b w:val="false"/>
          <w:color w:val="000000"/>
          <w:sz w:val="20"/>
        </w:rPr>
        <w:t xml:space="preserve">is that certain certificate in the form attached hereto as </w:t>
      </w:r>
      <w:r>
        <w:rPr>
          <w:rFonts w:ascii="Times New Roman;sans-serif" w:hAnsi="Times New Roman;sans-serif"/>
          <w:b w:val="false"/>
          <w:color w:val="000000"/>
          <w:sz w:val="20"/>
          <w:u w:val="single"/>
        </w:rPr>
        <w:t>Exhibit C</w:t>
      </w:r>
      <w:r>
        <w:rPr>
          <w:rFonts w:ascii="Times New Roman;sans-serif" w:hAnsi="Times New Roman;sans-serif"/>
          <w:b w:val="false"/>
          <w:color w:val="000000"/>
          <w:sz w:val="20"/>
        </w:rPr>
        <w:t>.</w:t>
      </w:r>
    </w:p>
    <w:p>
      <w:pPr>
        <w:pStyle w:val="TextBody"/>
        <w:bidi w:val="0"/>
        <w:spacing w:lineRule="auto" w:line="288" w:before="237" w:after="283"/>
        <w:ind w:left="0" w:right="0" w:firstLine="720"/>
        <w:jc w:val="both"/>
        <w:rPr/>
      </w:pPr>
      <w:r>
        <w:rPr>
          <w:color w:val="000000"/>
        </w:rPr>
        <w:t>“</w:t>
      </w:r>
      <w:r>
        <w:rPr>
          <w:rFonts w:ascii="Times New Roman;sans-serif" w:hAnsi="Times New Roman;sans-serif"/>
          <w:b/>
          <w:color w:val="000000"/>
          <w:sz w:val="20"/>
        </w:rPr>
        <w:t>Contingent Obligation</w:t>
      </w:r>
      <w:r>
        <w:rPr>
          <w:color w:val="000000"/>
        </w:rPr>
        <w:t xml:space="preserve">” </w:t>
      </w:r>
      <w:r>
        <w:rPr>
          <w:rFonts w:ascii="Times New Roman;sans-serif" w:hAnsi="Times New Roman;sans-serif"/>
          <w:b w:val="false"/>
          <w:color w:val="000000"/>
          <w:sz w:val="20"/>
        </w:rPr>
        <w:t>is, for any Person, any direct or indirect liability, contingent or not, of that Person for (a) any indebtedness, lease, dividend, letter of credit or other obligation of another such as an obligation, in each case, directly or indirectly guaranteed, endorsed co made discounted or sold with recourse by such Person, or for which such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0"/>
        </w:rPr>
        <w:t>Control Agreement</w:t>
      </w:r>
      <w:r>
        <w:rPr>
          <w:color w:val="000000"/>
        </w:rPr>
        <w:t xml:space="preserve">” </w:t>
      </w:r>
      <w:r>
        <w:rPr>
          <w:rFonts w:ascii="Times New Roman;sans-serif" w:hAnsi="Times New Roman;sans-serif"/>
          <w:b w:val="false"/>
          <w:color w:val="000000"/>
          <w:sz w:val="20"/>
        </w:rPr>
        <w:t>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w:t>
      </w:r>
    </w:p>
    <w:p>
      <w:pPr>
        <w:pStyle w:val="TextBody"/>
        <w:bidi w:val="0"/>
        <w:spacing w:lineRule="auto" w:line="288" w:before="239" w:after="283"/>
        <w:ind w:left="0" w:right="0" w:firstLine="720"/>
        <w:jc w:val="both"/>
        <w:rPr/>
      </w:pPr>
      <w:r>
        <w:rPr>
          <w:color w:val="000000"/>
        </w:rPr>
        <w:t>“</w:t>
      </w:r>
      <w:r>
        <w:rPr>
          <w:rFonts w:ascii="Times New Roman;sans-serif" w:hAnsi="Times New Roman;sans-serif"/>
          <w:b/>
          <w:color w:val="000000"/>
          <w:sz w:val="20"/>
        </w:rPr>
        <w:t>Copyrights</w:t>
      </w:r>
      <w:r>
        <w:rPr>
          <w:color w:val="000000"/>
        </w:rPr>
        <w:t xml:space="preserve">” </w:t>
      </w:r>
      <w:r>
        <w:rPr>
          <w:rFonts w:ascii="Times New Roman;sans-serif" w:hAnsi="Times New Roman;sans-serif"/>
          <w:b w:val="false"/>
          <w:color w:val="000000"/>
          <w:sz w:val="20"/>
        </w:rPr>
        <w:t>are any and all copyright rights, copyright applications, copyright registrations and like protections in each work or authorship and derivative work thereof, whether published or unpublished and whether or not the same also constitutes a trade secret.</w:t>
      </w:r>
    </w:p>
    <w:p>
      <w:pPr>
        <w:pStyle w:val="TextBody"/>
        <w:bidi w:val="0"/>
        <w:spacing w:lineRule="auto" w:line="288" w:before="242" w:after="283"/>
        <w:ind w:left="0" w:right="0" w:firstLine="720"/>
        <w:jc w:val="both"/>
        <w:rPr/>
      </w:pPr>
      <w:r>
        <w:rPr>
          <w:color w:val="000000"/>
        </w:rPr>
        <w:t>“</w:t>
      </w:r>
      <w:r>
        <w:rPr>
          <w:rFonts w:ascii="Times New Roman;sans-serif" w:hAnsi="Times New Roman;sans-serif"/>
          <w:b/>
          <w:color w:val="000000"/>
          <w:sz w:val="20"/>
        </w:rPr>
        <w:t>Credit Extension</w:t>
      </w:r>
      <w:r>
        <w:rPr>
          <w:color w:val="000000"/>
        </w:rPr>
        <w:t xml:space="preserve">” </w:t>
      </w:r>
      <w:r>
        <w:rPr>
          <w:rFonts w:ascii="Times New Roman;sans-serif" w:hAnsi="Times New Roman;sans-serif"/>
          <w:b w:val="false"/>
          <w:color w:val="000000"/>
          <w:sz w:val="20"/>
        </w:rPr>
        <w:t>is any Term Loan or any other extension of credit by Collateral Agent or Lenders for Borrower’s benefit.</w:t>
      </w:r>
    </w:p>
    <w:p>
      <w:pPr>
        <w:pStyle w:val="TextBody"/>
        <w:bidi w:val="0"/>
        <w:spacing w:lineRule="auto" w:line="288" w:before="240" w:after="283"/>
        <w:jc w:val="left"/>
        <w:rPr/>
      </w:pPr>
      <w:r>
        <w:rPr>
          <w:color w:val="000000"/>
        </w:rPr>
        <w:t>“</w:t>
      </w:r>
      <w:r>
        <w:rPr>
          <w:rFonts w:ascii="Times New Roman;sans-serif" w:hAnsi="Times New Roman;sans-serif"/>
          <w:b/>
          <w:color w:val="000000"/>
          <w:sz w:val="20"/>
        </w:rPr>
        <w:t>Default Rate</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2.3(b)</w:t>
      </w:r>
      <w:r>
        <w:rPr>
          <w:rFonts w:ascii="Times New Roman;sans-serif" w:hAnsi="Times New Roman;sans-serif"/>
          <w:b w:val="false"/>
          <w:color w:val="000000"/>
          <w:sz w:val="20"/>
        </w:rPr>
        <w:t>.</w:t>
      </w:r>
    </w:p>
    <w:p>
      <w:pPr>
        <w:pStyle w:val="TextBody"/>
        <w:bidi w:val="0"/>
        <w:spacing w:lineRule="auto" w:line="288" w:before="239" w:after="283"/>
        <w:ind w:left="0" w:right="0" w:firstLine="720"/>
        <w:jc w:val="left"/>
        <w:rPr/>
      </w:pPr>
      <w:r>
        <w:rPr>
          <w:color w:val="000000"/>
        </w:rPr>
        <w:t>“</w:t>
      </w:r>
      <w:r>
        <w:rPr>
          <w:rFonts w:ascii="Times New Roman;sans-serif" w:hAnsi="Times New Roman;sans-serif"/>
          <w:b/>
          <w:color w:val="000000"/>
          <w:sz w:val="20"/>
        </w:rPr>
        <w:t>Deposit Account</w:t>
      </w:r>
      <w:r>
        <w:rPr>
          <w:color w:val="000000"/>
        </w:rPr>
        <w:t xml:space="preserve">” </w:t>
      </w:r>
      <w:r>
        <w:rPr>
          <w:rFonts w:ascii="Times New Roman;sans-serif" w:hAnsi="Times New Roman;sans-serif"/>
          <w:b w:val="false"/>
          <w:color w:val="000000"/>
          <w:sz w:val="20"/>
        </w:rPr>
        <w:t>is any “deposit account” as defined in the Code with such additions to such term as may hereafter be made.</w:t>
      </w:r>
    </w:p>
    <w:p>
      <w:pPr>
        <w:pStyle w:val="TextBody"/>
        <w:bidi w:val="0"/>
        <w:spacing w:lineRule="auto" w:line="288" w:before="241" w:after="283"/>
        <w:ind w:left="0" w:right="0" w:firstLine="720"/>
        <w:jc w:val="left"/>
        <w:rPr/>
      </w:pPr>
      <w:r>
        <w:rPr>
          <w:color w:val="000000"/>
        </w:rPr>
        <w:t>“</w:t>
      </w:r>
      <w:r>
        <w:rPr>
          <w:rFonts w:ascii="Times New Roman;sans-serif" w:hAnsi="Times New Roman;sans-serif"/>
          <w:b/>
          <w:color w:val="000000"/>
          <w:sz w:val="20"/>
        </w:rPr>
        <w:t>Designated Deposit Account</w:t>
      </w:r>
      <w:r>
        <w:rPr>
          <w:color w:val="000000"/>
        </w:rPr>
        <w:t xml:space="preserve">” </w:t>
      </w:r>
      <w:r>
        <w:rPr>
          <w:rFonts w:ascii="Times New Roman;sans-serif" w:hAnsi="Times New Roman;sans-serif"/>
          <w:b w:val="false"/>
          <w:color w:val="000000"/>
          <w:sz w:val="20"/>
        </w:rPr>
        <w:t>is Borrower’s deposit account, account number ending in 5062, maintained with Silicon Valley Bank.</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36675"/>
                <wp:effectExtent l="0" t="0" r="0" b="0"/>
                <wp:wrapNone/>
                <wp:docPr id="111" name="Frame111"/>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left"/>
        <w:rPr/>
      </w:pPr>
      <w:r>
        <w:rPr>
          <w:color w:val="000000"/>
        </w:rPr>
        <w:t>“</w:t>
      </w:r>
      <w:r>
        <w:rPr>
          <w:rFonts w:ascii="Times New Roman;sans-serif" w:hAnsi="Times New Roman;sans-serif"/>
          <w:b/>
          <w:color w:val="000000"/>
          <w:sz w:val="20"/>
        </w:rPr>
        <w:t>Disbursement Letter</w:t>
      </w:r>
      <w:r>
        <w:rPr>
          <w:color w:val="000000"/>
        </w:rPr>
        <w:t xml:space="preserve">” </w:t>
      </w:r>
      <w:r>
        <w:rPr>
          <w:rFonts w:ascii="Times New Roman;sans-serif" w:hAnsi="Times New Roman;sans-serif"/>
          <w:b w:val="false"/>
          <w:color w:val="000000"/>
          <w:sz w:val="20"/>
        </w:rPr>
        <w:t xml:space="preserve">is that certain form attached hereto as </w:t>
      </w:r>
      <w:r>
        <w:rPr>
          <w:rFonts w:ascii="Times New Roman;sans-serif" w:hAnsi="Times New Roman;sans-serif"/>
          <w:b w:val="false"/>
          <w:color w:val="000000"/>
          <w:sz w:val="20"/>
          <w:u w:val="single"/>
        </w:rPr>
        <w:t>Exhibit B</w:t>
      </w:r>
      <w:r>
        <w:rPr>
          <w:rFonts w:ascii="Times New Roman;sans-serif" w:hAnsi="Times New Roman;sans-serif"/>
          <w:b w:val="false"/>
          <w:color w:val="000000"/>
          <w:sz w:val="20"/>
        </w:rPr>
        <w:t>.</w:t>
      </w:r>
    </w:p>
    <w:p>
      <w:pPr>
        <w:pStyle w:val="TextBody"/>
        <w:bidi w:val="0"/>
        <w:spacing w:lineRule="auto" w:line="288" w:before="237" w:after="283"/>
        <w:ind w:left="0" w:right="0" w:firstLine="720"/>
        <w:jc w:val="both"/>
        <w:rPr/>
      </w:pPr>
      <w:r>
        <w:rPr>
          <w:color w:val="000000"/>
        </w:rPr>
        <w:t>“</w:t>
      </w:r>
      <w:r>
        <w:rPr>
          <w:rFonts w:ascii="Times New Roman;sans-serif" w:hAnsi="Times New Roman;sans-serif"/>
          <w:b/>
          <w:color w:val="000000"/>
          <w:sz w:val="20"/>
        </w:rPr>
        <w:t>Division</w:t>
      </w:r>
      <w:r>
        <w:rPr>
          <w:color w:val="000000"/>
        </w:rPr>
        <w:t xml:space="preserve">” </w:t>
      </w:r>
      <w:r>
        <w:rPr>
          <w:rFonts w:ascii="Times New Roman;sans-serif" w:hAnsi="Times New Roman;sans-serif"/>
          <w:b w:val="false"/>
          <w:color w:val="000000"/>
          <w:sz w:val="20"/>
        </w:rPr>
        <w:t>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or any analogous action taken pursuant to any other applicable law with respect to any corporation, limited liability company, partnership or other entity.</w:t>
      </w:r>
    </w:p>
    <w:p>
      <w:pPr>
        <w:pStyle w:val="TextBody"/>
        <w:bidi w:val="0"/>
        <w:spacing w:lineRule="auto" w:line="542" w:before="243" w:after="283"/>
        <w:jc w:val="both"/>
        <w:rPr/>
      </w:pPr>
      <w:r>
        <w:rPr>
          <w:color w:val="000000"/>
        </w:rPr>
        <w:t>“</w:t>
      </w:r>
      <w:r>
        <w:rPr>
          <w:rFonts w:ascii="Times New Roman;sans-serif" w:hAnsi="Times New Roman;sans-serif"/>
          <w:b/>
          <w:color w:val="000000"/>
          <w:sz w:val="20"/>
        </w:rPr>
        <w:t>Dollars</w:t>
      </w:r>
      <w:r>
        <w:rPr>
          <w:rFonts w:ascii="Times New Roman;sans-serif" w:hAnsi="Times New Roman;sans-serif"/>
          <w:b w:val="false"/>
          <w:i/>
          <w:color w:val="000000"/>
          <w:sz w:val="20"/>
        </w:rPr>
        <w:t>,</w:t>
      </w:r>
      <w:r>
        <w:rPr>
          <w:color w:val="000000"/>
        </w:rPr>
        <w:t>” “</w:t>
      </w:r>
      <w:r>
        <w:rPr>
          <w:rFonts w:ascii="Times New Roman;sans-serif" w:hAnsi="Times New Roman;sans-serif"/>
          <w:b/>
          <w:color w:val="000000"/>
          <w:sz w:val="20"/>
        </w:rPr>
        <w:t>dollars</w:t>
      </w:r>
      <w:r>
        <w:rPr>
          <w:color w:val="000000"/>
        </w:rPr>
        <w:t xml:space="preserve">” </w:t>
      </w:r>
      <w:r>
        <w:rPr>
          <w:rFonts w:ascii="Times New Roman;sans-serif" w:hAnsi="Times New Roman;sans-serif"/>
          <w:b w:val="false"/>
          <w:color w:val="000000"/>
          <w:sz w:val="20"/>
        </w:rPr>
        <w:t>and “$” each mean lawful money of the United States. “</w:t>
      </w:r>
      <w:r>
        <w:rPr>
          <w:rFonts w:ascii="Times New Roman;sans-serif" w:hAnsi="Times New Roman;sans-serif"/>
          <w:b/>
          <w:color w:val="000000"/>
          <w:sz w:val="20"/>
        </w:rPr>
        <w:t>Effective Date</w:t>
      </w:r>
      <w:r>
        <w:rPr>
          <w:color w:val="000000"/>
        </w:rPr>
        <w:t xml:space="preserve">” </w:t>
      </w:r>
      <w:r>
        <w:rPr>
          <w:rFonts w:ascii="Times New Roman;sans-serif" w:hAnsi="Times New Roman;sans-serif"/>
          <w:b w:val="false"/>
          <w:color w:val="000000"/>
          <w:sz w:val="20"/>
        </w:rPr>
        <w:t>is defined in the preamble of this Agreement.</w:t>
      </w:r>
    </w:p>
    <w:p>
      <w:pPr>
        <w:pStyle w:val="TextBody"/>
        <w:bidi w:val="0"/>
        <w:spacing w:lineRule="auto" w:line="288" w:before="0" w:after="0"/>
        <w:ind w:left="0" w:right="0" w:firstLine="720"/>
        <w:jc w:val="both"/>
        <w:rPr/>
      </w:pPr>
      <w:r>
        <w:rPr>
          <w:color w:val="000000"/>
        </w:rPr>
        <w:t>“</w:t>
      </w:r>
      <w:r>
        <w:rPr>
          <w:rFonts w:ascii="Times New Roman;sans-serif" w:hAnsi="Times New Roman;sans-serif"/>
          <w:b/>
          <w:color w:val="000000"/>
          <w:sz w:val="20"/>
        </w:rPr>
        <w:t>Eligible Assignee</w:t>
      </w:r>
      <w:r>
        <w:rPr>
          <w:color w:val="000000"/>
        </w:rPr>
        <w:t xml:space="preserve">” </w:t>
      </w:r>
      <w:r>
        <w:rPr>
          <w:rFonts w:ascii="Times New Roman;sans-serif" w:hAnsi="Times New Roman;sans-serif"/>
          <w:b w:val="false"/>
          <w:color w:val="000000"/>
          <w:sz w:val="20"/>
        </w:rPr>
        <w:t>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 “Eligible Assignee” shall not include, unless an Event of Default has occurred and is continuing, (i) 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 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reasonably satisfactory to Collateral Agent executed, delivered and fully completed by the applicable parties thereto, and shall have received such other information regarding such Eligible Assignee as Collateral Agent reasonably shall require.</w:t>
      </w:r>
    </w:p>
    <w:p>
      <w:pPr>
        <w:pStyle w:val="TextBody"/>
        <w:bidi w:val="0"/>
        <w:spacing w:lineRule="auto" w:line="288" w:before="236" w:after="283"/>
        <w:ind w:left="0" w:right="0" w:firstLine="720"/>
        <w:jc w:val="both"/>
        <w:rPr/>
      </w:pPr>
      <w:r>
        <w:rPr>
          <w:color w:val="000000"/>
        </w:rPr>
        <w:t>“</w:t>
      </w:r>
      <w:r>
        <w:rPr>
          <w:rFonts w:ascii="Times New Roman;sans-serif" w:hAnsi="Times New Roman;sans-serif"/>
          <w:b/>
          <w:color w:val="000000"/>
          <w:sz w:val="20"/>
        </w:rPr>
        <w:t>Equipment</w:t>
      </w:r>
      <w:r>
        <w:rPr>
          <w:color w:val="000000"/>
        </w:rPr>
        <w:t xml:space="preserve">” </w:t>
      </w:r>
      <w:r>
        <w:rPr>
          <w:rFonts w:ascii="Times New Roman;sans-serif" w:hAnsi="Times New Roman;sans-serif"/>
          <w:b w:val="false"/>
          <w:color w:val="000000"/>
          <w:sz w:val="20"/>
        </w:rPr>
        <w:t>is all “equipment” as defined in the Code with such additions to such term as may hereafter be made, and includes without limitation all machinery, fixtures, goods, vehicles (including motor vehicles and trailers), and any interest in any of the foregoing.</w:t>
      </w:r>
    </w:p>
    <w:p>
      <w:pPr>
        <w:pStyle w:val="TextBody"/>
        <w:bidi w:val="0"/>
        <w:spacing w:lineRule="auto" w:line="288" w:before="242" w:after="283"/>
        <w:ind w:left="0" w:right="0" w:firstLine="720"/>
        <w:jc w:val="both"/>
        <w:rPr/>
      </w:pPr>
      <w:r>
        <w:rPr>
          <w:color w:val="000000"/>
        </w:rPr>
        <w:t>“</w:t>
      </w:r>
      <w:r>
        <w:rPr>
          <w:rFonts w:ascii="Times New Roman;sans-serif" w:hAnsi="Times New Roman;sans-serif"/>
          <w:b/>
          <w:color w:val="000000"/>
          <w:sz w:val="20"/>
        </w:rPr>
        <w:t>ERISA</w:t>
      </w:r>
      <w:r>
        <w:rPr>
          <w:color w:val="000000"/>
        </w:rPr>
        <w:t xml:space="preserve">” </w:t>
      </w:r>
      <w:r>
        <w:rPr>
          <w:rFonts w:ascii="Times New Roman;sans-serif" w:hAnsi="Times New Roman;sans-serif"/>
          <w:b w:val="false"/>
          <w:color w:val="000000"/>
          <w:sz w:val="20"/>
        </w:rPr>
        <w:t>is the Employee Retirement Income Security Act of 1974, as amended, and its regulations.</w:t>
      </w:r>
    </w:p>
    <w:p>
      <w:pPr>
        <w:pStyle w:val="TextBody"/>
        <w:bidi w:val="0"/>
        <w:spacing w:lineRule="auto" w:line="288" w:before="240" w:after="283"/>
        <w:jc w:val="both"/>
        <w:rPr/>
      </w:pPr>
      <w:r>
        <w:rPr>
          <w:color w:val="000000"/>
        </w:rPr>
        <w:t>“</w:t>
      </w:r>
      <w:r>
        <w:rPr>
          <w:rFonts w:ascii="Times New Roman;sans-serif" w:hAnsi="Times New Roman;sans-serif"/>
          <w:b/>
          <w:color w:val="000000"/>
          <w:sz w:val="20"/>
        </w:rPr>
        <w:t>Event of Default</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Article 8</w:t>
      </w:r>
      <w:r>
        <w:rPr>
          <w:rFonts w:ascii="Times New Roman;sans-serif" w:hAnsi="Times New Roman;sans-serif"/>
          <w:b w:val="false"/>
          <w:color w:val="000000"/>
          <w:sz w:val="20"/>
        </w:rPr>
        <w:t>.</w:t>
      </w:r>
    </w:p>
    <w:p>
      <w:pPr>
        <w:pStyle w:val="TextBody"/>
        <w:bidi w:val="0"/>
        <w:spacing w:lineRule="auto" w:line="280" w:before="239" w:after="283"/>
        <w:ind w:left="0" w:right="0" w:firstLine="720"/>
        <w:jc w:val="both"/>
        <w:rPr/>
      </w:pPr>
      <w:r>
        <w:rPr>
          <w:color w:val="000000"/>
        </w:rPr>
        <w:t>“</w:t>
      </w:r>
      <w:r>
        <w:rPr>
          <w:rFonts w:ascii="Times New Roman;sans-serif" w:hAnsi="Times New Roman;sans-serif"/>
          <w:b/>
          <w:color w:val="000000"/>
          <w:sz w:val="20"/>
        </w:rPr>
        <w:t>Excluded Accounts</w:t>
      </w:r>
      <w:r>
        <w:rPr>
          <w:color w:val="000000"/>
        </w:rPr>
        <w:t xml:space="preserve">” </w:t>
      </w:r>
      <w:r>
        <w:rPr>
          <w:rFonts w:ascii="Times New Roman;sans-serif" w:hAnsi="Times New Roman;sans-serif"/>
          <w:b w:val="false"/>
          <w:color w:val="000000"/>
          <w:sz w:val="20"/>
        </w:rPr>
        <w:t>means any Deposit Account that is solely used for purposes of funding payroll, payroll taxes or employee wage and benefit payments, escrow accounts or other fiduciary accounts of such Person maintained solely for such purpose in the ordinary course of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36675"/>
                <wp:effectExtent l="0" t="0" r="0" b="0"/>
                <wp:wrapNone/>
                <wp:docPr id="112" name="Frame112"/>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ind w:left="0" w:right="0" w:firstLine="720"/>
        <w:jc w:val="both"/>
        <w:rPr/>
      </w:pPr>
      <w:r>
        <w:rPr>
          <w:color w:val="000000"/>
        </w:rPr>
        <w:t>“</w:t>
      </w:r>
      <w:r>
        <w:rPr>
          <w:rFonts w:ascii="Times New Roman;sans-serif" w:hAnsi="Times New Roman;sans-serif"/>
          <w:b/>
          <w:color w:val="000000"/>
          <w:sz w:val="20"/>
        </w:rPr>
        <w:t>Final Payment</w:t>
      </w:r>
      <w:r>
        <w:rPr>
          <w:color w:val="000000"/>
        </w:rPr>
        <w:t xml:space="preserve">” </w:t>
      </w:r>
      <w:r>
        <w:rPr>
          <w:rFonts w:ascii="Times New Roman;sans-serif" w:hAnsi="Times New Roman;sans-serif"/>
          <w:b w:val="false"/>
          <w:color w:val="000000"/>
          <w:sz w:val="20"/>
        </w:rPr>
        <w:t xml:space="preserve">is a payment (in addition to and not a substitution for the regular monthly payments of principal plus accrued interest) due on the earliest to occur of (a) the Maturity Date, or (b) the acceleration of any Term Loan, or (c) the prepayment of a Term Loan pursuant to </w:t>
      </w:r>
      <w:r>
        <w:rPr>
          <w:rFonts w:ascii="Times New Roman;sans-serif" w:hAnsi="Times New Roman;sans-serif"/>
          <w:b w:val="false"/>
          <w:color w:val="000000"/>
          <w:sz w:val="20"/>
          <w:u w:val="single"/>
        </w:rPr>
        <w:t>Section 2.2(c)</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(d)</w:t>
      </w:r>
      <w:r>
        <w:rPr>
          <w:rFonts w:ascii="Times New Roman;sans-serif" w:hAnsi="Times New Roman;sans-serif"/>
          <w:b w:val="false"/>
          <w:color w:val="000000"/>
          <w:sz w:val="20"/>
        </w:rPr>
        <w:t>, equal to the original principal amount of such Term Loan multiplied by the Final Payment Percentage, payable to Lenders in accordance with their respective Pro Rata Shares.</w:t>
      </w:r>
    </w:p>
    <w:p>
      <w:pPr>
        <w:pStyle w:val="TextBody"/>
        <w:bidi w:val="0"/>
        <w:spacing w:lineRule="auto" w:line="280" w:before="240" w:after="283"/>
        <w:ind w:left="0" w:right="0" w:firstLine="720"/>
        <w:jc w:val="both"/>
        <w:rPr/>
      </w:pPr>
      <w:r>
        <w:rPr>
          <w:color w:val="000000"/>
        </w:rPr>
        <w:t>“</w:t>
      </w:r>
      <w:r>
        <w:rPr>
          <w:rFonts w:ascii="Times New Roman;sans-serif" w:hAnsi="Times New Roman;sans-serif"/>
          <w:b/>
          <w:color w:val="000000"/>
          <w:sz w:val="20"/>
        </w:rPr>
        <w:t>Final Payment Percentage</w:t>
      </w:r>
      <w:r>
        <w:rPr>
          <w:color w:val="000000"/>
        </w:rPr>
        <w:t xml:space="preserve">” </w:t>
      </w:r>
      <w:r>
        <w:rPr>
          <w:rFonts w:ascii="Times New Roman;sans-serif" w:hAnsi="Times New Roman;sans-serif"/>
          <w:b w:val="false"/>
          <w:color w:val="000000"/>
          <w:sz w:val="20"/>
        </w:rPr>
        <w:t>is five and one-half percent (5.50%); provided that, if the Amortization Date is extended to July 1, 2029, then the “</w:t>
      </w:r>
      <w:r>
        <w:rPr>
          <w:rFonts w:ascii="Times New Roman;sans-serif" w:hAnsi="Times New Roman;sans-serif"/>
          <w:b/>
          <w:color w:val="000000"/>
          <w:sz w:val="20"/>
        </w:rPr>
        <w:t>Final Payment Percentage</w:t>
      </w:r>
      <w:r>
        <w:rPr>
          <w:color w:val="000000"/>
        </w:rPr>
        <w:t xml:space="preserve">” </w:t>
      </w:r>
      <w:r>
        <w:rPr>
          <w:rFonts w:ascii="Times New Roman;sans-serif" w:hAnsi="Times New Roman;sans-serif"/>
          <w:b w:val="false"/>
          <w:color w:val="000000"/>
          <w:sz w:val="20"/>
        </w:rPr>
        <w:t>shall automatically, upon election to extend the Amortization Date, be increased to seven and one-quarter percent (7.25%).</w:t>
      </w:r>
    </w:p>
    <w:p>
      <w:pPr>
        <w:pStyle w:val="TextBody"/>
        <w:bidi w:val="0"/>
        <w:spacing w:lineRule="auto" w:line="283" w:before="232" w:after="283"/>
        <w:ind w:left="0" w:right="0" w:firstLine="720"/>
        <w:jc w:val="both"/>
        <w:rPr/>
      </w:pPr>
      <w:r>
        <w:rPr>
          <w:color w:val="000000"/>
        </w:rPr>
        <w:t>“</w:t>
      </w:r>
      <w:r>
        <w:rPr>
          <w:rFonts w:ascii="Times New Roman;sans-serif" w:hAnsi="Times New Roman;sans-serif"/>
          <w:b/>
          <w:color w:val="000000"/>
          <w:sz w:val="20"/>
        </w:rPr>
        <w:t>Funding Date</w:t>
      </w:r>
      <w:r>
        <w:rPr>
          <w:color w:val="000000"/>
        </w:rPr>
        <w:t xml:space="preserve">” </w:t>
      </w:r>
      <w:r>
        <w:rPr>
          <w:rFonts w:ascii="Times New Roman;sans-serif" w:hAnsi="Times New Roman;sans-serif"/>
          <w:b w:val="false"/>
          <w:color w:val="000000"/>
          <w:sz w:val="20"/>
        </w:rPr>
        <w:t>is any date on which a Credit Extension is made to or on account of Borrower which shall be a Business Day.</w:t>
      </w:r>
    </w:p>
    <w:p>
      <w:pPr>
        <w:pStyle w:val="TextBody"/>
        <w:bidi w:val="0"/>
        <w:spacing w:lineRule="auto" w:line="288" w:before="230" w:after="283"/>
        <w:ind w:left="0" w:right="0" w:firstLine="720"/>
        <w:jc w:val="both"/>
        <w:rPr/>
      </w:pPr>
      <w:r>
        <w:rPr>
          <w:color w:val="000000"/>
        </w:rPr>
        <w:t>“</w:t>
      </w:r>
      <w:r>
        <w:rPr>
          <w:rFonts w:ascii="Times New Roman;sans-serif" w:hAnsi="Times New Roman;sans-serif"/>
          <w:b/>
          <w:color w:val="000000"/>
          <w:sz w:val="20"/>
        </w:rPr>
        <w:t>GAAP</w:t>
      </w:r>
      <w:r>
        <w:rPr>
          <w:color w:val="000000"/>
        </w:rPr>
        <w:t xml:space="preserve">” </w:t>
      </w:r>
      <w:r>
        <w:rPr>
          <w:rFonts w:ascii="Times New Roman;sans-serif" w:hAnsi="Times New Roman;sans-serif"/>
          <w:b w:val="false"/>
          <w:color w:val="000000"/>
          <w:sz w:val="20"/>
        </w:rPr>
        <w:t>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0"/>
        </w:rPr>
        <w:t>General Intangibles</w:t>
      </w:r>
      <w:r>
        <w:rPr>
          <w:color w:val="000000"/>
        </w:rPr>
        <w:t xml:space="preserve">” </w:t>
      </w:r>
      <w:r>
        <w:rPr>
          <w:rFonts w:ascii="Times New Roman;sans-serif" w:hAnsi="Times New Roman;sans-serif"/>
          <w:b w:val="false"/>
          <w:color w:val="000000"/>
          <w:sz w:val="20"/>
        </w:rPr>
        <w:t>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pStyle w:val="TextBody"/>
        <w:bidi w:val="0"/>
        <w:spacing w:lineRule="auto" w:line="288" w:before="243" w:after="283"/>
        <w:jc w:val="left"/>
        <w:rPr/>
      </w:pPr>
      <w:r>
        <w:rPr>
          <w:color w:val="000000"/>
        </w:rPr>
        <w:t>“</w:t>
      </w:r>
      <w:r>
        <w:rPr>
          <w:rFonts w:ascii="Times New Roman;sans-serif" w:hAnsi="Times New Roman;sans-serif"/>
          <w:b/>
          <w:color w:val="000000"/>
          <w:sz w:val="20"/>
        </w:rPr>
        <w:t>Good Faith Deposit</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2.6</w:t>
      </w:r>
      <w:r>
        <w:rPr>
          <w:rFonts w:ascii="Times New Roman;sans-serif" w:hAnsi="Times New Roman;sans-serif"/>
          <w:b w:val="false"/>
          <w:color w:val="000000"/>
          <w:sz w:val="20"/>
        </w:rPr>
        <w:t>.</w:t>
      </w:r>
    </w:p>
    <w:p>
      <w:pPr>
        <w:pStyle w:val="TextBody"/>
        <w:bidi w:val="0"/>
        <w:spacing w:lineRule="auto" w:line="280" w:before="237" w:after="283"/>
        <w:ind w:left="0" w:right="0" w:firstLine="720"/>
        <w:jc w:val="both"/>
        <w:rPr/>
      </w:pPr>
      <w:r>
        <w:rPr>
          <w:color w:val="000000"/>
        </w:rPr>
        <w:t>“</w:t>
      </w:r>
      <w:r>
        <w:rPr>
          <w:rFonts w:ascii="Times New Roman;sans-serif" w:hAnsi="Times New Roman;sans-serif"/>
          <w:b/>
          <w:color w:val="000000"/>
          <w:sz w:val="20"/>
        </w:rPr>
        <w:t>Governmental Approval</w:t>
      </w:r>
      <w:r>
        <w:rPr>
          <w:color w:val="000000"/>
        </w:rPr>
        <w:t xml:space="preserve">” </w:t>
      </w:r>
      <w:r>
        <w:rPr>
          <w:rFonts w:ascii="Times New Roman;sans-serif" w:hAnsi="Times New Roman;sans-serif"/>
          <w:b w:val="false"/>
          <w:color w:val="000000"/>
          <w:sz w:val="20"/>
        </w:rPr>
        <w:t>is any consent, authorization, approval, order, license, franchise, permit, certificate, accreditation, registration, filing or notice, of, issued by, from or to, or other act by or in respect of, any Governmental Authority.</w:t>
      </w:r>
    </w:p>
    <w:p>
      <w:pPr>
        <w:pStyle w:val="TextBody"/>
        <w:bidi w:val="0"/>
        <w:spacing w:lineRule="auto" w:line="288" w:before="232" w:after="283"/>
        <w:ind w:left="0" w:right="0" w:firstLine="720"/>
        <w:jc w:val="both"/>
        <w:rPr/>
      </w:pPr>
      <w:r>
        <w:rPr>
          <w:color w:val="000000"/>
        </w:rPr>
        <w:t>“</w:t>
      </w:r>
      <w:r>
        <w:rPr>
          <w:rFonts w:ascii="Times New Roman;sans-serif" w:hAnsi="Times New Roman;sans-serif"/>
          <w:b/>
          <w:color w:val="000000"/>
          <w:sz w:val="20"/>
        </w:rPr>
        <w:t>Governmental Authority</w:t>
      </w:r>
      <w:r>
        <w:rPr>
          <w:color w:val="000000"/>
        </w:rPr>
        <w:t xml:space="preserve">” </w:t>
      </w:r>
      <w:r>
        <w:rPr>
          <w:rFonts w:ascii="Times New Roman;sans-serif" w:hAnsi="Times New Roman;sans-serif"/>
          <w:b w:val="false"/>
          <w:color w:val="000000"/>
          <w:sz w:val="20"/>
        </w:rPr>
        <w:t>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pStyle w:val="TextBody"/>
        <w:bidi w:val="0"/>
        <w:spacing w:lineRule="auto" w:line="288" w:before="243" w:after="283"/>
        <w:jc w:val="left"/>
        <w:rPr/>
      </w:pPr>
      <w:r>
        <w:rPr>
          <w:color w:val="000000"/>
        </w:rPr>
        <w:t>“</w:t>
      </w:r>
      <w:r>
        <w:rPr>
          <w:rFonts w:ascii="Times New Roman;sans-serif" w:hAnsi="Times New Roman;sans-serif"/>
          <w:b/>
          <w:color w:val="000000"/>
          <w:sz w:val="20"/>
        </w:rPr>
        <w:t>Guarantor</w:t>
      </w:r>
      <w:r>
        <w:rPr>
          <w:color w:val="000000"/>
        </w:rPr>
        <w:t xml:space="preserve">” </w:t>
      </w:r>
      <w:r>
        <w:rPr>
          <w:rFonts w:ascii="Times New Roman;sans-serif" w:hAnsi="Times New Roman;sans-serif"/>
          <w:b w:val="false"/>
          <w:color w:val="000000"/>
          <w:sz w:val="20"/>
        </w:rPr>
        <w:t>is any Person providing a Guaranty in favor of Collateral Agent.</w:t>
      </w:r>
    </w:p>
    <w:p>
      <w:pPr>
        <w:pStyle w:val="TextBody"/>
        <w:bidi w:val="0"/>
        <w:spacing w:lineRule="auto" w:line="283" w:before="236" w:after="283"/>
        <w:ind w:left="0" w:right="0" w:firstLine="720"/>
        <w:jc w:val="both"/>
        <w:rPr/>
      </w:pPr>
      <w:r>
        <w:rPr>
          <w:color w:val="000000"/>
        </w:rPr>
        <w:t>“</w:t>
      </w:r>
      <w:r>
        <w:rPr>
          <w:rFonts w:ascii="Times New Roman;sans-serif" w:hAnsi="Times New Roman;sans-serif"/>
          <w:b/>
          <w:color w:val="000000"/>
          <w:sz w:val="20"/>
        </w:rPr>
        <w:t>Guaranty</w:t>
      </w:r>
      <w:r>
        <w:rPr>
          <w:color w:val="000000"/>
        </w:rPr>
        <w:t xml:space="preserve">” </w:t>
      </w:r>
      <w:r>
        <w:rPr>
          <w:rFonts w:ascii="Times New Roman;sans-serif" w:hAnsi="Times New Roman;sans-serif"/>
          <w:b w:val="false"/>
          <w:color w:val="000000"/>
          <w:sz w:val="20"/>
        </w:rPr>
        <w:t>is any guarantee of all or any part of the Obligations, as the same may from time to time be amended, restated, modified or otherwise supplemented.</w:t>
      </w:r>
    </w:p>
    <w:p>
      <w:pPr>
        <w:pStyle w:val="TextBody"/>
        <w:bidi w:val="0"/>
        <w:spacing w:lineRule="auto" w:line="288" w:before="231" w:after="283"/>
        <w:ind w:left="0" w:right="0" w:firstLine="720"/>
        <w:jc w:val="both"/>
        <w:rPr/>
      </w:pPr>
      <w:r>
        <w:rPr>
          <w:color w:val="000000"/>
        </w:rPr>
        <w:t>“</w:t>
      </w:r>
      <w:r>
        <w:rPr>
          <w:rFonts w:ascii="Times New Roman;sans-serif" w:hAnsi="Times New Roman;sans-serif"/>
          <w:b/>
          <w:color w:val="000000"/>
          <w:sz w:val="20"/>
        </w:rPr>
        <w:t>Indebtedness</w:t>
      </w:r>
      <w:r>
        <w:rPr>
          <w:color w:val="000000"/>
        </w:rPr>
        <w:t xml:space="preserve">” </w:t>
      </w:r>
      <w:r>
        <w:rPr>
          <w:rFonts w:ascii="Times New Roman;sans-serif" w:hAnsi="Times New Roman;sans-serif"/>
          <w:b w:val="false"/>
          <w:color w:val="000000"/>
          <w:sz w:val="20"/>
        </w:rPr>
        <w:t>is (a) indebtedness for borrowed money or the deferred price of property or services, such as reimbursement and other obligations for surety bonds and letters of credit, (b) obligations evidenced by notes, bonds, debentures or similar instruments, (c) Capital Lease Obligations, and</w:t>
      </w:r>
    </w:p>
    <w:p>
      <w:pPr>
        <w:pStyle w:val="TextBody"/>
        <w:bidi w:val="0"/>
        <w:spacing w:lineRule="auto" w:line="288" w:before="2" w:after="283"/>
        <w:ind w:left="0" w:right="0" w:hanging="313"/>
        <w:jc w:val="both"/>
        <w:rPr>
          <w:rFonts w:ascii="Times New Roman;sans-serif" w:hAnsi="Times New Roman;sans-serif"/>
          <w:b w:val="false"/>
          <w:color w:val="000000"/>
          <w:sz w:val="20"/>
        </w:rPr>
      </w:pPr>
      <w:r>
        <w:rPr>
          <w:rFonts w:ascii="Times New Roman;sans-serif" w:hAnsi="Times New Roman;sans-serif"/>
          <w:b w:val="false"/>
          <w:color w:val="000000"/>
          <w:sz w:val="20"/>
        </w:rPr>
        <w:t>(d)Contingent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36675"/>
                <wp:effectExtent l="0" t="0" r="0" b="0"/>
                <wp:wrapNone/>
                <wp:docPr id="113" name="Frame113"/>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40</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pPr>
      <w:r>
        <w:rPr>
          <w:color w:val="000000"/>
        </w:rPr>
        <w:t>“</w:t>
      </w:r>
      <w:r>
        <w:rPr>
          <w:rFonts w:ascii="Times New Roman;sans-serif" w:hAnsi="Times New Roman;sans-serif"/>
          <w:b/>
          <w:color w:val="000000"/>
          <w:sz w:val="20"/>
        </w:rPr>
        <w:t>Indemnified Person</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12.2</w:t>
      </w:r>
      <w:r>
        <w:rPr>
          <w:rFonts w:ascii="Times New Roman;sans-serif" w:hAnsi="Times New Roman;sans-serif"/>
          <w:b w:val="false"/>
          <w:color w:val="000000"/>
          <w:sz w:val="20"/>
        </w:rPr>
        <w:t>.</w:t>
      </w:r>
    </w:p>
    <w:p>
      <w:pPr>
        <w:pStyle w:val="TextBody"/>
        <w:bidi w:val="0"/>
        <w:spacing w:lineRule="auto" w:line="280" w:before="237" w:after="283"/>
        <w:ind w:left="0" w:right="0" w:firstLine="720"/>
        <w:jc w:val="both"/>
        <w:rPr/>
      </w:pPr>
      <w:r>
        <w:rPr>
          <w:color w:val="000000"/>
        </w:rPr>
        <w:t>“</w:t>
      </w:r>
      <w:r>
        <w:rPr>
          <w:rFonts w:ascii="Times New Roman;sans-serif" w:hAnsi="Times New Roman;sans-serif"/>
          <w:b/>
          <w:color w:val="000000"/>
          <w:sz w:val="20"/>
        </w:rPr>
        <w:t>Insolvency Proceeding</w:t>
      </w:r>
      <w:r>
        <w:rPr>
          <w:color w:val="000000"/>
        </w:rPr>
        <w:t xml:space="preserve">” </w:t>
      </w:r>
      <w:r>
        <w:rPr>
          <w:rFonts w:ascii="Times New Roman;sans-serif" w:hAnsi="Times New Roman;sans-serif"/>
          <w:b w:val="false"/>
          <w:color w:val="000000"/>
          <w:sz w:val="20"/>
        </w:rPr>
        <w:t>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pStyle w:val="TextBody"/>
        <w:bidi w:val="0"/>
        <w:spacing w:lineRule="auto" w:line="288" w:before="232" w:after="283"/>
        <w:jc w:val="left"/>
        <w:rPr/>
      </w:pPr>
      <w:r>
        <w:rPr>
          <w:color w:val="000000"/>
        </w:rPr>
        <w:t>“</w:t>
      </w:r>
      <w:r>
        <w:rPr>
          <w:rFonts w:ascii="Times New Roman;sans-serif" w:hAnsi="Times New Roman;sans-serif"/>
          <w:b/>
          <w:color w:val="000000"/>
          <w:sz w:val="20"/>
        </w:rPr>
        <w:t>Insolvent</w:t>
      </w:r>
      <w:r>
        <w:rPr>
          <w:color w:val="000000"/>
        </w:rPr>
        <w:t xml:space="preserve">” </w:t>
      </w:r>
      <w:r>
        <w:rPr>
          <w:rFonts w:ascii="Times New Roman;sans-serif" w:hAnsi="Times New Roman;sans-serif"/>
          <w:b w:val="false"/>
          <w:color w:val="000000"/>
          <w:sz w:val="20"/>
        </w:rPr>
        <w:t>means not Solvent.</w:t>
      </w:r>
    </w:p>
    <w:p>
      <w:pPr>
        <w:pStyle w:val="TextBody"/>
        <w:bidi w:val="0"/>
        <w:spacing w:lineRule="auto" w:line="283" w:before="237" w:after="283"/>
        <w:ind w:left="0" w:right="0" w:firstLine="720"/>
        <w:jc w:val="both"/>
        <w:rPr/>
      </w:pPr>
      <w:r>
        <w:rPr>
          <w:color w:val="000000"/>
        </w:rPr>
        <w:t>“</w:t>
      </w:r>
      <w:r>
        <w:rPr>
          <w:rFonts w:ascii="Times New Roman;sans-serif" w:hAnsi="Times New Roman;sans-serif"/>
          <w:b/>
          <w:color w:val="000000"/>
          <w:sz w:val="20"/>
        </w:rPr>
        <w:t>Intellectual Property</w:t>
      </w:r>
      <w:r>
        <w:rPr>
          <w:color w:val="000000"/>
        </w:rPr>
        <w:t xml:space="preserve">” </w:t>
      </w:r>
      <w:r>
        <w:rPr>
          <w:rFonts w:ascii="Times New Roman;sans-serif" w:hAnsi="Times New Roman;sans-serif"/>
          <w:b w:val="false"/>
          <w:color w:val="000000"/>
          <w:sz w:val="20"/>
        </w:rPr>
        <w:t>means all of Borrower’s or any Subsidiary’s right, title and interest in and to the following:</w:t>
      </w:r>
    </w:p>
    <w:p>
      <w:pPr>
        <w:pStyle w:val="TextBody"/>
        <w:bidi w:val="0"/>
        <w:spacing w:lineRule="auto" w:line="288" w:before="233"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(a)its Copyrights, Trademarks and Patents;</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(b)any and all trade secrets and trade secret rights, including, without limitation, any rights to unpatented inventions, know-how, operating manuals;</w:t>
      </w:r>
    </w:p>
    <w:p>
      <w:pPr>
        <w:pStyle w:val="TextBody"/>
        <w:bidi w:val="0"/>
        <w:spacing w:lineRule="auto" w:line="288" w:before="240"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(c)any and all proprietary source code;</w:t>
      </w:r>
    </w:p>
    <w:p>
      <w:pPr>
        <w:pStyle w:val="TextBody"/>
        <w:bidi w:val="0"/>
        <w:spacing w:lineRule="auto" w:line="288" w:before="242"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(d)any and all design rights which may be available to Borrower;</w:t>
      </w:r>
    </w:p>
    <w:p>
      <w:pPr>
        <w:pStyle w:val="TextBody"/>
        <w:bidi w:val="0"/>
        <w:spacing w:lineRule="auto" w:line="288" w:before="237"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(e)any and all claims for damages by way of past, present and future infringement of any of the foregoing, with the right, but not the obligation, to sue for and collect such damages for said use or infringement of the Intellectual Property rights identified above; and</w:t>
      </w:r>
    </w:p>
    <w:p>
      <w:pPr>
        <w:pStyle w:val="TextBody"/>
        <w:bidi w:val="0"/>
        <w:spacing w:lineRule="auto" w:line="288" w:before="241"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(f)all amendments, renewals and extensions of any of the Copyrights, Trademarks or</w:t>
      </w:r>
    </w:p>
    <w:p>
      <w:pPr>
        <w:pStyle w:val="TextBody"/>
        <w:bidi w:val="0"/>
        <w:spacing w:lineRule="auto" w:line="288" w:before="2"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p>
      <w:pPr>
        <w:pStyle w:val="TextBody"/>
        <w:bidi w:val="0"/>
        <w:spacing w:lineRule="auto" w:line="288" w:before="236" w:after="283"/>
        <w:ind w:left="0" w:right="0" w:firstLine="720"/>
        <w:jc w:val="both"/>
        <w:rPr/>
      </w:pPr>
      <w:r>
        <w:rPr>
          <w:color w:val="000000"/>
        </w:rPr>
        <w:t>“</w:t>
      </w:r>
      <w:r>
        <w:rPr>
          <w:rFonts w:ascii="Times New Roman;sans-serif" w:hAnsi="Times New Roman;sans-serif"/>
          <w:b/>
          <w:color w:val="000000"/>
          <w:sz w:val="20"/>
        </w:rPr>
        <w:t>Interest-Only Extension Milestone</w:t>
      </w:r>
      <w:r>
        <w:rPr>
          <w:color w:val="000000"/>
        </w:rPr>
        <w:t xml:space="preserve">” </w:t>
      </w:r>
      <w:r>
        <w:rPr>
          <w:rFonts w:ascii="Times New Roman;sans-serif" w:hAnsi="Times New Roman;sans-serif"/>
          <w:b w:val="false"/>
          <w:color w:val="000000"/>
          <w:sz w:val="20"/>
        </w:rPr>
        <w:t>means Borrower’s delivery to Collateral Agent and Lenders of evidence, reasonably satisfactory to Collateral Agent and Lenders in their sole discretion, that Borrower has received approval for its new drug application of PLN-74809 in IPF (Idiopathic Pulmonary Fibrosis).</w:t>
      </w:r>
    </w:p>
    <w:p>
      <w:pPr>
        <w:pStyle w:val="TextBody"/>
        <w:bidi w:val="0"/>
        <w:spacing w:lineRule="auto" w:line="288" w:before="245" w:after="283"/>
        <w:jc w:val="left"/>
        <w:rPr/>
      </w:pPr>
      <w:r>
        <w:rPr>
          <w:color w:val="000000"/>
        </w:rPr>
        <w:t>“</w:t>
      </w:r>
      <w:r>
        <w:rPr>
          <w:rFonts w:ascii="Times New Roman;sans-serif" w:hAnsi="Times New Roman;sans-serif"/>
          <w:b/>
          <w:color w:val="000000"/>
          <w:sz w:val="20"/>
        </w:rPr>
        <w:t>Inventory</w:t>
      </w:r>
      <w:r>
        <w:rPr>
          <w:color w:val="000000"/>
        </w:rPr>
        <w:t xml:space="preserve">” </w:t>
      </w:r>
      <w:r>
        <w:rPr>
          <w:rFonts w:ascii="Times New Roman;sans-serif" w:hAnsi="Times New Roman;sans-serif"/>
          <w:b w:val="false"/>
          <w:color w:val="000000"/>
          <w:sz w:val="20"/>
        </w:rPr>
        <w:t>shall have the meaning given to such term under GAAP.</w:t>
      </w:r>
    </w:p>
    <w:p>
      <w:pPr>
        <w:pStyle w:val="TextBody"/>
        <w:bidi w:val="0"/>
        <w:spacing w:lineRule="auto" w:line="288" w:before="236" w:after="283"/>
        <w:ind w:left="0" w:right="0" w:firstLine="720"/>
        <w:jc w:val="both"/>
        <w:rPr/>
      </w:pPr>
      <w:r>
        <w:rPr>
          <w:color w:val="000000"/>
        </w:rPr>
        <w:t>“</w:t>
      </w:r>
      <w:r>
        <w:rPr>
          <w:rFonts w:ascii="Times New Roman;sans-serif" w:hAnsi="Times New Roman;sans-serif"/>
          <w:b/>
          <w:color w:val="000000"/>
          <w:sz w:val="20"/>
        </w:rPr>
        <w:t>Investment</w:t>
      </w:r>
      <w:r>
        <w:rPr>
          <w:color w:val="000000"/>
        </w:rPr>
        <w:t xml:space="preserve">” </w:t>
      </w:r>
      <w:r>
        <w:rPr>
          <w:rFonts w:ascii="Times New Roman;sans-serif" w:hAnsi="Times New Roman;sans-serif"/>
          <w:b w:val="false"/>
          <w:color w:val="000000"/>
          <w:sz w:val="20"/>
        </w:rPr>
        <w:t>is any beneficial ownership interest in any Person (including stock, partnership interest or other securities), and any loan, advance, or capital contribution to any Person.</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0"/>
        </w:rPr>
        <w:t>Key Person</w:t>
      </w:r>
      <w:r>
        <w:rPr>
          <w:color w:val="000000"/>
        </w:rPr>
        <w:t xml:space="preserve">” </w:t>
      </w:r>
      <w:r>
        <w:rPr>
          <w:rFonts w:ascii="Times New Roman;sans-serif" w:hAnsi="Times New Roman;sans-serif"/>
          <w:b w:val="false"/>
          <w:color w:val="000000"/>
          <w:sz w:val="20"/>
        </w:rPr>
        <w:t>is each of Borrower’s (i) Chief Executive Officer, who is Bernard Coulie, MD, PhD, as of the Effective Date, (ii) Chief Financial Officer, who is Keith Cummings, MD, MBA, as of the Effective Date, (iii) Chief Business Officer, who is Hans Hull as of the Effective Date and (iv) Chief Medical Officer, who is Eric LeFebvre as of the Effective Date.</w:t>
      </w:r>
    </w:p>
    <w:p>
      <w:pPr>
        <w:pStyle w:val="TextBody"/>
        <w:bidi w:val="0"/>
        <w:spacing w:lineRule="auto" w:line="288" w:before="241" w:after="283"/>
        <w:jc w:val="left"/>
        <w:rPr/>
      </w:pPr>
      <w:r>
        <w:rPr>
          <w:color w:val="000000"/>
        </w:rPr>
        <w:t>“</w:t>
      </w:r>
      <w:r>
        <w:rPr>
          <w:rFonts w:ascii="Times New Roman;sans-serif" w:hAnsi="Times New Roman;sans-serif"/>
          <w:b/>
          <w:color w:val="000000"/>
          <w:sz w:val="20"/>
        </w:rPr>
        <w:t>Lender</w:t>
      </w:r>
      <w:r>
        <w:rPr>
          <w:color w:val="000000"/>
        </w:rPr>
        <w:t xml:space="preserve">” </w:t>
      </w:r>
      <w:r>
        <w:rPr>
          <w:rFonts w:ascii="Times New Roman;sans-serif" w:hAnsi="Times New Roman;sans-serif"/>
          <w:b w:val="false"/>
          <w:color w:val="000000"/>
          <w:sz w:val="20"/>
        </w:rPr>
        <w:t>is any one of the Lenders.</w:t>
      </w:r>
    </w:p>
    <w:p>
      <w:pPr>
        <w:pStyle w:val="TextBody"/>
        <w:bidi w:val="0"/>
        <w:spacing w:lineRule="auto" w:line="288" w:before="238" w:after="283"/>
        <w:ind w:left="0" w:right="0" w:firstLine="720"/>
        <w:jc w:val="both"/>
        <w:rPr/>
      </w:pPr>
      <w:r>
        <w:rPr>
          <w:color w:val="000000"/>
        </w:rPr>
        <w:t>“</w:t>
      </w:r>
      <w:r>
        <w:rPr>
          <w:rFonts w:ascii="Times New Roman;sans-serif" w:hAnsi="Times New Roman;sans-serif"/>
          <w:b/>
          <w:color w:val="000000"/>
          <w:sz w:val="20"/>
        </w:rPr>
        <w:t>Lenders</w:t>
      </w:r>
      <w:r>
        <w:rPr>
          <w:color w:val="000000"/>
        </w:rPr>
        <w:t xml:space="preserve">” </w:t>
      </w:r>
      <w:r>
        <w:rPr>
          <w:rFonts w:ascii="Times New Roman;sans-serif" w:hAnsi="Times New Roman;sans-serif"/>
          <w:b w:val="false"/>
          <w:color w:val="000000"/>
          <w:sz w:val="20"/>
        </w:rPr>
        <w:t xml:space="preserve">are the Persons identified on </w:t>
      </w:r>
      <w:r>
        <w:rPr>
          <w:rFonts w:ascii="Times New Roman;sans-serif" w:hAnsi="Times New Roman;sans-serif"/>
          <w:b w:val="false"/>
          <w:color w:val="000000"/>
          <w:sz w:val="20"/>
          <w:u w:val="single"/>
        </w:rPr>
        <w:t>Schedule 1.1</w:t>
      </w:r>
      <w:r>
        <w:rPr>
          <w:color w:val="000000"/>
        </w:rPr>
        <w:t xml:space="preserve"> </w:t>
      </w:r>
      <w:r>
        <w:rPr>
          <w:rFonts w:ascii="Times New Roman;sans-serif" w:hAnsi="Times New Roman;sans-serif"/>
          <w:b w:val="false"/>
          <w:color w:val="000000"/>
          <w:sz w:val="20"/>
        </w:rPr>
        <w:t xml:space="preserve">hereto and each assignee that becomes a party to this Agreement pursuant to </w:t>
      </w:r>
      <w:r>
        <w:rPr>
          <w:rFonts w:ascii="Times New Roman;sans-serif" w:hAnsi="Times New Roman;sans-serif"/>
          <w:b w:val="false"/>
          <w:color w:val="000000"/>
          <w:sz w:val="20"/>
          <w:u w:val="single"/>
        </w:rPr>
        <w:t>Section 12.1</w:t>
      </w:r>
      <w:r>
        <w:rPr>
          <w:rFonts w:ascii="Times New Roman;sans-serif" w:hAnsi="Times New Roman;sans-serif"/>
          <w:b w:val="false"/>
          <w:color w:val="000000"/>
          <w:sz w:val="20"/>
        </w:rPr>
        <w:t>.</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0"/>
        </w:rPr>
        <w:t>Lenders’ Expenses</w:t>
      </w:r>
      <w:r>
        <w:rPr>
          <w:color w:val="000000"/>
        </w:rPr>
        <w:t xml:space="preserve">” </w:t>
      </w:r>
      <w:r>
        <w:rPr>
          <w:rFonts w:ascii="Times New Roman;sans-serif" w:hAnsi="Times New Roman;sans-serif"/>
          <w:b w:val="false"/>
          <w:color w:val="000000"/>
          <w:sz w:val="20"/>
        </w:rPr>
        <w:t>are all reasonable, documented out-of-pocket audit fees and expenses, costs, and expenses (including reasonable and documented out-of-pocket attorneys’ fees and expenses, as well as reasonable and documented out-of-pocket appraisal fees, fees incurred on account of lien searches, inspection fees, and filing fees) for preparing, amending, negotiating, administering, defending and enforcing the Loan Documents (including, without limitation, those incurred in connection with appeals 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36675"/>
                <wp:effectExtent l="0" t="0" r="0" b="0"/>
                <wp:wrapNone/>
                <wp:docPr id="114" name="Frame114"/>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Insolvency Proceedings) or otherwise incurred by Collateral Agent and/or the Lenders in connection with the Loan Documents.</w:t>
      </w:r>
    </w:p>
    <w:p>
      <w:pPr>
        <w:pStyle w:val="TextBody"/>
        <w:bidi w:val="0"/>
        <w:spacing w:lineRule="auto" w:line="280" w:before="241" w:after="283"/>
        <w:ind w:left="0" w:right="0" w:firstLine="720"/>
        <w:jc w:val="both"/>
        <w:rPr/>
      </w:pPr>
      <w:r>
        <w:rPr>
          <w:color w:val="000000"/>
        </w:rPr>
        <w:t>“</w:t>
      </w:r>
      <w:r>
        <w:rPr>
          <w:rFonts w:ascii="Times New Roman;sans-serif" w:hAnsi="Times New Roman;sans-serif"/>
          <w:b/>
          <w:color w:val="000000"/>
          <w:sz w:val="20"/>
        </w:rPr>
        <w:t>Lien</w:t>
      </w:r>
      <w:r>
        <w:rPr>
          <w:color w:val="000000"/>
        </w:rPr>
        <w:t xml:space="preserve">” </w:t>
      </w:r>
      <w:r>
        <w:rPr>
          <w:rFonts w:ascii="Times New Roman;sans-serif" w:hAnsi="Times New Roman;sans-serif"/>
          <w:b w:val="false"/>
          <w:color w:val="000000"/>
          <w:sz w:val="20"/>
        </w:rPr>
        <w:t>is a claim, mortgage, deed of trust, levy, charge, pledge, security interest, or other encumbrance of any kind, whether voluntarily incurred or arising by operation of law or otherwise against any property.</w:t>
      </w:r>
    </w:p>
    <w:p>
      <w:pPr>
        <w:pStyle w:val="TextBody"/>
        <w:bidi w:val="0"/>
        <w:spacing w:lineRule="auto" w:line="288" w:before="232" w:after="283"/>
        <w:ind w:left="0" w:right="0" w:firstLine="720"/>
        <w:jc w:val="both"/>
        <w:rPr/>
      </w:pPr>
      <w:r>
        <w:rPr>
          <w:color w:val="000000"/>
        </w:rPr>
        <w:t>“</w:t>
      </w:r>
      <w:r>
        <w:rPr>
          <w:rFonts w:ascii="Times New Roman;sans-serif" w:hAnsi="Times New Roman;sans-serif"/>
          <w:b/>
          <w:color w:val="000000"/>
          <w:sz w:val="20"/>
        </w:rPr>
        <w:t>Loan Documents</w:t>
      </w:r>
      <w:r>
        <w:rPr>
          <w:color w:val="000000"/>
        </w:rPr>
        <w:t xml:space="preserve">” </w:t>
      </w:r>
      <w:r>
        <w:rPr>
          <w:rFonts w:ascii="Times New Roman;sans-serif" w:hAnsi="Times New Roman;sans-serif"/>
          <w:b w:val="false"/>
          <w:color w:val="000000"/>
          <w:sz w:val="20"/>
        </w:rPr>
        <w:t>are, collectively, this Agreement, the Perfection Certificates, each Compliance Certificate, each Disbursement Letter, the Post Closing Letter, any subordination agreements, any note, or notes or any Guaranty, and any other present or future agreement entered into by any Loan Party for the benefit of the Lenders and Collateral Agent in connection with this Agreement; all as amended, restated, or otherwise modified.</w:t>
      </w:r>
    </w:p>
    <w:p>
      <w:pPr>
        <w:pStyle w:val="TextBody"/>
        <w:bidi w:val="0"/>
        <w:spacing w:lineRule="auto" w:line="288" w:before="242" w:after="283"/>
        <w:jc w:val="left"/>
        <w:rPr/>
      </w:pPr>
      <w:r>
        <w:rPr>
          <w:color w:val="000000"/>
        </w:rPr>
        <w:t>“</w:t>
      </w:r>
      <w:r>
        <w:rPr>
          <w:rFonts w:ascii="Times New Roman;sans-serif" w:hAnsi="Times New Roman;sans-serif"/>
          <w:b/>
          <w:color w:val="000000"/>
          <w:sz w:val="20"/>
        </w:rPr>
        <w:t>Loan Party</w:t>
      </w:r>
      <w:r>
        <w:rPr>
          <w:color w:val="000000"/>
        </w:rPr>
        <w:t xml:space="preserve">” </w:t>
      </w:r>
      <w:r>
        <w:rPr>
          <w:rFonts w:ascii="Times New Roman;sans-serif" w:hAnsi="Times New Roman;sans-serif"/>
          <w:b w:val="false"/>
          <w:color w:val="000000"/>
          <w:sz w:val="20"/>
        </w:rPr>
        <w:t>means Borrower and any Guarantor.</w:t>
      </w:r>
    </w:p>
    <w:p>
      <w:pPr>
        <w:pStyle w:val="TextBody"/>
        <w:bidi w:val="0"/>
        <w:spacing w:lineRule="auto" w:line="288" w:before="237" w:after="283"/>
        <w:ind w:left="0" w:right="0" w:firstLine="720"/>
        <w:jc w:val="both"/>
        <w:rPr/>
      </w:pPr>
      <w:r>
        <w:rPr>
          <w:color w:val="000000"/>
        </w:rPr>
        <w:t>“</w:t>
      </w:r>
      <w:r>
        <w:rPr>
          <w:rFonts w:ascii="Times New Roman;sans-serif" w:hAnsi="Times New Roman;sans-serif"/>
          <w:b/>
          <w:color w:val="000000"/>
          <w:sz w:val="20"/>
        </w:rPr>
        <w:t>Material Adverse Change</w:t>
      </w:r>
      <w:r>
        <w:rPr>
          <w:color w:val="000000"/>
        </w:rPr>
        <w:t xml:space="preserve">” </w:t>
      </w:r>
      <w:r>
        <w:rPr>
          <w:rFonts w:ascii="Times New Roman;sans-serif" w:hAnsi="Times New Roman;sans-serif"/>
          <w:b w:val="false"/>
          <w:color w:val="000000"/>
          <w:sz w:val="20"/>
        </w:rPr>
        <w:t>is (a) a material impairment in the perfection or priority of Collateral Agent’s Lien in the Collateral or in the value of such Collateral; (b) a material adverse change in the business, operations or condition (financial or otherwise) of Borrower or of Borrower and its Subsidiaries taken as a whole; or (c) a material impairment of the prospect of repayment of any portion of the Obligations.</w:t>
      </w:r>
    </w:p>
    <w:p>
      <w:pPr>
        <w:pStyle w:val="TextBody"/>
        <w:bidi w:val="0"/>
        <w:spacing w:lineRule="auto" w:line="288" w:before="242" w:after="283"/>
        <w:ind w:left="0" w:right="0" w:firstLine="720"/>
        <w:jc w:val="both"/>
        <w:rPr/>
      </w:pPr>
      <w:r>
        <w:rPr>
          <w:color w:val="000000"/>
        </w:rPr>
        <w:t>“</w:t>
      </w:r>
      <w:r>
        <w:rPr>
          <w:rFonts w:ascii="Times New Roman;sans-serif" w:hAnsi="Times New Roman;sans-serif"/>
          <w:b/>
          <w:color w:val="000000"/>
          <w:sz w:val="20"/>
        </w:rPr>
        <w:t>Maturity Date</w:t>
      </w:r>
      <w:r>
        <w:rPr>
          <w:color w:val="000000"/>
        </w:rPr>
        <w:t xml:space="preserve">” </w:t>
      </w:r>
      <w:r>
        <w:rPr>
          <w:rFonts w:ascii="Times New Roman;sans-serif" w:hAnsi="Times New Roman;sans-serif"/>
          <w:b w:val="false"/>
          <w:color w:val="000000"/>
          <w:sz w:val="20"/>
        </w:rPr>
        <w:t>is (a) March 1, 2029, if the Amortization Date is July 1, 2028; or (b) March 1, 2030, if the Amortization Date is July 1, 2029.</w:t>
      </w:r>
    </w:p>
    <w:p>
      <w:pPr>
        <w:pStyle w:val="TextBody"/>
        <w:bidi w:val="0"/>
        <w:spacing w:lineRule="auto" w:line="288" w:before="238" w:after="283"/>
        <w:ind w:left="0" w:right="0" w:firstLine="720"/>
        <w:jc w:val="both"/>
        <w:rPr/>
      </w:pPr>
      <w:r>
        <w:rPr>
          <w:color w:val="000000"/>
        </w:rPr>
        <w:t>“</w:t>
      </w:r>
      <w:r>
        <w:rPr>
          <w:rFonts w:ascii="Times New Roman;sans-serif" w:hAnsi="Times New Roman;sans-serif"/>
          <w:b/>
          <w:color w:val="000000"/>
          <w:sz w:val="20"/>
        </w:rPr>
        <w:t>Minimum Cash Trigger Event</w:t>
      </w:r>
      <w:r>
        <w:rPr>
          <w:color w:val="000000"/>
        </w:rPr>
        <w:t xml:space="preserve">” </w:t>
      </w:r>
      <w:r>
        <w:rPr>
          <w:rFonts w:ascii="Times New Roman;sans-serif" w:hAnsi="Times New Roman;sans-serif"/>
          <w:b w:val="false"/>
          <w:color w:val="000000"/>
          <w:sz w:val="20"/>
        </w:rPr>
        <w:t>means the occurrence of both (a) the aggregate original principal amount of Term Loans advanced by the Lenders under this Agreement exceeding Thirty Million Dollars ($30,000,000.00) and (b) Borrower’s delivery to Collateral Agent and Lenders of evidence, reasonably satisfactory to Collateral Agent and Lenders in their sole discretion, that PLN-74809 either (i) demonstrates negative Phase 2b or Phase 3 data in IPF (Idiopathic Pulmonary Fibrosis) or (ii) has been issued a complete response letter by the FDA for its IPF (Idiopathic Pulmonary Fibrosis) new drug application submission.</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0"/>
        </w:rPr>
        <w:t>Obligations</w:t>
      </w:r>
      <w:r>
        <w:rPr>
          <w:color w:val="000000"/>
        </w:rPr>
        <w:t xml:space="preserve">” </w:t>
      </w:r>
      <w:r>
        <w:rPr>
          <w:rFonts w:ascii="Times New Roman;sans-serif" w:hAnsi="Times New Roman;sans-serif"/>
          <w:b w:val="false"/>
          <w:color w:val="000000"/>
          <w:sz w:val="20"/>
        </w:rPr>
        <w:t>are all of Borrower’s obligations to pay when due any debts, principal, interest, Lenders’ Expenses, the Prepayment Fee, the Final Payment, and other amounts Borrower owes the Lenders now or later, in connection with, related to, or arising from, out of or under, this Agreement and the other Loan Documents, and including interest accruing after Insolvency Proceedings begin (whether or not allowed) and debts, liabilities, or obligations of Borrower assigned to the Lenders and/or Collateral Agent, and the performance of Borrower’s duties under the Loan Documents.</w:t>
      </w:r>
    </w:p>
    <w:p>
      <w:pPr>
        <w:pStyle w:val="TextBody"/>
        <w:bidi w:val="0"/>
        <w:spacing w:lineRule="auto" w:line="288" w:before="242" w:after="283"/>
        <w:jc w:val="left"/>
        <w:rPr/>
      </w:pPr>
      <w:r>
        <w:rPr>
          <w:color w:val="000000"/>
        </w:rPr>
        <w:t>“</w:t>
      </w:r>
      <w:r>
        <w:rPr>
          <w:rFonts w:ascii="Times New Roman;sans-serif" w:hAnsi="Times New Roman;sans-serif"/>
          <w:b/>
          <w:color w:val="000000"/>
          <w:sz w:val="20"/>
        </w:rPr>
        <w:t>OFAC</w:t>
      </w:r>
      <w:r>
        <w:rPr>
          <w:color w:val="000000"/>
        </w:rPr>
        <w:t xml:space="preserve">” </w:t>
      </w:r>
      <w:r>
        <w:rPr>
          <w:rFonts w:ascii="Times New Roman;sans-serif" w:hAnsi="Times New Roman;sans-serif"/>
          <w:b w:val="false"/>
          <w:color w:val="000000"/>
          <w:sz w:val="20"/>
        </w:rPr>
        <w:t>is the U.S. Department of Treasury Office of Foreign Assets Control.</w:t>
      </w:r>
    </w:p>
    <w:p>
      <w:pPr>
        <w:pStyle w:val="TextBody"/>
        <w:bidi w:val="0"/>
        <w:spacing w:lineRule="auto" w:line="288" w:before="239" w:after="283"/>
        <w:ind w:left="0" w:right="0" w:firstLine="720"/>
        <w:jc w:val="both"/>
        <w:rPr/>
      </w:pPr>
      <w:r>
        <w:rPr>
          <w:color w:val="000000"/>
        </w:rPr>
        <w:t>“</w:t>
      </w:r>
      <w:r>
        <w:rPr>
          <w:rFonts w:ascii="Times New Roman;sans-serif" w:hAnsi="Times New Roman;sans-serif"/>
          <w:b/>
          <w:color w:val="000000"/>
          <w:sz w:val="20"/>
        </w:rPr>
        <w:t>OFAC Lists</w:t>
      </w:r>
      <w:r>
        <w:rPr>
          <w:color w:val="000000"/>
        </w:rPr>
        <w:t xml:space="preserve">” </w:t>
      </w:r>
      <w:r>
        <w:rPr>
          <w:rFonts w:ascii="Times New Roman;sans-serif" w:hAnsi="Times New Roman;sans-serif"/>
          <w:b w:val="false"/>
          <w:color w:val="000000"/>
          <w:sz w:val="20"/>
        </w:rPr>
        <w:t>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pStyle w:val="TextBody"/>
        <w:bidi w:val="0"/>
        <w:spacing w:lineRule="auto" w:line="288" w:before="238" w:after="283"/>
        <w:ind w:left="0" w:right="0" w:firstLine="720"/>
        <w:jc w:val="both"/>
        <w:rPr/>
      </w:pPr>
      <w:r>
        <w:rPr>
          <w:color w:val="000000"/>
        </w:rPr>
        <w:t>“</w:t>
      </w:r>
      <w:r>
        <w:rPr>
          <w:rFonts w:ascii="Times New Roman;sans-serif" w:hAnsi="Times New Roman;sans-serif"/>
          <w:b/>
          <w:color w:val="000000"/>
          <w:sz w:val="20"/>
        </w:rPr>
        <w:t>Operating Documents</w:t>
      </w:r>
      <w:r>
        <w:rPr>
          <w:color w:val="000000"/>
        </w:rPr>
        <w:t xml:space="preserve">” </w:t>
      </w:r>
      <w:r>
        <w:rPr>
          <w:rFonts w:ascii="Times New Roman;sans-serif" w:hAnsi="Times New Roman;sans-serif"/>
          <w:b w:val="false"/>
          <w:color w:val="000000"/>
          <w:sz w:val="20"/>
        </w:rPr>
        <w:t>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36675"/>
                <wp:effectExtent l="0" t="0" r="0" b="0"/>
                <wp:wrapNone/>
                <wp:docPr id="115" name="Frame115"/>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0" w:before="78" w:after="283"/>
        <w:ind w:left="0" w:right="0" w:firstLine="720"/>
        <w:jc w:val="both"/>
        <w:rPr/>
      </w:pPr>
      <w:r>
        <w:rPr>
          <w:color w:val="000000"/>
        </w:rPr>
        <w:t>“</w:t>
      </w:r>
      <w:r>
        <w:rPr>
          <w:rFonts w:ascii="Times New Roman;sans-serif" w:hAnsi="Times New Roman;sans-serif"/>
          <w:b/>
          <w:color w:val="000000"/>
          <w:sz w:val="20"/>
        </w:rPr>
        <w:t>Patents</w:t>
      </w:r>
      <w:r>
        <w:rPr>
          <w:color w:val="000000"/>
        </w:rPr>
        <w:t xml:space="preserve">” </w:t>
      </w:r>
      <w:r>
        <w:rPr>
          <w:rFonts w:ascii="Times New Roman;sans-serif" w:hAnsi="Times New Roman;sans-serif"/>
          <w:b w:val="false"/>
          <w:color w:val="000000"/>
          <w:sz w:val="20"/>
        </w:rPr>
        <w:t>means all patents, patent applications and like protections including without limitation improvements, divisions, continuations, renewals, reissues, extensions and continuations-in-part of the same.</w:t>
      </w:r>
    </w:p>
    <w:p>
      <w:pPr>
        <w:pStyle w:val="TextBody"/>
        <w:bidi w:val="0"/>
        <w:spacing w:lineRule="auto" w:line="288" w:before="232" w:after="283"/>
        <w:jc w:val="left"/>
        <w:rPr/>
      </w:pPr>
      <w:r>
        <w:rPr>
          <w:color w:val="000000"/>
        </w:rPr>
        <w:t>“</w:t>
      </w:r>
      <w:r>
        <w:rPr>
          <w:rFonts w:ascii="Times New Roman;sans-serif" w:hAnsi="Times New Roman;sans-serif"/>
          <w:b/>
          <w:color w:val="000000"/>
          <w:sz w:val="20"/>
        </w:rPr>
        <w:t>Payment Date</w:t>
      </w:r>
      <w:r>
        <w:rPr>
          <w:color w:val="000000"/>
        </w:rPr>
        <w:t xml:space="preserve">” </w:t>
      </w:r>
      <w:r>
        <w:rPr>
          <w:rFonts w:ascii="Times New Roman;sans-serif" w:hAnsi="Times New Roman;sans-serif"/>
          <w:b w:val="false"/>
          <w:color w:val="000000"/>
          <w:sz w:val="20"/>
        </w:rPr>
        <w:t>is the first (1</w:t>
      </w:r>
      <w:r>
        <w:rPr>
          <w:rFonts w:ascii="Times New Roman;sans-serif" w:hAnsi="Times New Roman;sans-serif"/>
          <w:b w:val="false"/>
          <w:color w:val="000000"/>
          <w:sz w:val="13"/>
        </w:rPr>
        <w:t>st</w:t>
      </w:r>
      <w:r>
        <w:rPr>
          <w:rFonts w:ascii="Times New Roman;sans-serif" w:hAnsi="Times New Roman;sans-serif"/>
          <w:b w:val="false"/>
          <w:color w:val="000000"/>
          <w:sz w:val="20"/>
        </w:rPr>
        <w:t>) calendar day of each calendar month, commencing on May 1,</w:t>
      </w:r>
    </w:p>
    <w:p>
      <w:pPr>
        <w:pStyle w:val="TextBody"/>
        <w:bidi w:val="0"/>
        <w:spacing w:lineRule="auto" w:line="288"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p>
      <w:pPr>
        <w:pStyle w:val="TextBody"/>
        <w:bidi w:val="0"/>
        <w:spacing w:lineRule="auto" w:line="288" w:before="239" w:after="283"/>
        <w:jc w:val="left"/>
        <w:rPr/>
      </w:pPr>
      <w:r>
        <w:rPr>
          <w:color w:val="000000"/>
        </w:rPr>
        <w:t>“</w:t>
      </w:r>
      <w:r>
        <w:rPr>
          <w:rFonts w:ascii="Times New Roman;sans-serif" w:hAnsi="Times New Roman;sans-serif"/>
          <w:b/>
          <w:color w:val="000000"/>
          <w:sz w:val="20"/>
        </w:rPr>
        <w:t>Perfection Certificate</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color w:val="000000"/>
          <w:sz w:val="20"/>
        </w:rPr>
        <w:t>Perfection Certificates</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5.1</w:t>
      </w:r>
      <w:r>
        <w:rPr>
          <w:rFonts w:ascii="Times New Roman;sans-serif" w:hAnsi="Times New Roman;sans-serif"/>
          <w:b w:val="false"/>
          <w:color w:val="000000"/>
          <w:sz w:val="20"/>
        </w:rPr>
        <w:t>.</w:t>
      </w:r>
    </w:p>
    <w:p>
      <w:pPr>
        <w:pStyle w:val="TextBody"/>
        <w:bidi w:val="0"/>
        <w:spacing w:lineRule="auto" w:line="288" w:before="239" w:after="283"/>
        <w:jc w:val="left"/>
        <w:rPr/>
      </w:pPr>
      <w:r>
        <w:rPr>
          <w:color w:val="000000"/>
        </w:rPr>
        <w:t>“</w:t>
      </w:r>
      <w:r>
        <w:rPr>
          <w:rFonts w:ascii="Times New Roman;sans-serif" w:hAnsi="Times New Roman;sans-serif"/>
          <w:b/>
          <w:color w:val="000000"/>
          <w:sz w:val="20"/>
        </w:rPr>
        <w:t>Permitted Indebtedness</w:t>
      </w:r>
      <w:r>
        <w:rPr>
          <w:color w:val="000000"/>
        </w:rPr>
        <w:t xml:space="preserve">” </w:t>
      </w:r>
      <w:r>
        <w:rPr>
          <w:rFonts w:ascii="Times New Roman;sans-serif" w:hAnsi="Times New Roman;sans-serif"/>
          <w:b w:val="false"/>
          <w:color w:val="000000"/>
          <w:sz w:val="20"/>
        </w:rPr>
        <w:t>is:</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(a)Borrower’s Indebtedness to the Lenders and Collateral Agent under this Agreement and the other Loan Documents;</w:t>
      </w:r>
    </w:p>
    <w:p>
      <w:pPr>
        <w:pStyle w:val="TextBody"/>
        <w:bidi w:val="0"/>
        <w:spacing w:lineRule="auto" w:line="288" w:before="241"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(b)Indebtedness existing on the Effective Date and disclosed on the Perfection</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w:t>
      </w:r>
    </w:p>
    <w:p>
      <w:pPr>
        <w:pStyle w:val="TextBody"/>
        <w:bidi w:val="0"/>
        <w:spacing w:lineRule="auto" w:line="288" w:before="239"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(c)Subordinated Debt;</w:t>
      </w:r>
    </w:p>
    <w:p>
      <w:pPr>
        <w:pStyle w:val="TextBody"/>
        <w:bidi w:val="0"/>
        <w:spacing w:lineRule="auto" w:line="288" w:before="239"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(d)unsecured Indebtedness to trade creditors incurred in the ordinary course of</w:t>
      </w:r>
    </w:p>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business;</w:t>
      </w:r>
    </w:p>
    <w:p>
      <w:pPr>
        <w:pStyle w:val="TextBody"/>
        <w:bidi w:val="0"/>
        <w:spacing w:lineRule="auto" w:line="288" w:before="240" w:after="283"/>
        <w:ind w:left="0" w:right="0" w:firstLine="1440"/>
        <w:jc w:val="both"/>
        <w:rPr/>
      </w:pPr>
      <w:r>
        <w:rPr>
          <w:rFonts w:ascii="Times New Roman;sans-serif" w:hAnsi="Times New Roman;sans-serif"/>
          <w:b w:val="false"/>
          <w:color w:val="000000"/>
          <w:sz w:val="20"/>
        </w:rPr>
        <w:t xml:space="preserve">(e)Indebtedness consisting of Capital Lease Obligations and purchase money Indebtedness, in each case incurred by Borrower or any of its Subsidiaries to finance the acquisition, repair, improvement or construction of fixed or capital assets of such person,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 the aggregate outstanding principal amount of all such Indebtedness does not exceed Five Hundred Thousand Dollars ($500,000.00)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pStyle w:val="TextBody"/>
        <w:bidi w:val="0"/>
        <w:spacing w:lineRule="auto" w:line="288" w:before="241"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(f)Indebtedness that also constitutes a Permitted Investment;</w:t>
      </w:r>
    </w:p>
    <w:p>
      <w:pPr>
        <w:pStyle w:val="TextBody"/>
        <w:bidi w:val="0"/>
        <w:spacing w:lineRule="auto" w:line="283" w:before="237"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(g)Guarantees by any of Borrower’s Subsidiaries in respect of Indebtedness of Borrower otherwise permitted hereunder;</w:t>
      </w:r>
    </w:p>
    <w:p>
      <w:pPr>
        <w:pStyle w:val="TextBody"/>
        <w:bidi w:val="0"/>
        <w:spacing w:lineRule="auto" w:line="288" w:before="23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(h)Indebtedness in respect of any cash management services, corporate credit cards, netting services, automatic clearinghouse arrangements, overdraft protections, employee credit card programs and other cash management and similar arrangements in the ordinary course of business and not to exceed Five Hundred Thousand Dollars ($500,000.00) in the aggregate at any time;</w:t>
      </w:r>
    </w:p>
    <w:p>
      <w:pPr>
        <w:pStyle w:val="TextBody"/>
        <w:bidi w:val="0"/>
        <w:spacing w:lineRule="auto" w:line="288" w:before="24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(i)Indebtedness consisting of obligations in respect of performance, bid, appeal and surety bonds and performance and completion guarantees and similar obligations provided by Borrower or any of its Subsidiaries, in each case in the ordinary course of business and not to exceed Five Hundred Thousand Dollars ($500,000.00) in the aggregate at any time;</w:t>
      </w:r>
    </w:p>
    <w:p>
      <w:pPr>
        <w:pStyle w:val="TextBody"/>
        <w:bidi w:val="0"/>
        <w:spacing w:lineRule="auto" w:line="280"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(j)Indebtedness incurred by the Borrower or any of its Subsidiaries in respect of letters of credit, bank guarantees, bankers’ acceptances, warehouse receipts or similar instruments issued or created in the ordinary course of business or consistent with past practice and not to exceed Five Hundred Thousand Dollars ($500,000.00) in the aggregate at any time;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36675"/>
                <wp:effectExtent l="0" t="0" r="0" b="0"/>
                <wp:wrapNone/>
                <wp:docPr id="116" name="Frame116"/>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(k)Indebtedness with respect to Equipment rented or purchased in connection with advancing PLN-74809 into pivotal Phase 2b/3 PSC (Primary Sclerosing Cholangitis) clinical trials not to exceed Five Hundred Thousand Dollars ($500,000.00) in the aggregate at any time;</w:t>
      </w:r>
    </w:p>
    <w:p>
      <w:pPr>
        <w:pStyle w:val="TextBody"/>
        <w:bidi w:val="0"/>
        <w:spacing w:lineRule="auto" w:line="288" w:before="235"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(l)Indebtedness to trade creditors incurred in the ordinary course of business;</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(m)other unsecured Indebtedness not to exceed Two Hundred Fifty Thousand Dollars ($250,000.00) in the aggregate at any time; and</w:t>
      </w:r>
    </w:p>
    <w:p>
      <w:pPr>
        <w:pStyle w:val="TextBody"/>
        <w:bidi w:val="0"/>
        <w:spacing w:lineRule="auto" w:line="280" w:before="238"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(n)extensions, refinancings, modifications, amendments and restatements of any items of Permitted Indebtedness (a) through (n) above, provided that the principal amount thereof is not increased or the terms thereof are not modified to impose materially more burdensome terms upon Borrower, or its Subsidiary, as the case may be.</w:t>
      </w:r>
    </w:p>
    <w:p>
      <w:pPr>
        <w:pStyle w:val="TextBody"/>
        <w:bidi w:val="0"/>
        <w:spacing w:lineRule="auto" w:line="288" w:before="233" w:after="283"/>
        <w:jc w:val="left"/>
        <w:rPr/>
      </w:pPr>
      <w:r>
        <w:rPr>
          <w:color w:val="000000"/>
        </w:rPr>
        <w:t>“</w:t>
      </w:r>
      <w:r>
        <w:rPr>
          <w:rFonts w:ascii="Times New Roman;sans-serif" w:hAnsi="Times New Roman;sans-serif"/>
          <w:b/>
          <w:color w:val="000000"/>
          <w:sz w:val="20"/>
        </w:rPr>
        <w:t>Permitted Investments</w:t>
      </w:r>
      <w:r>
        <w:rPr>
          <w:color w:val="000000"/>
        </w:rPr>
        <w:t xml:space="preserve">” </w:t>
      </w:r>
      <w:r>
        <w:rPr>
          <w:rFonts w:ascii="Times New Roman;sans-serif" w:hAnsi="Times New Roman;sans-serif"/>
          <w:b w:val="false"/>
          <w:color w:val="000000"/>
          <w:sz w:val="20"/>
        </w:rPr>
        <w:t>are:</w:t>
      </w:r>
    </w:p>
    <w:p>
      <w:pPr>
        <w:pStyle w:val="TextBody"/>
        <w:bidi w:val="0"/>
        <w:spacing w:lineRule="auto" w:line="280" w:before="237"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(a)Investments disclosed on the Perfection Certificate(s) and existing on the Effective Date and any modification, replacement, renewal or extension of any such Investment so long as no such modification, renewal or extension thereof increases the amount of such Investment except as otherwise permitted by this definition;</w:t>
      </w:r>
    </w:p>
    <w:p>
      <w:pPr>
        <w:pStyle w:val="TextBody"/>
        <w:bidi w:val="0"/>
        <w:spacing w:lineRule="auto" w:line="288" w:before="230" w:after="283"/>
        <w:ind w:left="0" w:right="0" w:firstLine="1440"/>
        <w:jc w:val="both"/>
        <w:rPr/>
      </w:pPr>
      <w:r>
        <w:rPr>
          <w:rFonts w:ascii="Times New Roman;sans-serif" w:hAnsi="Times New Roman;sans-serif"/>
          <w:b w:val="false"/>
          <w:color w:val="000000"/>
          <w:sz w:val="20"/>
        </w:rPr>
        <w:t xml:space="preserve">(b)(i) Investments consisting of cash and Cash Equivalents held in Borrower’s Collateral Accounts that are maintained in accordance with </w:t>
      </w:r>
      <w:r>
        <w:rPr>
          <w:rFonts w:ascii="Times New Roman;sans-serif" w:hAnsi="Times New Roman;sans-serif"/>
          <w:b w:val="false"/>
          <w:color w:val="000000"/>
          <w:sz w:val="20"/>
          <w:u w:val="single"/>
        </w:rPr>
        <w:t>Section 6.6</w:t>
      </w:r>
      <w:r>
        <w:rPr>
          <w:rFonts w:ascii="Times New Roman;sans-serif" w:hAnsi="Times New Roman;sans-serif"/>
          <w:b w:val="false"/>
          <w:color w:val="000000"/>
          <w:sz w:val="20"/>
        </w:rPr>
        <w:t>, and (ii) any other Investments permitted by Borrower’s investment policy, as amended from time to time, provided that such investment policy (and any such amendment thereto) has been approved in writing by Collateral Agent (it being understood and agreed that certain Investment Guidelines of Pliant Therapeutics, Inc., dated as of November 10, 2021, and delivered to the Collateral Agent prior to the Effective Date is approved);</w:t>
      </w:r>
    </w:p>
    <w:p>
      <w:pPr>
        <w:pStyle w:val="TextBody"/>
        <w:bidi w:val="0"/>
        <w:spacing w:lineRule="auto" w:line="288" w:before="242"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(c)Investments consisting of the endorsement of negotiable instruments for deposit or collection or similar transactions in the ordinary course of Borrower;</w:t>
      </w:r>
    </w:p>
    <w:p>
      <w:pPr>
        <w:pStyle w:val="TextBody"/>
        <w:bidi w:val="0"/>
        <w:spacing w:lineRule="auto" w:line="280" w:before="238" w:after="283"/>
        <w:ind w:left="0" w:right="0" w:firstLine="1440"/>
        <w:jc w:val="both"/>
        <w:rPr/>
      </w:pPr>
      <w:r>
        <w:rPr>
          <w:rFonts w:ascii="Times New Roman;sans-serif" w:hAnsi="Times New Roman;sans-serif"/>
          <w:b w:val="false"/>
          <w:color w:val="000000"/>
          <w:sz w:val="20"/>
        </w:rPr>
        <w:t xml:space="preserve">(d)Investments consisting of, or held in, (i) Excluded Accounts or (ii) other Deposit Accounts or Securities Accounts, but in the case of this </w:t>
      </w:r>
      <w:r>
        <w:rPr>
          <w:rFonts w:ascii="Times New Roman;sans-serif" w:hAnsi="Times New Roman;sans-serif"/>
          <w:b w:val="false"/>
          <w:color w:val="000000"/>
          <w:sz w:val="20"/>
          <w:u w:val="single"/>
        </w:rPr>
        <w:t>clause (ii)</w:t>
      </w:r>
      <w:r>
        <w:rPr>
          <w:rFonts w:ascii="Times New Roman;sans-serif" w:hAnsi="Times New Roman;sans-serif"/>
          <w:b w:val="false"/>
          <w:color w:val="000000"/>
          <w:sz w:val="20"/>
        </w:rPr>
        <w:t>, only to the extent that Collateral Agent has a perfected security interest in the amounts held in such accounts to the extent required pursuant to the terms of the Loan Documents;</w:t>
      </w:r>
    </w:p>
    <w:p>
      <w:pPr>
        <w:pStyle w:val="TextBody"/>
        <w:bidi w:val="0"/>
        <w:spacing w:lineRule="auto" w:line="288" w:before="233" w:after="283"/>
        <w:ind w:left="0" w:right="0" w:hanging="719"/>
        <w:jc w:val="both"/>
        <w:rPr/>
      </w:pPr>
      <w:r>
        <w:rPr>
          <w:rFonts w:ascii="Times New Roman;sans-serif" w:hAnsi="Times New Roman;sans-serif"/>
          <w:b w:val="false"/>
          <w:color w:val="000000"/>
          <w:sz w:val="20"/>
        </w:rPr>
        <w:t xml:space="preserve">(e)Investments to the extent permitted by </w:t>
      </w:r>
      <w:r>
        <w:rPr>
          <w:rFonts w:ascii="Times New Roman;sans-serif" w:hAnsi="Times New Roman;sans-serif"/>
          <w:b w:val="false"/>
          <w:color w:val="000000"/>
          <w:sz w:val="20"/>
          <w:u w:val="single"/>
        </w:rPr>
        <w:t>Sections 7.1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7.4</w:t>
      </w:r>
      <w:r>
        <w:rPr>
          <w:rFonts w:ascii="Times New Roman;sans-serif" w:hAnsi="Times New Roman;sans-serif"/>
          <w:b w:val="false"/>
          <w:color w:val="000000"/>
          <w:sz w:val="20"/>
        </w:rPr>
        <w:t>;</w:t>
      </w:r>
    </w:p>
    <w:p>
      <w:pPr>
        <w:pStyle w:val="TextBody"/>
        <w:bidi w:val="0"/>
        <w:spacing w:lineRule="auto" w:line="280" w:before="237"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(f)Investments (i) by a Loan Party in any other Loan Party, (ii) by any Subsidiary that is not a Loan Party (x) in any other Subsidiary that is not a Loan Party or (y) in a Loan Party and (iii) by a Loan Party in any Subsidiary that is not a Loan Party in an aggregate amount, for purposes of this clause (iii) not to exceed Five Hundred Thousand Dollars ($500,000.00) in the aggregate in any fiscal year;</w:t>
      </w:r>
    </w:p>
    <w:p>
      <w:pPr>
        <w:pStyle w:val="TextBody"/>
        <w:bidi w:val="0"/>
        <w:spacing w:lineRule="auto" w:line="288" w:before="23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(g)Investments consisting of (i) travel advances and employee relocation loans and other employee loans and advances in the ordinary course of business not to exceed Five Hundred Thousand Dollars ($500,000.00) in the aggregate in any fiscal year, and (ii) loans to employees, officers or directors relating to the purchase of equity securities of Borrower or its Subsidiaries pursuant to employee stock purchase plans or agreements approved by Borrower’s Board of Directors not to exceed Five Hundred Thousand Dollars ($500,000.00) in the aggregate in any fiscal year; and (iii) non-cash loans and advances to employees, officers, directors, managers and consultants relating to the purchase of equity securities of</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36675"/>
                <wp:effectExtent l="0" t="0" r="0" b="0"/>
                <wp:wrapNone/>
                <wp:docPr id="117" name="Frame117"/>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Borrower or its Subsidiaries pursuant to employee stock purchase plans or agreements approved by Borrower’s board of directors;</w:t>
      </w:r>
    </w:p>
    <w:p>
      <w:pPr>
        <w:pStyle w:val="TextBody"/>
        <w:bidi w:val="0"/>
        <w:spacing w:lineRule="auto" w:line="280" w:before="24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(h)Investments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pStyle w:val="TextBody"/>
        <w:bidi w:val="0"/>
        <w:spacing w:lineRule="auto" w:line="280" w:before="232"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pStyle w:val="TextBody"/>
        <w:bidi w:val="0"/>
        <w:spacing w:lineRule="auto" w:line="288" w:before="232"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(j)non-cash Investments in joint ventures or strategic alliances in the ordinary course of Borrower’s business consisting of the non-exclusive licensing of technology, the development of technology or the providing of technical support; and</w:t>
      </w:r>
    </w:p>
    <w:p>
      <w:pPr>
        <w:pStyle w:val="TextBody"/>
        <w:bidi w:val="0"/>
        <w:spacing w:lineRule="auto" w:line="283"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(k)other Investments in an aggregate amount not to exceed Five Hundred Thousand Dollars ($500,000.00) per fiscal year of Borrower.</w:t>
      </w:r>
    </w:p>
    <w:p>
      <w:pPr>
        <w:pStyle w:val="TextBody"/>
        <w:bidi w:val="0"/>
        <w:spacing w:lineRule="auto" w:line="288" w:before="230" w:after="283"/>
        <w:ind w:left="0" w:right="0" w:firstLine="720"/>
        <w:jc w:val="both"/>
        <w:rPr/>
      </w:pPr>
      <w:r>
        <w:rPr>
          <w:color w:val="000000"/>
        </w:rPr>
        <w:t>“</w:t>
      </w:r>
      <w:r>
        <w:rPr>
          <w:rFonts w:ascii="Times New Roman;sans-serif" w:hAnsi="Times New Roman;sans-serif"/>
          <w:b/>
          <w:color w:val="000000"/>
          <w:sz w:val="20"/>
        </w:rPr>
        <w:t>Permitted Licenses</w:t>
      </w:r>
      <w:r>
        <w:rPr>
          <w:color w:val="000000"/>
        </w:rPr>
        <w:t xml:space="preserve">” </w:t>
      </w:r>
      <w:r>
        <w:rPr>
          <w:rFonts w:ascii="Times New Roman;sans-serif" w:hAnsi="Times New Roman;sans-serif"/>
          <w:b w:val="false"/>
          <w:color w:val="000000"/>
          <w:sz w:val="20"/>
        </w:rPr>
        <w:t xml:space="preserve">are (A) licenses of over-the-counter software that is commercially available to the public and (B) non-exclusive and exclusive licenses and sublicenses for the use of the Intellectual Property of Borrower or any of its Subsidiaries entered into in the ordinary course of business,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with respect to each such license described in clause (B), (i) no Event of Default has occurred or is continuing at the time of such license; (ii)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w:t>
      </w:r>
    </w:p>
    <w:p>
      <w:pPr>
        <w:pStyle w:val="TextBody"/>
        <w:bidi w:val="0"/>
        <w:spacing w:lineRule="auto" w:line="288" w:before="244" w:after="283"/>
        <w:jc w:val="left"/>
        <w:rPr/>
      </w:pPr>
      <w:r>
        <w:rPr>
          <w:color w:val="000000"/>
        </w:rPr>
        <w:t>“</w:t>
      </w:r>
      <w:r>
        <w:rPr>
          <w:rFonts w:ascii="Times New Roman;sans-serif" w:hAnsi="Times New Roman;sans-serif"/>
          <w:b/>
          <w:color w:val="000000"/>
          <w:sz w:val="20"/>
        </w:rPr>
        <w:t>Permitted Liens</w:t>
      </w:r>
      <w:r>
        <w:rPr>
          <w:color w:val="000000"/>
        </w:rPr>
        <w:t xml:space="preserve">” </w:t>
      </w:r>
      <w:r>
        <w:rPr>
          <w:rFonts w:ascii="Times New Roman;sans-serif" w:hAnsi="Times New Roman;sans-serif"/>
          <w:b w:val="false"/>
          <w:color w:val="000000"/>
          <w:sz w:val="20"/>
        </w:rPr>
        <w:t>are:</w:t>
      </w:r>
    </w:p>
    <w:p>
      <w:pPr>
        <w:pStyle w:val="TextBody"/>
        <w:bidi w:val="0"/>
        <w:spacing w:lineRule="auto" w:line="283" w:before="237"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(a)Liens existing on the Effective Date and disclosed on the Perfection Certificates or arising under this Agreement and the other Loan Documents;</w:t>
      </w:r>
    </w:p>
    <w:p>
      <w:pPr>
        <w:pStyle w:val="TextBody"/>
        <w:bidi w:val="0"/>
        <w:spacing w:lineRule="auto" w:line="276" w:before="230"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(b)Liens for taxes, fees, assessments or other government charges or levies, either</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not due and payable or (ii) being contested in good faith and for which Borrower maintains adequate reserves on Borrower’s Books, provided that no notice of any such Lien has been filed or recorded under the Internal Revenue Code of 1986, as amended, and the Treasury Regulations adopted thereunder;</w:t>
      </w:r>
    </w:p>
    <w:p>
      <w:pPr>
        <w:pStyle w:val="TextBody"/>
        <w:bidi w:val="0"/>
        <w:spacing w:lineRule="auto" w:line="288" w:before="241" w:after="283"/>
        <w:ind w:left="0" w:right="0" w:firstLine="1440"/>
        <w:jc w:val="both"/>
        <w:rPr/>
      </w:pPr>
      <w:r>
        <w:rPr>
          <w:rFonts w:ascii="Times New Roman;sans-serif" w:hAnsi="Times New Roman;sans-serif"/>
          <w:b w:val="false"/>
          <w:color w:val="000000"/>
          <w:sz w:val="20"/>
        </w:rPr>
        <w:t>(c)Liens securing Indebtedness permitted under clause (e) of the definition of “</w:t>
      </w:r>
      <w:r>
        <w:rPr>
          <w:rFonts w:ascii="Times New Roman;sans-serif" w:hAnsi="Times New Roman;sans-serif"/>
          <w:b/>
          <w:color w:val="000000"/>
          <w:sz w:val="20"/>
        </w:rPr>
        <w:t>Permitted Indebtedness</w:t>
      </w:r>
      <w:r>
        <w:rPr>
          <w:rFonts w:ascii="Times New Roman;sans-serif" w:hAnsi="Times New Roman;sans-serif"/>
          <w:b w:val="false"/>
          <w:color w:val="000000"/>
          <w:sz w:val="20"/>
        </w:rPr>
        <w:t>,”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36675"/>
                <wp:effectExtent l="0" t="0" r="0" b="0"/>
                <wp:wrapNone/>
                <wp:docPr id="118" name="Frame118"/>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8" w:after="283"/>
        <w:ind w:left="0" w:right="0" w:firstLine="1440"/>
        <w:jc w:val="both"/>
        <w:rPr/>
      </w:pPr>
      <w:r>
        <w:rPr>
          <w:rFonts w:ascii="Times New Roman;sans-serif" w:hAnsi="Times New Roman;sans-serif"/>
          <w:b w:val="false"/>
          <w:color w:val="000000"/>
          <w:sz w:val="20"/>
        </w:rPr>
        <w:t xml:space="preserve">(d)Liens of carriers, warehousemen, suppliers, or other Persons that are possessory in nature arising in the ordinary course of business so long as such Liens attach only to Inventory, securing liabilities in the aggregate amount not to exceed Five Hundred Thousand Dollars ($500,000.00) (excluding from such cap, however, any location or arrangement to the extent Collateral Agent is a party to bailee waiver with respect to such location or arrangement pursuant to </w:t>
      </w:r>
      <w:r>
        <w:rPr>
          <w:rFonts w:ascii="Times New Roman;sans-serif" w:hAnsi="Times New Roman;sans-serif"/>
          <w:b w:val="false"/>
          <w:color w:val="000000"/>
          <w:sz w:val="20"/>
          <w:u w:val="single"/>
        </w:rPr>
        <w:t>Section 6.11</w:t>
      </w:r>
      <w:r>
        <w:rPr>
          <w:rFonts w:ascii="Times New Roman;sans-serif" w:hAnsi="Times New Roman;sans-serif"/>
          <w:b w:val="false"/>
          <w:color w:val="000000"/>
          <w:sz w:val="20"/>
        </w:rPr>
        <w:t>), and which are not delinquent or which are being contested in good faith and by appropriate proceedings which proceedings have the effect of preventing the forfeiture or sale of the property subject thereto;</w:t>
      </w:r>
    </w:p>
    <w:p>
      <w:pPr>
        <w:pStyle w:val="TextBody"/>
        <w:bidi w:val="0"/>
        <w:spacing w:lineRule="auto" w:line="280" w:before="24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(e)Liens to secure payment of workers’ compensation, employment insurance, old-age pensions, social security and other like obligations incurred in the ordinary course of business (other than Liens imposed by ERISA);</w:t>
      </w:r>
    </w:p>
    <w:p>
      <w:pPr>
        <w:pStyle w:val="TextBody"/>
        <w:bidi w:val="0"/>
        <w:spacing w:lineRule="auto" w:line="288" w:before="232" w:after="283"/>
        <w:ind w:left="0" w:right="0" w:firstLine="1440"/>
        <w:jc w:val="both"/>
        <w:rPr/>
      </w:pPr>
      <w:r>
        <w:rPr>
          <w:rFonts w:ascii="Times New Roman;sans-serif" w:hAnsi="Times New Roman;sans-serif"/>
          <w:b w:val="false"/>
          <w:color w:val="000000"/>
          <w:sz w:val="20"/>
        </w:rPr>
        <w:t xml:space="preserve">(f)Liens incurred in the extension, renewal or refinancing of the Indebtedness secured by Liens described in (a) through (c), </w:t>
      </w:r>
      <w:r>
        <w:rPr>
          <w:rFonts w:ascii="Times New Roman;sans-serif" w:hAnsi="Times New Roman;sans-serif"/>
          <w:b w:val="false"/>
          <w:color w:val="000000"/>
          <w:sz w:val="20"/>
          <w:u w:val="single"/>
        </w:rPr>
        <w:t>but</w:t>
      </w:r>
      <w:r>
        <w:rPr>
          <w:color w:val="000000"/>
        </w:rPr>
        <w:t xml:space="preserve"> </w:t>
      </w:r>
      <w:r>
        <w:rPr>
          <w:rFonts w:ascii="Times New Roman;sans-serif" w:hAnsi="Times New Roman;sans-serif"/>
          <w:b w:val="false"/>
          <w:color w:val="000000"/>
          <w:sz w:val="20"/>
        </w:rPr>
        <w:t>any extension, renewal or replacement Lien must be limited to the property encumbered by the existing Lien and the principal amount of the Indebtedness may not increase;</w:t>
      </w:r>
    </w:p>
    <w:p>
      <w:pPr>
        <w:pStyle w:val="TextBody"/>
        <w:bidi w:val="0"/>
        <w:spacing w:lineRule="auto" w:line="288" w:before="24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(g)leases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pStyle w:val="TextBody"/>
        <w:bidi w:val="0"/>
        <w:spacing w:lineRule="auto" w:line="288" w:before="239" w:after="283"/>
        <w:ind w:left="0" w:right="0" w:firstLine="1440"/>
        <w:jc w:val="both"/>
        <w:rPr/>
      </w:pPr>
      <w:r>
        <w:rPr>
          <w:rFonts w:ascii="Times New Roman;sans-serif" w:hAnsi="Times New Roman;sans-serif"/>
          <w:b w:val="false"/>
          <w:color w:val="000000"/>
          <w:sz w:val="20"/>
        </w:rPr>
        <w:t xml:space="preserve">(h)banker’s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w:t>
      </w:r>
      <w:r>
        <w:rPr>
          <w:rFonts w:ascii="Times New Roman;sans-serif" w:hAnsi="Times New Roman;sans-serif"/>
          <w:b w:val="false"/>
          <w:color w:val="000000"/>
          <w:sz w:val="20"/>
          <w:u w:val="single"/>
        </w:rPr>
        <w:t>Section 6.6(b)</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240" w:after="283"/>
        <w:ind w:left="0" w:right="0" w:firstLine="1440"/>
        <w:jc w:val="both"/>
        <w:rPr/>
      </w:pPr>
      <w:r>
        <w:rPr>
          <w:rFonts w:ascii="Times New Roman;sans-serif" w:hAnsi="Times New Roman;sans-serif"/>
          <w:b w:val="false"/>
          <w:color w:val="000000"/>
          <w:sz w:val="20"/>
        </w:rPr>
        <w:t xml:space="preserve">(i)Liens arising from judgments, decrees or attachments in circumstances not constituting an Event of Default under </w:t>
      </w:r>
      <w:r>
        <w:rPr>
          <w:rFonts w:ascii="Times New Roman;sans-serif" w:hAnsi="Times New Roman;sans-serif"/>
          <w:b w:val="false"/>
          <w:color w:val="000000"/>
          <w:sz w:val="20"/>
          <w:u w:val="single"/>
        </w:rPr>
        <w:t>Sections 8.4</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8.7</w:t>
      </w:r>
      <w:r>
        <w:rPr>
          <w:rFonts w:ascii="Times New Roman;sans-serif" w:hAnsi="Times New Roman;sans-serif"/>
          <w:b w:val="false"/>
          <w:color w:val="000000"/>
          <w:sz w:val="20"/>
        </w:rPr>
        <w:t>;</w:t>
      </w:r>
    </w:p>
    <w:p>
      <w:pPr>
        <w:pStyle w:val="TextBody"/>
        <w:bidi w:val="0"/>
        <w:spacing w:lineRule="auto" w:line="288" w:before="241"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(j)Liens in favor of customs and revenue authorities arising as a matter of law to secure payments of custom duties in connection with the importation of goods;</w:t>
      </w:r>
    </w:p>
    <w:p>
      <w:pPr>
        <w:pStyle w:val="TextBody"/>
        <w:bidi w:val="0"/>
        <w:spacing w:lineRule="auto" w:line="288" w:before="238"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(k)Liens on insurance proceeds securing the payment of financed insurance</w:t>
      </w:r>
    </w:p>
    <w:p>
      <w:pPr>
        <w:pStyle w:val="TextBody"/>
        <w:bidi w:val="0"/>
        <w:spacing w:lineRule="auto" w:line="288" w:before="4"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w:t>
      </w:r>
    </w:p>
    <w:p>
      <w:pPr>
        <w:pStyle w:val="TextBody"/>
        <w:bidi w:val="0"/>
        <w:spacing w:lineRule="auto" w:line="288" w:before="236"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(l)Liens consisting of minor imperfections of title and easements, rights-of-way, covenants, consents, reservations, encroachments, variations and zoning and other similar restrictions, charges, encumbrances or title defects affecting real property which, in the aggregate, do not materially detract from the value of the property subject thereto or materially interfere with the conduct of the business conducted at the property subject to such encumbrance;</w:t>
      </w:r>
    </w:p>
    <w:p>
      <w:pPr>
        <w:pStyle w:val="TextBody"/>
        <w:bidi w:val="0"/>
        <w:spacing w:lineRule="auto" w:line="288" w:before="240"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(m)deposits to secure the performance of bids, trade contracts and leases (other than Indebtedness), statutory obligations, surety and appeal bonds (other than bonds related to judgments or litigation), performance bonds and other obligations of a like nature, in each case in the ordinary course of business; provided however the aggregate amount of such deposits does not exceed Five Hundred Thousand Dollars ($500,000.00) at any given time;</w:t>
      </w:r>
    </w:p>
    <w:p>
      <w:pPr>
        <w:pStyle w:val="TextBody"/>
        <w:bidi w:val="0"/>
        <w:spacing w:before="0" w:after="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36675"/>
                <wp:effectExtent l="0" t="0" r="0" b="0"/>
                <wp:wrapNone/>
                <wp:docPr id="119" name="Frame119"/>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0" w:before="78"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(n)Liens consisting of security deposits in connection with leases, utility services and similar transactions entered into in the ordinary course of business and in an aggregate amount not to exceed Five Hundred Thousand Dollars ($500,000.00);</w:t>
      </w:r>
    </w:p>
    <w:p>
      <w:pPr>
        <w:pStyle w:val="TextBody"/>
        <w:bidi w:val="0"/>
        <w:spacing w:lineRule="auto" w:line="288" w:before="235"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(o)Liens consisting of Permitted Licenses; and</w:t>
      </w:r>
    </w:p>
    <w:p>
      <w:pPr>
        <w:pStyle w:val="TextBody"/>
        <w:bidi w:val="0"/>
        <w:spacing w:lineRule="auto" w:line="288" w:before="239" w:after="283"/>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(p)tax liens for unpaid property taxes provided that the Indebtedness associated with the same does not to exceed Two Hundred Fifty Thousand Dollars ($250,000.00) at any one time outstanding.</w:t>
      </w:r>
    </w:p>
    <w:p>
      <w:pPr>
        <w:pStyle w:val="TextBody"/>
        <w:bidi w:val="0"/>
        <w:spacing w:lineRule="auto" w:line="288" w:before="251" w:after="283"/>
        <w:ind w:left="0" w:right="0" w:firstLine="720"/>
        <w:jc w:val="both"/>
        <w:rPr/>
      </w:pPr>
      <w:r>
        <w:rPr>
          <w:color w:val="000000"/>
        </w:rPr>
        <w:t>“</w:t>
      </w:r>
      <w:r>
        <w:rPr>
          <w:rFonts w:ascii="Times New Roman;sans-serif" w:hAnsi="Times New Roman;sans-serif"/>
          <w:b/>
          <w:color w:val="000000"/>
          <w:sz w:val="20"/>
        </w:rPr>
        <w:t>Person</w:t>
      </w:r>
      <w:r>
        <w:rPr>
          <w:color w:val="000000"/>
        </w:rPr>
        <w:t xml:space="preserve">” </w:t>
      </w:r>
      <w:r>
        <w:rPr>
          <w:rFonts w:ascii="Times New Roman;sans-serif" w:hAnsi="Times New Roman;sans-serif"/>
          <w:b w:val="false"/>
          <w:color w:val="000000"/>
          <w:sz w:val="20"/>
        </w:rPr>
        <w:t>is any individual, sole proprietorship, partnership, limited liability company, joint venture, company, trust, unincorporated organization, association, corporation, institution, public benefit corporation, firm, joint stock company, estate, entity or government agency.</w:t>
      </w:r>
    </w:p>
    <w:p>
      <w:pPr>
        <w:pStyle w:val="TextBody"/>
        <w:bidi w:val="0"/>
        <w:spacing w:lineRule="auto" w:line="283" w:before="240" w:after="283"/>
        <w:ind w:left="0" w:right="0" w:firstLine="720"/>
        <w:jc w:val="left"/>
        <w:rPr/>
      </w:pPr>
      <w:r>
        <w:rPr>
          <w:color w:val="000000"/>
        </w:rPr>
        <w:t>“</w:t>
      </w:r>
      <w:r>
        <w:rPr>
          <w:rFonts w:ascii="Times New Roman;sans-serif" w:hAnsi="Times New Roman;sans-serif"/>
          <w:b/>
          <w:color w:val="000000"/>
          <w:sz w:val="20"/>
        </w:rPr>
        <w:t>Pliant Belgium</w:t>
      </w:r>
      <w:r>
        <w:rPr>
          <w:color w:val="000000"/>
        </w:rPr>
        <w:t xml:space="preserve">” </w:t>
      </w:r>
      <w:r>
        <w:rPr>
          <w:rFonts w:ascii="Times New Roman;sans-serif" w:hAnsi="Times New Roman;sans-serif"/>
          <w:b w:val="false"/>
          <w:color w:val="000000"/>
          <w:sz w:val="20"/>
        </w:rPr>
        <w:t>means Pliant Therapeutics Belgium BV, a wholly-owned Subsidiary of Borrower organized under the laws of Belgium.</w:t>
      </w:r>
    </w:p>
    <w:p>
      <w:pPr>
        <w:pStyle w:val="TextBody"/>
        <w:bidi w:val="0"/>
        <w:spacing w:lineRule="auto" w:line="283" w:before="230" w:after="283"/>
        <w:ind w:left="0" w:right="0" w:firstLine="720"/>
        <w:jc w:val="left"/>
        <w:rPr/>
      </w:pPr>
      <w:r>
        <w:rPr>
          <w:color w:val="000000"/>
        </w:rPr>
        <w:t>“</w:t>
      </w:r>
      <w:r>
        <w:rPr>
          <w:rFonts w:ascii="Times New Roman;sans-serif" w:hAnsi="Times New Roman;sans-serif"/>
          <w:b/>
          <w:color w:val="000000"/>
          <w:sz w:val="20"/>
        </w:rPr>
        <w:t>Post Closing Letter</w:t>
      </w:r>
      <w:r>
        <w:rPr>
          <w:color w:val="000000"/>
        </w:rPr>
        <w:t xml:space="preserve">” </w:t>
      </w:r>
      <w:r>
        <w:rPr>
          <w:rFonts w:ascii="Times New Roman;sans-serif" w:hAnsi="Times New Roman;sans-serif"/>
          <w:b w:val="false"/>
          <w:color w:val="000000"/>
          <w:sz w:val="20"/>
        </w:rPr>
        <w:t>is that certain Post Closing Letter dated as of the Effective Date by and between Collateral Agent and Borrower.</w:t>
      </w:r>
    </w:p>
    <w:p>
      <w:pPr>
        <w:pStyle w:val="TextBody"/>
        <w:bidi w:val="0"/>
        <w:spacing w:lineRule="auto" w:line="288" w:before="230" w:after="283"/>
        <w:ind w:left="0" w:right="0" w:firstLine="720"/>
        <w:jc w:val="both"/>
        <w:rPr/>
      </w:pPr>
      <w:r>
        <w:rPr>
          <w:color w:val="000000"/>
        </w:rPr>
        <w:t>“</w:t>
      </w:r>
      <w:r>
        <w:rPr>
          <w:rFonts w:ascii="Times New Roman;sans-serif" w:hAnsi="Times New Roman;sans-serif"/>
          <w:b/>
          <w:color w:val="000000"/>
          <w:sz w:val="20"/>
        </w:rPr>
        <w:t>Prepayment Fee</w:t>
      </w:r>
      <w:r>
        <w:rPr>
          <w:color w:val="000000"/>
        </w:rPr>
        <w:t xml:space="preserve">” </w:t>
      </w:r>
      <w:r>
        <w:rPr>
          <w:rFonts w:ascii="Times New Roman;sans-serif" w:hAnsi="Times New Roman;sans-serif"/>
          <w:b w:val="false"/>
          <w:color w:val="000000"/>
          <w:sz w:val="20"/>
        </w:rPr>
        <w:t>is, with respect to any Term Loan subject to prepayment prior to the Maturity Date, whether by mandatory or voluntary prepayment, acceleration or otherwise, an additional fee payable to the Lenders in amount equal to:</w:t>
      </w:r>
    </w:p>
    <w:p>
      <w:pPr>
        <w:pStyle w:val="TextBody"/>
        <w:bidi w:val="0"/>
        <w:spacing w:lineRule="auto" w:line="288" w:before="240"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(i)for a prepayment made on or after the Funding Date of such Term Loan through and including the first anniversary of the Funding Date of such Term Loan, three percent (3.00%) of the principal amount of such Term Loan prepaid;</w:t>
      </w:r>
    </w:p>
    <w:p>
      <w:pPr>
        <w:pStyle w:val="TextBody"/>
        <w:bidi w:val="0"/>
        <w:spacing w:lineRule="auto" w:line="288" w:before="242"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(ii)for a prepayment made after the date which is after the first anniversary of the Funding Date of such Term Loan through and including the second anniversary of the Funding Date of such Term Loan, two percent (2.00%) of the principal amount of the Term Loans prepaid;</w:t>
      </w:r>
    </w:p>
    <w:p>
      <w:pPr>
        <w:pStyle w:val="TextBody"/>
        <w:bidi w:val="0"/>
        <w:spacing w:lineRule="auto" w:line="280" w:before="239"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(iii)for a prepayment made after the date which is after the second anniversary of the Funding Date of such Term Loan through and including the third anniversary of the Funding Date of such Term Loan, one percent (1.00%) of the principal amount of the Term Loans prepaid; and</w:t>
      </w:r>
    </w:p>
    <w:p>
      <w:pPr>
        <w:pStyle w:val="TextBody"/>
        <w:bidi w:val="0"/>
        <w:spacing w:lineRule="auto" w:line="288" w:before="232" w:after="283"/>
        <w:ind w:left="0" w:right="0" w:firstLine="2160"/>
        <w:jc w:val="both"/>
        <w:rPr>
          <w:rFonts w:ascii="Times New Roman;sans-serif" w:hAnsi="Times New Roman;sans-serif"/>
          <w:b w:val="false"/>
          <w:color w:val="000000"/>
          <w:sz w:val="20"/>
        </w:rPr>
      </w:pPr>
      <w:r>
        <w:rPr>
          <w:rFonts w:ascii="Times New Roman;sans-serif" w:hAnsi="Times New Roman;sans-serif"/>
          <w:b w:val="false"/>
          <w:color w:val="000000"/>
          <w:sz w:val="20"/>
        </w:rPr>
        <w:t>(iv)for a prepayment made after the third anniversary of the Funding Date of such Term Loan and prior to the Maturity Date, no Prepayment Fee shall be applicable.</w:t>
      </w:r>
    </w:p>
    <w:p>
      <w:pPr>
        <w:pStyle w:val="TextBody"/>
        <w:bidi w:val="0"/>
        <w:spacing w:lineRule="auto" w:line="288" w:before="240" w:after="283"/>
        <w:ind w:left="0" w:right="0" w:firstLine="720"/>
        <w:jc w:val="both"/>
        <w:rPr/>
      </w:pPr>
      <w:r>
        <w:rPr>
          <w:color w:val="000000"/>
        </w:rPr>
        <w:t>“</w:t>
      </w:r>
      <w:r>
        <w:rPr>
          <w:rFonts w:ascii="Times New Roman;sans-serif" w:hAnsi="Times New Roman;sans-serif"/>
          <w:b/>
          <w:color w:val="000000"/>
          <w:sz w:val="20"/>
        </w:rPr>
        <w:t>Pro Rata Share</w:t>
      </w:r>
      <w:r>
        <w:rPr>
          <w:color w:val="000000"/>
        </w:rPr>
        <w:t xml:space="preserve">” </w:t>
      </w:r>
      <w:r>
        <w:rPr>
          <w:rFonts w:ascii="Times New Roman;sans-serif" w:hAnsi="Times New Roman;sans-serif"/>
          <w:b w:val="false"/>
          <w:color w:val="000000"/>
          <w:sz w:val="20"/>
        </w:rPr>
        <w:t>is, as of any date of determination, with respect to each Lender, a percentage (expressed as a decimal, rounded to the ninth decimal place) determined by dividing the outstanding principal amount of Term Loans (or Term Loan Commitments, as applicable) held by such Lender by the aggregate outstanding principal amount of all Term Loans (or all Term Loan Commitments, as applicable).</w:t>
      </w:r>
    </w:p>
    <w:p>
      <w:pPr>
        <w:pStyle w:val="TextBody"/>
        <w:bidi w:val="0"/>
        <w:spacing w:lineRule="auto" w:line="283" w:before="239" w:after="283"/>
        <w:ind w:left="0" w:right="0" w:firstLine="720"/>
        <w:jc w:val="left"/>
        <w:rPr/>
      </w:pPr>
      <w:r>
        <w:rPr>
          <w:color w:val="000000"/>
        </w:rPr>
        <w:t>“</w:t>
      </w:r>
      <w:r>
        <w:rPr>
          <w:rFonts w:ascii="Times New Roman;sans-serif" w:hAnsi="Times New Roman;sans-serif"/>
          <w:b/>
          <w:color w:val="000000"/>
          <w:sz w:val="20"/>
        </w:rPr>
        <w:t>Registered Organization</w:t>
      </w:r>
      <w:r>
        <w:rPr>
          <w:color w:val="000000"/>
        </w:rPr>
        <w:t xml:space="preserve">” </w:t>
      </w:r>
      <w:r>
        <w:rPr>
          <w:rFonts w:ascii="Times New Roman;sans-serif" w:hAnsi="Times New Roman;sans-serif"/>
          <w:b w:val="false"/>
          <w:color w:val="000000"/>
          <w:sz w:val="20"/>
        </w:rPr>
        <w:t>is any “registered organization” as defined in the Code with such additions to such term as may hereafter be made.</w:t>
      </w:r>
    </w:p>
    <w:p>
      <w:pPr>
        <w:pStyle w:val="TextBody"/>
        <w:bidi w:val="0"/>
        <w:spacing w:lineRule="auto" w:line="288" w:before="230" w:after="283"/>
        <w:ind w:left="0" w:right="0" w:firstLine="720"/>
        <w:jc w:val="both"/>
        <w:rPr/>
      </w:pPr>
      <w:r>
        <w:rPr>
          <w:color w:val="000000"/>
        </w:rPr>
        <w:t>“</w:t>
      </w:r>
      <w:r>
        <w:rPr>
          <w:rFonts w:ascii="Times New Roman;sans-serif" w:hAnsi="Times New Roman;sans-serif"/>
          <w:b/>
          <w:color w:val="000000"/>
          <w:sz w:val="20"/>
        </w:rPr>
        <w:t>Required Lenders</w:t>
      </w:r>
      <w:r>
        <w:rPr>
          <w:color w:val="000000"/>
        </w:rPr>
        <w:t xml:space="preserve">” </w:t>
      </w:r>
      <w:r>
        <w:rPr>
          <w:rFonts w:ascii="Times New Roman;sans-serif" w:hAnsi="Times New Roman;sans-serif"/>
          <w:b w:val="false"/>
          <w:color w:val="000000"/>
          <w:sz w:val="20"/>
        </w:rPr>
        <w:t>means (i) for so long as all of the Persons that are Lenders on the Effective Date (each an “</w:t>
      </w:r>
      <w:r>
        <w:rPr>
          <w:rFonts w:ascii="Times New Roman;sans-serif" w:hAnsi="Times New Roman;sans-serif"/>
          <w:b/>
          <w:color w:val="000000"/>
          <w:sz w:val="20"/>
        </w:rPr>
        <w:t>Original Lender</w:t>
      </w:r>
      <w:r>
        <w:rPr>
          <w:color w:val="000000"/>
        </w:rPr>
        <w:t>”</w:t>
      </w:r>
      <w:r>
        <w:rPr>
          <w:rFonts w:ascii="Times New Roman;sans-serif" w:hAnsi="Times New Roman;sans-serif"/>
          <w:b w:val="false"/>
          <w:color w:val="000000"/>
          <w:sz w:val="20"/>
        </w:rPr>
        <w:t>) have not assigned or transferred any of their interests in their Term Loan, Lenders holding one hundred percent (100.00%) of the aggregate outstanding principal balance of the Term Loan, or (ii) at any time from and after any Original Lender has assigned or transferred any interest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36675"/>
                <wp:effectExtent l="0" t="0" r="0" b="0"/>
                <wp:wrapNone/>
                <wp:docPr id="120" name="Frame120"/>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its Term Loan, Lenders holding at least sixty six percent (66.00%) of the aggregate outstanding principal balance of the Term Loan and, in respect of this clause (ii), (A) each Original Lender that has not assigned or transferred any portion of its Term Loan, (B) each assignee or transferee of an Original Lender’s interest in the Term Loan,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0"/>
        </w:rPr>
        <w:t>Requirement of Law</w:t>
      </w:r>
      <w:r>
        <w:rPr>
          <w:color w:val="000000"/>
        </w:rPr>
        <w:t xml:space="preserve">” </w:t>
      </w:r>
      <w:r>
        <w:rPr>
          <w:rFonts w:ascii="Times New Roman;sans-serif" w:hAnsi="Times New Roman;sans-serif"/>
          <w:b w:val="false"/>
          <w:color w:val="000000"/>
          <w:sz w:val="20"/>
        </w:rPr>
        <w:t>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lineRule="auto" w:line="283" w:before="238" w:after="283"/>
        <w:ind w:left="0" w:right="0" w:firstLine="720"/>
        <w:jc w:val="both"/>
        <w:rPr/>
      </w:pPr>
      <w:r>
        <w:rPr>
          <w:color w:val="000000"/>
        </w:rPr>
        <w:t>“</w:t>
      </w:r>
      <w:r>
        <w:rPr>
          <w:rFonts w:ascii="Times New Roman;sans-serif" w:hAnsi="Times New Roman;sans-serif"/>
          <w:b/>
          <w:color w:val="000000"/>
          <w:sz w:val="20"/>
        </w:rPr>
        <w:t>Responsible Officer</w:t>
      </w:r>
      <w:r>
        <w:rPr>
          <w:color w:val="000000"/>
        </w:rPr>
        <w:t xml:space="preserve">” </w:t>
      </w:r>
      <w:r>
        <w:rPr>
          <w:rFonts w:ascii="Times New Roman;sans-serif" w:hAnsi="Times New Roman;sans-serif"/>
          <w:b w:val="false"/>
          <w:color w:val="000000"/>
          <w:sz w:val="20"/>
        </w:rPr>
        <w:t>is any of the President, Chief Executive Officer, or Chief Financial Officer of Borrower acting alone.</w:t>
      </w:r>
    </w:p>
    <w:p>
      <w:pPr>
        <w:pStyle w:val="TextBody"/>
        <w:bidi w:val="0"/>
        <w:spacing w:lineRule="auto" w:line="288" w:before="233" w:after="283"/>
        <w:jc w:val="left"/>
        <w:rPr/>
      </w:pPr>
      <w:r>
        <w:rPr>
          <w:color w:val="000000"/>
        </w:rPr>
        <w:t>“</w:t>
      </w:r>
      <w:r>
        <w:rPr>
          <w:rFonts w:ascii="Times New Roman;sans-serif" w:hAnsi="Times New Roman;sans-serif"/>
          <w:b/>
          <w:color w:val="000000"/>
          <w:sz w:val="20"/>
        </w:rPr>
        <w:t>Secured Promissory Note</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2.4</w:t>
      </w:r>
      <w:r>
        <w:rPr>
          <w:rFonts w:ascii="Times New Roman;sans-serif" w:hAnsi="Times New Roman;sans-serif"/>
          <w:b w:val="false"/>
          <w:color w:val="000000"/>
          <w:sz w:val="20"/>
        </w:rPr>
        <w:t>.</w:t>
      </w:r>
    </w:p>
    <w:p>
      <w:pPr>
        <w:pStyle w:val="TextBody"/>
        <w:bidi w:val="0"/>
        <w:spacing w:lineRule="auto" w:line="288" w:before="239" w:after="283"/>
        <w:ind w:left="0" w:right="0" w:firstLine="720"/>
        <w:jc w:val="both"/>
        <w:rPr/>
      </w:pPr>
      <w:r>
        <w:rPr>
          <w:color w:val="000000"/>
        </w:rPr>
        <w:t>“</w:t>
      </w:r>
      <w:r>
        <w:rPr>
          <w:rFonts w:ascii="Times New Roman;sans-serif" w:hAnsi="Times New Roman;sans-serif"/>
          <w:b/>
          <w:color w:val="000000"/>
          <w:sz w:val="20"/>
        </w:rPr>
        <w:t>Secured Promissory Note Record</w:t>
      </w:r>
      <w:r>
        <w:rPr>
          <w:color w:val="000000"/>
        </w:rPr>
        <w:t xml:space="preserve">” </w:t>
      </w:r>
      <w:r>
        <w:rPr>
          <w:rFonts w:ascii="Times New Roman;sans-serif" w:hAnsi="Times New Roman;sans-serif"/>
          <w:b w:val="false"/>
          <w:color w:val="000000"/>
          <w:sz w:val="20"/>
        </w:rPr>
        <w:t>is a record maintained by each Lender with respect to the outstanding Obligations owed by Borrower to Lender and credits made thereto.</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0"/>
        </w:rPr>
        <w:t>Securities Account</w:t>
      </w:r>
      <w:r>
        <w:rPr>
          <w:color w:val="000000"/>
        </w:rPr>
        <w:t xml:space="preserve">” </w:t>
      </w:r>
      <w:r>
        <w:rPr>
          <w:rFonts w:ascii="Times New Roman;sans-serif" w:hAnsi="Times New Roman;sans-serif"/>
          <w:b w:val="false"/>
          <w:color w:val="000000"/>
          <w:sz w:val="20"/>
        </w:rPr>
        <w:t>is any “securities account” as defined in the Code with such additions to such term as may hereafter be made.</w:t>
      </w:r>
    </w:p>
    <w:p>
      <w:pPr>
        <w:pStyle w:val="TextBody"/>
        <w:bidi w:val="0"/>
        <w:spacing w:lineRule="auto" w:line="283" w:before="237" w:after="283"/>
        <w:ind w:left="0" w:right="0" w:firstLine="720"/>
        <w:jc w:val="both"/>
        <w:rPr/>
      </w:pPr>
      <w:r>
        <w:rPr>
          <w:color w:val="000000"/>
        </w:rPr>
        <w:t>“</w:t>
      </w:r>
      <w:r>
        <w:rPr>
          <w:rFonts w:ascii="Times New Roman;sans-serif" w:hAnsi="Times New Roman;sans-serif"/>
          <w:b/>
          <w:color w:val="000000"/>
          <w:sz w:val="20"/>
        </w:rPr>
        <w:t>Shares</w:t>
      </w:r>
      <w:r>
        <w:rPr>
          <w:color w:val="000000"/>
        </w:rPr>
        <w:t xml:space="preserve">” </w:t>
      </w:r>
      <w:r>
        <w:rPr>
          <w:rFonts w:ascii="Times New Roman;sans-serif" w:hAnsi="Times New Roman;sans-serif"/>
          <w:b w:val="false"/>
          <w:color w:val="000000"/>
          <w:sz w:val="20"/>
        </w:rPr>
        <w:t>is one hundred percent (100%) of the issued and outstanding capital stock, membership units or other securities owned or held of record by Borrower or Borrower’s Subsidiary, in any Subsidiary.</w:t>
      </w:r>
    </w:p>
    <w:p>
      <w:pPr>
        <w:pStyle w:val="TextBody"/>
        <w:bidi w:val="0"/>
        <w:spacing w:lineRule="auto" w:line="288" w:before="231" w:after="283"/>
        <w:ind w:left="0" w:right="0" w:firstLine="720"/>
        <w:jc w:val="both"/>
        <w:rPr/>
      </w:pPr>
      <w:r>
        <w:rPr>
          <w:color w:val="000000"/>
        </w:rPr>
        <w:t>“</w:t>
      </w:r>
      <w:r>
        <w:rPr>
          <w:rFonts w:ascii="Times New Roman;sans-serif" w:hAnsi="Times New Roman;sans-serif"/>
          <w:b/>
          <w:color w:val="000000"/>
          <w:sz w:val="20"/>
        </w:rPr>
        <w:t>Solvent</w:t>
      </w:r>
      <w:r>
        <w:rPr>
          <w:color w:val="000000"/>
        </w:rPr>
        <w:t xml:space="preserve">” </w:t>
      </w:r>
      <w:r>
        <w:rPr>
          <w:rFonts w:ascii="Times New Roman;sans-serif" w:hAnsi="Times New Roman;sans-serif"/>
          <w:b w:val="false"/>
          <w:color w:val="000000"/>
          <w:sz w:val="20"/>
        </w:rPr>
        <w:t>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pStyle w:val="TextBody"/>
        <w:bidi w:val="0"/>
        <w:spacing w:lineRule="auto" w:line="288" w:before="241" w:after="283"/>
        <w:ind w:left="0" w:right="0" w:firstLine="720"/>
        <w:jc w:val="both"/>
        <w:rPr/>
      </w:pPr>
      <w:r>
        <w:rPr>
          <w:color w:val="000000"/>
        </w:rPr>
        <w:t>“</w:t>
      </w:r>
      <w:r>
        <w:rPr>
          <w:rFonts w:ascii="Times New Roman;sans-serif" w:hAnsi="Times New Roman;sans-serif"/>
          <w:b/>
          <w:color w:val="000000"/>
          <w:sz w:val="20"/>
        </w:rPr>
        <w:t>Subordinated Debt</w:t>
      </w:r>
      <w:r>
        <w:rPr>
          <w:color w:val="000000"/>
        </w:rPr>
        <w:t xml:space="preserve">” </w:t>
      </w:r>
      <w:r>
        <w:rPr>
          <w:rFonts w:ascii="Times New Roman;sans-serif" w:hAnsi="Times New Roman;sans-serif"/>
          <w:b w:val="false"/>
          <w:color w:val="000000"/>
          <w:sz w:val="20"/>
        </w:rPr>
        <w:t>is indebtedness incurred by any Loan Party subordinated to all Indebtedness of the Loan Parties to the Lenders (pursuant to a subordination, intercreditor, or other similar agreement in form and substance satisfactory to Collateral Agent and the Lenders entered into between Collateral Agent, Loan Parties, and the other creditor), on terms acceptable to Collateral Agent and the Lenders.</w:t>
      </w:r>
    </w:p>
    <w:p>
      <w:pPr>
        <w:pStyle w:val="TextBody"/>
        <w:bidi w:val="0"/>
        <w:spacing w:lineRule="auto" w:line="288" w:before="238" w:after="283"/>
        <w:ind w:left="0" w:right="0" w:firstLine="720"/>
        <w:jc w:val="both"/>
        <w:rPr/>
      </w:pPr>
      <w:r>
        <w:rPr>
          <w:color w:val="000000"/>
        </w:rPr>
        <w:t>“</w:t>
      </w:r>
      <w:r>
        <w:rPr>
          <w:rFonts w:ascii="Times New Roman;sans-serif" w:hAnsi="Times New Roman;sans-serif"/>
          <w:b/>
          <w:color w:val="000000"/>
          <w:sz w:val="20"/>
        </w:rPr>
        <w:t>Subsidiary</w:t>
      </w:r>
      <w:r>
        <w:rPr>
          <w:color w:val="000000"/>
        </w:rPr>
        <w:t xml:space="preserve">” </w:t>
      </w:r>
      <w:r>
        <w:rPr>
          <w:rFonts w:ascii="Times New Roman;sans-serif" w:hAnsi="Times New Roman;sans-serif"/>
          <w:b w:val="false"/>
          <w:color w:val="000000"/>
          <w:sz w:val="20"/>
        </w:rPr>
        <w:t>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pStyle w:val="TextBody"/>
        <w:bidi w:val="0"/>
        <w:spacing w:lineRule="auto" w:line="288" w:before="245" w:after="283"/>
        <w:jc w:val="left"/>
        <w:rPr/>
      </w:pPr>
      <w:r>
        <w:rPr>
          <w:color w:val="000000"/>
        </w:rPr>
        <w:t>“</w:t>
      </w:r>
      <w:r>
        <w:rPr>
          <w:rFonts w:ascii="Times New Roman;sans-serif" w:hAnsi="Times New Roman;sans-serif"/>
          <w:b/>
          <w:color w:val="000000"/>
          <w:sz w:val="20"/>
        </w:rPr>
        <w:t>Term A Loan</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2.2(a)(ii)</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236" w:after="283"/>
        <w:ind w:left="0" w:right="0" w:firstLine="720"/>
        <w:jc w:val="both"/>
        <w:rPr/>
      </w:pPr>
      <w:r>
        <w:rPr>
          <w:color w:val="000000"/>
        </w:rPr>
        <w:t>“</w:t>
      </w:r>
      <w:r>
        <w:rPr>
          <w:rFonts w:ascii="Times New Roman;sans-serif" w:hAnsi="Times New Roman;sans-serif"/>
          <w:b/>
          <w:color w:val="000000"/>
          <w:sz w:val="20"/>
        </w:rPr>
        <w:t>Term B Draw Period</w:t>
      </w:r>
      <w:r>
        <w:rPr>
          <w:color w:val="000000"/>
        </w:rPr>
        <w:t xml:space="preserve">” </w:t>
      </w:r>
      <w:r>
        <w:rPr>
          <w:rFonts w:ascii="Times New Roman;sans-serif" w:hAnsi="Times New Roman;sans-serif"/>
          <w:b w:val="false"/>
          <w:color w:val="000000"/>
          <w:sz w:val="20"/>
        </w:rPr>
        <w:t>is the period commencing, subject to satisfaction of the conditions set forth in Section 3.2(e) hereof, on October 1, 2025, and ending on the earliest of (i) December 31, 2025 and</w:t>
      </w:r>
    </w:p>
    <w:p>
      <w:pPr>
        <w:pStyle w:val="TextBody"/>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(ii) the occurrence of an Event of Default (which has not been waived by Collateral Agent and the Required Lenders in writing in their sole discretion); provided, however, that the Term B Draw Period shall not commence if on the proposed Funding Date of any such Term B Loan an Event of Default has occurred (unless and until such Event of Default has been waived by Collateral Agent and the Required Lenders in writing in their sole discretion explicitly for the purposes of the commencement and/or reinstatement of the Term B Draw Period); provided further that, for the avoidance of doubt, such Term B Draw Period shall</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36675"/>
                <wp:effectExtent l="0" t="0" r="0" b="0"/>
                <wp:wrapNone/>
                <wp:docPr id="121" name="Frame121"/>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0"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automatically be reinstated with the same force and effect upon the waiver by the Collateral Agent and Required Lenders in writing in their sole discretion of such Event of Default explicitly for the purposes of the commencement and/or reinstatement of the Term B Draw Period.</w:t>
      </w:r>
    </w:p>
    <w:p>
      <w:pPr>
        <w:pStyle w:val="TextBody"/>
        <w:bidi w:val="0"/>
        <w:spacing w:lineRule="auto" w:line="288" w:before="235" w:after="283"/>
        <w:jc w:val="left"/>
        <w:rPr/>
      </w:pPr>
      <w:r>
        <w:rPr>
          <w:color w:val="000000"/>
        </w:rPr>
        <w:t>“</w:t>
      </w:r>
      <w:r>
        <w:rPr>
          <w:rFonts w:ascii="Times New Roman;sans-serif" w:hAnsi="Times New Roman;sans-serif"/>
          <w:b/>
          <w:color w:val="000000"/>
          <w:sz w:val="20"/>
        </w:rPr>
        <w:t>Term B Loan</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2.2(a)(iii)</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239" w:after="283"/>
        <w:ind w:left="0" w:right="0" w:firstLine="720"/>
        <w:jc w:val="both"/>
        <w:rPr/>
      </w:pPr>
      <w:r>
        <w:rPr>
          <w:color w:val="000000"/>
        </w:rPr>
        <w:t>“</w:t>
      </w:r>
      <w:r>
        <w:rPr>
          <w:rFonts w:ascii="Times New Roman;sans-serif" w:hAnsi="Times New Roman;sans-serif"/>
          <w:b/>
          <w:color w:val="000000"/>
          <w:sz w:val="20"/>
        </w:rPr>
        <w:t>Term C Draw Period</w:t>
      </w:r>
      <w:r>
        <w:rPr>
          <w:color w:val="000000"/>
        </w:rPr>
        <w:t xml:space="preserve">” </w:t>
      </w:r>
      <w:r>
        <w:rPr>
          <w:rFonts w:ascii="Times New Roman;sans-serif" w:hAnsi="Times New Roman;sans-serif"/>
          <w:b w:val="false"/>
          <w:color w:val="000000"/>
          <w:sz w:val="20"/>
        </w:rPr>
        <w:t>is the period commencing on the date of the occurrence of the Term C Milestone, and ending on the earliest of (i) the date which is forty-five (45) days after the Term C Milestone is achieved, (ii) June 30, 2026 and (iii) the occurrence of an Event of Default (which has not been waived by Collateral Agent and the Required Lenders in writing in their sole discretion); provided, however, that the Term C Draw Period shall not commence if on the date of the occurrence of either clause (i) or (ii) of the Term C Milestone an Event of Default has occurred (unless and until such Event of Default has been waived by Collateral Agent and the Required Lenders in writing in their sole discretion explicitly for the purposes of the commencement and/or reinstatement of the Term C Draw Period); provided further that, for the avoidance of doubt, such Term C Draw Period shall automatically be reinstated with the same force and effect upon the waiver by the Collateral Agent and Required Lenders in writing in their sole discretion of such Event of Default explicitly for the purposes of the commencement and/or reinstatement of the Term C Draw Period.</w:t>
      </w:r>
    </w:p>
    <w:p>
      <w:pPr>
        <w:pStyle w:val="TextBody"/>
        <w:bidi w:val="0"/>
        <w:spacing w:lineRule="auto" w:line="288" w:before="242" w:after="283"/>
        <w:jc w:val="left"/>
        <w:rPr/>
      </w:pPr>
      <w:r>
        <w:rPr>
          <w:color w:val="000000"/>
        </w:rPr>
        <w:t>“</w:t>
      </w:r>
      <w:r>
        <w:rPr>
          <w:rFonts w:ascii="Times New Roman;sans-serif" w:hAnsi="Times New Roman;sans-serif"/>
          <w:b/>
          <w:color w:val="000000"/>
          <w:sz w:val="20"/>
        </w:rPr>
        <w:t>Term C Loan</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2.2(a)(iv)</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237" w:after="283"/>
        <w:ind w:left="0" w:right="0" w:firstLine="720"/>
        <w:jc w:val="both"/>
        <w:rPr/>
      </w:pPr>
      <w:r>
        <w:rPr>
          <w:color w:val="000000"/>
        </w:rPr>
        <w:t>“</w:t>
      </w:r>
      <w:r>
        <w:rPr>
          <w:rFonts w:ascii="Times New Roman;sans-serif" w:hAnsi="Times New Roman;sans-serif"/>
          <w:b/>
          <w:color w:val="000000"/>
          <w:sz w:val="20"/>
        </w:rPr>
        <w:t>Term C Milestone</w:t>
      </w:r>
      <w:r>
        <w:rPr>
          <w:color w:val="000000"/>
        </w:rPr>
        <w:t xml:space="preserve">” </w:t>
      </w:r>
      <w:r>
        <w:rPr>
          <w:rFonts w:ascii="Times New Roman;sans-serif" w:hAnsi="Times New Roman;sans-serif"/>
          <w:b w:val="false"/>
          <w:color w:val="000000"/>
          <w:sz w:val="20"/>
        </w:rPr>
        <w:t>means Borrower’s delivery to Collateral Agent and Lenders of evidence, reasonably satisfactory to Collateral Agent and Lenders in their sole discretion, that Borrower has achieved positive Phase 2b data of PLN-74809 in IPF (Idiopathic Pulmonary Fibrosis) sufficient to advance it into pivotal Phase 3 clinical trials.</w:t>
      </w:r>
    </w:p>
    <w:p>
      <w:pPr>
        <w:pStyle w:val="TextBody"/>
        <w:bidi w:val="0"/>
        <w:spacing w:lineRule="auto" w:line="288" w:before="243" w:after="283"/>
        <w:jc w:val="left"/>
        <w:rPr/>
      </w:pPr>
      <w:r>
        <w:rPr>
          <w:color w:val="000000"/>
        </w:rPr>
        <w:t>“</w:t>
      </w:r>
      <w:r>
        <w:rPr>
          <w:rFonts w:ascii="Times New Roman;sans-serif" w:hAnsi="Times New Roman;sans-serif"/>
          <w:b/>
          <w:color w:val="000000"/>
          <w:sz w:val="20"/>
        </w:rPr>
        <w:t>Term D Loan</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2.2(a)(v)</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239" w:after="283"/>
        <w:jc w:val="left"/>
        <w:rPr/>
      </w:pPr>
      <w:r>
        <w:rPr>
          <w:color w:val="000000"/>
        </w:rPr>
        <w:t>“</w:t>
      </w:r>
      <w:r>
        <w:rPr>
          <w:rFonts w:ascii="Times New Roman;sans-serif" w:hAnsi="Times New Roman;sans-serif"/>
          <w:b/>
          <w:color w:val="000000"/>
          <w:sz w:val="20"/>
        </w:rPr>
        <w:t>Term Loan</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2.2(a)(v)</w:t>
      </w:r>
      <w:r>
        <w:rPr>
          <w:color w:val="000000"/>
        </w:rPr>
        <w:t xml:space="preserve"> </w:t>
      </w:r>
      <w:r>
        <w:rPr>
          <w:rFonts w:ascii="Times New Roman;sans-serif" w:hAnsi="Times New Roman;sans-serif"/>
          <w:b w:val="false"/>
          <w:color w:val="000000"/>
          <w:sz w:val="20"/>
        </w:rPr>
        <w:t>hereof.</w:t>
      </w:r>
    </w:p>
    <w:p>
      <w:pPr>
        <w:pStyle w:val="TextBody"/>
        <w:bidi w:val="0"/>
        <w:spacing w:lineRule="auto" w:line="288" w:before="237" w:after="283"/>
        <w:ind w:left="0" w:right="0" w:firstLine="720"/>
        <w:jc w:val="both"/>
        <w:rPr/>
      </w:pPr>
      <w:r>
        <w:rPr>
          <w:color w:val="000000"/>
        </w:rPr>
        <w:t>“</w:t>
      </w:r>
      <w:r>
        <w:rPr>
          <w:rFonts w:ascii="Times New Roman;sans-serif" w:hAnsi="Times New Roman;sans-serif"/>
          <w:b/>
          <w:color w:val="000000"/>
          <w:sz w:val="20"/>
        </w:rPr>
        <w:t>Term Loan Commitment</w:t>
      </w:r>
      <w:r>
        <w:rPr>
          <w:color w:val="000000"/>
        </w:rPr>
        <w:t xml:space="preserve">” </w:t>
      </w:r>
      <w:r>
        <w:rPr>
          <w:rFonts w:ascii="Times New Roman;sans-serif" w:hAnsi="Times New Roman;sans-serif"/>
          <w:b w:val="false"/>
          <w:color w:val="000000"/>
          <w:sz w:val="20"/>
        </w:rPr>
        <w:t xml:space="preserve">is, for any Lender, the obligation of such Lender to make a Term Loan, up to the principal amount shown on </w:t>
      </w:r>
      <w:r>
        <w:rPr>
          <w:rFonts w:ascii="Times New Roman;sans-serif" w:hAnsi="Times New Roman;sans-serif"/>
          <w:b w:val="false"/>
          <w:color w:val="000000"/>
          <w:sz w:val="20"/>
          <w:u w:val="single"/>
        </w:rPr>
        <w:t>Schedule 1.1</w:t>
      </w:r>
      <w:r>
        <w:rPr>
          <w:rFonts w:ascii="Times New Roman;sans-serif" w:hAnsi="Times New Roman;sans-serif"/>
          <w:b/>
          <w:color w:val="000000"/>
          <w:sz w:val="20"/>
        </w:rPr>
        <w:t xml:space="preserve">. </w:t>
      </w:r>
      <w:r>
        <w:rPr>
          <w:color w:val="000000"/>
        </w:rPr>
        <w:t>“</w:t>
      </w:r>
      <w:r>
        <w:rPr>
          <w:rFonts w:ascii="Times New Roman;sans-serif" w:hAnsi="Times New Roman;sans-serif"/>
          <w:b/>
          <w:color w:val="000000"/>
          <w:sz w:val="20"/>
        </w:rPr>
        <w:t>Term Loan Commitments</w:t>
      </w:r>
      <w:r>
        <w:rPr>
          <w:color w:val="000000"/>
        </w:rPr>
        <w:t xml:space="preserve">” </w:t>
      </w:r>
      <w:r>
        <w:rPr>
          <w:rFonts w:ascii="Times New Roman;sans-serif" w:hAnsi="Times New Roman;sans-serif"/>
          <w:b w:val="false"/>
          <w:color w:val="000000"/>
          <w:sz w:val="20"/>
        </w:rPr>
        <w:t>means the aggregate amount of such commitments of all Lenders.</w:t>
      </w:r>
    </w:p>
    <w:p>
      <w:pPr>
        <w:pStyle w:val="TextBody"/>
        <w:bidi w:val="0"/>
        <w:spacing w:lineRule="auto" w:line="288" w:before="242" w:after="283"/>
        <w:ind w:left="0" w:right="0" w:firstLine="720"/>
        <w:jc w:val="both"/>
        <w:rPr/>
      </w:pPr>
      <w:r>
        <w:rPr>
          <w:color w:val="000000"/>
        </w:rPr>
        <w:t>“</w:t>
      </w:r>
      <w:r>
        <w:rPr>
          <w:rFonts w:ascii="Times New Roman;sans-serif" w:hAnsi="Times New Roman;sans-serif"/>
          <w:b/>
          <w:color w:val="000000"/>
          <w:sz w:val="20"/>
        </w:rPr>
        <w:t>Trademarks</w:t>
      </w:r>
      <w:r>
        <w:rPr>
          <w:color w:val="000000"/>
        </w:rPr>
        <w:t xml:space="preserve">” </w:t>
      </w:r>
      <w:r>
        <w:rPr>
          <w:rFonts w:ascii="Times New Roman;sans-serif" w:hAnsi="Times New Roman;sans-serif"/>
          <w:b w:val="false"/>
          <w:color w:val="000000"/>
          <w:sz w:val="20"/>
        </w:rPr>
        <w:t>means any trademark and servicemark rights, whether registered or not, applications to register and registrations of the same and like protections, and the entire goodwill of the business of Borrower connected with and symbolized by such trademarks.</w:t>
      </w:r>
    </w:p>
    <w:p>
      <w:pPr>
        <w:pStyle w:val="TextBody"/>
        <w:bidi w:val="0"/>
        <w:spacing w:lineRule="auto" w:line="288" w:before="242" w:after="283"/>
        <w:jc w:val="left"/>
        <w:rPr/>
      </w:pPr>
      <w:r>
        <w:rPr>
          <w:color w:val="000000"/>
        </w:rPr>
        <w:t>“</w:t>
      </w:r>
      <w:r>
        <w:rPr>
          <w:rFonts w:ascii="Times New Roman;sans-serif" w:hAnsi="Times New Roman;sans-serif"/>
          <w:b/>
          <w:color w:val="000000"/>
          <w:sz w:val="20"/>
        </w:rPr>
        <w:t>Transfer</w:t>
      </w:r>
      <w:r>
        <w:rPr>
          <w:color w:val="000000"/>
        </w:rPr>
        <w:t xml:space="preserve">” </w:t>
      </w:r>
      <w:r>
        <w:rPr>
          <w:rFonts w:ascii="Times New Roman;sans-serif" w:hAnsi="Times New Roman;sans-serif"/>
          <w:b w:val="false"/>
          <w:color w:val="000000"/>
          <w:sz w:val="20"/>
        </w:rPr>
        <w:t xml:space="preserve">is defined in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w:t>
      </w:r>
    </w:p>
    <w:p>
      <w:pPr>
        <w:pStyle w:val="TextBody"/>
        <w:bidi w:val="0"/>
        <w:spacing w:before="237" w:after="283"/>
        <w:jc w:val="left"/>
        <w:rPr/>
      </w:pPr>
      <w:r>
        <w:rPr/>
      </w:r>
    </w:p>
    <w:p>
      <w:pPr>
        <w:pStyle w:val="TextBody"/>
        <w:bidi w:val="0"/>
        <w:spacing w:lineRule="auto" w:line="288" w:before="1" w:after="283"/>
        <w:jc w:val="left"/>
        <w:rPr/>
      </w:pPr>
      <w:r>
        <w:rPr>
          <w:rFonts w:ascii="Times New Roman;sans-serif" w:hAnsi="Times New Roman;sans-serif"/>
          <w:b/>
          <w:color w:val="000000"/>
          <w:sz w:val="20"/>
        </w:rPr>
        <w:t>[</w:t>
      </w:r>
      <w:r>
        <w:rPr>
          <w:rFonts w:ascii="Times New Roman;sans-serif" w:hAnsi="Times New Roman;sans-serif"/>
          <w:b/>
          <w:i/>
          <w:color w:val="000000"/>
          <w:sz w:val="20"/>
        </w:rPr>
        <w:t>Balance of Page Intentionally Left Blank</w:t>
      </w:r>
      <w:r>
        <w:rPr>
          <w:rFonts w:ascii="Times New Roman;sans-serif" w:hAnsi="Times New Roman;sans-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36675"/>
                <wp:effectExtent l="0" t="0" r="0" b="0"/>
                <wp:wrapNone/>
                <wp:docPr id="122" name="Frame122"/>
                <a:graphic xmlns:a="http://schemas.openxmlformats.org/drawingml/2006/main">
                  <a:graphicData uri="http://schemas.microsoft.com/office/word/2010/wordprocessingShape">
                    <wps:wsp>
                      <wps:cNvSpPr txBox="1"/>
                      <wps:spPr>
                        <a:xfrm>
                          <a:off x="0" y="0"/>
                          <a:ext cx="6480175" cy="133667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5.2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r>
                    </w:tbl>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ind w:left="0" w:right="0" w:firstLine="718"/>
        <w:jc w:val="left"/>
        <w:rPr/>
      </w:pPr>
      <w:r>
        <w:rPr>
          <w:rFonts w:ascii="Times New Roman;sans-serif" w:hAnsi="Times New Roman;sans-serif"/>
          <w:b/>
          <w:color w:val="1A1A1A"/>
          <w:sz w:val="20"/>
        </w:rPr>
        <w:t xml:space="preserve">IN WITNESS WHEREOF, </w:t>
      </w:r>
      <w:r>
        <w:rPr>
          <w:rFonts w:ascii="Times New Roman;sans-serif" w:hAnsi="Times New Roman;sans-serif"/>
          <w:b w:val="false"/>
          <w:color w:val="1A1A1A"/>
          <w:sz w:val="20"/>
        </w:rPr>
        <w:t>the parties hereto have caused this Agreement to be executed as of the Effective Date.</w:t>
      </w:r>
    </w:p>
    <w:p>
      <w:pPr>
        <w:pStyle w:val="TextBody"/>
        <w:bidi w:val="0"/>
        <w:spacing w:lineRule="auto" w:line="288" w:before="238" w:after="283"/>
        <w:jc w:val="left"/>
        <w:rPr>
          <w:rFonts w:ascii="Times New Roman;sans-serif" w:hAnsi="Times New Roman;sans-serif"/>
          <w:b/>
          <w:color w:val="1A1A1A"/>
          <w:sz w:val="20"/>
        </w:rPr>
      </w:pPr>
      <w:r>
        <w:rPr>
          <w:rFonts w:ascii="Times New Roman;sans-serif" w:hAnsi="Times New Roman;sans-serif"/>
          <w:b/>
          <w:color w:val="1A1A1A"/>
          <w:sz w:val="20"/>
        </w:rPr>
        <w:t>BORROWER:</w:t>
      </w:r>
    </w:p>
    <w:p>
      <w:pPr>
        <w:pStyle w:val="TextBody"/>
        <w:bidi w:val="0"/>
        <w:spacing w:before="26" w:after="283"/>
        <w:jc w:val="left"/>
        <w:rPr/>
      </w:pPr>
      <w:r>
        <w:rPr/>
      </w:r>
    </w:p>
    <w:p>
      <w:pPr>
        <w:pStyle w:val="TextBody"/>
        <w:bidi w:val="0"/>
        <w:spacing w:lineRule="auto" w:line="288" w:before="0" w:after="0"/>
        <w:jc w:val="left"/>
        <w:rPr>
          <w:rFonts w:ascii="Times New Roman;sans-serif" w:hAnsi="Times New Roman;sans-serif"/>
          <w:b w:val="false"/>
          <w:color w:val="1A1A1A"/>
          <w:sz w:val="20"/>
        </w:rPr>
      </w:pPr>
      <w:r>
        <w:rPr>
          <w:rFonts w:ascii="Times New Roman;sans-serif" w:hAnsi="Times New Roman;sans-serif"/>
          <w:b w:val="false"/>
          <w:color w:val="1A1A1A"/>
          <w:sz w:val="20"/>
        </w:rPr>
        <w:t>PLIANT THERAPEUTICS, INC.</w:t>
      </w:r>
    </w:p>
    <w:p>
      <w:pPr>
        <w:pStyle w:val="TextBody"/>
        <w:bidi w:val="0"/>
        <w:spacing w:lineRule="auto" w:line="288" w:before="195" w:after="283"/>
        <w:jc w:val="left"/>
        <w:rPr/>
      </w:pPr>
      <w:r>
        <w:rPr>
          <w:rFonts w:ascii="Times New Roman;sans-serif" w:hAnsi="Times New Roman;sans-serif"/>
          <w:b w:val="false"/>
          <w:color w:val="000000"/>
          <w:sz w:val="20"/>
        </w:rPr>
        <w:t>By    </w:t>
      </w:r>
      <w:r>
        <w:rPr>
          <w:rFonts w:ascii="Times New Roman;sans-serif" w:hAnsi="Times New Roman;sans-serif"/>
          <w:b w:val="false"/>
          <w:color w:val="000000"/>
          <w:sz w:val="20"/>
          <w:u w:val="single"/>
        </w:rPr>
        <w:t>/s/ Keith Cummings    </w:t>
      </w:r>
    </w:p>
    <w:p>
      <w:pPr>
        <w:pStyle w:val="TextBody"/>
        <w:bidi w:val="0"/>
        <w:spacing w:lineRule="auto" w:line="295" w:before="3" w:after="283"/>
        <w:ind w:left="0" w:right="0" w:firstLine="9"/>
        <w:jc w:val="left"/>
        <w:rPr>
          <w:rFonts w:ascii="Times New Roman;sans-serif" w:hAnsi="Times New Roman;sans-serif"/>
          <w:b w:val="false"/>
          <w:color w:val="000000"/>
          <w:sz w:val="20"/>
        </w:rPr>
      </w:pPr>
      <w:r>
        <w:rPr>
          <w:rFonts w:ascii="Times New Roman;sans-serif" w:hAnsi="Times New Roman;sans-serif"/>
          <w:b w:val="false"/>
          <w:color w:val="000000"/>
          <w:sz w:val="20"/>
        </w:rPr>
        <w:t>Name: Keith Cummings, M.D., MBA Title: Chief Financial Officer</w:t>
      </w:r>
    </w:p>
    <w:p>
      <w:pPr>
        <w:pStyle w:val="TextBody"/>
        <w:bidi w:val="0"/>
        <w:spacing w:before="0" w:after="0"/>
        <w:jc w:val="left"/>
        <w:rPr/>
      </w:pPr>
      <w:r>
        <w:rPr/>
      </w:r>
    </w:p>
    <w:p>
      <w:pPr>
        <w:pStyle w:val="TextBody"/>
        <w:bidi w:val="0"/>
        <w:spacing w:before="24" w:after="283"/>
        <w:jc w:val="left"/>
        <w:rPr/>
      </w:pPr>
      <w:r>
        <w:rPr/>
      </w:r>
    </w:p>
    <w:p>
      <w:pPr>
        <w:pStyle w:val="TextBody"/>
        <w:bidi w:val="0"/>
        <w:spacing w:lineRule="auto" w:line="288" w:before="1" w:after="283"/>
        <w:jc w:val="left"/>
        <w:rPr>
          <w:rFonts w:ascii="Times New Roman;sans-serif" w:hAnsi="Times New Roman;sans-serif"/>
          <w:b/>
          <w:color w:val="1A1A1A"/>
          <w:sz w:val="20"/>
        </w:rPr>
      </w:pPr>
      <w:r>
        <w:rPr>
          <w:rFonts w:ascii="Times New Roman;sans-serif" w:hAnsi="Times New Roman;sans-serif"/>
          <w:b/>
          <w:color w:val="1A1A1A"/>
          <w:sz w:val="20"/>
        </w:rPr>
        <w:t>COLLATERAL AGENT AND LENDER:</w:t>
      </w:r>
    </w:p>
    <w:p>
      <w:pPr>
        <w:pStyle w:val="TextBody"/>
        <w:bidi w:val="0"/>
        <w:spacing w:before="31" w:after="283"/>
        <w:jc w:val="left"/>
        <w:rPr/>
      </w:pPr>
      <w:r>
        <w:rPr/>
      </w:r>
    </w:p>
    <w:p>
      <w:pPr>
        <w:pStyle w:val="TextBody"/>
        <w:bidi w:val="0"/>
        <w:spacing w:lineRule="auto" w:line="288" w:before="0" w:after="0"/>
        <w:jc w:val="left"/>
        <w:rPr>
          <w:rFonts w:ascii="Times New Roman;sans-serif" w:hAnsi="Times New Roman;sans-serif"/>
          <w:b w:val="false"/>
          <w:color w:val="1A1A1A"/>
          <w:sz w:val="20"/>
        </w:rPr>
      </w:pPr>
      <w:r>
        <w:rPr>
          <w:rFonts w:ascii="Times New Roman;sans-serif" w:hAnsi="Times New Roman;sans-serif"/>
          <w:b w:val="false"/>
          <w:color w:val="1A1A1A"/>
          <w:sz w:val="20"/>
        </w:rPr>
        <w:t>OXFORD FINANCE LLC</w:t>
      </w:r>
    </w:p>
    <w:p>
      <w:pPr>
        <w:pStyle w:val="TextBody"/>
        <w:bidi w:val="0"/>
        <w:spacing w:before="111" w:after="283"/>
        <w:jc w:val="left"/>
        <w:rPr/>
      </w:pPr>
      <w:r>
        <w:rPr/>
      </w:r>
    </w:p>
    <w:p>
      <w:pPr>
        <w:pStyle w:val="TextBody"/>
        <w:bidi w:val="0"/>
        <w:spacing w:lineRule="auto" w:line="436" w:before="0" w:after="0"/>
        <w:ind w:left="0" w:right="0" w:firstLine="8"/>
        <w:jc w:val="left"/>
        <w:rPr/>
      </w:pPr>
      <w:r>
        <w:rPr>
          <w:rFonts w:ascii="Times New Roman;sans-serif" w:hAnsi="Times New Roman;sans-serif"/>
          <w:b w:val="false"/>
          <w:color w:val="1A1A1A"/>
          <w:sz w:val="20"/>
        </w:rPr>
        <w:t xml:space="preserve">By </w:t>
      </w:r>
      <w:r>
        <w:rPr>
          <w:rFonts w:ascii="Times New Roman;sans-serif" w:hAnsi="Times New Roman;sans-serif"/>
          <w:b w:val="false"/>
          <w:color w:val="000000"/>
          <w:sz w:val="20"/>
          <w:u w:val="single"/>
        </w:rPr>
        <w:t>/s/ Colette H. Featherly</w:t>
      </w:r>
    </w:p>
    <w:p>
      <w:pPr>
        <w:pStyle w:val="TextBody"/>
        <w:bidi w:val="0"/>
        <w:spacing w:lineRule="auto" w:line="240" w:before="0" w:after="0"/>
        <w:ind w:left="0" w:right="0" w:firstLine="540"/>
        <w:jc w:val="left"/>
        <w:rPr>
          <w:rFonts w:ascii="Times New Roman;sans-serif" w:hAnsi="Times New Roman;sans-serif"/>
          <w:b w:val="false"/>
          <w:color w:val="1A1A1A"/>
          <w:sz w:val="20"/>
        </w:rPr>
      </w:pPr>
      <w:r>
        <w:rPr>
          <w:rFonts w:ascii="Times New Roman;sans-serif" w:hAnsi="Times New Roman;sans-serif"/>
          <w:b w:val="false"/>
          <w:color w:val="1A1A1A"/>
          <w:sz w:val="20"/>
        </w:rPr>
        <w:t>Name: Colette H. Featherly</w:t>
      </w:r>
    </w:p>
    <w:p>
      <w:pPr>
        <w:pStyle w:val="TextBody"/>
        <w:bidi w:val="0"/>
        <w:spacing w:lineRule="auto" w:line="288" w:before="20" w:after="283"/>
        <w:jc w:val="left"/>
        <w:rPr>
          <w:rFonts w:ascii="Times New Roman;sans-serif" w:hAnsi="Times New Roman;sans-serif"/>
          <w:b w:val="false"/>
          <w:color w:val="1A1A1A"/>
          <w:sz w:val="20"/>
        </w:rPr>
      </w:pPr>
      <w:r>
        <w:rPr>
          <w:rFonts w:ascii="Times New Roman;sans-serif" w:hAnsi="Times New Roman;sans-serif"/>
          <w:b w:val="false"/>
          <w:color w:val="1A1A1A"/>
          <w:sz w:val="20"/>
        </w:rPr>
        <w:t>Its: Senior Vice President</w:t>
      </w:r>
    </w:p>
    <w:p>
      <w:pPr>
        <w:pStyle w:val="TextBody"/>
        <w:bidi w:val="0"/>
        <w:spacing w:before="31" w:after="283"/>
        <w:jc w:val="left"/>
        <w:rPr/>
      </w:pPr>
      <w:r>
        <w:rPr/>
      </w:r>
    </w:p>
    <w:p>
      <w:pPr>
        <w:pStyle w:val="TextBody"/>
        <w:bidi w:val="0"/>
        <w:spacing w:lineRule="auto" w:line="288" w:before="0" w:after="0"/>
        <w:jc w:val="left"/>
        <w:rPr>
          <w:rFonts w:ascii="Times New Roman;sans-serif" w:hAnsi="Times New Roman;sans-serif"/>
          <w:b/>
          <w:color w:val="1A1A1A"/>
          <w:sz w:val="20"/>
        </w:rPr>
      </w:pPr>
      <w:r>
        <w:rPr>
          <w:rFonts w:ascii="Times New Roman;sans-serif" w:hAnsi="Times New Roman;sans-serif"/>
          <w:b/>
          <w:color w:val="1A1A1A"/>
          <w:sz w:val="20"/>
        </w:rPr>
        <w:t>LENDERS:</w:t>
      </w:r>
    </w:p>
    <w:p>
      <w:pPr>
        <w:pStyle w:val="TextBody"/>
        <w:bidi w:val="0"/>
        <w:spacing w:before="32" w:after="283"/>
        <w:jc w:val="left"/>
        <w:rPr/>
      </w:pPr>
      <w:r>
        <w:rPr/>
      </w:r>
    </w:p>
    <w:p>
      <w:pPr>
        <w:pStyle w:val="TextBody"/>
        <w:bidi w:val="0"/>
        <w:spacing w:lineRule="auto" w:line="288" w:before="0" w:after="0"/>
        <w:jc w:val="left"/>
        <w:rPr>
          <w:rFonts w:ascii="Times New Roman;sans-serif" w:hAnsi="Times New Roman;sans-serif"/>
          <w:b w:val="false"/>
          <w:color w:val="1A1A1A"/>
          <w:sz w:val="20"/>
        </w:rPr>
      </w:pPr>
      <w:r>
        <w:rPr>
          <w:rFonts w:ascii="Times New Roman;sans-serif" w:hAnsi="Times New Roman;sans-serif"/>
          <w:b w:val="false"/>
          <w:color w:val="1A1A1A"/>
          <w:sz w:val="20"/>
        </w:rPr>
        <w:t>OXFORD FINANCE FUNDING XIII, LLC</w:t>
      </w:r>
    </w:p>
    <w:p>
      <w:pPr>
        <w:pStyle w:val="TextBody"/>
        <w:bidi w:val="0"/>
        <w:spacing w:lineRule="auto" w:line="288" w:before="18" w:after="283"/>
        <w:jc w:val="left"/>
        <w:rPr>
          <w:rFonts w:ascii="Times New Roman;sans-serif" w:hAnsi="Times New Roman;sans-serif"/>
          <w:b w:val="false"/>
          <w:color w:val="1A1A1A"/>
          <w:sz w:val="20"/>
        </w:rPr>
      </w:pPr>
      <w:r>
        <w:rPr>
          <w:rFonts w:ascii="Times New Roman;sans-serif" w:hAnsi="Times New Roman;sans-serif"/>
          <w:b w:val="false"/>
          <w:color w:val="1A1A1A"/>
          <w:sz w:val="20"/>
        </w:rPr>
        <w:t>By: Oxford Finance LLC, as servicer</w:t>
      </w:r>
    </w:p>
    <w:p>
      <w:pPr>
        <w:pStyle w:val="TextBody"/>
        <w:bidi w:val="0"/>
        <w:spacing w:before="0" w:after="0"/>
        <w:jc w:val="left"/>
        <w:rPr/>
      </w:pPr>
      <w:r>
        <w:rPr/>
      </w:r>
    </w:p>
    <w:p>
      <w:pPr>
        <w:pStyle w:val="TextBody"/>
        <w:bidi w:val="0"/>
        <w:spacing w:before="40" w:after="283"/>
        <w:jc w:val="left"/>
        <w:rPr/>
      </w:pPr>
      <w:r>
        <w:rPr/>
      </w:r>
    </w:p>
    <w:p>
      <w:pPr>
        <w:pStyle w:val="TextBody"/>
        <w:bidi w:val="0"/>
        <w:spacing w:lineRule="auto" w:line="295" w:before="0" w:after="0"/>
        <w:ind w:left="0" w:right="0" w:hanging="2"/>
        <w:jc w:val="left"/>
        <w:rPr/>
      </w:pPr>
      <w:r>
        <w:rPr>
          <w:rFonts w:ascii="Times New Roman;sans-serif" w:hAnsi="Times New Roman;sans-serif"/>
          <w:b w:val="false"/>
          <w:color w:val="1A1A1A"/>
          <w:sz w:val="20"/>
        </w:rPr>
        <w:t xml:space="preserve">By </w:t>
      </w:r>
      <w:r>
        <w:rPr>
          <w:rFonts w:ascii="Times New Roman;sans-serif" w:hAnsi="Times New Roman;sans-serif"/>
          <w:b w:val="false"/>
          <w:color w:val="000000"/>
          <w:sz w:val="20"/>
          <w:u w:val="single"/>
        </w:rPr>
        <w:t>/s/ Colette H. Featherly</w:t>
      </w:r>
    </w:p>
    <w:p>
      <w:pPr>
        <w:pStyle w:val="TextBody"/>
        <w:bidi w:val="0"/>
        <w:spacing w:lineRule="auto" w:line="240" w:before="0" w:after="0"/>
        <w:ind w:left="0" w:right="0" w:firstLine="540"/>
        <w:jc w:val="left"/>
        <w:rPr>
          <w:rFonts w:ascii="Times New Roman;sans-serif" w:hAnsi="Times New Roman;sans-serif"/>
          <w:b w:val="false"/>
          <w:color w:val="1A1A1A"/>
          <w:sz w:val="20"/>
        </w:rPr>
      </w:pPr>
      <w:r>
        <w:rPr>
          <w:rFonts w:ascii="Times New Roman;sans-serif" w:hAnsi="Times New Roman;sans-serif"/>
          <w:b w:val="false"/>
          <w:color w:val="1A1A1A"/>
          <w:sz w:val="20"/>
        </w:rPr>
        <w:t>Name: Colette H. Featherly</w:t>
      </w:r>
    </w:p>
    <w:p>
      <w:pPr>
        <w:pStyle w:val="TextBody"/>
        <w:bidi w:val="0"/>
        <w:spacing w:lineRule="auto" w:line="288" w:before="2" w:after="283"/>
        <w:jc w:val="left"/>
        <w:rPr>
          <w:rFonts w:ascii="Times New Roman;sans-serif" w:hAnsi="Times New Roman;sans-serif"/>
          <w:b w:val="false"/>
          <w:color w:val="1A1A1A"/>
          <w:sz w:val="20"/>
        </w:rPr>
      </w:pPr>
      <w:r>
        <w:rPr>
          <w:rFonts w:ascii="Times New Roman;sans-serif" w:hAnsi="Times New Roman;sans-serif"/>
          <w:b w:val="false"/>
          <w:color w:val="1A1A1A"/>
          <w:sz w:val="20"/>
        </w:rPr>
        <w:t>Its: Senior Vice President</w:t>
      </w:r>
    </w:p>
    <w:p>
      <w:pPr>
        <w:pStyle w:val="TextBody"/>
        <w:bidi w:val="0"/>
        <w:spacing w:before="26" w:after="283"/>
        <w:jc w:val="left"/>
        <w:rPr/>
      </w:pPr>
      <w:r>
        <w:rPr/>
      </w:r>
    </w:p>
    <w:p>
      <w:pPr>
        <w:pStyle w:val="TextBody"/>
        <w:bidi w:val="0"/>
        <w:spacing w:lineRule="auto" w:line="288" w:before="0" w:after="0"/>
        <w:jc w:val="left"/>
        <w:rPr>
          <w:rFonts w:ascii="Times New Roman;sans-serif" w:hAnsi="Times New Roman;sans-serif"/>
          <w:b w:val="false"/>
          <w:color w:val="1A1A1A"/>
          <w:sz w:val="20"/>
        </w:rPr>
      </w:pPr>
      <w:r>
        <w:rPr>
          <w:rFonts w:ascii="Times New Roman;sans-serif" w:hAnsi="Times New Roman;sans-serif"/>
          <w:b w:val="false"/>
          <w:color w:val="1A1A1A"/>
          <w:sz w:val="20"/>
        </w:rPr>
        <w:t>OXFORD FINANCE CREDIT FUND II LP</w:t>
      </w:r>
    </w:p>
    <w:p>
      <w:pPr>
        <w:pStyle w:val="TextBody"/>
        <w:bidi w:val="0"/>
        <w:spacing w:lineRule="auto" w:line="288" w:before="13" w:after="283"/>
        <w:jc w:val="left"/>
        <w:rPr>
          <w:rFonts w:ascii="Times New Roman;sans-serif" w:hAnsi="Times New Roman;sans-serif"/>
          <w:b w:val="false"/>
          <w:color w:val="1A1A1A"/>
          <w:sz w:val="20"/>
        </w:rPr>
      </w:pPr>
      <w:r>
        <w:rPr>
          <w:rFonts w:ascii="Times New Roman;sans-serif" w:hAnsi="Times New Roman;sans-serif"/>
          <w:b w:val="false"/>
          <w:color w:val="1A1A1A"/>
          <w:sz w:val="20"/>
        </w:rPr>
        <w:t>By: Oxford Finance Advisors, LLC, as manager</w:t>
      </w:r>
    </w:p>
    <w:p>
      <w:pPr>
        <w:pStyle w:val="TextBody"/>
        <w:bidi w:val="0"/>
        <w:spacing w:before="0" w:after="0"/>
        <w:jc w:val="left"/>
        <w:rPr/>
      </w:pPr>
      <w:r>
        <w:rPr/>
      </w:r>
    </w:p>
    <w:p>
      <w:pPr>
        <w:pStyle w:val="TextBody"/>
        <w:bidi w:val="0"/>
        <w:spacing w:before="30" w:after="283"/>
        <w:jc w:val="left"/>
        <w:rPr/>
      </w:pPr>
      <w:r>
        <w:rPr/>
      </w:r>
    </w:p>
    <w:p>
      <w:pPr>
        <w:pStyle w:val="TextBody"/>
        <w:bidi w:val="0"/>
        <w:spacing w:lineRule="auto" w:line="295" w:before="0" w:after="0"/>
        <w:ind w:left="0" w:right="0" w:hanging="2"/>
        <w:jc w:val="left"/>
        <w:rPr/>
      </w:pPr>
      <w:r>
        <w:rPr>
          <w:rFonts w:ascii="Times New Roman;sans-serif" w:hAnsi="Times New Roman;sans-serif"/>
          <w:b w:val="false"/>
          <w:color w:val="1A1A1A"/>
          <w:sz w:val="20"/>
        </w:rPr>
        <w:t xml:space="preserve">By </w:t>
      </w:r>
      <w:r>
        <w:rPr>
          <w:rFonts w:ascii="Times New Roman;sans-serif" w:hAnsi="Times New Roman;sans-serif"/>
          <w:b w:val="false"/>
          <w:color w:val="000000"/>
          <w:sz w:val="20"/>
          <w:u w:val="single"/>
        </w:rPr>
        <w:t>/s/ Colette H. Featherly</w:t>
      </w:r>
    </w:p>
    <w:p>
      <w:pPr>
        <w:pStyle w:val="TextBody"/>
        <w:bidi w:val="0"/>
        <w:spacing w:lineRule="auto" w:line="240" w:before="0" w:after="0"/>
        <w:ind w:left="0" w:right="0" w:firstLine="540"/>
        <w:jc w:val="left"/>
        <w:rPr>
          <w:rFonts w:ascii="Times New Roman;sans-serif" w:hAnsi="Times New Roman;sans-serif"/>
          <w:b w:val="false"/>
          <w:color w:val="1A1A1A"/>
          <w:sz w:val="20"/>
        </w:rPr>
      </w:pPr>
      <w:r>
        <w:rPr>
          <w:rFonts w:ascii="Times New Roman;sans-serif" w:hAnsi="Times New Roman;sans-serif"/>
          <w:b w:val="false"/>
          <w:color w:val="1A1A1A"/>
          <w:sz w:val="20"/>
        </w:rPr>
        <w:t>Name: Colette H. Featherly</w:t>
      </w:r>
    </w:p>
    <w:p>
      <w:pPr>
        <w:pStyle w:val="TextBody"/>
        <w:bidi w:val="0"/>
        <w:spacing w:lineRule="auto" w:line="288" w:before="2" w:after="283"/>
        <w:jc w:val="left"/>
        <w:rPr>
          <w:rFonts w:ascii="Times New Roman;sans-serif" w:hAnsi="Times New Roman;sans-serif"/>
          <w:b w:val="false"/>
          <w:color w:val="1A1A1A"/>
          <w:sz w:val="20"/>
        </w:rPr>
      </w:pPr>
      <w:r>
        <w:rPr>
          <w:rFonts w:ascii="Times New Roman;sans-serif" w:hAnsi="Times New Roman;sans-serif"/>
          <w:b w:val="false"/>
          <w:color w:val="1A1A1A"/>
          <w:sz w:val="20"/>
        </w:rPr>
        <w:t>Its: Senior Vice President</w:t>
      </w:r>
    </w:p>
    <w:p>
      <w:pPr>
        <w:pStyle w:val="TextBody"/>
        <w:bidi w:val="0"/>
        <w:spacing w:before="41" w:after="283"/>
        <w:jc w:val="left"/>
        <w:rPr/>
      </w:pPr>
      <w:r>
        <w:rPr/>
      </w:r>
    </w:p>
    <w:p>
      <w:pPr>
        <w:pStyle w:val="TextBody"/>
        <w:bidi w:val="0"/>
        <w:spacing w:lineRule="auto" w:line="288" w:before="0" w:after="0"/>
        <w:jc w:val="left"/>
        <w:rPr>
          <w:rFonts w:ascii="Times New Roman;sans-serif" w:hAnsi="Times New Roman;sans-serif"/>
          <w:b w:val="false"/>
          <w:color w:val="1A1A1A"/>
          <w:sz w:val="20"/>
        </w:rPr>
      </w:pPr>
      <w:r>
        <w:rPr>
          <w:rFonts w:ascii="Times New Roman;sans-serif" w:hAnsi="Times New Roman;sans-serif"/>
          <w:b w:val="false"/>
          <w:color w:val="1A1A1A"/>
          <w:sz w:val="20"/>
        </w:rPr>
        <w:t>OXFORD FINANCE CREDIT FUND III LP</w:t>
      </w:r>
    </w:p>
    <w:p>
      <w:pPr>
        <w:pStyle w:val="TextBody"/>
        <w:bidi w:val="0"/>
        <w:spacing w:lineRule="auto" w:line="288" w:before="18" w:after="283"/>
        <w:jc w:val="left"/>
        <w:rPr>
          <w:rFonts w:ascii="Times New Roman;sans-serif" w:hAnsi="Times New Roman;sans-serif"/>
          <w:b w:val="false"/>
          <w:color w:val="1A1A1A"/>
          <w:sz w:val="20"/>
        </w:rPr>
      </w:pPr>
      <w:r>
        <w:rPr>
          <w:rFonts w:ascii="Times New Roman;sans-serif" w:hAnsi="Times New Roman;sans-serif"/>
          <w:b w:val="false"/>
          <w:color w:val="1A1A1A"/>
          <w:sz w:val="20"/>
        </w:rPr>
        <w:t>By: Oxford Finance Advisors, LLC, as manager</w:t>
      </w:r>
    </w:p>
    <w:p>
      <w:pPr>
        <w:pStyle w:val="TextBody"/>
        <w:bidi w:val="0"/>
        <w:spacing w:before="0" w:after="0"/>
        <w:jc w:val="left"/>
        <w:rPr/>
      </w:pPr>
      <w:r>
        <w:rPr/>
      </w:r>
    </w:p>
    <w:p>
      <w:pPr>
        <w:pStyle w:val="TextBody"/>
        <w:bidi w:val="0"/>
        <w:spacing w:lineRule="auto" w:line="295" w:before="0" w:after="0"/>
        <w:ind w:left="0" w:right="0" w:hanging="2"/>
        <w:jc w:val="left"/>
        <w:rPr/>
      </w:pPr>
      <w:r>
        <w:rPr>
          <w:rFonts w:ascii="Times New Roman;sans-serif" w:hAnsi="Times New Roman;sans-serif"/>
          <w:b w:val="false"/>
          <w:color w:val="1A1A1A"/>
          <w:sz w:val="20"/>
        </w:rPr>
        <w:t xml:space="preserve">By </w:t>
      </w:r>
      <w:r>
        <w:rPr>
          <w:rFonts w:ascii="Times New Roman;sans-serif" w:hAnsi="Times New Roman;sans-serif"/>
          <w:b w:val="false"/>
          <w:color w:val="000000"/>
          <w:sz w:val="20"/>
          <w:u w:val="single"/>
        </w:rPr>
        <w:t>/s/ Colette H. Featherly</w:t>
      </w:r>
    </w:p>
    <w:p>
      <w:pPr>
        <w:pStyle w:val="TextBody"/>
        <w:bidi w:val="0"/>
        <w:spacing w:lineRule="auto" w:line="240" w:before="0" w:after="0"/>
        <w:ind w:left="0" w:right="0" w:firstLine="540"/>
        <w:jc w:val="left"/>
        <w:rPr>
          <w:rFonts w:ascii="Times New Roman;sans-serif" w:hAnsi="Times New Roman;sans-serif"/>
          <w:b w:val="false"/>
          <w:color w:val="1A1A1A"/>
          <w:sz w:val="20"/>
        </w:rPr>
      </w:pPr>
      <w:r>
        <w:rPr>
          <w:rFonts w:ascii="Times New Roman;sans-serif" w:hAnsi="Times New Roman;sans-serif"/>
          <w:b w:val="false"/>
          <w:color w:val="1A1A1A"/>
          <w:sz w:val="20"/>
        </w:rPr>
        <w:t>Name: Colette H. Featherly</w:t>
      </w:r>
    </w:p>
    <w:p>
      <w:pPr>
        <w:pStyle w:val="TextBody"/>
        <w:bidi w:val="0"/>
        <w:spacing w:lineRule="auto" w:line="288" w:before="2" w:after="283"/>
        <w:jc w:val="left"/>
        <w:rPr>
          <w:rFonts w:ascii="Times New Roman;sans-serif" w:hAnsi="Times New Roman;sans-serif"/>
          <w:b w:val="false"/>
          <w:color w:val="1A1A1A"/>
          <w:sz w:val="20"/>
        </w:rPr>
      </w:pPr>
      <w:r>
        <w:rPr>
          <w:rFonts w:ascii="Times New Roman;sans-serif" w:hAnsi="Times New Roman;sans-serif"/>
          <w:b w:val="false"/>
          <w:color w:val="1A1A1A"/>
          <w:sz w:val="20"/>
        </w:rPr>
        <w:t>Its: Senior Vice President</w:t>
      </w:r>
    </w:p>
    <w:p>
      <w:pPr>
        <w:pStyle w:val="TextBody"/>
        <w:bidi w:val="0"/>
        <w:spacing w:before="0" w:after="0"/>
        <w:ind w:left="0" w:right="0" w:firstLine="8"/>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27" w:after="283"/>
        <w:jc w:val="left"/>
        <w:rPr/>
      </w:pPr>
      <w:r>
        <w:rPr/>
      </w:r>
    </w:p>
    <w:p>
      <w:pPr>
        <w:pStyle w:val="TextBody"/>
        <w:bidi w:val="0"/>
        <w:spacing w:lineRule="auto" w:line="288" w:before="0" w:after="0"/>
        <w:jc w:val="left"/>
        <w:rPr>
          <w:rFonts w:ascii="Times New Roman;sans-serif" w:hAnsi="Times New Roman;sans-serif"/>
          <w:b/>
          <w:i/>
          <w:color w:val="1A1A1A"/>
          <w:sz w:val="20"/>
        </w:rPr>
      </w:pPr>
      <w:r>
        <w:rPr>
          <w:rFonts w:ascii="Times New Roman;sans-serif" w:hAnsi="Times New Roman;sans-serif"/>
          <w:b/>
          <w:i/>
          <w:color w:val="1A1A1A"/>
          <w:sz w:val="20"/>
        </w:rPr>
        <w:t>[Signature Page to Amended and Restated Loan and Security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8" w:after="283"/>
        <w:jc w:val="center"/>
        <w:rPr>
          <w:rFonts w:ascii="Times New Roman;sans-serif" w:hAnsi="Times New Roman;sans-serif"/>
          <w:b/>
          <w:color w:val="000000"/>
          <w:sz w:val="20"/>
        </w:rPr>
      </w:pPr>
      <w:r>
        <w:rPr>
          <w:rFonts w:ascii="Times New Roman;sans-serif" w:hAnsi="Times New Roman;sans-serif"/>
          <w:b/>
          <w:color w:val="000000"/>
          <w:sz w:val="20"/>
        </w:rPr>
        <w:t>SCHEDULE 1.1</w:t>
      </w:r>
    </w:p>
    <w:p>
      <w:pPr>
        <w:pStyle w:val="TextBody"/>
        <w:bidi w:val="0"/>
        <w:spacing w:before="3" w:after="283"/>
        <w:jc w:val="left"/>
        <w:rPr/>
      </w:pPr>
      <w:r>
        <w:rPr/>
      </w:r>
    </w:p>
    <w:p>
      <w:pPr>
        <w:pStyle w:val="TextBody"/>
        <w:bidi w:val="0"/>
        <w:spacing w:lineRule="auto" w:line="288" w:before="0" w:after="0"/>
        <w:jc w:val="center"/>
        <w:rPr/>
      </w:pPr>
      <w:r>
        <w:rPr>
          <w:rFonts w:ascii="Times New Roman;sans-serif" w:hAnsi="Times New Roman;sans-serif"/>
          <w:b/>
          <w:color w:val="000000"/>
          <w:sz w:val="20"/>
          <w:u w:val="single"/>
        </w:rPr>
        <w:t>Lenders and Commitments</w:t>
      </w:r>
      <w:r>
        <w:rPr>
          <w:rFonts w:ascii="Times New Roman;sans-serif" w:hAnsi="Times New Roman;sans-serif"/>
          <w:b/>
          <w:color w:val="000000"/>
          <w:sz w:val="20"/>
        </w:rPr>
        <w:t>**</w:t>
      </w:r>
    </w:p>
    <w:p>
      <w:pPr>
        <w:pStyle w:val="TextBody"/>
        <w:bidi w:val="0"/>
        <w:spacing w:before="11" w:after="283"/>
        <w:jc w:val="left"/>
        <w:rPr/>
      </w:pPr>
      <w:r>
        <w:rPr/>
      </w:r>
    </w:p>
    <w:tbl>
      <w:tblPr>
        <w:tblW w:w="8052" w:type="dxa"/>
        <w:jc w:val="left"/>
        <w:tblInd w:w="0" w:type="dxa"/>
        <w:tblLayout w:type="fixed"/>
        <w:tblCellMar>
          <w:top w:w="28" w:type="dxa"/>
          <w:left w:w="28" w:type="dxa"/>
          <w:bottom w:w="28" w:type="dxa"/>
          <w:right w:w="28" w:type="dxa"/>
        </w:tblCellMar>
      </w:tblPr>
      <w:tblGrid>
        <w:gridCol w:w="1286"/>
        <w:gridCol w:w="1132"/>
        <w:gridCol w:w="1151"/>
        <w:gridCol w:w="744"/>
        <w:gridCol w:w="744"/>
        <w:gridCol w:w="746"/>
        <w:gridCol w:w="658"/>
        <w:gridCol w:w="658"/>
        <w:gridCol w:w="933"/>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8052" w:type="dxa"/>
            <w:gridSpan w:val="9"/>
            <w:tcBorders/>
            <w:tcMar>
              <w:top w:w="0" w:type="dxa"/>
              <w:left w:w="0" w:type="dxa"/>
              <w:bottom w:w="0" w:type="dxa"/>
              <w:right w:w="0" w:type="dxa"/>
            </w:tcMar>
            <w:vAlign w:val="center"/>
          </w:tcPr>
          <w:p>
            <w:pPr>
              <w:pStyle w:val="TableContents"/>
              <w:bidi w:val="0"/>
              <w:spacing w:lineRule="auto" w:line="247" w:before="0" w:after="0"/>
              <w:jc w:val="center"/>
              <w:rPr>
                <w:rFonts w:ascii="Times New Roman;sans-serif" w:hAnsi="Times New Roman;sans-serif"/>
                <w:b/>
                <w:color w:val="000000"/>
                <w:sz w:val="20"/>
              </w:rPr>
            </w:pPr>
            <w:r>
              <w:rPr>
                <w:rFonts w:ascii="Times New Roman;sans-serif" w:hAnsi="Times New Roman;sans-serif"/>
                <w:b/>
                <w:color w:val="000000"/>
                <w:sz w:val="20"/>
              </w:rPr>
              <w:t>Term A Loans</w:t>
            </w:r>
          </w:p>
        </w:tc>
      </w:tr>
      <w:tr>
        <w:trPr/>
        <w:tc>
          <w:tcPr>
            <w:tcW w:w="356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22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Term Loan Commitment</w:t>
            </w:r>
          </w:p>
        </w:tc>
        <w:tc>
          <w:tcPr>
            <w:tcW w:w="2249"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52" w:before="0" w:after="0"/>
              <w:jc w:val="center"/>
              <w:rPr>
                <w:rFonts w:ascii="Times New Roman;sans-serif" w:hAnsi="Times New Roman;sans-serif"/>
                <w:b/>
                <w:color w:val="000000"/>
                <w:sz w:val="20"/>
              </w:rPr>
            </w:pPr>
            <w:r>
              <w:rPr>
                <w:rFonts w:ascii="Times New Roman;sans-serif" w:hAnsi="Times New Roman;sans-serif"/>
                <w:b/>
                <w:color w:val="000000"/>
                <w:sz w:val="20"/>
              </w:rPr>
              <w:t>Commitment Percentage</w:t>
            </w:r>
          </w:p>
        </w:tc>
      </w:tr>
      <w:tr>
        <w:trPr/>
        <w:tc>
          <w:tcPr>
            <w:tcW w:w="35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OXFORD FINANCE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$15,500,000.00</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51.67%</w:t>
            </w:r>
          </w:p>
        </w:tc>
      </w:tr>
      <w:tr>
        <w:trPr/>
        <w:tc>
          <w:tcPr>
            <w:tcW w:w="35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OXFORD FINANCE CREDIT FUND II LP</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$1,500,000.00</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35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OXFORD FINANCE CREDIT FUND III LP</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$3,000,000.00</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35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OXFORD FINANCE FUNDING XIII,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$10,000,000.00</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33.33%</w:t>
            </w:r>
          </w:p>
        </w:tc>
      </w:tr>
      <w:tr>
        <w:trPr/>
        <w:tc>
          <w:tcPr>
            <w:tcW w:w="35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22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$30,000,000.00</w:t>
            </w:r>
          </w:p>
        </w:tc>
        <w:tc>
          <w:tcPr>
            <w:tcW w:w="22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100.00%</w:t>
            </w:r>
          </w:p>
        </w:tc>
      </w:tr>
    </w:tbl>
    <w:p>
      <w:pPr>
        <w:pStyle w:val="TextBody"/>
        <w:bidi w:val="0"/>
        <w:spacing w:before="34" w:after="1"/>
        <w:jc w:val="left"/>
        <w:rPr/>
      </w:pPr>
      <w:r>
        <w:rPr/>
      </w:r>
    </w:p>
    <w:tbl>
      <w:tblPr>
        <w:tblW w:w="6672" w:type="dxa"/>
        <w:jc w:val="left"/>
        <w:tblInd w:w="0" w:type="dxa"/>
        <w:tblLayout w:type="fixed"/>
        <w:tblCellMar>
          <w:top w:w="28" w:type="dxa"/>
          <w:left w:w="28" w:type="dxa"/>
          <w:bottom w:w="28" w:type="dxa"/>
          <w:right w:w="28" w:type="dxa"/>
        </w:tblCellMar>
      </w:tblPr>
      <w:tblGrid>
        <w:gridCol w:w="789"/>
        <w:gridCol w:w="694"/>
        <w:gridCol w:w="706"/>
        <w:gridCol w:w="744"/>
        <w:gridCol w:w="744"/>
        <w:gridCol w:w="746"/>
        <w:gridCol w:w="658"/>
        <w:gridCol w:w="658"/>
        <w:gridCol w:w="933"/>
      </w:tblGrid>
      <w:tr>
        <w:trPr/>
        <w:tc>
          <w:tcPr>
            <w:tcW w:w="7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6672" w:type="dxa"/>
            <w:gridSpan w:val="9"/>
            <w:tcBorders/>
            <w:tcMar>
              <w:top w:w="0" w:type="dxa"/>
              <w:left w:w="0" w:type="dxa"/>
              <w:bottom w:w="0" w:type="dxa"/>
              <w:right w:w="0" w:type="dxa"/>
            </w:tcMar>
            <w:vAlign w:val="center"/>
          </w:tcPr>
          <w:p>
            <w:pPr>
              <w:pStyle w:val="TableContents"/>
              <w:bidi w:val="0"/>
              <w:spacing w:lineRule="auto" w:line="244" w:before="0" w:after="0"/>
              <w:jc w:val="center"/>
              <w:rPr>
                <w:rFonts w:ascii="Times New Roman;sans-serif" w:hAnsi="Times New Roman;sans-serif"/>
                <w:b/>
                <w:color w:val="000000"/>
                <w:sz w:val="20"/>
              </w:rPr>
            </w:pPr>
            <w:r>
              <w:rPr>
                <w:rFonts w:ascii="Times New Roman;sans-serif" w:hAnsi="Times New Roman;sans-serif"/>
                <w:b/>
                <w:color w:val="000000"/>
                <w:sz w:val="20"/>
              </w:rPr>
              <w:t>Term B Loans</w:t>
            </w:r>
          </w:p>
        </w:tc>
      </w:tr>
      <w:tr>
        <w:trPr/>
        <w:tc>
          <w:tcPr>
            <w:tcW w:w="21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22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color w:val="000000"/>
                <w:sz w:val="20"/>
              </w:rPr>
            </w:pPr>
            <w:r>
              <w:rPr>
                <w:rFonts w:ascii="Times New Roman;sans-serif" w:hAnsi="Times New Roman;sans-serif"/>
                <w:b/>
                <w:color w:val="000000"/>
                <w:sz w:val="20"/>
              </w:rPr>
              <w:t>Term Loan Commitment</w:t>
            </w:r>
          </w:p>
        </w:tc>
        <w:tc>
          <w:tcPr>
            <w:tcW w:w="2249"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54" w:before="0" w:after="0"/>
              <w:jc w:val="center"/>
              <w:rPr>
                <w:rFonts w:ascii="Times New Roman;sans-serif" w:hAnsi="Times New Roman;sans-serif"/>
                <w:b/>
                <w:color w:val="000000"/>
                <w:sz w:val="20"/>
              </w:rPr>
            </w:pPr>
            <w:r>
              <w:rPr>
                <w:rFonts w:ascii="Times New Roman;sans-serif" w:hAnsi="Times New Roman;sans-serif"/>
                <w:b/>
                <w:color w:val="000000"/>
                <w:sz w:val="20"/>
              </w:rPr>
              <w:t>Commitment Percentage</w:t>
            </w:r>
          </w:p>
        </w:tc>
      </w:tr>
      <w:tr>
        <w:trPr/>
        <w:tc>
          <w:tcPr>
            <w:tcW w:w="21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OXFORD FINANCE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$35,000,000.00</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21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22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$35,000,000.00</w:t>
            </w:r>
          </w:p>
        </w:tc>
        <w:tc>
          <w:tcPr>
            <w:tcW w:w="22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100.00%</w:t>
            </w:r>
          </w:p>
        </w:tc>
      </w:tr>
    </w:tbl>
    <w:p>
      <w:pPr>
        <w:pStyle w:val="TextBody"/>
        <w:bidi w:val="0"/>
        <w:spacing w:before="33" w:after="283"/>
        <w:jc w:val="left"/>
        <w:rPr/>
      </w:pPr>
      <w:r>
        <w:rPr/>
      </w:r>
    </w:p>
    <w:tbl>
      <w:tblPr>
        <w:tblW w:w="6672" w:type="dxa"/>
        <w:jc w:val="left"/>
        <w:tblInd w:w="0" w:type="dxa"/>
        <w:tblLayout w:type="fixed"/>
        <w:tblCellMar>
          <w:top w:w="28" w:type="dxa"/>
          <w:left w:w="28" w:type="dxa"/>
          <w:bottom w:w="28" w:type="dxa"/>
          <w:right w:w="28" w:type="dxa"/>
        </w:tblCellMar>
      </w:tblPr>
      <w:tblGrid>
        <w:gridCol w:w="789"/>
        <w:gridCol w:w="694"/>
        <w:gridCol w:w="706"/>
        <w:gridCol w:w="744"/>
        <w:gridCol w:w="744"/>
        <w:gridCol w:w="746"/>
        <w:gridCol w:w="658"/>
        <w:gridCol w:w="658"/>
        <w:gridCol w:w="933"/>
      </w:tblGrid>
      <w:tr>
        <w:trPr/>
        <w:tc>
          <w:tcPr>
            <w:tcW w:w="78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r>
      <w:tr>
        <w:trPr/>
        <w:tc>
          <w:tcPr>
            <w:tcW w:w="6672" w:type="dxa"/>
            <w:gridSpan w:val="9"/>
            <w:tcBorders/>
            <w:tcMar>
              <w:top w:w="0" w:type="dxa"/>
              <w:left w:w="0" w:type="dxa"/>
              <w:bottom w:w="0" w:type="dxa"/>
              <w:right w:w="0" w:type="dxa"/>
            </w:tcMar>
            <w:vAlign w:val="center"/>
          </w:tcPr>
          <w:p>
            <w:pPr>
              <w:pStyle w:val="TableContents"/>
              <w:bidi w:val="0"/>
              <w:spacing w:lineRule="auto" w:line="244" w:before="0" w:after="0"/>
              <w:jc w:val="center"/>
              <w:rPr>
                <w:rFonts w:ascii="Times New Roman;sans-serif" w:hAnsi="Times New Roman;sans-serif"/>
                <w:b/>
                <w:color w:val="000000"/>
                <w:sz w:val="20"/>
              </w:rPr>
            </w:pPr>
            <w:r>
              <w:rPr>
                <w:rFonts w:ascii="Times New Roman;sans-serif" w:hAnsi="Times New Roman;sans-serif"/>
                <w:b/>
                <w:color w:val="000000"/>
                <w:sz w:val="20"/>
              </w:rPr>
              <w:t>Term C Loans</w:t>
            </w:r>
          </w:p>
        </w:tc>
      </w:tr>
      <w:tr>
        <w:trPr/>
        <w:tc>
          <w:tcPr>
            <w:tcW w:w="218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22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color w:val="000000"/>
                <w:sz w:val="20"/>
              </w:rPr>
            </w:pPr>
            <w:r>
              <w:rPr>
                <w:rFonts w:ascii="Times New Roman;sans-serif" w:hAnsi="Times New Roman;sans-serif"/>
                <w:b/>
                <w:color w:val="000000"/>
                <w:sz w:val="20"/>
              </w:rPr>
              <w:t>Term Loan Commitment</w:t>
            </w:r>
          </w:p>
        </w:tc>
        <w:tc>
          <w:tcPr>
            <w:tcW w:w="2249"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54" w:before="0" w:after="0"/>
              <w:jc w:val="center"/>
              <w:rPr>
                <w:rFonts w:ascii="Times New Roman;sans-serif" w:hAnsi="Times New Roman;sans-serif"/>
                <w:b/>
                <w:color w:val="000000"/>
                <w:sz w:val="20"/>
              </w:rPr>
            </w:pPr>
            <w:r>
              <w:rPr>
                <w:rFonts w:ascii="Times New Roman;sans-serif" w:hAnsi="Times New Roman;sans-serif"/>
                <w:b/>
                <w:color w:val="000000"/>
                <w:sz w:val="20"/>
              </w:rPr>
              <w:t>Commitment Percentage</w:t>
            </w:r>
          </w:p>
        </w:tc>
      </w:tr>
      <w:tr>
        <w:trPr/>
        <w:tc>
          <w:tcPr>
            <w:tcW w:w="218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OXFORD FINANCE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$35,000,000.00</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r>
      <w:tr>
        <w:trPr/>
        <w:tc>
          <w:tcPr>
            <w:tcW w:w="218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22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$35,000,000.00</w:t>
            </w:r>
          </w:p>
        </w:tc>
        <w:tc>
          <w:tcPr>
            <w:tcW w:w="22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100.00%</w:t>
            </w:r>
          </w:p>
        </w:tc>
      </w:tr>
    </w:tbl>
    <w:p>
      <w:pPr>
        <w:pStyle w:val="TextBody"/>
        <w:bidi w:val="0"/>
        <w:spacing w:before="32" w:after="283"/>
        <w:jc w:val="left"/>
        <w:rPr/>
      </w:pPr>
      <w:r>
        <w:rPr/>
      </w:r>
    </w:p>
    <w:tbl>
      <w:tblPr>
        <w:tblW w:w="8052" w:type="dxa"/>
        <w:jc w:val="left"/>
        <w:tblInd w:w="0" w:type="dxa"/>
        <w:tblLayout w:type="fixed"/>
        <w:tblCellMar>
          <w:top w:w="28" w:type="dxa"/>
          <w:left w:w="28" w:type="dxa"/>
          <w:bottom w:w="28" w:type="dxa"/>
          <w:right w:w="28" w:type="dxa"/>
        </w:tblCellMar>
      </w:tblPr>
      <w:tblGrid>
        <w:gridCol w:w="1286"/>
        <w:gridCol w:w="1132"/>
        <w:gridCol w:w="1151"/>
        <w:gridCol w:w="744"/>
        <w:gridCol w:w="744"/>
        <w:gridCol w:w="746"/>
        <w:gridCol w:w="656"/>
        <w:gridCol w:w="656"/>
        <w:gridCol w:w="937"/>
      </w:tblGrid>
      <w:tr>
        <w:trPr/>
        <w:tc>
          <w:tcPr>
            <w:tcW w:w="1286"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r>
      <w:tr>
        <w:trPr/>
        <w:tc>
          <w:tcPr>
            <w:tcW w:w="8052" w:type="dxa"/>
            <w:gridSpan w:val="9"/>
            <w:tcBorders/>
            <w:tcMar>
              <w:top w:w="0" w:type="dxa"/>
              <w:left w:w="0" w:type="dxa"/>
              <w:bottom w:w="0" w:type="dxa"/>
              <w:right w:w="0" w:type="dxa"/>
            </w:tcMar>
            <w:vAlign w:val="center"/>
          </w:tcPr>
          <w:p>
            <w:pPr>
              <w:pStyle w:val="TableContents"/>
              <w:bidi w:val="0"/>
              <w:spacing w:lineRule="auto" w:line="266" w:before="0" w:after="0"/>
              <w:jc w:val="center"/>
              <w:rPr>
                <w:rFonts w:ascii="Times New Roman;sans-serif" w:hAnsi="Times New Roman;sans-serif"/>
                <w:b/>
                <w:color w:val="000000"/>
                <w:sz w:val="20"/>
              </w:rPr>
            </w:pPr>
            <w:r>
              <w:rPr>
                <w:rFonts w:ascii="Times New Roman;sans-serif" w:hAnsi="Times New Roman;sans-serif"/>
                <w:b/>
                <w:color w:val="000000"/>
                <w:sz w:val="20"/>
              </w:rPr>
              <w:t>Aggregate</w:t>
            </w:r>
          </w:p>
          <w:p>
            <w:pPr>
              <w:pStyle w:val="TableContents"/>
              <w:bidi w:val="0"/>
              <w:spacing w:lineRule="auto" w:line="254" w:before="1" w:after="283"/>
              <w:jc w:val="center"/>
              <w:rPr>
                <w:rFonts w:ascii="Times New Roman;sans-serif" w:hAnsi="Times New Roman;sans-serif"/>
                <w:b/>
                <w:color w:val="000000"/>
                <w:sz w:val="20"/>
              </w:rPr>
            </w:pPr>
            <w:r>
              <w:rPr>
                <w:rFonts w:ascii="Times New Roman;sans-serif" w:hAnsi="Times New Roman;sans-serif"/>
                <w:b/>
                <w:color w:val="000000"/>
                <w:sz w:val="20"/>
              </w:rPr>
              <w:t>(all Term Loans A-C)</w:t>
            </w:r>
          </w:p>
        </w:tc>
      </w:tr>
      <w:tr>
        <w:trPr/>
        <w:tc>
          <w:tcPr>
            <w:tcW w:w="3569"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color w:val="000000"/>
                <w:sz w:val="20"/>
              </w:rPr>
            </w:pPr>
            <w:r>
              <w:rPr>
                <w:rFonts w:ascii="Times New Roman;sans-serif" w:hAnsi="Times New Roman;sans-serif"/>
                <w:b/>
                <w:color w:val="000000"/>
                <w:sz w:val="20"/>
              </w:rPr>
              <w:t>Lender</w:t>
            </w:r>
          </w:p>
        </w:tc>
        <w:tc>
          <w:tcPr>
            <w:tcW w:w="2234"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54" w:before="0" w:after="0"/>
              <w:jc w:val="center"/>
              <w:rPr>
                <w:rFonts w:ascii="Times New Roman;sans-serif" w:hAnsi="Times New Roman;sans-serif"/>
                <w:b/>
                <w:color w:val="000000"/>
                <w:sz w:val="20"/>
              </w:rPr>
            </w:pPr>
            <w:r>
              <w:rPr>
                <w:rFonts w:ascii="Times New Roman;sans-serif" w:hAnsi="Times New Roman;sans-serif"/>
                <w:b/>
                <w:color w:val="000000"/>
                <w:sz w:val="20"/>
              </w:rPr>
              <w:t>Term Loan Commitment</w:t>
            </w:r>
          </w:p>
        </w:tc>
        <w:tc>
          <w:tcPr>
            <w:tcW w:w="2249"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54" w:before="0" w:after="0"/>
              <w:jc w:val="center"/>
              <w:rPr>
                <w:rFonts w:ascii="Times New Roman;sans-serif" w:hAnsi="Times New Roman;sans-serif"/>
                <w:b/>
                <w:color w:val="000000"/>
                <w:sz w:val="20"/>
              </w:rPr>
            </w:pPr>
            <w:r>
              <w:rPr>
                <w:rFonts w:ascii="Times New Roman;sans-serif" w:hAnsi="Times New Roman;sans-serif"/>
                <w:b/>
                <w:color w:val="000000"/>
                <w:sz w:val="20"/>
              </w:rPr>
              <w:t>Commitment Percentage</w:t>
            </w:r>
          </w:p>
        </w:tc>
      </w:tr>
      <w:tr>
        <w:trPr/>
        <w:tc>
          <w:tcPr>
            <w:tcW w:w="35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OXFORD FINANCE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$85,500,000.00</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85.50%</w:t>
            </w:r>
          </w:p>
        </w:tc>
      </w:tr>
      <w:tr>
        <w:trPr/>
        <w:tc>
          <w:tcPr>
            <w:tcW w:w="35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OXFORD FINANCE CREDIT FUND II LP</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$1,500,000.00</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35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OXFORD FINANCE CREDIT FUND III LP</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$3,000,000.00</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r>
      <w:tr>
        <w:trPr/>
        <w:tc>
          <w:tcPr>
            <w:tcW w:w="356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OXFORD FINANCE FUNDING XIII, LLC</w:t>
            </w:r>
          </w:p>
        </w:tc>
        <w:tc>
          <w:tcPr>
            <w:tcW w:w="223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$10,000,000.00</w:t>
            </w:r>
          </w:p>
        </w:tc>
        <w:tc>
          <w:tcPr>
            <w:tcW w:w="22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10.00%</w:t>
            </w:r>
          </w:p>
        </w:tc>
      </w:tr>
      <w:tr>
        <w:trPr/>
        <w:tc>
          <w:tcPr>
            <w:tcW w:w="356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223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$100,000,000.00</w:t>
            </w:r>
          </w:p>
        </w:tc>
        <w:tc>
          <w:tcPr>
            <w:tcW w:w="22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100.00%</w:t>
            </w:r>
          </w:p>
        </w:tc>
      </w:tr>
    </w:tbl>
    <w:p>
      <w:pPr>
        <w:pStyle w:val="TextBody"/>
        <w:bidi w:val="0"/>
        <w:spacing w:before="214" w:after="283"/>
        <w:jc w:val="left"/>
        <w:rPr/>
      </w:pPr>
      <w:r>
        <w:rPr/>
      </w:r>
    </w:p>
    <w:p>
      <w:pPr>
        <w:pStyle w:val="TextBody"/>
        <w:bidi w:val="0"/>
        <w:spacing w:lineRule="auto" w:line="288" w:before="0" w:after="0"/>
        <w:jc w:val="both"/>
        <w:rPr/>
      </w:pPr>
      <w:r>
        <w:rPr>
          <w:rFonts w:ascii="Times New Roman;sans-serif" w:hAnsi="Times New Roman;sans-serif"/>
          <w:b w:val="false"/>
          <w:color w:val="000000"/>
          <w:sz w:val="20"/>
        </w:rPr>
        <w:t>** If the Term B Draw Period terminates on December 31, 2025 (other than as the result of an Event of Default), up to Fifteen Million Dollars ($15,000,000) of the remaining amount of the Term B Loan Commitment on December 31, 2025 shall be added to the Term C Loan Commitment (such additional amount, the “</w:t>
      </w:r>
      <w:r>
        <w:rPr>
          <w:rFonts w:ascii="Times New Roman;sans-serif" w:hAnsi="Times New Roman;sans-serif"/>
          <w:b/>
          <w:color w:val="000000"/>
          <w:sz w:val="20"/>
        </w:rPr>
        <w:t>Additional Term C Loan Commitment Amount</w:t>
      </w:r>
      <w:r>
        <w:rPr>
          <w:color w:val="000000"/>
        </w:rPr>
        <w:t>”</w:t>
      </w:r>
      <w:r>
        <w:rPr>
          <w:rFonts w:ascii="Times New Roman;sans-serif" w:hAnsi="Times New Roman;sans-serif"/>
          <w:b w:val="false"/>
          <w:color w:val="000000"/>
          <w:sz w:val="20"/>
        </w:rPr>
        <w:t>) effective as of January 1, 2026 on a pro rata basis in accordance with the Commitment Percentage for the Term C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30250"/>
                <wp:effectExtent l="0" t="0" r="0" b="0"/>
                <wp:wrapNone/>
                <wp:docPr id="124" name="Frame124"/>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center"/>
        <w:rPr>
          <w:rFonts w:ascii="Times New Roman;sans-serif" w:hAnsi="Times New Roman;sans-serif"/>
          <w:b/>
          <w:color w:val="000000"/>
          <w:sz w:val="20"/>
        </w:rPr>
      </w:pPr>
      <w:r>
        <w:rPr>
          <w:rFonts w:ascii="Times New Roman;sans-serif" w:hAnsi="Times New Roman;sans-serif"/>
          <w:b/>
          <w:color w:val="000000"/>
          <w:sz w:val="20"/>
        </w:rPr>
        <w:t>EXHIBIT A</w:t>
      </w:r>
    </w:p>
    <w:p>
      <w:pPr>
        <w:pStyle w:val="TextBody"/>
        <w:bidi w:val="0"/>
        <w:spacing w:before="3" w:after="283"/>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Description of Collateral</w:t>
      </w:r>
    </w:p>
    <w:p>
      <w:pPr>
        <w:pStyle w:val="TextBody"/>
        <w:bidi w:val="0"/>
        <w:spacing w:lineRule="auto" w:line="283" w:before="237"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Collateral consists of all of Borrower’s right, title and interest, whether now owned or existing or hereafter acquired or arising, in, to and under the following personal property:</w:t>
      </w:r>
    </w:p>
    <w:p>
      <w:pPr>
        <w:pStyle w:val="TextBody"/>
        <w:bidi w:val="0"/>
        <w:spacing w:lineRule="auto" w:line="288" w:before="23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goods, Accounts (including health-care receivables), Equipment, Inventory, contract rights or rights to payment of money, leases, license agreements, franchise agreements, General Intangibles (excluding any Intellectual Property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pStyle w:val="TextBody"/>
        <w:bidi w:val="0"/>
        <w:spacing w:lineRule="auto" w:line="280"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pStyle w:val="TextBody"/>
        <w:bidi w:val="0"/>
        <w:spacing w:lineRule="auto" w:line="288" w:before="233"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the Collateral does not include (i) any Intellectual Property; provided, however, the Collateral shall include all Accounts and all proceeds of Intellectual Property and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(ii) Excluded Accounts; and (iii) any license or contract, in each case if the granting of a Lien in such license or contract is prohibited by or would constitute a default under the agreement governing such license or contract (but (A) only to the extent such prohibition is enforceable under applicable law and (B) other than to the extent that any such term would be rendered ineffective pursuant to Sections 9-406, 9-408 or 9-409 (or any other Section) of Section 9 of the Code); provided that upon the termination, lapsing or expiration of any such prohibition, such license or contract, as applicable, shall automatically be subject to the security interest granted in favor of Collateral Agent hereunder and become part of the “Collateral.”</w:t>
      </w:r>
    </w:p>
    <w:p>
      <w:pPr>
        <w:pStyle w:val="TextBody"/>
        <w:bidi w:val="0"/>
        <w:spacing w:lineRule="auto" w:line="283" w:before="239"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a certain negative pledge arrangement with Collateral Agent and the Lenders, Borrower has agreed not to encumber any of its Intellectual Property.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30250"/>
                <wp:effectExtent l="0" t="0" r="0" b="0"/>
                <wp:wrapNone/>
                <wp:docPr id="125" name="Frame125"/>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center"/>
        <w:rPr>
          <w:rFonts w:ascii="Times New Roman;sans-serif" w:hAnsi="Times New Roman;sans-serif"/>
          <w:b/>
          <w:color w:val="000000"/>
          <w:sz w:val="20"/>
        </w:rPr>
      </w:pPr>
      <w:r>
        <w:rPr>
          <w:rFonts w:ascii="Times New Roman;sans-serif" w:hAnsi="Times New Roman;sans-serif"/>
          <w:b/>
          <w:color w:val="000000"/>
          <w:sz w:val="20"/>
        </w:rPr>
        <w:t>EXHIBIT B</w:t>
      </w:r>
    </w:p>
    <w:p>
      <w:pPr>
        <w:pStyle w:val="TextBody"/>
        <w:bidi w:val="0"/>
        <w:spacing w:lineRule="auto" w:line="288" w:before="237" w:after="283"/>
        <w:jc w:val="center"/>
        <w:rPr>
          <w:rFonts w:ascii="Times New Roman;sans-serif" w:hAnsi="Times New Roman;sans-serif"/>
          <w:b/>
          <w:color w:val="000000"/>
          <w:sz w:val="20"/>
        </w:rPr>
      </w:pPr>
      <w:r>
        <w:rPr>
          <w:rFonts w:ascii="Times New Roman;sans-serif" w:hAnsi="Times New Roman;sans-serif"/>
          <w:b/>
          <w:color w:val="000000"/>
          <w:sz w:val="20"/>
        </w:rPr>
        <w:t>FORM OF DISBURSEMENT LETTER</w:t>
      </w:r>
    </w:p>
    <w:p>
      <w:pPr>
        <w:pStyle w:val="TextBody"/>
        <w:bidi w:val="0"/>
        <w:spacing w:before="2" w:after="283"/>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w:t>
      </w:r>
    </w:p>
    <w:p>
      <w:pPr>
        <w:pStyle w:val="TextBody"/>
        <w:bidi w:val="0"/>
        <w:spacing w:lineRule="auto" w:line="288" w:before="239" w:after="283"/>
        <w:ind w:left="0" w:right="0" w:firstLine="720"/>
        <w:jc w:val="both"/>
        <w:rPr/>
      </w:pPr>
      <w:r>
        <w:rPr>
          <w:rFonts w:ascii="Times New Roman;sans-serif" w:hAnsi="Times New Roman;sans-serif"/>
          <w:b w:val="false"/>
          <w:color w:val="000000"/>
          <w:sz w:val="20"/>
        </w:rPr>
        <w:t xml:space="preserve">The undersigned, being the duly elected and acting </w:t>
      </w:r>
      <w:r>
        <w:rPr>
          <w:color w:val="000000"/>
          <w:u w:val="single"/>
        </w:rPr>
        <w:t>    </w:t>
      </w:r>
      <w:r>
        <w:rPr>
          <w:rFonts w:ascii="Times New Roman;sans-serif" w:hAnsi="Times New Roman;sans-serif"/>
          <w:b w:val="false"/>
          <w:color w:val="000000"/>
          <w:sz w:val="20"/>
        </w:rPr>
        <w:t>of PLIANT THERAPEUTICS, INC., a Delaware corporation with offices located at 260 Littlefield Avenue, S San Francisco CA 94080 (“</w:t>
      </w:r>
      <w:r>
        <w:rPr>
          <w:rFonts w:ascii="Times New Roman;sans-serif" w:hAnsi="Times New Roman;sans-serif"/>
          <w:b/>
          <w:color w:val="000000"/>
          <w:sz w:val="20"/>
        </w:rPr>
        <w:t>Borrower</w:t>
      </w:r>
      <w:r>
        <w:rPr>
          <w:color w:val="000000"/>
        </w:rPr>
        <w:t>”</w:t>
      </w:r>
      <w:r>
        <w:rPr>
          <w:rFonts w:ascii="Times New Roman;sans-serif" w:hAnsi="Times New Roman;sans-serif"/>
          <w:b w:val="false"/>
          <w:color w:val="000000"/>
          <w:sz w:val="20"/>
        </w:rPr>
        <w:t xml:space="preserve">), does hereby certify, in such capacity and not individually, to </w:t>
      </w:r>
      <w:r>
        <w:rPr>
          <w:rFonts w:ascii="Times New Roman;sans-serif" w:hAnsi="Times New Roman;sans-serif"/>
          <w:b/>
          <w:color w:val="000000"/>
          <w:sz w:val="20"/>
        </w:rPr>
        <w:t xml:space="preserve">OXFORD FINANCE LLC </w:t>
      </w:r>
      <w:r>
        <w:rPr>
          <w:rFonts w:ascii="Times New Roman;sans-serif" w:hAnsi="Times New Roman;sans-serif"/>
          <w:b w:val="false"/>
          <w:color w:val="000000"/>
          <w:sz w:val="20"/>
        </w:rPr>
        <w:t>(“</w:t>
      </w:r>
      <w:r>
        <w:rPr>
          <w:rFonts w:ascii="Times New Roman;sans-serif" w:hAnsi="Times New Roman;sans-serif"/>
          <w:b/>
          <w:color w:val="000000"/>
          <w:sz w:val="20"/>
        </w:rPr>
        <w:t>Oxford</w:t>
      </w:r>
      <w:r>
        <w:rPr>
          <w:color w:val="000000"/>
        </w:rPr>
        <w:t>”</w:t>
      </w:r>
      <w:r>
        <w:rPr>
          <w:rFonts w:ascii="Times New Roman;sans-serif" w:hAnsi="Times New Roman;sans-serif"/>
          <w:b w:val="false"/>
          <w:color w:val="000000"/>
          <w:sz w:val="20"/>
        </w:rPr>
        <w:t>), as collateral agent acting on behalf of the Lenders from time to time party to (as defined herein) the Loan Agreement (as defined below) (the “</w:t>
      </w:r>
      <w:r>
        <w:rPr>
          <w:rFonts w:ascii="Times New Roman;sans-serif" w:hAnsi="Times New Roman;sans-serif"/>
          <w:b/>
          <w:color w:val="000000"/>
          <w:sz w:val="20"/>
        </w:rPr>
        <w:t>Collateral Agent</w:t>
      </w:r>
      <w:r>
        <w:rPr>
          <w:color w:val="000000"/>
        </w:rPr>
        <w:t>”</w:t>
      </w:r>
      <w:r>
        <w:rPr>
          <w:rFonts w:ascii="Times New Roman;sans-serif" w:hAnsi="Times New Roman;sans-serif"/>
          <w:b w:val="false"/>
          <w:color w:val="000000"/>
          <w:sz w:val="20"/>
        </w:rPr>
        <w:t>) in connection with that certain Amended and Restated Loan and Security Agreement dated as of March 11, 2024, by and among Borrower, Collateral Agent and the Lenders from time to time party thereto (the “</w:t>
      </w:r>
      <w:r>
        <w:rPr>
          <w:rFonts w:ascii="Times New Roman;sans-serif" w:hAnsi="Times New Roman;sans-serif"/>
          <w:b/>
          <w:color w:val="000000"/>
          <w:sz w:val="20"/>
        </w:rPr>
        <w:t>Loan Agreement</w:t>
      </w:r>
      <w:r>
        <w:rPr>
          <w:color w:val="000000"/>
        </w:rPr>
        <w:t>”</w:t>
      </w:r>
      <w:r>
        <w:rPr>
          <w:rFonts w:ascii="Times New Roman;sans-serif" w:hAnsi="Times New Roman;sans-serif"/>
          <w:b w:val="false"/>
          <w:color w:val="000000"/>
          <w:sz w:val="20"/>
        </w:rPr>
        <w:t>; with other capitalized terms used below having the meanings ascribed thereto in the Loan Agreement) that:</w:t>
      </w:r>
    </w:p>
    <w:p>
      <w:pPr>
        <w:pStyle w:val="TextBody"/>
        <w:bidi w:val="0"/>
        <w:spacing w:lineRule="auto" w:line="288" w:before="239"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1.The representations and warranties made by Borrower in Section 5 of the Loan Agreement are true and correct in all material respects as of the date hereof; provided, however that such materiality qualifier is not applicable to any representations and warranties that already are qualified or modified by materiality in the text thereof; and provided, further that those representations and warranties expressly referring to a specific date are true and correct in all material respects as of the date hereof.</w:t>
      </w:r>
    </w:p>
    <w:p>
      <w:pPr>
        <w:pStyle w:val="TextBody"/>
        <w:bidi w:val="0"/>
        <w:spacing w:lineRule="auto" w:line="283" w:before="239"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2.As of the date hereof, no Event of Default has occurred and is continuing or will result from the Credit Extension.</w:t>
      </w:r>
    </w:p>
    <w:p>
      <w:pPr>
        <w:pStyle w:val="TextBody"/>
        <w:bidi w:val="0"/>
        <w:spacing w:lineRule="auto" w:line="280" w:before="231"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3.Borrower is in compliance with the covenants and requirements contained in Sections 4, 6 and 7 of the Loan Agreement.</w:t>
      </w:r>
    </w:p>
    <w:p>
      <w:pPr>
        <w:pStyle w:val="TextBody"/>
        <w:bidi w:val="0"/>
        <w:spacing w:lineRule="auto" w:line="288" w:before="235" w:after="283"/>
        <w:ind w:left="0" w:right="0" w:firstLine="720"/>
        <w:jc w:val="both"/>
        <w:rPr/>
      </w:pPr>
      <w:r>
        <w:rPr>
          <w:rFonts w:ascii="Times New Roman;sans-serif" w:hAnsi="Times New Roman;sans-serif"/>
          <w:b w:val="false"/>
          <w:color w:val="000000"/>
          <w:sz w:val="20"/>
        </w:rPr>
        <w:t xml:space="preserve">4.All conditions referred to in </w:t>
      </w:r>
      <w:r>
        <w:rPr>
          <w:rFonts w:ascii="Times New Roman;sans-serif" w:hAnsi="Times New Roman;sans-serif"/>
          <w:b w:val="false"/>
          <w:color w:val="000000"/>
          <w:sz w:val="20"/>
          <w:u w:val="single"/>
        </w:rPr>
        <w:t>Section [3.1/3.2]</w:t>
      </w:r>
      <w:r>
        <w:rPr>
          <w:color w:val="000000"/>
        </w:rPr>
        <w:t xml:space="preserve"> </w:t>
      </w:r>
      <w:r>
        <w:rPr>
          <w:rFonts w:ascii="Times New Roman;sans-serif" w:hAnsi="Times New Roman;sans-serif"/>
          <w:b w:val="false"/>
          <w:color w:val="000000"/>
          <w:sz w:val="20"/>
        </w:rPr>
        <w:t>of the Loan Agreement to the making of the Term Loan to be made on or about the date hereof have been satisfied or waived by Collateral Agent.</w:t>
      </w:r>
    </w:p>
    <w:p>
      <w:pPr>
        <w:pStyle w:val="TextBody"/>
        <w:bidi w:val="0"/>
        <w:spacing w:lineRule="auto" w:line="288" w:before="243"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5.No Material Adverse Change has occurred.</w:t>
      </w:r>
    </w:p>
    <w:p>
      <w:pPr>
        <w:pStyle w:val="TextBody"/>
        <w:bidi w:val="0"/>
        <w:spacing w:lineRule="auto" w:line="288" w:before="239"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6.The undersigned is a Responsible Officer.</w:t>
      </w:r>
    </w:p>
    <w:p>
      <w:pPr>
        <w:pStyle w:val="TextBody"/>
        <w:bidi w:val="0"/>
        <w:spacing w:lineRule="auto" w:line="288" w:before="239" w:after="283"/>
        <w:jc w:val="center"/>
        <w:rPr>
          <w:rFonts w:ascii="Times New Roman;sans-serif" w:hAnsi="Times New Roman;sans-serif"/>
          <w:b/>
          <w:i/>
          <w:color w:val="000000"/>
          <w:sz w:val="20"/>
        </w:rPr>
      </w:pPr>
      <w:r>
        <w:rPr>
          <w:rFonts w:ascii="Times New Roman;sans-serif" w:hAnsi="Times New Roman;sans-serif"/>
          <w:b/>
          <w:i/>
          <w:color w:val="000000"/>
          <w:sz w:val="20"/>
        </w:rPr>
        <w:t>[Balance of Page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30250"/>
                <wp:effectExtent l="0" t="0" r="0" b="0"/>
                <wp:wrapNone/>
                <wp:docPr id="126" name="Frame126"/>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2"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7.The proceeds of the Term [A][B][C] Loan shall be disbursed as follows:</w:t>
      </w:r>
    </w:p>
    <w:p>
      <w:pPr>
        <w:pStyle w:val="TextBody"/>
        <w:bidi w:val="0"/>
        <w:spacing w:before="56" w:after="283"/>
        <w:jc w:val="left"/>
        <w:rPr/>
      </w:pPr>
      <w:r>
        <w:rPr/>
      </w:r>
    </w:p>
    <w:tbl>
      <w:tblPr>
        <w:tblW w:w="5113" w:type="dxa"/>
        <w:jc w:val="left"/>
        <w:tblInd w:w="0" w:type="dxa"/>
        <w:tblLayout w:type="fixed"/>
        <w:tblCellMar>
          <w:top w:w="28" w:type="dxa"/>
          <w:left w:w="28" w:type="dxa"/>
          <w:bottom w:w="28" w:type="dxa"/>
          <w:right w:w="28" w:type="dxa"/>
        </w:tblCellMar>
      </w:tblPr>
      <w:tblGrid>
        <w:gridCol w:w="1590"/>
        <w:gridCol w:w="1399"/>
        <w:gridCol w:w="1405"/>
        <w:gridCol w:w="209"/>
        <w:gridCol w:w="209"/>
        <w:gridCol w:w="301"/>
      </w:tblGrid>
      <w:tr>
        <w:trPr/>
        <w:tc>
          <w:tcPr>
            <w:tcW w:w="159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49" w:before="0" w:after="0"/>
              <w:jc w:val="left"/>
              <w:rPr>
                <w:rFonts w:ascii="Times New Roman;sans-serif" w:hAnsi="Times New Roman;sans-serif"/>
                <w:b/>
                <w:color w:val="000000"/>
                <w:sz w:val="20"/>
              </w:rPr>
            </w:pPr>
            <w:r>
              <w:rPr>
                <w:rFonts w:ascii="Times New Roman;sans-serif" w:hAnsi="Times New Roman;sans-serif"/>
                <w:b/>
                <w:color w:val="000000"/>
                <w:sz w:val="20"/>
              </w:rPr>
              <w:t>Disbursement from Collateral Agent:</w:t>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Amount</w:t>
            </w:r>
          </w:p>
        </w:tc>
        <w:tc>
          <w:tcPr>
            <w:tcW w:w="719" w:type="dxa"/>
            <w:gridSpan w:val="3"/>
            <w:tcBorders/>
            <w:tcMar>
              <w:top w:w="0" w:type="dxa"/>
              <w:left w:w="0" w:type="dxa"/>
              <w:bottom w:w="0" w:type="dxa"/>
              <w:right w:w="0" w:type="dxa"/>
            </w:tcMar>
            <w:vAlign w:val="center"/>
          </w:tcPr>
          <w:p>
            <w:pPr>
              <w:pStyle w:val="TableContents"/>
              <w:bidi w:val="0"/>
              <w:spacing w:lineRule="auto" w:line="254" w:before="0" w:after="0"/>
              <w:jc w:val="right"/>
              <w:rPr/>
            </w:pPr>
            <w:r>
              <w:rPr>
                <w:rFonts w:ascii="Times New Roman;sans-serif" w:hAnsi="Times New Roman;sans-serif"/>
                <w:b w:val="false"/>
                <w:color w:val="000000"/>
                <w:sz w:val="20"/>
              </w:rPr>
              <w:t>$</w:t>
            </w:r>
            <w:r>
              <w:rPr>
                <w:color w:val="000000"/>
                <w:u w:val="single"/>
              </w:rPr>
              <w:t>    </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w:t>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--Deposit Received</w:t>
            </w:r>
          </w:p>
        </w:tc>
        <w:tc>
          <w:tcPr>
            <w:tcW w:w="719" w:type="dxa"/>
            <w:gridSpan w:val="3"/>
            <w:tcBorders/>
            <w:tcMar>
              <w:top w:w="0" w:type="dxa"/>
              <w:left w:w="0" w:type="dxa"/>
              <w:bottom w:w="0" w:type="dxa"/>
              <w:right w:w="0" w:type="dxa"/>
            </w:tcMar>
            <w:vAlign w:val="center"/>
          </w:tcPr>
          <w:p>
            <w:pPr>
              <w:pStyle w:val="TableContents"/>
              <w:bidi w:val="0"/>
              <w:spacing w:lineRule="auto" w:line="271" w:before="0" w:after="0"/>
              <w:jc w:val="right"/>
              <w:rPr/>
            </w:pPr>
            <w:r>
              <w:rPr>
                <w:rFonts w:ascii="Times New Roman;sans-serif" w:hAnsi="Times New Roman;sans-serif"/>
                <w:b w:val="false"/>
                <w:color w:val="000000"/>
                <w:sz w:val="20"/>
              </w:rPr>
              <w:t>$</w:t>
            </w:r>
            <w:r>
              <w:rPr>
                <w:color w:val="000000"/>
                <w:u w:val="single"/>
              </w:rPr>
              <w:t>    </w:t>
            </w:r>
          </w:p>
        </w:tc>
      </w:tr>
      <w:tr>
        <w:trPr/>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w:t>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--Amendment Fee</w:t>
            </w:r>
          </w:p>
        </w:tc>
        <w:tc>
          <w:tcPr>
            <w:tcW w:w="719" w:type="dxa"/>
            <w:gridSpan w:val="3"/>
            <w:tcBorders/>
            <w:tcMar>
              <w:top w:w="0" w:type="dxa"/>
              <w:left w:w="0" w:type="dxa"/>
              <w:bottom w:w="0" w:type="dxa"/>
              <w:right w:w="0" w:type="dxa"/>
            </w:tcMar>
            <w:vAlign w:val="center"/>
          </w:tcPr>
          <w:p>
            <w:pPr>
              <w:pStyle w:val="TableContents"/>
              <w:bidi w:val="0"/>
              <w:spacing w:lineRule="auto" w:line="254" w:before="0" w:after="0"/>
              <w:jc w:val="right"/>
              <w:rPr/>
            </w:pPr>
            <w:r>
              <w:rPr>
                <w:rFonts w:ascii="Times New Roman;sans-serif" w:hAnsi="Times New Roman;sans-serif"/>
                <w:b w:val="false"/>
                <w:color w:val="000000"/>
                <w:sz w:val="20"/>
              </w:rPr>
              <w:t>($</w:t>
            </w:r>
            <w:r>
              <w:rPr>
                <w:color w:val="000000"/>
                <w:u w:val="single"/>
              </w:rPr>
              <w:t>    </w:t>
            </w:r>
            <w:r>
              <w:rPr>
                <w:rFonts w:ascii="Times New Roman;sans-serif" w:hAnsi="Times New Roman;sans-serif"/>
                <w:b w:val="false"/>
                <w:color w:val="000000"/>
                <w:sz w:val="20"/>
              </w:rPr>
              <w:t>)</w:t>
            </w:r>
          </w:p>
        </w:tc>
      </w:tr>
      <w:tr>
        <w:trPr/>
        <w:tc>
          <w:tcPr>
            <w:tcW w:w="4394" w:type="dxa"/>
            <w:gridSpan w:val="3"/>
            <w:tcBorders/>
            <w:tcMar>
              <w:top w:w="0" w:type="dxa"/>
              <w:left w:w="0" w:type="dxa"/>
              <w:bottom w:w="0" w:type="dxa"/>
              <w:right w:w="0" w:type="dxa"/>
            </w:tcMar>
            <w:vAlign w:val="center"/>
          </w:tcPr>
          <w:p>
            <w:pPr>
              <w:pStyle w:val="TableContents"/>
              <w:bidi w:val="0"/>
              <w:spacing w:lineRule="auto" w:line="25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[--Interim Interest</w:t>
            </w:r>
          </w:p>
        </w:tc>
        <w:tc>
          <w:tcPr>
            <w:tcW w:w="719" w:type="dxa"/>
            <w:gridSpan w:val="3"/>
            <w:tcBorders/>
            <w:tcMar>
              <w:top w:w="0" w:type="dxa"/>
              <w:left w:w="0" w:type="dxa"/>
              <w:bottom w:w="0" w:type="dxa"/>
              <w:right w:w="0" w:type="dxa"/>
            </w:tcMar>
            <w:vAlign w:val="center"/>
          </w:tcPr>
          <w:p>
            <w:pPr>
              <w:pStyle w:val="TableContents"/>
              <w:bidi w:val="0"/>
              <w:spacing w:lineRule="auto" w:line="254" w:before="0" w:after="0"/>
              <w:jc w:val="right"/>
              <w:rPr/>
            </w:pPr>
            <w:r>
              <w:rPr>
                <w:rFonts w:ascii="Times New Roman;sans-serif" w:hAnsi="Times New Roman;sans-serif"/>
                <w:b w:val="false"/>
                <w:color w:val="000000"/>
                <w:sz w:val="20"/>
              </w:rPr>
              <w:t>($</w:t>
            </w:r>
            <w:r>
              <w:rPr>
                <w:color w:val="000000"/>
                <w:u w:val="single"/>
              </w:rPr>
              <w:t>    </w:t>
            </w:r>
            <w:r>
              <w:rPr>
                <w:rFonts w:ascii="Times New Roman;sans-serif" w:hAnsi="Times New Roman;sans-serif"/>
                <w:b w:val="false"/>
                <w:color w:val="000000"/>
                <w:sz w:val="20"/>
              </w:rPr>
              <w:t>)]</w:t>
            </w:r>
          </w:p>
        </w:tc>
      </w:tr>
      <w:tr>
        <w:trPr/>
        <w:tc>
          <w:tcPr>
            <w:tcW w:w="4394" w:type="dxa"/>
            <w:gridSpan w:val="3"/>
            <w:tcBorders/>
            <w:tcMar>
              <w:top w:w="0" w:type="dxa"/>
              <w:left w:w="0" w:type="dxa"/>
              <w:bottom w:w="0" w:type="dxa"/>
              <w:right w:w="0" w:type="dxa"/>
            </w:tcMar>
            <w:vAlign w:val="center"/>
          </w:tcPr>
          <w:p>
            <w:pPr>
              <w:pStyle w:val="TableContents"/>
              <w:bidi w:val="0"/>
              <w:spacing w:lineRule="auto" w:line="271"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--Lender’s Legal Fees</w:t>
            </w:r>
          </w:p>
        </w:tc>
        <w:tc>
          <w:tcPr>
            <w:tcW w:w="719" w:type="dxa"/>
            <w:gridSpan w:val="3"/>
            <w:tcBorders/>
            <w:tcMar>
              <w:top w:w="0" w:type="dxa"/>
              <w:left w:w="0" w:type="dxa"/>
              <w:bottom w:w="0" w:type="dxa"/>
              <w:right w:w="0" w:type="dxa"/>
            </w:tcMar>
            <w:vAlign w:val="center"/>
          </w:tcPr>
          <w:p>
            <w:pPr>
              <w:pStyle w:val="TableContents"/>
              <w:bidi w:val="0"/>
              <w:spacing w:lineRule="auto" w:line="271" w:before="0" w:after="0"/>
              <w:jc w:val="right"/>
              <w:rPr/>
            </w:pPr>
            <w:r>
              <w:rPr>
                <w:rFonts w:ascii="Times New Roman;sans-serif" w:hAnsi="Times New Roman;sans-serif"/>
                <w:b w:val="false"/>
                <w:color w:val="000000"/>
                <w:sz w:val="20"/>
              </w:rPr>
              <w:t>($</w:t>
            </w:r>
            <w:r>
              <w:rPr>
                <w:color w:val="000000"/>
                <w:u w:val="single"/>
              </w:rPr>
              <w:t>    </w:t>
            </w:r>
            <w:r>
              <w:rPr>
                <w:rFonts w:ascii="Times New Roman;sans-serif" w:hAnsi="Times New Roman;sans-serif"/>
                <w:b w:val="false"/>
                <w:color w:val="000000"/>
                <w:sz w:val="20"/>
              </w:rPr>
              <w:t>)</w:t>
            </w:r>
            <w:hyperlink w:anchor="iddd88a075230427d966e886321cbf46e_52">
              <w:r>
                <w:rPr>
                  <w:rStyle w:val="InternetLink"/>
                  <w:rFonts w:ascii="Times New Roman;sans-serif" w:hAnsi="Times New Roman;sans-serif"/>
                  <w:b w:val="false"/>
                  <w:strike w:val="false"/>
                  <w:dstrike w:val="false"/>
                  <w:color w:val="000000"/>
                  <w:sz w:val="20"/>
                  <w:u w:val="none"/>
                  <w:effect w:val="none"/>
                </w:rPr>
                <w:t>*</w:t>
              </w:r>
            </w:hyperlink>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248" w:after="283"/>
              <w:jc w:val="left"/>
              <w:rPr>
                <w:rFonts w:ascii="Times New Roman;sans-serif" w:hAnsi="Times New Roman;sans-serif"/>
                <w:b/>
                <w:color w:val="000000"/>
                <w:sz w:val="20"/>
              </w:rPr>
            </w:pPr>
            <w:r>
              <w:rPr>
                <w:rFonts w:ascii="Times New Roman;sans-serif" w:hAnsi="Times New Roman;sans-serif"/>
                <w:b/>
                <w:color w:val="000000"/>
                <w:sz w:val="20"/>
              </w:rPr>
              <w:t>TOTAL TERM [A][B][C] LOAN NET PROCEEDS</w:t>
            </w:r>
          </w:p>
          <w:p>
            <w:pPr>
              <w:pStyle w:val="TableContents"/>
              <w:bidi w:val="0"/>
              <w:spacing w:lineRule="auto" w:line="254" w:before="1" w:after="283"/>
              <w:jc w:val="left"/>
              <w:rPr>
                <w:rFonts w:ascii="Times New Roman;sans-serif" w:hAnsi="Times New Roman;sans-serif"/>
                <w:b/>
                <w:color w:val="000000"/>
                <w:sz w:val="20"/>
              </w:rPr>
            </w:pPr>
            <w:r>
              <w:rPr>
                <w:rFonts w:ascii="Times New Roman;sans-serif" w:hAnsi="Times New Roman;sans-serif"/>
                <w:b/>
                <w:color w:val="000000"/>
                <w:sz w:val="20"/>
              </w:rPr>
              <w:t>FROM Collateral Agent</w:t>
            </w:r>
          </w:p>
        </w:tc>
        <w:tc>
          <w:tcPr>
            <w:tcW w:w="719" w:type="dxa"/>
            <w:gridSpan w:val="3"/>
            <w:tcBorders/>
            <w:tcMar>
              <w:top w:w="0" w:type="dxa"/>
              <w:left w:w="0" w:type="dxa"/>
              <w:bottom w:w="0" w:type="dxa"/>
              <w:right w:w="0" w:type="dxa"/>
            </w:tcMar>
            <w:vAlign w:val="center"/>
          </w:tcPr>
          <w:p>
            <w:pPr>
              <w:pStyle w:val="TableContents"/>
              <w:bidi w:val="0"/>
              <w:spacing w:before="122" w:after="283"/>
              <w:jc w:val="left"/>
              <w:rPr/>
            </w:pPr>
            <w:r>
              <w:rPr/>
            </w:r>
          </w:p>
          <w:p>
            <w:pPr>
              <w:pStyle w:val="TableContents"/>
              <w:bidi w:val="0"/>
              <w:spacing w:lineRule="auto" w:line="288" w:before="0" w:after="0"/>
              <w:jc w:val="right"/>
              <w:rPr/>
            </w:pPr>
            <w:r>
              <w:rPr>
                <w:rFonts w:ascii="Times New Roman;sans-serif" w:hAnsi="Times New Roman;sans-serif"/>
                <w:b/>
                <w:color w:val="000000"/>
                <w:sz w:val="20"/>
              </w:rPr>
              <w:t>$</w:t>
            </w:r>
            <w:r>
              <w:rPr>
                <w:color w:val="000000"/>
                <w:u w:val="single"/>
              </w:rPr>
              <w:t>    </w:t>
            </w:r>
          </w:p>
        </w:tc>
      </w:tr>
    </w:tbl>
    <w:p>
      <w:pPr>
        <w:pStyle w:val="TextBody"/>
        <w:bidi w:val="0"/>
        <w:spacing w:before="0" w:after="0"/>
        <w:jc w:val="left"/>
        <w:rPr/>
      </w:pPr>
      <w:r>
        <w:rPr/>
      </w:r>
    </w:p>
    <w:p>
      <w:pPr>
        <w:pStyle w:val="TextBody"/>
        <w:bidi w:val="0"/>
        <w:spacing w:lineRule="auto" w:line="283" w:before="0" w:after="0"/>
        <w:ind w:left="0" w:right="0" w:firstLine="720"/>
        <w:jc w:val="both"/>
        <w:rPr/>
      </w:pPr>
      <w:r>
        <w:rPr>
          <w:rFonts w:ascii="Times New Roman;sans-serif" w:hAnsi="Times New Roman;sans-serif"/>
          <w:b w:val="false"/>
          <w:color w:val="000000"/>
          <w:sz w:val="20"/>
        </w:rPr>
        <w:t xml:space="preserve">8.The Term [A][B][C] Loan shall amortize in accordance with the Amortization Table attached hereto as </w:t>
      </w:r>
      <w:r>
        <w:rPr>
          <w:rFonts w:ascii="Times New Roman;sans-serif" w:hAnsi="Times New Roman;sans-serif"/>
          <w:b w:val="false"/>
          <w:color w:val="000000"/>
          <w:sz w:val="20"/>
          <w:u w:val="single"/>
        </w:rPr>
        <w:t>Annex 1</w:t>
      </w:r>
      <w:r>
        <w:rPr>
          <w:rFonts w:ascii="Times New Roman;sans-serif" w:hAnsi="Times New Roman;sans-serif"/>
          <w:b w:val="false"/>
          <w:color w:val="000000"/>
          <w:sz w:val="20"/>
        </w:rPr>
        <w:t>.</w:t>
      </w:r>
    </w:p>
    <w:p>
      <w:pPr>
        <w:pStyle w:val="TextBody"/>
        <w:bidi w:val="0"/>
        <w:spacing w:lineRule="auto" w:line="283" w:before="23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9.The aggregate net proceeds of the Term Loans shall be transferred to the Designated Deposit Account as follows:</w:t>
      </w:r>
    </w:p>
    <w:p>
      <w:pPr>
        <w:pStyle w:val="TextBody"/>
        <w:bidi w:val="0"/>
        <w:spacing w:before="12" w:after="283"/>
        <w:jc w:val="left"/>
        <w:rPr/>
      </w:pPr>
      <w:r>
        <w:rPr/>
      </w:r>
    </w:p>
    <w:tbl>
      <w:tblPr>
        <w:tblW w:w="1931" w:type="dxa"/>
        <w:jc w:val="left"/>
        <w:tblInd w:w="0" w:type="dxa"/>
        <w:tblLayout w:type="fixed"/>
        <w:tblCellMar>
          <w:top w:w="28" w:type="dxa"/>
          <w:left w:w="28" w:type="dxa"/>
          <w:bottom w:w="28" w:type="dxa"/>
          <w:right w:w="28" w:type="dxa"/>
        </w:tblCellMar>
      </w:tblPr>
      <w:tblGrid>
        <w:gridCol w:w="565"/>
        <w:gridCol w:w="496"/>
        <w:gridCol w:w="498"/>
        <w:gridCol w:w="109"/>
        <w:gridCol w:w="109"/>
        <w:gridCol w:w="154"/>
      </w:tblGrid>
      <w:tr>
        <w:trPr/>
        <w:tc>
          <w:tcPr>
            <w:tcW w:w="56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 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88"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Name: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88" w:before="57"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Address: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88" w:before="56"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9" w:type="dxa"/>
            <w:gridSpan w:val="3"/>
            <w:tcBorders/>
            <w:tcMar>
              <w:top w:w="0" w:type="dxa"/>
              <w:left w:w="0" w:type="dxa"/>
              <w:bottom w:w="0" w:type="dxa"/>
              <w:right w:w="0" w:type="dxa"/>
            </w:tcMar>
            <w:vAlign w:val="center"/>
          </w:tcPr>
          <w:p>
            <w:pPr>
              <w:pStyle w:val="TableContents"/>
              <w:bidi w:val="0"/>
              <w:spacing w:lineRule="auto" w:line="254" w:before="55"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ABA Number: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19" w:after="283"/>
        <w:jc w:val="left"/>
        <w:rPr/>
      </w:pPr>
      <w:r>
        <w:rPr/>
      </w:r>
    </w:p>
    <w:p>
      <w:pPr>
        <w:pStyle w:val="TextBody"/>
        <w:bidi w:val="0"/>
        <w:spacing w:lineRule="auto" w:line="288" w:before="1" w:after="283"/>
        <w:jc w:val="left"/>
        <w:rPr>
          <w:rFonts w:ascii="Times New Roman;sans-serif" w:hAnsi="Times New Roman;sans-serif"/>
          <w:b/>
          <w:i/>
          <w:color w:val="000000"/>
          <w:sz w:val="20"/>
        </w:rPr>
      </w:pPr>
      <w:r>
        <w:rPr>
          <w:rFonts w:ascii="Times New Roman;sans-serif" w:hAnsi="Times New Roman;sans-serif"/>
          <w:b/>
          <w:i/>
          <w:color w:val="000000"/>
          <w:sz w:val="20"/>
        </w:rPr>
        <w:t>[Balance of Page Intentionally Left Blank]</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74" w:after="283"/>
        <w:jc w:val="left"/>
        <w:rPr/>
      </w:pPr>
      <w:r>
        <w:rPr/>
      </w:r>
    </w:p>
    <w:p>
      <w:pPr>
        <w:pStyle w:val="TextBody"/>
        <w:bidi w:val="0"/>
        <w:spacing w:lineRule="auto" w:line="288" w:before="12" w:after="283"/>
        <w:jc w:val="left"/>
        <w:rPr/>
      </w:pPr>
      <w:hyperlink w:anchor="iddd88a075230427d966e886321cbf46e_52">
        <w:r>
          <w:rPr>
            <w:rStyle w:val="InternetLink"/>
            <w:rFonts w:ascii="Times New Roman;sans-serif" w:hAnsi="Times New Roman;sans-serif"/>
            <w:b w:val="false"/>
            <w:strike w:val="false"/>
            <w:dstrike w:val="false"/>
            <w:color w:val="000000"/>
            <w:sz w:val="20"/>
            <w:u w:val="none"/>
            <w:effect w:val="none"/>
          </w:rPr>
          <w:t>*</w:t>
        </w:r>
      </w:hyperlink>
      <w:r>
        <w:rPr>
          <w:rFonts w:ascii="Times New Roman;sans-serif" w:hAnsi="Times New Roman;sans-serif"/>
          <w:b w:val="false"/>
          <w:color w:val="000000"/>
          <w:sz w:val="20"/>
        </w:rPr>
        <w:t xml:space="preserve"> Legal fees and costs are through the Effective Date. Post-closing legal fees and costs, payable after the Effective Date, to be invoiced and paid post-closing.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30250"/>
                <wp:effectExtent l="0" t="0" r="0" b="0"/>
                <wp:wrapNone/>
                <wp:docPr id="127" name="Frame127"/>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as of the date first set forth above.</w:t>
      </w:r>
    </w:p>
    <w:p>
      <w:pPr>
        <w:pStyle w:val="TextBody"/>
        <w:bidi w:val="0"/>
        <w:spacing w:before="15" w:after="283"/>
        <w:jc w:val="left"/>
        <w:rPr/>
      </w:pPr>
      <w:r>
        <w:rPr/>
      </w:r>
    </w:p>
    <w:tbl>
      <w:tblPr>
        <w:tblW w:w="4785" w:type="dxa"/>
        <w:jc w:val="left"/>
        <w:tblInd w:w="0" w:type="dxa"/>
        <w:tblLayout w:type="fixed"/>
        <w:tblCellMar>
          <w:top w:w="28" w:type="dxa"/>
          <w:left w:w="28" w:type="dxa"/>
          <w:bottom w:w="28" w:type="dxa"/>
          <w:right w:w="28" w:type="dxa"/>
        </w:tblCellMar>
      </w:tblPr>
      <w:tblGrid>
        <w:gridCol w:w="1533"/>
        <w:gridCol w:w="1345"/>
        <w:gridCol w:w="1907"/>
      </w:tblGrid>
      <w:tr>
        <w:trPr/>
        <w:tc>
          <w:tcPr>
            <w:tcW w:w="1533"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BORROWER:</w:t>
            </w:r>
          </w:p>
        </w:tc>
      </w:tr>
      <w:tr>
        <w:trPr/>
        <w:tc>
          <w:tcPr>
            <w:tcW w:w="4785" w:type="dxa"/>
            <w:gridSpan w:val="3"/>
            <w:tcBorders/>
            <w:tcMar>
              <w:top w:w="0" w:type="dxa"/>
              <w:left w:w="0" w:type="dxa"/>
              <w:bottom w:w="0" w:type="dxa"/>
              <w:right w:w="0" w:type="dxa"/>
            </w:tcMar>
            <w:vAlign w:val="center"/>
          </w:tcPr>
          <w:p>
            <w:pPr>
              <w:pStyle w:val="TableContents"/>
              <w:bidi w:val="0"/>
              <w:spacing w:lineRule="auto" w:line="288" w:before="122"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r>
      <w:tr>
        <w:trPr/>
        <w:tc>
          <w:tcPr>
            <w:tcW w:w="4785" w:type="dxa"/>
            <w:gridSpan w:val="3"/>
            <w:tcBorders/>
            <w:tcMar>
              <w:top w:w="0" w:type="dxa"/>
              <w:left w:w="0" w:type="dxa"/>
              <w:bottom w:w="0" w:type="dxa"/>
              <w:right w:w="0" w:type="dxa"/>
            </w:tcMar>
            <w:vAlign w:val="center"/>
          </w:tcPr>
          <w:p>
            <w:pPr>
              <w:pStyle w:val="TableContents"/>
              <w:bidi w:val="0"/>
              <w:spacing w:lineRule="auto" w:line="288" w:before="248" w:after="283"/>
              <w:jc w:val="left"/>
              <w:rPr>
                <w:rFonts w:ascii="Times New Roman;sans-serif" w:hAnsi="Times New Roman;sans-serif"/>
                <w:b/>
                <w:color w:val="000000"/>
                <w:sz w:val="20"/>
              </w:rPr>
            </w:pPr>
            <w:r>
              <w:rPr>
                <w:rFonts w:ascii="Times New Roman;sans-serif" w:hAnsi="Times New Roman;sans-serif"/>
                <w:b/>
                <w:color w:val="000000"/>
                <w:sz w:val="20"/>
              </w:rPr>
              <w:t>COLLATERAL AGENT ON BEHALF OF LENDERS:</w:t>
            </w:r>
          </w:p>
        </w:tc>
      </w:tr>
      <w:tr>
        <w:trPr/>
        <w:tc>
          <w:tcPr>
            <w:tcW w:w="4785" w:type="dxa"/>
            <w:gridSpan w:val="3"/>
            <w:tcBorders/>
            <w:tcMar>
              <w:top w:w="0" w:type="dxa"/>
              <w:left w:w="0" w:type="dxa"/>
              <w:bottom w:w="0" w:type="dxa"/>
              <w:right w:w="0" w:type="dxa"/>
            </w:tcMar>
            <w:vAlign w:val="center"/>
          </w:tcPr>
          <w:p>
            <w:pPr>
              <w:pStyle w:val="TableContents"/>
              <w:bidi w:val="0"/>
              <w:spacing w:lineRule="auto" w:line="288" w:before="122"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OXFORD FINANCE LLC</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r>
      <w:tr>
        <w:trPr/>
        <w:tc>
          <w:tcPr>
            <w:tcW w:w="47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3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30250"/>
                <wp:effectExtent l="0" t="0" r="0" b="0"/>
                <wp:wrapNone/>
                <wp:docPr id="128" name="Frame128"/>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1" w:after="283"/>
        <w:jc w:val="left"/>
        <w:rPr/>
      </w:pPr>
      <w:r>
        <w:rPr>
          <w:rFonts w:ascii="Times New Roman;sans-serif" w:hAnsi="Times New Roman;sans-serif"/>
          <w:b/>
          <w:color w:val="000000"/>
          <w:sz w:val="20"/>
        </w:rPr>
        <w:t>[</w:t>
      </w:r>
      <w:r>
        <w:rPr>
          <w:rFonts w:ascii="Times New Roman;sans-serif" w:hAnsi="Times New Roman;sans-serif"/>
          <w:b/>
          <w:i/>
          <w:color w:val="000000"/>
          <w:sz w:val="20"/>
        </w:rPr>
        <w:t>Signature Page to Disbursement Letter</w:t>
      </w:r>
      <w:r>
        <w:rPr>
          <w:rFonts w:ascii="Times New Roman;sans-serif" w:hAnsi="Times New Roman;sans-serif"/>
          <w:b/>
          <w:color w:val="000000"/>
          <w:sz w:val="20"/>
        </w:rPr>
        <w:t>]</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30250"/>
                <wp:effectExtent l="0" t="0" r="0" b="0"/>
                <wp:wrapNone/>
                <wp:docPr id="129" name="Frame129"/>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61"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ANNEX 1</w:t>
      </w:r>
    </w:p>
    <w:p>
      <w:pPr>
        <w:pStyle w:val="TextBody"/>
        <w:bidi w:val="0"/>
        <w:spacing w:lineRule="auto" w:line="288" w:before="237" w:after="283"/>
        <w:jc w:val="center"/>
        <w:rPr>
          <w:rFonts w:ascii="Times New Roman;sans-serif" w:hAnsi="Times New Roman;sans-serif"/>
          <w:b/>
          <w:color w:val="000000"/>
          <w:sz w:val="20"/>
        </w:rPr>
      </w:pPr>
      <w:r>
        <w:rPr>
          <w:rFonts w:ascii="Times New Roman;sans-serif" w:hAnsi="Times New Roman;sans-serif"/>
          <w:b/>
          <w:color w:val="000000"/>
          <w:sz w:val="20"/>
        </w:rPr>
        <w:t>AMORTIZATION TABLE</w:t>
      </w:r>
    </w:p>
    <w:p>
      <w:pPr>
        <w:pStyle w:val="TextBody"/>
        <w:bidi w:val="0"/>
        <w:spacing w:lineRule="auto" w:line="540" w:before="3"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(Term [A][B][C] Loan) [see attached]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30250"/>
                <wp:effectExtent l="0" t="0" r="0" b="0"/>
                <wp:wrapNone/>
                <wp:docPr id="130" name="Frame130"/>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center"/>
        <w:rPr>
          <w:rFonts w:ascii="Times New Roman;sans-serif" w:hAnsi="Times New Roman;sans-serif"/>
          <w:b/>
          <w:color w:val="000000"/>
          <w:sz w:val="20"/>
        </w:rPr>
      </w:pPr>
      <w:r>
        <w:rPr>
          <w:rFonts w:ascii="Times New Roman;sans-serif" w:hAnsi="Times New Roman;sans-serif"/>
          <w:b/>
          <w:color w:val="000000"/>
          <w:sz w:val="20"/>
        </w:rPr>
        <w:t>EXHIBIT C</w:t>
      </w:r>
    </w:p>
    <w:p>
      <w:pPr>
        <w:pStyle w:val="TextBody"/>
        <w:bidi w:val="0"/>
        <w:spacing w:before="3" w:after="283"/>
        <w:jc w:val="left"/>
        <w:rPr/>
      </w:pPr>
      <w:r>
        <w:rPr/>
      </w:r>
    </w:p>
    <w:p>
      <w:pPr>
        <w:pStyle w:val="TextBody"/>
        <w:bidi w:val="0"/>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Compliance Certificate</w:t>
      </w:r>
    </w:p>
    <w:p>
      <w:pPr>
        <w:pStyle w:val="TextBody"/>
        <w:bidi w:val="0"/>
        <w:spacing w:before="18" w:after="283"/>
        <w:jc w:val="left"/>
        <w:rPr/>
      </w:pPr>
      <w:r>
        <w:rPr/>
      </w:r>
    </w:p>
    <w:tbl>
      <w:tblPr>
        <w:tblW w:w="4604" w:type="dxa"/>
        <w:jc w:val="left"/>
        <w:tblInd w:w="0" w:type="dxa"/>
        <w:tblLayout w:type="fixed"/>
        <w:tblCellMar>
          <w:top w:w="28" w:type="dxa"/>
          <w:left w:w="28" w:type="dxa"/>
          <w:bottom w:w="28" w:type="dxa"/>
          <w:right w:w="28" w:type="dxa"/>
        </w:tblCellMar>
      </w:tblPr>
      <w:tblGrid>
        <w:gridCol w:w="265"/>
        <w:gridCol w:w="231"/>
        <w:gridCol w:w="238"/>
        <w:gridCol w:w="1130"/>
        <w:gridCol w:w="1130"/>
        <w:gridCol w:w="1610"/>
      </w:tblGrid>
      <w:tr>
        <w:trPr/>
        <w:tc>
          <w:tcPr>
            <w:tcW w:w="26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w:t>
            </w:r>
          </w:p>
        </w:tc>
        <w:tc>
          <w:tcPr>
            <w:tcW w:w="3870"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OXFORD FINANCE LLC, as Collateral Agent</w:t>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FROM:</w:t>
            </w:r>
          </w:p>
        </w:tc>
        <w:tc>
          <w:tcPr>
            <w:tcW w:w="3870" w:type="dxa"/>
            <w:gridSpan w:val="3"/>
            <w:tcBorders/>
            <w:tcMar>
              <w:top w:w="0" w:type="dxa"/>
              <w:left w:w="0" w:type="dxa"/>
              <w:bottom w:w="0" w:type="dxa"/>
              <w:right w:w="0" w:type="dxa"/>
            </w:tcMar>
            <w:vAlign w:val="center"/>
          </w:tcPr>
          <w:p>
            <w:pPr>
              <w:pStyle w:val="TableContents"/>
              <w:bidi w:val="0"/>
              <w:spacing w:lineRule="auto" w:line="254" w:before="116"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r>
    </w:tbl>
    <w:p>
      <w:pPr>
        <w:pStyle w:val="TextBody"/>
        <w:bidi w:val="0"/>
        <w:spacing w:lineRule="auto" w:line="288" w:before="237" w:after="283"/>
        <w:jc w:val="both"/>
        <w:rPr/>
      </w:pPr>
      <w:r>
        <w:rPr>
          <w:rFonts w:ascii="Times New Roman;sans-serif" w:hAnsi="Times New Roman;sans-serif"/>
          <w:b w:val="false"/>
          <w:color w:val="000000"/>
          <w:sz w:val="20"/>
        </w:rPr>
        <w:t>The undersigned authorized officer (“</w:t>
      </w:r>
      <w:r>
        <w:rPr>
          <w:rFonts w:ascii="Times New Roman;sans-serif" w:hAnsi="Times New Roman;sans-serif"/>
          <w:b/>
          <w:color w:val="000000"/>
          <w:sz w:val="20"/>
        </w:rPr>
        <w:t>Officer</w:t>
      </w:r>
      <w:r>
        <w:rPr>
          <w:color w:val="000000"/>
        </w:rPr>
        <w:t>”</w:t>
      </w:r>
      <w:r>
        <w:rPr>
          <w:rFonts w:ascii="Times New Roman;sans-serif" w:hAnsi="Times New Roman;sans-serif"/>
          <w:b w:val="false"/>
          <w:color w:val="000000"/>
          <w:sz w:val="20"/>
        </w:rPr>
        <w:t>) of PLIANT THERAPEUTICS, INC. (“</w:t>
      </w:r>
      <w:r>
        <w:rPr>
          <w:rFonts w:ascii="Times New Roman;sans-serif" w:hAnsi="Times New Roman;sans-serif"/>
          <w:b/>
          <w:color w:val="000000"/>
          <w:sz w:val="20"/>
        </w:rPr>
        <w:t>Borrower</w:t>
      </w:r>
      <w:r>
        <w:rPr>
          <w:color w:val="000000"/>
        </w:rPr>
        <w:t>”</w:t>
      </w:r>
      <w:r>
        <w:rPr>
          <w:rFonts w:ascii="Times New Roman;sans-serif" w:hAnsi="Times New Roman;sans-serif"/>
          <w:b w:val="false"/>
          <w:color w:val="000000"/>
          <w:sz w:val="20"/>
        </w:rPr>
        <w:t>), hereby certifies, in such capacity and not individually, that in accordance with the terms and conditions of the Amended and Restated Loan and Security Agreement dated March 11, 2024 by and among Borrower, Collateral Agent, and the Lenders from time to time party thereto (the “</w:t>
      </w:r>
      <w:r>
        <w:rPr>
          <w:rFonts w:ascii="Times New Roman;sans-serif" w:hAnsi="Times New Roman;sans-serif"/>
          <w:b/>
          <w:color w:val="000000"/>
          <w:sz w:val="20"/>
        </w:rPr>
        <w:t>Loan Agreement</w:t>
      </w:r>
      <w:r>
        <w:rPr>
          <w:rFonts w:ascii="Times New Roman;sans-serif" w:hAnsi="Times New Roman;sans-serif"/>
          <w:b w:val="false"/>
          <w:color w:val="000000"/>
          <w:sz w:val="20"/>
        </w:rPr>
        <w:t>;” capitalized terms used but not otherwise defined herein shall have the meanings given them in the Loan Agreement),</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(a)Borrower is in complete compliance for the period ending </w:t>
      </w:r>
      <w:r>
        <w:rPr>
          <w:color w:val="000000"/>
          <w:u w:val="single"/>
        </w:rPr>
        <w:t>    </w:t>
      </w:r>
      <w:r>
        <w:rPr>
          <w:color w:val="000000"/>
        </w:rPr>
        <w:t xml:space="preserve"> </w:t>
      </w:r>
      <w:r>
        <w:rPr>
          <w:rFonts w:ascii="Times New Roman;sans-serif" w:hAnsi="Times New Roman;sans-serif"/>
          <w:b w:val="false"/>
          <w:color w:val="000000"/>
          <w:sz w:val="20"/>
        </w:rPr>
        <w:t>with all required covenants under the Loan Documents, except as noted below;</w:t>
      </w:r>
    </w:p>
    <w:p>
      <w:pPr>
        <w:pStyle w:val="TextBody"/>
        <w:bidi w:val="0"/>
        <w:spacing w:lineRule="auto" w:line="288" w:before="240" w:after="283"/>
        <w:ind w:left="0" w:right="0" w:hanging="719"/>
        <w:jc w:val="both"/>
        <w:rPr>
          <w:rFonts w:ascii="Times New Roman;sans-serif" w:hAnsi="Times New Roman;sans-serif"/>
          <w:b w:val="false"/>
          <w:color w:val="000000"/>
          <w:sz w:val="20"/>
        </w:rPr>
      </w:pPr>
      <w:r>
        <w:rPr>
          <w:rFonts w:ascii="Times New Roman;sans-serif" w:hAnsi="Times New Roman;sans-serif"/>
          <w:b w:val="false"/>
          <w:color w:val="000000"/>
          <w:sz w:val="20"/>
        </w:rPr>
        <w:t>(b)No Event of Default has occurred and is continuing as of date hereof, except as noted</w:t>
      </w:r>
    </w:p>
    <w:p>
      <w:pPr>
        <w:pStyle w:val="TextBody"/>
        <w:bidi w:val="0"/>
        <w:spacing w:lineRule="auto" w:line="288" w:before="2"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below;</w:t>
      </w:r>
    </w:p>
    <w:p>
      <w:pPr>
        <w:pStyle w:val="TextBody"/>
        <w:bidi w:val="0"/>
        <w:spacing w:lineRule="auto" w:line="288" w:before="239" w:after="283"/>
        <w:ind w:left="0" w:right="0" w:firstLine="720"/>
        <w:jc w:val="both"/>
        <w:rPr/>
      </w:pPr>
      <w:r>
        <w:rPr>
          <w:rFonts w:ascii="Times New Roman;sans-serif" w:hAnsi="Times New Roman;sans-serif"/>
          <w:b w:val="false"/>
          <w:color w:val="000000"/>
          <w:sz w:val="20"/>
        </w:rPr>
        <w:t xml:space="preserve">(c)Except as noted below, all representations and warranties of Borrower stated in the Loan Documents are true and correct in all material respects on this date for the period described in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 xml:space="preserve">above; </w:t>
      </w:r>
      <w:r>
        <w:rPr>
          <w:rFonts w:ascii="Times New Roman;sans-serif" w:hAnsi="Times New Roman;sans-serif"/>
          <w:b w:val="false"/>
          <w:color w:val="000000"/>
          <w:sz w:val="20"/>
          <w:u w:val="single"/>
        </w:rPr>
        <w:t>provided, however</w:t>
      </w:r>
      <w:r>
        <w:rPr>
          <w:rFonts w:ascii="Times New Roman;sans-serif" w:hAnsi="Times New Roman;sans-serif"/>
          <w:b w:val="false"/>
          <w:color w:val="000000"/>
          <w:sz w:val="20"/>
        </w:rPr>
        <w:t xml:space="preserve">, that such materiality qualifier is not applicable to any representations and warranties that already are qualified or modified by materiality in the text thereof; and </w:t>
      </w:r>
      <w:r>
        <w:rPr>
          <w:rFonts w:ascii="Times New Roman;sans-serif" w:hAnsi="Times New Roman;sans-serif"/>
          <w:b w:val="false"/>
          <w:color w:val="000000"/>
          <w:sz w:val="20"/>
          <w:u w:val="single"/>
        </w:rPr>
        <w:t>provided, further</w:t>
      </w:r>
      <w:r>
        <w:rPr>
          <w:color w:val="000000"/>
        </w:rPr>
        <w:t xml:space="preserve"> </w:t>
      </w:r>
      <w:r>
        <w:rPr>
          <w:rFonts w:ascii="Times New Roman;sans-serif" w:hAnsi="Times New Roman;sans-serif"/>
          <w:b w:val="false"/>
          <w:color w:val="000000"/>
          <w:sz w:val="20"/>
        </w:rPr>
        <w:t>that those representations and warranties expressly referring to a specific date are true and correct in all material respects as of such date;</w:t>
      </w:r>
    </w:p>
    <w:p>
      <w:pPr>
        <w:pStyle w:val="TextBody"/>
        <w:bidi w:val="0"/>
        <w:spacing w:lineRule="auto" w:line="288" w:before="239"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(d)Borrower, and each of Borrower’s Subsidiaries, has timely filed all (i) required tax returns and reports and timely pay and (ii) foreign, federal, material state, and material local taxes, assessments, deposits and contributions owed by Borrower or its Subsidiaries, except as otherwise permitted pursuant to the terms of Section 6.4 of the Loan Agreement.</w:t>
      </w:r>
    </w:p>
    <w:p>
      <w:pPr>
        <w:pStyle w:val="TextBody"/>
        <w:bidi w:val="0"/>
        <w:spacing w:lineRule="auto" w:line="288" w:before="241" w:after="283"/>
        <w:jc w:val="both"/>
        <w:rPr>
          <w:rFonts w:ascii="Times New Roman;sans-serif" w:hAnsi="Times New Roman;sans-serif"/>
          <w:b/>
          <w:color w:val="000000"/>
          <w:sz w:val="20"/>
        </w:rPr>
      </w:pPr>
      <w:r>
        <w:rPr>
          <w:rFonts w:ascii="Times New Roman;sans-serif" w:hAnsi="Times New Roman;sans-serif"/>
          <w:b/>
          <w:color w:val="000000"/>
          <w:sz w:val="20"/>
        </w:rPr>
        <w:t>Attached are the required documents, if any, supporting our certification(s). The Officer, on behalf of Borrower, further certifies, solely, in such capacity and not individually, that the attached financial statements are prepared in accordance with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pStyle w:val="TextBody"/>
        <w:bidi w:val="0"/>
        <w:spacing w:lineRule="auto" w:line="283" w:before="239" w:after="283"/>
        <w:jc w:val="both"/>
        <w:rPr>
          <w:rFonts w:ascii="Times New Roman;sans-serif" w:hAnsi="Times New Roman;sans-serif"/>
          <w:b/>
          <w:color w:val="000000"/>
          <w:sz w:val="20"/>
        </w:rPr>
      </w:pPr>
      <w:r>
        <w:rPr>
          <w:rFonts w:ascii="Times New Roman;sans-serif" w:hAnsi="Times New Roman;sans-serif"/>
          <w:b/>
          <w:color w:val="000000"/>
          <w:sz w:val="20"/>
        </w:rPr>
        <w:t>Please indicate compliance status since the last Compliance Certificate by circling Yes, No, or N/A under “Complies” column.</w:t>
      </w:r>
    </w:p>
    <w:p>
      <w:pPr>
        <w:pStyle w:val="TextBody"/>
        <w:bidi w:val="0"/>
        <w:spacing w:before="1" w:after="283"/>
        <w:jc w:val="left"/>
        <w:rPr/>
      </w:pPr>
      <w:r>
        <w:rPr/>
      </w:r>
    </w:p>
    <w:tbl>
      <w:tblPr>
        <w:tblW w:w="7199" w:type="dxa"/>
        <w:jc w:val="left"/>
        <w:tblInd w:w="0" w:type="dxa"/>
        <w:tblLayout w:type="fixed"/>
        <w:tblCellMar>
          <w:top w:w="28" w:type="dxa"/>
          <w:left w:w="28" w:type="dxa"/>
          <w:bottom w:w="28" w:type="dxa"/>
          <w:right w:w="28" w:type="dxa"/>
        </w:tblCellMar>
      </w:tblPr>
      <w:tblGrid>
        <w:gridCol w:w="949"/>
        <w:gridCol w:w="836"/>
        <w:gridCol w:w="839"/>
        <w:gridCol w:w="924"/>
        <w:gridCol w:w="924"/>
        <w:gridCol w:w="926"/>
        <w:gridCol w:w="220"/>
        <w:gridCol w:w="220"/>
        <w:gridCol w:w="221"/>
        <w:gridCol w:w="334"/>
        <w:gridCol w:w="334"/>
        <w:gridCol w:w="472"/>
      </w:tblGrid>
      <w:tr>
        <w:trPr/>
        <w:tc>
          <w:tcPr>
            <w:tcW w:w="94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3" w:before="0" w:after="0"/>
              <w:jc w:val="left"/>
              <w:rPr>
                <w:rFonts w:ascii="Times New Roman;sans-serif" w:hAnsi="Times New Roman;sans-serif"/>
                <w:b/>
                <w:color w:val="000000"/>
                <w:sz w:val="20"/>
              </w:rPr>
            </w:pPr>
            <w:r>
              <w:rPr>
                <w:rFonts w:ascii="Times New Roman;sans-serif" w:hAnsi="Times New Roman;sans-serif"/>
                <w:b/>
                <w:color w:val="000000"/>
                <w:sz w:val="20"/>
              </w:rPr>
              <w:t>Reporting Covenant</w:t>
            </w:r>
          </w:p>
        </w:tc>
        <w:tc>
          <w:tcPr>
            <w:tcW w:w="2774" w:type="dxa"/>
            <w:gridSpan w:val="3"/>
            <w:tcBorders>
              <w:top w:val="single" w:sz="4" w:space="0" w:color="000000"/>
              <w:left w:val="single" w:sz="4" w:space="0" w:color="000000"/>
            </w:tcBorders>
            <w:tcMar>
              <w:top w:w="30" w:type="dxa"/>
              <w:left w:w="128"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Requirement</w:t>
            </w:r>
          </w:p>
        </w:tc>
        <w:tc>
          <w:tcPr>
            <w:tcW w:w="661" w:type="dxa"/>
            <w:gridSpan w:val="3"/>
            <w:tcBorders>
              <w:top w:val="single" w:sz="4" w:space="0" w:color="000000"/>
              <w:left w:val="single" w:sz="4" w:space="0" w:color="000000"/>
            </w:tcBorders>
            <w:tcMar>
              <w:top w:w="30" w:type="dxa"/>
              <w:left w:w="128"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Actual</w:t>
            </w:r>
          </w:p>
        </w:tc>
        <w:tc>
          <w:tcPr>
            <w:tcW w:w="1140" w:type="dxa"/>
            <w:gridSpan w:val="3"/>
            <w:tcBorders>
              <w:top w:val="single" w:sz="4" w:space="0" w:color="000000"/>
              <w:left w:val="single" w:sz="4" w:space="0" w:color="000000"/>
              <w:right w:val="single" w:sz="4" w:space="0" w:color="000000"/>
            </w:tcBorders>
            <w:tcMar>
              <w:top w:w="30" w:type="dxa"/>
              <w:left w:w="129" w:type="dxa"/>
              <w:bottom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Complies</w:t>
            </w:r>
          </w:p>
        </w:tc>
      </w:tr>
      <w:tr>
        <w:trPr/>
        <w:tc>
          <w:tcPr>
            <w:tcW w:w="262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Quarterly Financial Statements</w:t>
            </w:r>
          </w:p>
        </w:tc>
        <w:tc>
          <w:tcPr>
            <w:tcW w:w="2774" w:type="dxa"/>
            <w:gridSpan w:val="3"/>
            <w:tcBorders>
              <w:top w:val="single" w:sz="4" w:space="0" w:color="000000"/>
              <w:left w:val="single" w:sz="4" w:space="0" w:color="000000"/>
              <w:bottom w:val="single" w:sz="4" w:space="0" w:color="000000"/>
            </w:tcBorders>
            <w:tcMar>
              <w:top w:w="30" w:type="dxa"/>
              <w:left w:w="128"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45 days of first three FQE</w:t>
            </w:r>
          </w:p>
        </w:tc>
        <w:tc>
          <w:tcPr>
            <w:tcW w:w="661"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4" w:space="0" w:color="000000"/>
              <w:left w:val="single" w:sz="4" w:space="0" w:color="000000"/>
              <w:bottom w:val="single" w:sz="4" w:space="0" w:color="000000"/>
              <w:right w:val="single" w:sz="4" w:space="0" w:color="000000"/>
            </w:tcBorders>
            <w:tcMar>
              <w:top w:w="30" w:type="dxa"/>
              <w:left w:w="129"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Yes/No/N/A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30250"/>
                <wp:effectExtent l="0" t="0" r="0" b="0"/>
                <wp:wrapNone/>
                <wp:docPr id="131" name="Frame131"/>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55"/>
        <w:gridCol w:w="1141"/>
        <w:gridCol w:w="1150"/>
        <w:gridCol w:w="1770"/>
        <w:gridCol w:w="1649"/>
        <w:gridCol w:w="1656"/>
        <w:gridCol w:w="130"/>
        <w:gridCol w:w="130"/>
        <w:gridCol w:w="131"/>
        <w:gridCol w:w="288"/>
        <w:gridCol w:w="288"/>
        <w:gridCol w:w="417"/>
      </w:tblGrid>
      <w:tr>
        <w:trPr/>
        <w:tc>
          <w:tcPr>
            <w:tcW w:w="1455"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r>
      <w:tr>
        <w:trPr/>
        <w:tc>
          <w:tcPr>
            <w:tcW w:w="37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Annual (CPA Audited) Financial Statements</w:t>
            </w:r>
          </w:p>
        </w:tc>
        <w:tc>
          <w:tcPr>
            <w:tcW w:w="5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Within 90 days after FYE</w:t>
            </w:r>
          </w:p>
        </w:tc>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left w:val="single" w:sz="4" w:space="0" w:color="000000"/>
              <w:right w:val="single" w:sz="4" w:space="0" w:color="000000"/>
            </w:tcBorders>
            <w:tcMar>
              <w:top w:w="30" w:type="dxa"/>
              <w:left w:w="129"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Yes/No/N/A</w:t>
            </w:r>
          </w:p>
        </w:tc>
      </w:tr>
      <w:tr>
        <w:trPr/>
        <w:tc>
          <w:tcPr>
            <w:tcW w:w="37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27" w:after="283"/>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Annual    Financial Projections</w:t>
            </w:r>
          </w:p>
        </w:tc>
        <w:tc>
          <w:tcPr>
            <w:tcW w:w="5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Annually (within 30 days of FYE), and when revised within 7 Business Days</w:t>
            </w:r>
          </w:p>
        </w:tc>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left w:val="single" w:sz="4" w:space="0" w:color="000000"/>
              <w:right w:val="single" w:sz="4" w:space="0" w:color="000000"/>
            </w:tcBorders>
            <w:tcMar>
              <w:top w:w="30" w:type="dxa"/>
              <w:left w:w="129"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Yes/No/N/A</w:t>
            </w:r>
          </w:p>
        </w:tc>
      </w:tr>
      <w:tr>
        <w:trPr/>
        <w:tc>
          <w:tcPr>
            <w:tcW w:w="37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8-K,    10-K    and</w:t>
            </w:r>
          </w:p>
          <w:p>
            <w:pPr>
              <w:pStyle w:val="TableContents"/>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10-Q Filings</w:t>
            </w:r>
          </w:p>
        </w:tc>
        <w:tc>
          <w:tcPr>
            <w:tcW w:w="5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Within 5 Business Days of filing</w:t>
            </w:r>
          </w:p>
        </w:tc>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3" w:before="123"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Certificate</w:t>
            </w:r>
          </w:p>
        </w:tc>
        <w:tc>
          <w:tcPr>
            <w:tcW w:w="5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Concurrently with quarterly and annual financials</w:t>
            </w:r>
          </w:p>
        </w:tc>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4" w:space="0" w:color="000000"/>
              <w:left w:val="single" w:sz="4" w:space="0" w:color="000000"/>
              <w:right w:val="single" w:sz="4" w:space="0" w:color="000000"/>
            </w:tcBorders>
            <w:tcMar>
              <w:top w:w="30" w:type="dxa"/>
              <w:left w:w="129"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Yes/No/N/A</w:t>
            </w:r>
          </w:p>
        </w:tc>
      </w:tr>
      <w:tr>
        <w:trPr/>
        <w:tc>
          <w:tcPr>
            <w:tcW w:w="374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24" w:after="283"/>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Month    End Account Statements of each Borrower</w:t>
            </w:r>
          </w:p>
        </w:tc>
        <w:tc>
          <w:tcPr>
            <w:tcW w:w="507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amount of Borrower’s cash and    cash</w:t>
            </w:r>
          </w:p>
          <w:p>
            <w:pPr>
              <w:pStyle w:val="TableContents"/>
              <w:bidi w:val="0"/>
              <w:spacing w:lineRule="auto" w:line="28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equivalents at the last day of the measurement period</w:t>
            </w:r>
          </w:p>
        </w:tc>
        <w:tc>
          <w:tcPr>
            <w:tcW w:w="391" w:type="dxa"/>
            <w:gridSpan w:val="3"/>
            <w:tcBorders>
              <w:top w:val="single" w:sz="4" w:space="0" w:color="000000"/>
              <w:left w:val="single" w:sz="4" w:space="0" w:color="000000"/>
            </w:tcBorders>
            <w:tcMar>
              <w:top w:w="30" w:type="dxa"/>
              <w:left w:w="128"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993"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374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before="124" w:after="283"/>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Month    End Account Statements of each Subsidiary</w:t>
            </w:r>
          </w:p>
        </w:tc>
        <w:tc>
          <w:tcPr>
            <w:tcW w:w="507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Total amount of Borrower’s cash and    cash</w:t>
            </w:r>
          </w:p>
          <w:p>
            <w:pPr>
              <w:pStyle w:val="TableContents"/>
              <w:bidi w:val="0"/>
              <w:spacing w:lineRule="auto" w:line="28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equivalents at the last day of the measurement period</w:t>
            </w:r>
          </w:p>
        </w:tc>
        <w:tc>
          <w:tcPr>
            <w:tcW w:w="391" w:type="dxa"/>
            <w:gridSpan w:val="3"/>
            <w:tcBorders>
              <w:top w:val="single" w:sz="4" w:space="0" w:color="000000"/>
              <w:left w:val="single" w:sz="4" w:space="0" w:color="000000"/>
              <w:bottom w:val="single" w:sz="4" w:space="0" w:color="000000"/>
            </w:tcBorders>
            <w:tcMar>
              <w:top w:w="30" w:type="dxa"/>
              <w:left w:w="128"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993"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23" w:after="283"/>
        <w:jc w:val="left"/>
        <w:rPr/>
      </w:pPr>
      <w:r>
        <w:rPr/>
      </w:r>
    </w:p>
    <w:p>
      <w:pPr>
        <w:pStyle w:val="TextBody"/>
        <w:bidi w:val="0"/>
        <w:spacing w:lineRule="auto" w:line="276"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Deposit and Securities Accounts</w:t>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(Please list all accounts; attach separate sheet if additional space needed)</w:t>
      </w:r>
    </w:p>
    <w:p>
      <w:pPr>
        <w:pStyle w:val="TextBody"/>
        <w:bidi w:val="0"/>
        <w:spacing w:before="32" w:after="283"/>
        <w:jc w:val="left"/>
        <w:rPr/>
      </w:pPr>
      <w:r>
        <w:rPr/>
      </w:r>
    </w:p>
    <w:tbl>
      <w:tblPr>
        <w:tblW w:w="7690" w:type="dxa"/>
        <w:jc w:val="left"/>
        <w:tblInd w:w="0" w:type="dxa"/>
        <w:tblLayout w:type="fixed"/>
        <w:tblCellMar>
          <w:top w:w="28" w:type="dxa"/>
          <w:left w:w="28" w:type="dxa"/>
          <w:bottom w:w="28" w:type="dxa"/>
          <w:right w:w="28" w:type="dxa"/>
        </w:tblCellMar>
      </w:tblPr>
      <w:tblGrid>
        <w:gridCol w:w="554"/>
        <w:gridCol w:w="486"/>
        <w:gridCol w:w="489"/>
        <w:gridCol w:w="509"/>
        <w:gridCol w:w="509"/>
        <w:gridCol w:w="511"/>
        <w:gridCol w:w="434"/>
        <w:gridCol w:w="434"/>
        <w:gridCol w:w="436"/>
        <w:gridCol w:w="351"/>
        <w:gridCol w:w="351"/>
        <w:gridCol w:w="351"/>
        <w:gridCol w:w="351"/>
        <w:gridCol w:w="351"/>
        <w:gridCol w:w="351"/>
        <w:gridCol w:w="351"/>
        <w:gridCol w:w="351"/>
        <w:gridCol w:w="520"/>
      </w:tblGrid>
      <w:tr>
        <w:trPr/>
        <w:tc>
          <w:tcPr>
            <w:tcW w:w="55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88" w:before="118" w:after="283"/>
              <w:jc w:val="left"/>
              <w:rPr>
                <w:rFonts w:ascii="Times New Roman;sans-serif" w:hAnsi="Times New Roman;sans-serif"/>
                <w:b/>
                <w:color w:val="000000"/>
                <w:sz w:val="20"/>
              </w:rPr>
            </w:pPr>
            <w:r>
              <w:rPr>
                <w:rFonts w:ascii="Times New Roman;sans-serif" w:hAnsi="Times New Roman;sans-serif"/>
                <w:b/>
                <w:color w:val="000000"/>
                <w:sz w:val="20"/>
              </w:rPr>
              <w:t>Institution Name</w:t>
            </w:r>
          </w:p>
        </w:tc>
        <w:tc>
          <w:tcPr>
            <w:tcW w:w="1529" w:type="dxa"/>
            <w:gridSpan w:val="3"/>
            <w:tcBorders/>
            <w:tcMar>
              <w:top w:w="0" w:type="dxa"/>
              <w:left w:w="0" w:type="dxa"/>
              <w:bottom w:w="0" w:type="dxa"/>
              <w:right w:w="0" w:type="dxa"/>
            </w:tcMar>
            <w:vAlign w:val="center"/>
          </w:tcPr>
          <w:p>
            <w:pPr>
              <w:pStyle w:val="TableContents"/>
              <w:bidi w:val="0"/>
              <w:spacing w:lineRule="auto" w:line="288" w:before="118" w:after="283"/>
              <w:jc w:val="left"/>
              <w:rPr>
                <w:rFonts w:ascii="Times New Roman;sans-serif" w:hAnsi="Times New Roman;sans-serif"/>
                <w:b/>
                <w:color w:val="000000"/>
                <w:sz w:val="20"/>
              </w:rPr>
            </w:pPr>
            <w:r>
              <w:rPr>
                <w:rFonts w:ascii="Times New Roman;sans-serif" w:hAnsi="Times New Roman;sans-serif"/>
                <w:b/>
                <w:color w:val="000000"/>
                <w:sz w:val="20"/>
              </w:rPr>
              <w:t>Account Number</w:t>
            </w:r>
          </w:p>
        </w:tc>
        <w:tc>
          <w:tcPr>
            <w:tcW w:w="130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New Account?</w:t>
            </w:r>
          </w:p>
        </w:tc>
        <w:tc>
          <w:tcPr>
            <w:tcW w:w="3328"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Account Control Agreement in place?</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37"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1222" w:type="dxa"/>
            <w:gridSpan w:val="3"/>
            <w:tcBorders/>
            <w:tcMar>
              <w:top w:w="0" w:type="dxa"/>
              <w:left w:w="0" w:type="dxa"/>
              <w:bottom w:w="0" w:type="dxa"/>
              <w:right w:w="0" w:type="dxa"/>
            </w:tcMar>
            <w:vAlign w:val="center"/>
          </w:tcPr>
          <w:p>
            <w:pPr>
              <w:pStyle w:val="TableContents"/>
              <w:bidi w:val="0"/>
              <w:spacing w:lineRule="auto" w:line="288" w:before="37"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w:t>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79"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1222" w:type="dxa"/>
            <w:gridSpan w:val="3"/>
            <w:tcBorders/>
            <w:tcMar>
              <w:top w:w="0" w:type="dxa"/>
              <w:left w:w="0" w:type="dxa"/>
              <w:bottom w:w="0" w:type="dxa"/>
              <w:right w:w="0" w:type="dxa"/>
            </w:tcMar>
            <w:vAlign w:val="center"/>
          </w:tcPr>
          <w:p>
            <w:pPr>
              <w:pStyle w:val="TableContents"/>
              <w:bidi w:val="0"/>
              <w:spacing w:lineRule="auto" w:line="288" w:before="79"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730250"/>
                <wp:effectExtent l="0" t="0" r="0" b="0"/>
                <wp:wrapNone/>
                <wp:docPr id="132" name="Frame132"/>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tbl>
      <w:tblPr>
        <w:tblW w:w="221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35"/>
        <w:gridCol w:w="135"/>
        <w:gridCol w:w="136"/>
        <w:gridCol w:w="115"/>
        <w:gridCol w:w="115"/>
        <w:gridCol w:w="116"/>
        <w:gridCol w:w="135"/>
        <w:gridCol w:w="135"/>
        <w:gridCol w:w="136"/>
        <w:gridCol w:w="114"/>
        <w:gridCol w:w="114"/>
        <w:gridCol w:w="1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88" w:before="78"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1" w:type="dxa"/>
            <w:gridSpan w:val="3"/>
            <w:tcBorders/>
            <w:tcMar>
              <w:top w:w="0" w:type="dxa"/>
              <w:left w:w="0" w:type="dxa"/>
              <w:bottom w:w="0" w:type="dxa"/>
              <w:right w:w="0" w:type="dxa"/>
            </w:tcMar>
            <w:vAlign w:val="center"/>
          </w:tcPr>
          <w:p>
            <w:pPr>
              <w:pStyle w:val="TableContents"/>
              <w:bidi w:val="0"/>
              <w:spacing w:lineRule="auto" w:line="288" w:before="78"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54" w:before="79" w:after="283"/>
              <w:jc w:val="righ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1" w:type="dxa"/>
            <w:gridSpan w:val="3"/>
            <w:tcBorders/>
            <w:tcMar>
              <w:top w:w="0" w:type="dxa"/>
              <w:left w:w="0" w:type="dxa"/>
              <w:bottom w:w="0" w:type="dxa"/>
              <w:right w:w="0" w:type="dxa"/>
            </w:tcMar>
            <w:vAlign w:val="center"/>
          </w:tcPr>
          <w:p>
            <w:pPr>
              <w:pStyle w:val="TableContents"/>
              <w:bidi w:val="0"/>
              <w:spacing w:lineRule="auto" w:line="254" w:before="79"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r>
    </w:tbl>
    <w:p>
      <w:pPr>
        <w:pStyle w:val="TextBody"/>
        <w:bidi w:val="0"/>
        <w:spacing w:before="86" w:after="283"/>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Financial Covenants</w:t>
      </w:r>
    </w:p>
    <w:p>
      <w:pPr>
        <w:pStyle w:val="TextBody"/>
        <w:bidi w:val="0"/>
        <w:spacing w:before="111" w:after="283"/>
        <w:jc w:val="left"/>
        <w:rPr/>
      </w:pPr>
      <w:r>
        <w:rPr/>
      </w:r>
    </w:p>
    <w:tbl>
      <w:tblPr>
        <w:tblW w:w="3964" w:type="dxa"/>
        <w:jc w:val="left"/>
        <w:tblInd w:w="0" w:type="dxa"/>
        <w:tblLayout w:type="fixed"/>
        <w:tblCellMar>
          <w:top w:w="28" w:type="dxa"/>
          <w:left w:w="28" w:type="dxa"/>
          <w:bottom w:w="28" w:type="dxa"/>
          <w:right w:w="28" w:type="dxa"/>
        </w:tblCellMar>
      </w:tblPr>
      <w:tblGrid>
        <w:gridCol w:w="337"/>
        <w:gridCol w:w="296"/>
        <w:gridCol w:w="298"/>
        <w:gridCol w:w="400"/>
        <w:gridCol w:w="400"/>
        <w:gridCol w:w="401"/>
        <w:gridCol w:w="220"/>
        <w:gridCol w:w="220"/>
        <w:gridCol w:w="221"/>
        <w:gridCol w:w="343"/>
        <w:gridCol w:w="343"/>
        <w:gridCol w:w="485"/>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Covenant</w:t>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Requirement</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Actual</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Compliance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730250"/>
                <wp:effectExtent l="0" t="0" r="0" b="0"/>
                <wp:wrapNone/>
                <wp:docPr id="133" name="Frame133"/>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tbl>
      <w:tblPr>
        <w:tblW w:w="4995" w:type="dxa"/>
        <w:jc w:val="left"/>
        <w:tblInd w:w="0" w:type="dxa"/>
        <w:tblLayout w:type="fixed"/>
        <w:tblCellMar>
          <w:top w:w="28" w:type="dxa"/>
          <w:left w:w="28" w:type="dxa"/>
          <w:bottom w:w="28" w:type="dxa"/>
          <w:right w:w="28" w:type="dxa"/>
        </w:tblCellMar>
      </w:tblPr>
      <w:tblGrid>
        <w:gridCol w:w="124"/>
        <w:gridCol w:w="109"/>
        <w:gridCol w:w="109"/>
        <w:gridCol w:w="879"/>
        <w:gridCol w:w="879"/>
        <w:gridCol w:w="882"/>
        <w:gridCol w:w="130"/>
        <w:gridCol w:w="130"/>
        <w:gridCol w:w="131"/>
        <w:gridCol w:w="130"/>
        <w:gridCol w:w="130"/>
        <w:gridCol w:w="131"/>
        <w:gridCol w:w="135"/>
        <w:gridCol w:w="135"/>
        <w:gridCol w:w="136"/>
        <w:gridCol w:w="115"/>
        <w:gridCol w:w="115"/>
        <w:gridCol w:w="116"/>
        <w:gridCol w:w="140"/>
        <w:gridCol w:w="140"/>
        <w:gridCol w:w="1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2640" w:type="dxa"/>
            <w:gridSpan w:val="3"/>
            <w:tcBorders/>
            <w:tcMar>
              <w:top w:w="0" w:type="dxa"/>
              <w:left w:w="0" w:type="dxa"/>
              <w:bottom w:w="0" w:type="dxa"/>
              <w:right w:w="0" w:type="dxa"/>
            </w:tcMar>
            <w:vAlign w:val="center"/>
          </w:tcPr>
          <w:p>
            <w:pPr>
              <w:pStyle w:val="TableContents"/>
              <w:bidi w:val="0"/>
              <w:spacing w:lineRule="auto" w:line="24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Section 6.10(a) Minimum Cash</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46" w:type="dxa"/>
            <w:gridSpan w:val="3"/>
            <w:tcBorders/>
            <w:tcMar>
              <w:top w:w="0" w:type="dxa"/>
              <w:left w:w="0" w:type="dxa"/>
              <w:bottom w:w="0" w:type="dxa"/>
              <w:right w:w="0" w:type="dxa"/>
            </w:tcMar>
            <w:vAlign w:val="center"/>
          </w:tcPr>
          <w:p>
            <w:pPr>
              <w:pStyle w:val="TableContents"/>
              <w:bidi w:val="0"/>
              <w:spacing w:lineRule="auto" w:line="24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No</w:t>
            </w:r>
          </w:p>
        </w:tc>
        <w:tc>
          <w:tcPr>
            <w:tcW w:w="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35" w:after="283"/>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Other Matters</w:t>
      </w:r>
    </w:p>
    <w:p>
      <w:pPr>
        <w:pStyle w:val="TextBody"/>
        <w:bidi w:val="0"/>
        <w:spacing w:before="52" w:after="283"/>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099"/>
        <w:gridCol w:w="2978"/>
        <w:gridCol w:w="2987"/>
        <w:gridCol w:w="135"/>
        <w:gridCol w:w="135"/>
        <w:gridCol w:w="136"/>
        <w:gridCol w:w="114"/>
        <w:gridCol w:w="114"/>
        <w:gridCol w:w="1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9"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298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1)</w:t>
            </w:r>
          </w:p>
        </w:tc>
        <w:tc>
          <w:tcPr>
            <w:tcW w:w="9064"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Has any Key Persons departed since the last Compliance Certificate?</w:t>
            </w:r>
          </w:p>
        </w:tc>
        <w:tc>
          <w:tcPr>
            <w:tcW w:w="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3" w:type="dxa"/>
            <w:gridSpan w:val="3"/>
            <w:tcBorders/>
            <w:tcMar>
              <w:top w:w="0" w:type="dxa"/>
              <w:left w:w="0" w:type="dxa"/>
              <w:bottom w:w="0" w:type="dxa"/>
              <w:right w:w="0" w:type="dxa"/>
            </w:tcMar>
            <w:vAlign w:val="center"/>
          </w:tcPr>
          <w:p>
            <w:pPr>
              <w:pStyle w:val="TableContents"/>
              <w:bidi w:val="0"/>
              <w:spacing w:lineRule="auto" w:line="266"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342" w:type="dxa"/>
            <w:gridSpan w:val="3"/>
            <w:tcBorders/>
            <w:tcMar>
              <w:top w:w="0" w:type="dxa"/>
              <w:left w:w="0" w:type="dxa"/>
              <w:bottom w:w="0" w:type="dxa"/>
              <w:right w:w="0" w:type="dxa"/>
            </w:tcMar>
            <w:vAlign w:val="center"/>
          </w:tcPr>
          <w:p>
            <w:pPr>
              <w:pStyle w:val="TableContents"/>
              <w:bidi w:val="0"/>
              <w:spacing w:before="21" w:after="283"/>
              <w:jc w:val="left"/>
              <w:rPr/>
            </w:pPr>
            <w:r>
              <w:rPr/>
            </w:r>
          </w:p>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2)</w:t>
            </w:r>
          </w:p>
        </w:tc>
        <w:tc>
          <w:tcPr>
            <w:tcW w:w="9064" w:type="dxa"/>
            <w:gridSpan w:val="3"/>
            <w:tcBorders/>
            <w:tcMar>
              <w:top w:w="0" w:type="dxa"/>
              <w:left w:w="0" w:type="dxa"/>
              <w:bottom w:w="0" w:type="dxa"/>
              <w:right w:w="0" w:type="dxa"/>
            </w:tcMar>
            <w:vAlign w:val="center"/>
          </w:tcPr>
          <w:p>
            <w:pPr>
              <w:pStyle w:val="TableContents"/>
              <w:bidi w:val="0"/>
              <w:spacing w:lineRule="auto" w:line="288" w:before="147"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there been any Transfers of Collateral or Intellectual Property prohibited by the Loan Agreement?</w:t>
            </w:r>
          </w:p>
        </w:tc>
        <w:tc>
          <w:tcPr>
            <w:tcW w:w="406" w:type="dxa"/>
            <w:gridSpan w:val="3"/>
            <w:tcBorders/>
            <w:tcMar>
              <w:top w:w="0" w:type="dxa"/>
              <w:left w:w="0" w:type="dxa"/>
              <w:bottom w:w="0" w:type="dxa"/>
              <w:right w:w="0" w:type="dxa"/>
            </w:tcMar>
            <w:vAlign w:val="center"/>
          </w:tcPr>
          <w:p>
            <w:pPr>
              <w:pStyle w:val="TableContents"/>
              <w:bidi w:val="0"/>
              <w:spacing w:before="21" w:after="283"/>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3" w:type="dxa"/>
            <w:gridSpan w:val="3"/>
            <w:tcBorders/>
            <w:tcMar>
              <w:top w:w="0" w:type="dxa"/>
              <w:left w:w="0" w:type="dxa"/>
              <w:bottom w:w="0" w:type="dxa"/>
              <w:right w:w="0" w:type="dxa"/>
            </w:tcMar>
            <w:vAlign w:val="center"/>
          </w:tcPr>
          <w:p>
            <w:pPr>
              <w:pStyle w:val="TableContents"/>
              <w:bidi w:val="0"/>
              <w:spacing w:before="21" w:after="283"/>
              <w:jc w:val="left"/>
              <w:rPr/>
            </w:pPr>
            <w:r>
              <w:rPr/>
            </w:r>
          </w:p>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164" w:after="283"/>
              <w:jc w:val="left"/>
              <w:rPr/>
            </w:pPr>
            <w:r>
              <w:rPr/>
            </w:r>
          </w:p>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3)</w:t>
            </w:r>
          </w:p>
        </w:tc>
        <w:tc>
          <w:tcPr>
            <w:tcW w:w="9064" w:type="dxa"/>
            <w:gridSpan w:val="3"/>
            <w:tcBorders/>
            <w:tcMar>
              <w:top w:w="0" w:type="dxa"/>
              <w:left w:w="0" w:type="dxa"/>
              <w:bottom w:w="0" w:type="dxa"/>
              <w:right w:w="0" w:type="dxa"/>
            </w:tcMar>
            <w:vAlign w:val="center"/>
          </w:tcPr>
          <w:p>
            <w:pPr>
              <w:pStyle w:val="TableContents"/>
              <w:bidi w:val="0"/>
              <w:spacing w:lineRule="auto" w:line="288" w:before="166"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there been any litigation or governmental proceedings pending or threatened (in writing) against Borrower or any of its Subsidiaries, which could reasonably be expected to result in damages or costs to Borrower or any of its Subsidiaries of Five Hundred Thousand Dollars ($500,000.00) or more or which could reasonably be expected to have a Material Adverse Change?</w:t>
            </w:r>
          </w:p>
        </w:tc>
        <w:tc>
          <w:tcPr>
            <w:tcW w:w="40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164" w:after="283"/>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164" w:after="283"/>
              <w:jc w:val="left"/>
              <w:rPr/>
            </w:pPr>
            <w:r>
              <w:rPr/>
            </w:r>
          </w:p>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169" w:after="283"/>
              <w:jc w:val="left"/>
              <w:rPr/>
            </w:pPr>
            <w:r>
              <w:rPr/>
            </w:r>
          </w:p>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4)</w:t>
            </w:r>
          </w:p>
        </w:tc>
        <w:tc>
          <w:tcPr>
            <w:tcW w:w="9064" w:type="dxa"/>
            <w:gridSpan w:val="3"/>
            <w:tcBorders/>
            <w:tcMar>
              <w:top w:w="0" w:type="dxa"/>
              <w:left w:w="0" w:type="dxa"/>
              <w:bottom w:w="0" w:type="dxa"/>
              <w:right w:w="0" w:type="dxa"/>
            </w:tcMar>
            <w:vAlign w:val="center"/>
          </w:tcPr>
          <w:p>
            <w:pPr>
              <w:pStyle w:val="TableContents"/>
              <w:bidi w:val="0"/>
              <w:spacing w:lineRule="auto" w:line="288" w:before="169"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Have there been any amendments of the Operating Documents of Borrower or any of its Subsidiaries? If Borrower is no longer subject to the reporting requirements under the Securities Exchange Act of 1934, as amended, has there been a material change to the capitalization table of Borrower? If yes, provide</w:t>
            </w:r>
          </w:p>
          <w:p>
            <w:pPr>
              <w:pStyle w:val="TableContents"/>
              <w:bidi w:val="0"/>
              <w:spacing w:lineRule="auto" w:line="252"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copies of any such amendments or changes with this Compliance Certificate.</w:t>
            </w:r>
          </w:p>
        </w:tc>
        <w:tc>
          <w:tcPr>
            <w:tcW w:w="406"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169" w:after="283"/>
              <w:jc w:val="left"/>
              <w:rPr/>
            </w:pPr>
            <w:r>
              <w:rPr/>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Yes</w:t>
            </w:r>
          </w:p>
        </w:tc>
        <w:tc>
          <w:tcPr>
            <w:tcW w:w="39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169" w:after="283"/>
              <w:jc w:val="left"/>
              <w:rPr/>
            </w:pPr>
            <w:r>
              <w:rPr/>
            </w:r>
          </w:p>
          <w:p>
            <w:pPr>
              <w:pStyle w:val="TableContents"/>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No</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730250"/>
                <wp:effectExtent l="0" t="0" r="0" b="0"/>
                <wp:wrapNone/>
                <wp:docPr id="134" name="Frame134"/>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76" w:before="78"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Exceptions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Please explain any exceptions with respect to the certification above: (If no exceptions exist, state “No exceptions.” Attach separate sheet if additional space needed.)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p>
      <w:pPr>
        <w:pStyle w:val="TextBody"/>
        <w:bidi w:val="0"/>
        <w:spacing w:lineRule="auto" w:line="288" w:before="252" w:after="283"/>
        <w:jc w:val="both"/>
        <w:rPr/>
      </w:pPr>
      <w:r>
        <w:rPr>
          <w:rFonts w:ascii="Times New Roman;sans-serif" w:hAnsi="Times New Roman;sans-serif"/>
          <w:b w:val="false"/>
          <w:color w:val="000000"/>
          <w:sz w:val="20"/>
        </w:rPr>
        <w:t xml:space="preserve">By </w:t>
      </w:r>
      <w:r>
        <w:rPr>
          <w:color w:val="000000"/>
          <w:u w:val="single"/>
        </w:rPr>
        <w:t>    </w:t>
      </w:r>
      <w:r>
        <w:rPr>
          <w:color w:val="000000"/>
        </w:rPr>
        <w:t xml:space="preserve"> </w:t>
      </w:r>
      <w:r>
        <w:rPr>
          <w:rFonts w:ascii="Times New Roman;sans-serif" w:hAnsi="Times New Roman;sans-serif"/>
          <w:b w:val="false"/>
          <w:color w:val="000000"/>
          <w:sz w:val="20"/>
        </w:rPr>
        <w:t xml:space="preserve">Name: </w:t>
      </w:r>
      <w:r>
        <w:rPr>
          <w:color w:val="000000"/>
          <w:u w:val="single"/>
        </w:rPr>
        <w:t>    </w:t>
      </w:r>
      <w:r>
        <w:rPr>
          <w:color w:val="000000"/>
        </w:rPr>
        <w:t xml:space="preserve"> </w:t>
      </w:r>
      <w:r>
        <w:rPr>
          <w:rFonts w:ascii="Times New Roman;sans-serif" w:hAnsi="Times New Roman;sans-serif"/>
          <w:b w:val="false"/>
          <w:color w:val="000000"/>
          <w:sz w:val="20"/>
        </w:rPr>
        <w:t xml:space="preserve">Title: </w:t>
      </w:r>
      <w:r>
        <w:rPr>
          <w:color w:val="000000"/>
          <w:u w:val="single"/>
        </w:rPr>
        <w:t>    </w:t>
      </w:r>
    </w:p>
    <w:p>
      <w:pPr>
        <w:pStyle w:val="TextBody"/>
        <w:bidi w:val="0"/>
        <w:spacing w:before="0" w:after="0"/>
        <w:jc w:val="left"/>
        <w:rPr/>
      </w:pPr>
      <w:r>
        <w:rPr/>
      </w:r>
    </w:p>
    <w:tbl>
      <w:tblPr>
        <w:tblW w:w="2653" w:type="dxa"/>
        <w:jc w:val="left"/>
        <w:tblInd w:w="0" w:type="dxa"/>
        <w:tblLayout w:type="fixed"/>
        <w:tblCellMar>
          <w:top w:w="28" w:type="dxa"/>
          <w:left w:w="28" w:type="dxa"/>
          <w:bottom w:w="28" w:type="dxa"/>
          <w:right w:w="28" w:type="dxa"/>
        </w:tblCellMar>
      </w:tblPr>
      <w:tblGrid>
        <w:gridCol w:w="739"/>
        <w:gridCol w:w="649"/>
        <w:gridCol w:w="654"/>
        <w:gridCol w:w="179"/>
        <w:gridCol w:w="179"/>
        <w:gridCol w:w="253"/>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66" w:before="0" w:after="0"/>
              <w:jc w:val="left"/>
              <w:rPr>
                <w:rFonts w:ascii="Times New Roman;sans-serif" w:hAnsi="Times New Roman;sans-serif"/>
                <w:b/>
                <w:color w:val="000000"/>
                <w:sz w:val="20"/>
              </w:rPr>
            </w:pPr>
            <w:r>
              <w:rPr>
                <w:rFonts w:ascii="Times New Roman;sans-serif" w:hAnsi="Times New Roman;sans-serif"/>
                <w:b/>
                <w:color w:val="000000"/>
                <w:sz w:val="20"/>
              </w:rPr>
              <w:t>LENDER USE ONLY</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lineRule="auto" w:line="288" w:before="122" w:after="283"/>
              <w:jc w:val="left"/>
              <w:rPr/>
            </w:pPr>
            <w:r>
              <w:rPr>
                <w:rFonts w:ascii="Times New Roman;sans-serif" w:hAnsi="Times New Roman;sans-serif"/>
                <w:b w:val="false"/>
                <w:color w:val="000000"/>
                <w:sz w:val="20"/>
              </w:rPr>
              <w:t>Received by:</w:t>
            </w:r>
            <w:r>
              <w:rPr>
                <w:color w:val="000000"/>
                <w:u w:val="single"/>
              </w:rPr>
              <w:t>    </w:t>
            </w:r>
          </w:p>
        </w:tc>
        <w:tc>
          <w:tcPr>
            <w:tcW w:w="611" w:type="dxa"/>
            <w:gridSpan w:val="3"/>
            <w:tcBorders/>
            <w:tcMar>
              <w:top w:w="0" w:type="dxa"/>
              <w:left w:w="0" w:type="dxa"/>
              <w:bottom w:w="0" w:type="dxa"/>
              <w:right w:w="0" w:type="dxa"/>
            </w:tcMar>
            <w:vAlign w:val="center"/>
          </w:tcPr>
          <w:p>
            <w:pPr>
              <w:pStyle w:val="TableContents"/>
              <w:bidi w:val="0"/>
              <w:spacing w:lineRule="auto" w:line="288" w:before="122"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042" w:type="dxa"/>
            <w:gridSpan w:val="3"/>
            <w:tcBorders/>
            <w:tcMar>
              <w:top w:w="0" w:type="dxa"/>
              <w:left w:w="0" w:type="dxa"/>
              <w:bottom w:w="0" w:type="dxa"/>
              <w:right w:w="0" w:type="dxa"/>
            </w:tcMar>
            <w:vAlign w:val="center"/>
          </w:tcPr>
          <w:p>
            <w:pPr>
              <w:pStyle w:val="TableContents"/>
              <w:bidi w:val="0"/>
              <w:spacing w:lineRule="auto" w:line="288" w:before="122" w:after="283"/>
              <w:jc w:val="left"/>
              <w:rPr/>
            </w:pPr>
            <w:r>
              <w:rPr>
                <w:rFonts w:ascii="Times New Roman;sans-serif" w:hAnsi="Times New Roman;sans-serif"/>
                <w:b w:val="false"/>
                <w:color w:val="000000"/>
                <w:sz w:val="20"/>
              </w:rPr>
              <w:t xml:space="preserve">Verified by: </w:t>
            </w:r>
            <w:r>
              <w:rPr>
                <w:color w:val="000000"/>
                <w:u w:val="single"/>
              </w:rPr>
              <w:t>    </w:t>
            </w:r>
          </w:p>
        </w:tc>
        <w:tc>
          <w:tcPr>
            <w:tcW w:w="611" w:type="dxa"/>
            <w:gridSpan w:val="3"/>
            <w:tcBorders/>
            <w:tcMar>
              <w:top w:w="0" w:type="dxa"/>
              <w:left w:w="0" w:type="dxa"/>
              <w:bottom w:w="0" w:type="dxa"/>
              <w:right w:w="0" w:type="dxa"/>
            </w:tcMar>
            <w:vAlign w:val="center"/>
          </w:tcPr>
          <w:p>
            <w:pPr>
              <w:pStyle w:val="TableContents"/>
              <w:bidi w:val="0"/>
              <w:spacing w:lineRule="auto" w:line="288" w:before="122"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r>
      <w:tr>
        <w:trPr/>
        <w:tc>
          <w:tcPr>
            <w:tcW w:w="2653" w:type="dxa"/>
            <w:gridSpan w:val="6"/>
            <w:tcBorders/>
            <w:tcMar>
              <w:top w:w="0" w:type="dxa"/>
              <w:left w:w="0" w:type="dxa"/>
              <w:bottom w:w="0" w:type="dxa"/>
              <w:right w:w="0" w:type="dxa"/>
            </w:tcMar>
            <w:vAlign w:val="center"/>
          </w:tcPr>
          <w:p>
            <w:pPr>
              <w:pStyle w:val="TableContents"/>
              <w:bidi w:val="0"/>
              <w:spacing w:lineRule="auto" w:line="254" w:before="121"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Compliance Status:    Yes    No</w:t>
            </w:r>
          </w:p>
        </w:tc>
      </w:tr>
    </w:tbl>
    <w:p>
      <w:pPr>
        <w:pStyle w:val="TextBody"/>
        <w:bidi w:val="0"/>
        <w:spacing w:lineRule="auto" w:line="288" w:before="1"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before="1" w:after="283"/>
        <w:jc w:val="left"/>
        <w:rPr/>
      </w:pPr>
      <w:r>
        <w:rPr/>
      </w:r>
    </w:p>
    <w:p>
      <w:pPr>
        <w:pStyle w:val="TextBody"/>
        <w:bidi w:val="0"/>
        <w:spacing w:lineRule="auto" w:line="288" w:before="0" w:after="0"/>
        <w:jc w:val="left"/>
        <w:rPr>
          <w:color w:val="000000"/>
          <w:u w:val="single"/>
        </w:rPr>
      </w:pP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730250"/>
                <wp:effectExtent l="0" t="0" r="0" b="0"/>
                <wp:wrapNone/>
                <wp:docPr id="135" name="Frame135"/>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SCHEDULE 1</w:t>
      </w:r>
    </w:p>
    <w:p>
      <w:pPr>
        <w:pStyle w:val="TextBody"/>
        <w:bidi w:val="0"/>
        <w:spacing w:lineRule="auto" w:line="288" w:before="239" w:after="283"/>
        <w:jc w:val="center"/>
        <w:rPr>
          <w:rFonts w:ascii="Times New Roman;sans-serif" w:hAnsi="Times New Roman;sans-serif"/>
          <w:b/>
          <w:color w:val="000000"/>
          <w:sz w:val="20"/>
        </w:rPr>
      </w:pPr>
      <w:r>
        <w:rPr>
          <w:rFonts w:ascii="Times New Roman;sans-serif" w:hAnsi="Times New Roman;sans-serif"/>
          <w:b/>
          <w:color w:val="000000"/>
          <w:sz w:val="20"/>
        </w:rPr>
        <w:t>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730250"/>
                <wp:effectExtent l="0" t="0" r="0" b="0"/>
                <wp:wrapNone/>
                <wp:docPr id="136" name="Frame136"/>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78" w:after="283"/>
        <w:jc w:val="center"/>
        <w:rPr>
          <w:rFonts w:ascii="Times New Roman;sans-serif" w:hAnsi="Times New Roman;sans-serif"/>
          <w:b/>
          <w:color w:val="000000"/>
          <w:sz w:val="20"/>
        </w:rPr>
      </w:pPr>
      <w:r>
        <w:rPr>
          <w:rFonts w:ascii="Times New Roman;sans-serif" w:hAnsi="Times New Roman;sans-serif"/>
          <w:b/>
          <w:color w:val="000000"/>
          <w:sz w:val="20"/>
        </w:rPr>
        <w:t>EXHIBIT D</w:t>
      </w:r>
    </w:p>
    <w:p>
      <w:pPr>
        <w:pStyle w:val="TextBody"/>
        <w:bidi w:val="0"/>
        <w:spacing w:before="1" w:after="283"/>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OF SECURED PROMISSORY NOTE</w:t>
      </w:r>
    </w:p>
    <w:p>
      <w:pPr>
        <w:pStyle w:val="TextBody"/>
        <w:bidi w:val="0"/>
        <w:spacing w:lineRule="auto" w:line="288" w:before="1" w:after="283"/>
        <w:jc w:val="center"/>
        <w:rPr>
          <w:rFonts w:ascii="Times New Roman;sans-serif" w:hAnsi="Times New Roman;sans-serif"/>
          <w:b/>
          <w:color w:val="000000"/>
          <w:sz w:val="20"/>
        </w:rPr>
      </w:pPr>
      <w:r>
        <w:rPr>
          <w:rFonts w:ascii="Times New Roman;sans-serif" w:hAnsi="Times New Roman;sans-serif"/>
          <w:b/>
          <w:color w:val="000000"/>
          <w:sz w:val="20"/>
        </w:rPr>
        <w:t>(Term [A][B][C] Loan)</w:t>
      </w:r>
    </w:p>
    <w:p>
      <w:pPr>
        <w:pStyle w:val="TextBody"/>
        <w:bidi w:val="0"/>
        <w:spacing w:lineRule="auto" w:line="288" w:before="242" w:after="283"/>
        <w:jc w:val="center"/>
        <w:rPr/>
      </w:pPr>
      <w:r>
        <w:rPr>
          <w:rFonts w:ascii="Times New Roman;sans-serif" w:hAnsi="Times New Roman;sans-serif"/>
          <w:b w:val="false"/>
          <w:color w:val="000000"/>
          <w:sz w:val="20"/>
        </w:rPr>
        <w:t>$</w:t>
      </w:r>
      <w:r>
        <w:rPr>
          <w:color w:val="000000"/>
          <w:u w:val="single"/>
        </w:rPr>
        <w:t>    </w:t>
      </w:r>
      <w:r>
        <w:rPr>
          <w:color w:val="000000"/>
        </w:rPr>
        <w:t>    </w:t>
      </w:r>
      <w:r>
        <w:rPr>
          <w:rFonts w:ascii="Times New Roman;sans-serif" w:hAnsi="Times New Roman;sans-serif"/>
          <w:b w:val="false"/>
          <w:color w:val="000000"/>
          <w:sz w:val="20"/>
        </w:rPr>
        <w:t>Dated: [DATE]</w:t>
      </w:r>
    </w:p>
    <w:p>
      <w:pPr>
        <w:pStyle w:val="TextBody"/>
        <w:bidi w:val="0"/>
        <w:spacing w:lineRule="auto" w:line="288" w:before="236" w:after="283"/>
        <w:ind w:left="0" w:right="0" w:firstLine="720"/>
        <w:jc w:val="both"/>
        <w:rPr/>
      </w:pPr>
      <w:r>
        <w:rPr>
          <w:rFonts w:ascii="Times New Roman;sans-serif" w:hAnsi="Times New Roman;sans-serif"/>
          <w:b w:val="false"/>
          <w:color w:val="000000"/>
          <w:sz w:val="20"/>
        </w:rPr>
        <w:t>FOR VALUE RECEIVED, the undersigned, PLIANT THERAPEUTICS, INC., a Delaware corporation with offices located at 260 Littlefield Avenue, S San Francisco CA 94080 (“</w:t>
      </w:r>
      <w:r>
        <w:rPr>
          <w:rFonts w:ascii="Times New Roman;sans-serif" w:hAnsi="Times New Roman;sans-serif"/>
          <w:b/>
          <w:color w:val="000000"/>
          <w:sz w:val="20"/>
        </w:rPr>
        <w:t>Borrower</w:t>
      </w:r>
      <w:r>
        <w:rPr>
          <w:color w:val="000000"/>
        </w:rPr>
        <w:t>”</w:t>
      </w:r>
      <w:r>
        <w:rPr>
          <w:rFonts w:ascii="Times New Roman;sans-serif" w:hAnsi="Times New Roman;sans-serif"/>
          <w:b w:val="false"/>
          <w:color w:val="000000"/>
          <w:sz w:val="20"/>
        </w:rPr>
        <w:t>) HEREBY PROMISES TO PAY to the order of OXFORD FINANCE LLC (“</w:t>
      </w:r>
      <w:r>
        <w:rPr>
          <w:rFonts w:ascii="Times New Roman;sans-serif" w:hAnsi="Times New Roman;sans-serif"/>
          <w:b/>
          <w:color w:val="000000"/>
          <w:sz w:val="20"/>
        </w:rPr>
        <w:t>Lender</w:t>
      </w:r>
      <w:r>
        <w:rPr>
          <w:color w:val="000000"/>
        </w:rPr>
        <w:t>”</w:t>
      </w:r>
      <w:r>
        <w:rPr>
          <w:rFonts w:ascii="Times New Roman;sans-serif" w:hAnsi="Times New Roman;sans-serif"/>
          <w:b w:val="false"/>
          <w:color w:val="000000"/>
          <w:sz w:val="20"/>
        </w:rPr>
        <w:t>) or its registered assigns the principal amount of [</w:t>
      </w:r>
      <w:r>
        <w:rPr>
          <w:color w:val="000000"/>
          <w:u w:val="single"/>
        </w:rPr>
        <w:t>    </w:t>
      </w:r>
      <w:r>
        <w:rPr>
          <w:rFonts w:ascii="Times New Roman;sans-serif" w:hAnsi="Times New Roman;sans-serif"/>
          <w:b w:val="false"/>
          <w:color w:val="000000"/>
          <w:sz w:val="20"/>
        </w:rPr>
        <w:t>] MILLION DOLLARS ($</w:t>
      </w:r>
      <w:r>
        <w:rPr>
          <w:color w:val="000000"/>
          <w:u w:val="single"/>
        </w:rPr>
        <w:t>    </w:t>
      </w:r>
      <w:r>
        <w:rPr>
          <w:rFonts w:ascii="Times New Roman;sans-serif" w:hAnsi="Times New Roman;sans-serif"/>
          <w:b w:val="false"/>
          <w:color w:val="000000"/>
          <w:sz w:val="20"/>
        </w:rPr>
        <w:t>) or such lesser amount as shall equal the outstanding principal balance of the Term [A][B][C] Loan made to Borrower by Lender, plus interest on the aggregate unpaid principal amount of such Term [A][B][C] Loan, at the rates and in accordance with the terms of the Amended and Restated Loan and Security Agreement dated March 11, 2024 by and among Borrower, Lender, Oxford Finance LLC, as Collateral Agent, and the other Lenders from time to time party thereto (as amended, restated, amended and restated, supplemented or otherwise modified from time to time, the “</w:t>
      </w:r>
      <w:r>
        <w:rPr>
          <w:rFonts w:ascii="Times New Roman;sans-serif" w:hAnsi="Times New Roman;sans-serif"/>
          <w:b/>
          <w:color w:val="000000"/>
          <w:sz w:val="20"/>
        </w:rPr>
        <w:t>Loan Agreement</w:t>
      </w:r>
      <w:r>
        <w:rPr>
          <w:color w:val="000000"/>
        </w:rPr>
        <w:t>”</w:t>
      </w:r>
      <w:r>
        <w:rPr>
          <w:rFonts w:ascii="Times New Roman;sans-serif" w:hAnsi="Times New Roman;sans-serif"/>
          <w:b w:val="false"/>
          <w:color w:val="000000"/>
          <w:sz w:val="20"/>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pStyle w:val="TextBody"/>
        <w:bidi w:val="0"/>
        <w:spacing w:lineRule="auto" w:line="288" w:before="239" w:after="283"/>
        <w:jc w:val="both"/>
        <w:rPr/>
      </w:pPr>
      <w:r>
        <w:rPr>
          <w:rFonts w:ascii="Times New Roman;sans-serif" w:hAnsi="Times New Roman;sans-serif"/>
          <w:b w:val="false"/>
          <w:color w:val="000000"/>
          <w:sz w:val="20"/>
        </w:rPr>
        <w:t>Principal, interest and all other amounts due with respect to the Term [A][B][C] Loan, are payable in lawful money of the United States of America to Lender as set forth in the Loan Agreement and this Secured Promissory Note (this “</w:t>
      </w:r>
      <w:r>
        <w:rPr>
          <w:rFonts w:ascii="Times New Roman;sans-serif" w:hAnsi="Times New Roman;sans-serif"/>
          <w:b/>
          <w:color w:val="000000"/>
          <w:sz w:val="20"/>
        </w:rPr>
        <w:t>Note</w:t>
      </w:r>
      <w:r>
        <w:rPr>
          <w:color w:val="000000"/>
        </w:rPr>
        <w:t>”</w:t>
      </w:r>
      <w:r>
        <w:rPr>
          <w:rFonts w:ascii="Times New Roman;sans-serif" w:hAnsi="Times New Roman;sans-serif"/>
          <w:b w:val="false"/>
          <w:color w:val="000000"/>
          <w:sz w:val="20"/>
        </w:rPr>
        <w:t xml:space="preserve">). The principal amount of this Note and the interest rate applicable thereto, and all payments made with respect thereto, shall be recorded by Lender and, prior to any transfer hereof, endorsed on the grid attached hereto as </w:t>
      </w:r>
      <w:r>
        <w:rPr>
          <w:rFonts w:ascii="Times New Roman;sans-serif" w:hAnsi="Times New Roman;sans-serif"/>
          <w:b w:val="false"/>
          <w:color w:val="000000"/>
          <w:sz w:val="20"/>
          <w:u w:val="single"/>
        </w:rPr>
        <w:t>Annex 1</w:t>
      </w:r>
      <w:r>
        <w:rPr>
          <w:color w:val="000000"/>
        </w:rPr>
        <w:t xml:space="preserve"> </w:t>
      </w:r>
      <w:r>
        <w:rPr>
          <w:rFonts w:ascii="Times New Roman;sans-serif" w:hAnsi="Times New Roman;sans-serif"/>
          <w:b w:val="false"/>
          <w:color w:val="000000"/>
          <w:sz w:val="20"/>
        </w:rPr>
        <w:t>which is part of this Note.</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Loan Agreement, among other things, (a) provides for the making of a secured Term [A][B][C] Loan by Lender to Borrower, and (b) contains provisions for acceleration of the maturity hereof upon the happening of certain stated events.</w:t>
      </w:r>
    </w:p>
    <w:p>
      <w:pPr>
        <w:pStyle w:val="TextBody"/>
        <w:bidi w:val="0"/>
        <w:spacing w:lineRule="auto" w:line="288" w:before="242"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Note may not be prepaid except as set forth in Section 2.2(c) and Section 2.2(d) of the Loan Agreement.</w:t>
      </w:r>
    </w:p>
    <w:p>
      <w:pPr>
        <w:pStyle w:val="TextBody"/>
        <w:bidi w:val="0"/>
        <w:spacing w:lineRule="auto" w:line="288" w:before="239"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Note and the obligation of Borrower to repay the unpaid principal amount of the Term [A][B][C] Loan, interest on the Term [A][B][C] Loan and all other amounts due Lender under the Loan Agreement is secured under the Loan Agreement.</w:t>
      </w:r>
    </w:p>
    <w:p>
      <w:pPr>
        <w:pStyle w:val="TextBody"/>
        <w:bidi w:val="0"/>
        <w:spacing w:lineRule="auto" w:line="288" w:before="241"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Presentment for payment, demand, notice of protest and all other demands and notices of any kind in connection with the execution, delivery, performance and enforcement of this Note are hereby waived.</w:t>
      </w:r>
    </w:p>
    <w:p>
      <w:pPr>
        <w:pStyle w:val="TextBody"/>
        <w:bidi w:val="0"/>
        <w:spacing w:lineRule="auto" w:line="280" w:before="238" w:after="283"/>
        <w:jc w:val="both"/>
        <w:rPr>
          <w:rFonts w:ascii="Times New Roman;sans-serif" w:hAnsi="Times New Roman;sans-serif"/>
          <w:b w:val="false"/>
          <w:color w:val="000000"/>
          <w:sz w:val="20"/>
        </w:rPr>
      </w:pPr>
      <w:r>
        <w:rPr>
          <w:rFonts w:ascii="Times New Roman;sans-serif" w:hAnsi="Times New Roman;sans-serif"/>
          <w:b w:val="false"/>
          <w:color w:val="000000"/>
          <w:sz w:val="20"/>
        </w:rPr>
        <w:t>Borrower shall pay all reasonable and documented out-of-pocket fees and expenses, including, without limitation, reasonable and documented attorneys’ fees and costs, incurred by Lender in the enforcement or attempt to enforce any of Borrower’s obligations hereunder not performed when due, all in accordance with the Loan Agreement.</w:t>
      </w:r>
    </w:p>
    <w:p>
      <w:pPr>
        <w:pStyle w:val="TextBody"/>
        <w:bidi w:val="0"/>
        <w:spacing w:lineRule="auto" w:line="288" w:before="231" w:after="283"/>
        <w:jc w:val="both"/>
        <w:rPr/>
      </w:pPr>
      <w:r>
        <w:rPr>
          <w:rFonts w:ascii="Times New Roman;sans-serif" w:hAnsi="Times New Roman;sans-serif"/>
          <w:b w:val="false"/>
          <w:color w:val="000000"/>
          <w:sz w:val="20"/>
        </w:rPr>
        <w:t xml:space="preserve">THE TERMS OF SECTION 11 (CHOICE OF LAW, VENUE, JURY TRIAL WAIVER AND JUDICIAL REFERENCE) ARE HEREBY INCORPORATED BY REFERENCE, </w:t>
      </w:r>
      <w:r>
        <w:rPr>
          <w:rFonts w:ascii="Times New Roman;sans-serif" w:hAnsi="Times New Roman;sans-serif"/>
          <w:b w:val="false"/>
          <w:i/>
          <w:color w:val="000000"/>
          <w:sz w:val="20"/>
        </w:rPr>
        <w:t>MUTATIS MUTANDIS</w:t>
      </w:r>
      <w:r>
        <w:rPr>
          <w:rFonts w:ascii="Times New Roman;sans-serif" w:hAnsi="Times New Roman;sans-serif"/>
          <w:b w:val="false"/>
          <w:color w:val="000000"/>
          <w:sz w:val="20"/>
        </w:rPr>
        <w:t>.</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ownership of an interest in this Note shall be registered on a record of ownership maintained by Lender or its agent. Notwithstanding anything else in this Note to the contrary, the right to the principal of, and</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730250"/>
                <wp:effectExtent l="0" t="0" r="0" b="0"/>
                <wp:wrapNone/>
                <wp:docPr id="137" name="Frame137"/>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8"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stated interest on, this Note may be transferred only if (i) the transfer is registered on such record of ownership and the transferee is identified as the owner of an interest in the obligation and (ii) such transfer is made in accordance with Section 12.1 of the Loan Agreement.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pStyle w:val="TextBody"/>
        <w:bidi w:val="0"/>
        <w:spacing w:lineRule="auto" w:line="288" w:before="239" w:after="283"/>
        <w:jc w:val="left"/>
        <w:rPr>
          <w:rFonts w:ascii="Times New Roman;sans-serif" w:hAnsi="Times New Roman;sans-serif"/>
          <w:b/>
          <w:i/>
          <w:color w:val="000000"/>
          <w:sz w:val="20"/>
        </w:rPr>
      </w:pPr>
      <w:r>
        <w:rPr>
          <w:rFonts w:ascii="Times New Roman;sans-serif" w:hAnsi="Times New Roman;sans-serif"/>
          <w:b/>
          <w:i/>
          <w:color w:val="000000"/>
          <w:sz w:val="20"/>
        </w:rPr>
        <w:t>[Balance of Page Intentionally Left Blank]</w: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730250"/>
                <wp:effectExtent l="0" t="0" r="0" b="0"/>
                <wp:wrapNone/>
                <wp:docPr id="138" name="Frame138"/>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8"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WITNESS WHEREOF, Borrower has caused this Note to be duly executed by one of its officers thereunto duly authorized on the date hereof.</w:t>
      </w:r>
    </w:p>
    <w:p>
      <w:pPr>
        <w:pStyle w:val="TextBody"/>
        <w:bidi w:val="0"/>
        <w:spacing w:before="19" w:after="1"/>
        <w:jc w:val="left"/>
        <w:rPr/>
      </w:pPr>
      <w:r>
        <w:rPr/>
      </w:r>
    </w:p>
    <w:tbl>
      <w:tblPr>
        <w:tblW w:w="2775" w:type="dxa"/>
        <w:jc w:val="left"/>
        <w:tblInd w:w="0" w:type="dxa"/>
        <w:tblLayout w:type="fixed"/>
        <w:tblCellMar>
          <w:top w:w="28" w:type="dxa"/>
          <w:left w:w="28" w:type="dxa"/>
          <w:bottom w:w="28" w:type="dxa"/>
          <w:right w:w="28" w:type="dxa"/>
        </w:tblCellMar>
      </w:tblPr>
      <w:tblGrid>
        <w:gridCol w:w="889"/>
        <w:gridCol w:w="780"/>
        <w:gridCol w:w="1106"/>
      </w:tblGrid>
      <w:tr>
        <w:trPr/>
        <w:tc>
          <w:tcPr>
            <w:tcW w:w="88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BORROWER:</w:t>
            </w:r>
          </w:p>
        </w:tc>
      </w:tr>
      <w:tr>
        <w:trPr/>
        <w:tc>
          <w:tcPr>
            <w:tcW w:w="2775" w:type="dxa"/>
            <w:gridSpan w:val="3"/>
            <w:tcBorders/>
            <w:tcMar>
              <w:top w:w="0" w:type="dxa"/>
              <w:left w:w="0" w:type="dxa"/>
              <w:bottom w:w="0" w:type="dxa"/>
              <w:right w:w="0" w:type="dxa"/>
            </w:tcMar>
            <w:vAlign w:val="center"/>
          </w:tcPr>
          <w:p>
            <w:pPr>
              <w:pStyle w:val="TableContents"/>
              <w:bidi w:val="0"/>
              <w:spacing w:lineRule="auto" w:line="288" w:before="122"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PLIANT THERAPEUTICS, INC.</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730250"/>
                <wp:effectExtent l="0" t="0" r="0" b="0"/>
                <wp:wrapNone/>
                <wp:docPr id="139" name="Frame139"/>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r>
                                    <w:br w:type="page"/>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ANNEX 1</w:t>
      </w:r>
    </w:p>
    <w:p>
      <w:pPr>
        <w:pStyle w:val="TextBody"/>
        <w:bidi w:val="0"/>
        <w:spacing w:lineRule="auto" w:line="288" w:before="239" w:after="283"/>
        <w:jc w:val="left"/>
        <w:rPr>
          <w:rFonts w:ascii="Times New Roman;sans-serif" w:hAnsi="Times New Roman;sans-serif"/>
          <w:b/>
          <w:color w:val="000000"/>
          <w:sz w:val="20"/>
        </w:rPr>
      </w:pPr>
      <w:r>
        <w:rPr>
          <w:rFonts w:ascii="Times New Roman;sans-serif" w:hAnsi="Times New Roman;sans-serif"/>
          <w:b/>
          <w:color w:val="000000"/>
          <w:sz w:val="20"/>
        </w:rPr>
        <w:t>LOAN INTEREST RATE AND PAYMENTS OF PRINCIPAL</w:t>
      </w:r>
    </w:p>
    <w:p>
      <w:pPr>
        <w:pStyle w:val="TextBody"/>
        <w:bidi w:val="0"/>
        <w:spacing w:before="17" w:after="1"/>
        <w:jc w:val="left"/>
        <w:rPr/>
      </w:pPr>
      <w:r>
        <w:rPr/>
      </w:r>
    </w:p>
    <w:tbl>
      <w:tblPr>
        <w:tblW w:w="6764" w:type="dxa"/>
        <w:jc w:val="left"/>
        <w:tblInd w:w="0" w:type="dxa"/>
        <w:tblLayout w:type="fixed"/>
        <w:tblCellMar>
          <w:top w:w="28" w:type="dxa"/>
          <w:left w:w="28" w:type="dxa"/>
          <w:bottom w:w="28" w:type="dxa"/>
          <w:right w:w="28" w:type="dxa"/>
        </w:tblCellMar>
      </w:tblPr>
      <w:tblGrid>
        <w:gridCol w:w="337"/>
        <w:gridCol w:w="296"/>
        <w:gridCol w:w="298"/>
        <w:gridCol w:w="400"/>
        <w:gridCol w:w="400"/>
        <w:gridCol w:w="401"/>
        <w:gridCol w:w="494"/>
        <w:gridCol w:w="494"/>
        <w:gridCol w:w="496"/>
        <w:gridCol w:w="559"/>
        <w:gridCol w:w="559"/>
        <w:gridCol w:w="561"/>
        <w:gridCol w:w="429"/>
        <w:gridCol w:w="429"/>
        <w:gridCol w:w="611"/>
      </w:tblGrid>
      <w:tr>
        <w:trPr/>
        <w:tc>
          <w:tcPr>
            <w:tcW w:w="33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54" w:before="245" w:after="283"/>
              <w:jc w:val="left"/>
              <w:rPr>
                <w:color w:val="000000"/>
                <w:u w:val="single"/>
              </w:rPr>
            </w:pPr>
            <w:r>
              <w:rPr>
                <w:color w:val="000000"/>
                <w:u w:val="single"/>
              </w:rPr>
              <w:t>    </w:t>
            </w:r>
            <w:r>
              <w:rPr>
                <w:rFonts w:ascii="Times New Roman;sans-serif" w:hAnsi="Times New Roman;sans-serif"/>
                <w:b/>
                <w:color w:val="000000"/>
                <w:sz w:val="20"/>
                <w:u w:val="single"/>
              </w:rPr>
              <w:t>Date    </w:t>
            </w:r>
          </w:p>
        </w:tc>
        <w:tc>
          <w:tcPr>
            <w:tcW w:w="1201"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ans-serif" w:hAnsi="Times New Roman;sans-serif"/>
                <w:b/>
                <w:color w:val="000000"/>
                <w:sz w:val="20"/>
              </w:rPr>
            </w:pPr>
            <w:r>
              <w:rPr>
                <w:rFonts w:ascii="Times New Roman;sans-serif" w:hAnsi="Times New Roman;sans-serif"/>
                <w:b/>
                <w:color w:val="000000"/>
                <w:sz w:val="20"/>
              </w:rPr>
              <w:t>Principal</w:t>
            </w:r>
          </w:p>
          <w:p>
            <w:pPr>
              <w:pStyle w:val="TableContents"/>
              <w:bidi w:val="0"/>
              <w:spacing w:lineRule="auto" w:line="254" w:before="1" w:after="283"/>
              <w:jc w:val="center"/>
              <w:rPr>
                <w:color w:val="000000"/>
                <w:u w:val="single"/>
              </w:rPr>
            </w:pPr>
            <w:r>
              <w:rPr>
                <w:color w:val="000000"/>
                <w:u w:val="single"/>
              </w:rPr>
              <w:t>    </w:t>
            </w:r>
            <w:r>
              <w:rPr>
                <w:rFonts w:ascii="Times New Roman;sans-serif" w:hAnsi="Times New Roman;sans-serif"/>
                <w:b/>
                <w:color w:val="000000"/>
                <w:sz w:val="20"/>
                <w:u w:val="single"/>
              </w:rPr>
              <w:t>Amount    </w:t>
            </w:r>
          </w:p>
        </w:tc>
        <w:tc>
          <w:tcPr>
            <w:tcW w:w="1484" w:type="dxa"/>
            <w:gridSpan w:val="3"/>
            <w:tcBorders/>
            <w:tcMar>
              <w:top w:w="0" w:type="dxa"/>
              <w:left w:w="0" w:type="dxa"/>
              <w:bottom w:w="0" w:type="dxa"/>
              <w:right w:w="0" w:type="dxa"/>
            </w:tcMar>
            <w:vAlign w:val="center"/>
          </w:tcPr>
          <w:p>
            <w:pPr>
              <w:pStyle w:val="TableContents"/>
              <w:bidi w:val="0"/>
              <w:spacing w:lineRule="auto" w:line="254" w:before="245" w:after="283"/>
              <w:jc w:val="left"/>
              <w:rPr>
                <w:color w:val="000000"/>
                <w:u w:val="single"/>
              </w:rPr>
            </w:pPr>
            <w:r>
              <w:rPr>
                <w:color w:val="000000"/>
                <w:u w:val="single"/>
              </w:rPr>
              <w:t>  </w:t>
            </w:r>
            <w:r>
              <w:rPr>
                <w:rFonts w:ascii="Times New Roman;sans-serif" w:hAnsi="Times New Roman;sans-serif"/>
                <w:b/>
                <w:color w:val="000000"/>
                <w:sz w:val="20"/>
                <w:u w:val="single"/>
              </w:rPr>
              <w:t>Interest Rate    </w:t>
            </w:r>
          </w:p>
        </w:tc>
        <w:tc>
          <w:tcPr>
            <w:tcW w:w="1679" w:type="dxa"/>
            <w:gridSpan w:val="3"/>
            <w:tcBorders/>
            <w:tcMar>
              <w:top w:w="0" w:type="dxa"/>
              <w:left w:w="0" w:type="dxa"/>
              <w:bottom w:w="0" w:type="dxa"/>
              <w:right w:w="0" w:type="dxa"/>
            </w:tcMar>
            <w:vAlign w:val="center"/>
          </w:tcPr>
          <w:p>
            <w:pPr>
              <w:pStyle w:val="TableContents"/>
              <w:bidi w:val="0"/>
              <w:spacing w:lineRule="auto" w:line="266" w:before="0" w:after="0"/>
              <w:jc w:val="center"/>
              <w:rPr>
                <w:rFonts w:ascii="Times New Roman;sans-serif" w:hAnsi="Times New Roman;sans-serif"/>
                <w:b/>
                <w:color w:val="000000"/>
                <w:sz w:val="20"/>
              </w:rPr>
            </w:pPr>
            <w:r>
              <w:rPr>
                <w:rFonts w:ascii="Times New Roman;sans-serif" w:hAnsi="Times New Roman;sans-serif"/>
                <w:b/>
                <w:color w:val="000000"/>
                <w:sz w:val="20"/>
              </w:rPr>
              <w:t>Scheduled</w:t>
            </w:r>
          </w:p>
          <w:p>
            <w:pPr>
              <w:pStyle w:val="TableContents"/>
              <w:bidi w:val="0"/>
              <w:spacing w:lineRule="auto" w:line="254" w:before="1" w:after="283"/>
              <w:jc w:val="center"/>
              <w:rPr>
                <w:color w:val="000000"/>
                <w:u w:val="single"/>
              </w:rPr>
            </w:pPr>
            <w:r>
              <w:rPr>
                <w:color w:val="000000"/>
                <w:u w:val="single"/>
              </w:rPr>
              <w:t> </w:t>
            </w:r>
            <w:r>
              <w:rPr>
                <w:rFonts w:ascii="Times New Roman;sans-serif" w:hAnsi="Times New Roman;sans-serif"/>
                <w:b/>
                <w:color w:val="000000"/>
                <w:sz w:val="20"/>
                <w:u w:val="single"/>
              </w:rPr>
              <w:t xml:space="preserve">Payment Amount </w:t>
            </w:r>
          </w:p>
        </w:tc>
        <w:tc>
          <w:tcPr>
            <w:tcW w:w="1469" w:type="dxa"/>
            <w:gridSpan w:val="3"/>
            <w:tcBorders/>
            <w:tcMar>
              <w:top w:w="0" w:type="dxa"/>
              <w:left w:w="0" w:type="dxa"/>
              <w:bottom w:w="0" w:type="dxa"/>
              <w:right w:w="0" w:type="dxa"/>
            </w:tcMar>
            <w:vAlign w:val="center"/>
          </w:tcPr>
          <w:p>
            <w:pPr>
              <w:pStyle w:val="TableContents"/>
              <w:bidi w:val="0"/>
              <w:spacing w:lineRule="auto" w:line="254" w:before="245" w:after="283"/>
              <w:jc w:val="left"/>
              <w:rPr>
                <w:color w:val="000000"/>
                <w:u w:val="single"/>
              </w:rPr>
            </w:pPr>
            <w:r>
              <w:rPr>
                <w:color w:val="000000"/>
                <w:u w:val="single"/>
              </w:rPr>
              <w:t>  </w:t>
            </w:r>
            <w:r>
              <w:rPr>
                <w:rFonts w:ascii="Times New Roman;sans-serif" w:hAnsi="Times New Roman;sans-serif"/>
                <w:b/>
                <w:color w:val="000000"/>
                <w:sz w:val="20"/>
                <w:u w:val="single"/>
              </w:rPr>
              <w:t>Notation By    </w:t>
            </w:r>
          </w:p>
        </w:tc>
      </w:tr>
    </w:tbl>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730250"/>
                <wp:effectExtent l="0" t="0" r="0" b="0"/>
                <wp:wrapNone/>
                <wp:docPr id="140" name="Frame140"/>
                <a:graphic xmlns:a="http://schemas.openxmlformats.org/drawingml/2006/main">
                  <a:graphicData uri="http://schemas.microsoft.com/office/word/2010/wordprocessingShape">
                    <wps:wsp>
                      <wps:cNvSpPr txBox="1"/>
                      <wps:spPr>
                        <a:xfrm>
                          <a:off x="0" y="0"/>
                          <a:ext cx="6480175" cy="730250"/>
                        </a:xfrm>
                        <a:prstGeom prst="rect"/>
                        <a:solidFill>
                          <a:srgbClr val="FFFFFF"/>
                        </a:solidFill>
                      </wps:spPr>
                      <wps:txb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5pt;mso-wrap-distance-left:0pt;mso-wrap-distance-right:0pt;mso-wrap-distance-top:0pt;mso-wrap-distance-bottom:0pt;margin-top:0pt;mso-position-vertical:top;mso-position-vertical-relative:text;margin-left:0pt;mso-position-horizontal:left;mso-position-horizontal-relative:text">
                <v:textbox>
                  <w:txbxContent>
                    <w:tbl>
                      <w:tblPr>
                        <w:tblW w:w="1530" w:type="dxa"/>
                        <w:jc w:val="left"/>
                        <w:tblInd w:w="0" w:type="dxa"/>
                        <w:tblLayout w:type="fixed"/>
                        <w:tblCellMar>
                          <w:top w:w="28" w:type="dxa"/>
                          <w:left w:w="28" w:type="dxa"/>
                          <w:bottom w:w="28" w:type="dxa"/>
                          <w:right w:w="28" w:type="dxa"/>
                        </w:tblCellMar>
                      </w:tblPr>
                      <w:tblGrid>
                        <w:gridCol w:w="490"/>
                        <w:gridCol w:w="430"/>
                        <w:gridCol w:w="610"/>
                      </w:tblGrid>
                      <w:tr>
                        <w:trPr/>
                        <w:tc>
                          <w:tcPr>
                            <w:tcW w:w="49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ACTIVE\1606862447.7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Bernard Coulie, certify that: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Pliant Therapeutics, Inc.;</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6, 2024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4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Keith Cummings, certify that: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Pliant Therapeutics, Inc.;</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828"/>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6, 2024 </w:t>
      </w:r>
    </w:p>
    <w:tbl>
      <w:tblPr>
        <w:tblW w:w="2907" w:type="dxa"/>
        <w:jc w:val="left"/>
        <w:tblInd w:w="0" w:type="dxa"/>
        <w:tblLayout w:type="fixed"/>
        <w:tblCellMar>
          <w:top w:w="28" w:type="dxa"/>
          <w:left w:w="28" w:type="dxa"/>
          <w:bottom w:w="28" w:type="dxa"/>
          <w:right w:w="28" w:type="dxa"/>
        </w:tblCellMar>
      </w:tblPr>
      <w:tblGrid>
        <w:gridCol w:w="917"/>
        <w:gridCol w:w="806"/>
        <w:gridCol w:w="812"/>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Section 1350 of Chapter 63 of Title 18 of the United States Code (18 U.S.C. §1350), Bernard Coulie, Chief Executive Officer of Pliant Therapeutics, Inc. (the “Company”), and Keith Cummings, Chief Financial Officer of the Company, each hereby certifies that, to the best of his knowledge:</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1.The Company’s Quarterly Report on Form 10-Q for the period ended March 31, 2024, to which this Certification is attached as Exhibit 32.1 (the “Periodic Report”), fully complies with the requirements of Section 13(a) or Section 15(d) of the Exchange Act; and</w:t>
      </w:r>
    </w:p>
    <w:p>
      <w:pPr>
        <w:pStyle w:val="TextBody"/>
        <w:bidi w:val="0"/>
        <w:spacing w:lineRule="auto" w:line="288" w:before="120" w:after="283"/>
        <w:ind w:left="0" w:right="0" w:hanging="108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Periodic Report fairly presents, in all material respects, the financial condition and results of operations of the Company.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Dated: May 6, 2024 </w:t>
      </w:r>
    </w:p>
    <w:tbl>
      <w:tblPr>
        <w:tblW w:w="3551" w:type="dxa"/>
        <w:jc w:val="left"/>
        <w:tblInd w:w="0" w:type="dxa"/>
        <w:tblLayout w:type="fixed"/>
        <w:tblCellMar>
          <w:top w:w="28" w:type="dxa"/>
          <w:left w:w="28" w:type="dxa"/>
          <w:bottom w:w="28" w:type="dxa"/>
          <w:right w:w="28" w:type="dxa"/>
        </w:tblCellMar>
      </w:tblPr>
      <w:tblGrid>
        <w:gridCol w:w="1153"/>
        <w:gridCol w:w="1010"/>
        <w:gridCol w:w="1016"/>
        <w:gridCol w:w="109"/>
        <w:gridCol w:w="109"/>
        <w:gridCol w:w="154"/>
      </w:tblGrid>
      <w:tr>
        <w:trPr/>
        <w:tc>
          <w:tcPr>
            <w:tcW w:w="1153"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Bernard Coulie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Bernard Coulie,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2906" w:type="dxa"/>
        <w:jc w:val="left"/>
        <w:tblInd w:w="0" w:type="dxa"/>
        <w:tblLayout w:type="fixed"/>
        <w:tblCellMar>
          <w:top w:w="28" w:type="dxa"/>
          <w:left w:w="28" w:type="dxa"/>
          <w:bottom w:w="28" w:type="dxa"/>
          <w:right w:w="28" w:type="dxa"/>
        </w:tblCellMar>
      </w:tblPr>
      <w:tblGrid>
        <w:gridCol w:w="917"/>
        <w:gridCol w:w="806"/>
        <w:gridCol w:w="811"/>
        <w:gridCol w:w="109"/>
        <w:gridCol w:w="109"/>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Keith Cummings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Keith Cummings, M.D., MBA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10-Q to which it relates, is not deemed filed with the SEC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46473/000156459020039327/plrx-ex31_301.htm" TargetMode="External"/><Relationship Id="rId3" Type="http://schemas.openxmlformats.org/officeDocument/2006/relationships/hyperlink" Target="https://www.sec.gov/ix?doc=/Archives/edgar/data/0001746473/000119312522246364/d400254d8k.htm" TargetMode="External"/><Relationship Id="rId4" Type="http://schemas.openxmlformats.org/officeDocument/2006/relationships/hyperlink" Target="https://www.sec.gov/Archives/edgar/data/0001746473/000119312520150643/d729258dex41.htm" TargetMode="External"/><Relationship Id="rId5" Type="http://schemas.openxmlformats.org/officeDocument/2006/relationships/hyperlink" Target="https://www.sec.gov/Archives/edgar/data/1746473/000174647323000062/lease-331oysterpoint.htm" TargetMode="External"/><Relationship Id="rId6" Type="http://schemas.openxmlformats.org/officeDocument/2006/relationships/hyperlink" Target="https://www.sec.gov/Archives/edgar/data/1746473/000174647323000062/lease-331oysterpoint.htm" TargetMode="External"/><Relationship Id="rId7" Type="http://schemas.openxmlformats.org/officeDocument/2006/relationships/hyperlink" Target="https://www.sec.gov/Archives/edgar/data/1746473/000174647323000062/terminationagreement-littl.htm" TargetMode="External"/><Relationship Id="rId8" Type="http://schemas.openxmlformats.org/officeDocument/2006/relationships/hyperlink" Target="https://www.sec.gov/Archives/edgar/data/1746473/000174647323000062/terminationagreement-littl.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76</Pages>
  <Words>85151</Words>
  <Characters>472112</Characters>
  <CharactersWithSpaces>555069</CharactersWithSpaces>
  <Paragraphs>3016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