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FORM 10-Q</w:t>
      </w:r>
    </w:p>
    <w:p>
      <w:pPr>
        <w:pStyle w:val="TextBody"/>
        <w:bidi w:val="0"/>
        <w:spacing w:before="6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September 30, 2023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60" w:after="283"/>
        <w:jc w:val="center"/>
        <w:rPr/>
      </w:pPr>
      <w:r>
        <w:rPr>
          <w:rFonts w:ascii="Times New Roman;sans-serif" w:hAnsi="Times New Roman;sans-serif"/>
          <w:b/>
          <w:color w:val="000000"/>
          <w:sz w:val="20"/>
        </w:rPr>
        <w:t>For the transition period from</w:t>
      </w:r>
      <w:r>
        <w:rPr>
          <w:color w:val="000000"/>
          <w:u w:val="single"/>
        </w:rPr>
        <w:t>           </w:t>
      </w:r>
      <w:r>
        <w:rPr>
          <w:rFonts w:ascii="Times New Roman;sans-serif" w:hAnsi="Times New Roman;sans-serif"/>
          <w:b/>
          <w:color w:val="000000"/>
          <w:sz w:val="20"/>
        </w:rPr>
        <w:t>to</w:t>
      </w:r>
      <w:r>
        <w:rPr>
          <w:color w:val="000000"/>
          <w:u w:val="single"/>
        </w:rPr>
        <w:t>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001-39303</w:t>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PLIANT THERAPEUTICS,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4736" w:type="dxa"/>
        <w:jc w:val="left"/>
        <w:tblInd w:w="0" w:type="dxa"/>
        <w:tblLayout w:type="fixed"/>
        <w:tblCellMar>
          <w:top w:w="28" w:type="dxa"/>
          <w:left w:w="28" w:type="dxa"/>
          <w:bottom w:w="28" w:type="dxa"/>
          <w:right w:w="28" w:type="dxa"/>
        </w:tblCellMar>
      </w:tblPr>
      <w:tblGrid>
        <w:gridCol w:w="1058"/>
        <w:gridCol w:w="927"/>
        <w:gridCol w:w="940"/>
        <w:gridCol w:w="109"/>
        <w:gridCol w:w="109"/>
        <w:gridCol w:w="109"/>
        <w:gridCol w:w="433"/>
        <w:gridCol w:w="433"/>
        <w:gridCol w:w="618"/>
      </w:tblGrid>
      <w:tr>
        <w:trPr/>
        <w:tc>
          <w:tcPr>
            <w:tcW w:w="105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47-4272481</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260 Littlefield Avenue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South San Francisco,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94080</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 (650) 481-6770</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011" w:type="dxa"/>
        <w:jc w:val="left"/>
        <w:tblInd w:w="0" w:type="dxa"/>
        <w:tblLayout w:type="fixed"/>
        <w:tblCellMar>
          <w:top w:w="28" w:type="dxa"/>
          <w:left w:w="28" w:type="dxa"/>
          <w:bottom w:w="28" w:type="dxa"/>
          <w:right w:w="28" w:type="dxa"/>
        </w:tblCellMar>
      </w:tblPr>
      <w:tblGrid>
        <w:gridCol w:w="1175"/>
        <w:gridCol w:w="1027"/>
        <w:gridCol w:w="1038"/>
        <w:gridCol w:w="270"/>
        <w:gridCol w:w="270"/>
        <w:gridCol w:w="271"/>
        <w:gridCol w:w="1157"/>
        <w:gridCol w:w="1157"/>
        <w:gridCol w:w="1646"/>
      </w:tblGrid>
      <w:tr>
        <w:trPr/>
        <w:tc>
          <w:tcPr>
            <w:tcW w:w="1175"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w:t>
              <w:br/>
              <w:t>Symbol</w:t>
            </w:r>
          </w:p>
        </w:tc>
        <w:tc>
          <w:tcPr>
            <w:tcW w:w="39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24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$0.0001 per share</w:t>
            </w:r>
          </w:p>
        </w:tc>
        <w:tc>
          <w:tcPr>
            <w:tcW w:w="81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PLRX</w:t>
            </w:r>
          </w:p>
        </w:tc>
        <w:tc>
          <w:tcPr>
            <w:tcW w:w="396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bl>
    <w:p>
      <w:pPr>
        <w:pStyle w:val="TextBody"/>
        <w:bidi w:val="0"/>
        <w:spacing w:lineRule="auto" w:line="288" w:before="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6853" w:type="dxa"/>
        <w:jc w:val="left"/>
        <w:tblInd w:w="0" w:type="dxa"/>
        <w:tblLayout w:type="fixed"/>
        <w:tblCellMar>
          <w:top w:w="28" w:type="dxa"/>
          <w:left w:w="28" w:type="dxa"/>
          <w:bottom w:w="28" w:type="dxa"/>
          <w:right w:w="28" w:type="dxa"/>
        </w:tblCellMar>
      </w:tblPr>
      <w:tblGrid>
        <w:gridCol w:w="891"/>
        <w:gridCol w:w="783"/>
        <w:gridCol w:w="785"/>
        <w:gridCol w:w="285"/>
        <w:gridCol w:w="285"/>
        <w:gridCol w:w="286"/>
        <w:gridCol w:w="109"/>
        <w:gridCol w:w="109"/>
        <w:gridCol w:w="109"/>
        <w:gridCol w:w="769"/>
        <w:gridCol w:w="769"/>
        <w:gridCol w:w="772"/>
        <w:gridCol w:w="264"/>
        <w:gridCol w:w="264"/>
        <w:gridCol w:w="373"/>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901"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540"/>
              <w:jc w:val="center"/>
              <w:rPr>
                <w:color w:val="000000"/>
              </w:rPr>
            </w:pPr>
            <w:r>
              <w:rPr>
                <w:color w:val="000000"/>
              </w:rPr>
              <w:t>☐</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901"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540"/>
              <w:jc w:val="center"/>
              <w:rPr>
                <w:color w:val="000000"/>
              </w:rPr>
            </w:pPr>
            <w:r>
              <w:rPr>
                <w:color w:val="000000"/>
              </w:rPr>
              <w:t>☒</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856"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54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60" w:after="283"/>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shell company (as defined in Rule 12b-2 of the Exchange Act). Yes ☐ No ☒ </w:t>
      </w:r>
    </w:p>
    <w:p>
      <w:pPr>
        <w:pStyle w:val="TextBody"/>
        <w:bidi w:val="0"/>
        <w:spacing w:lineRule="auto" w:line="288" w:before="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November 3, 2023, the registrant had 59,895,958 shares of common stock, $0.0001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712" w:type="dxa"/>
        <w:jc w:val="left"/>
        <w:tblInd w:w="0" w:type="dxa"/>
        <w:tblLayout w:type="fixed"/>
        <w:tblCellMar>
          <w:top w:w="28" w:type="dxa"/>
          <w:left w:w="28" w:type="dxa"/>
          <w:bottom w:w="28" w:type="dxa"/>
          <w:right w:w="28" w:type="dxa"/>
        </w:tblCellMar>
      </w:tblPr>
      <w:tblGrid>
        <w:gridCol w:w="353"/>
        <w:gridCol w:w="309"/>
        <w:gridCol w:w="314"/>
        <w:gridCol w:w="2452"/>
        <w:gridCol w:w="2452"/>
        <w:gridCol w:w="2460"/>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19f0f6f59470c8e40dde955f25597_10">
              <w:r>
                <w:rPr>
                  <w:rStyle w:val="InternetLink"/>
                  <w:rFonts w:ascii="Times New Roman;sans-serif" w:hAnsi="Times New Roman;sans-serif"/>
                  <w:b/>
                  <w:color w:val="112ADB"/>
                  <w:sz w:val="20"/>
                  <w:u w:val="single"/>
                </w:rPr>
                <w:t>PART I.</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19f0f6f59470c8e40dde955f25597_10">
              <w:r>
                <w:rPr>
                  <w:rStyle w:val="InternetLink"/>
                  <w:rFonts w:ascii="Times New Roman;sans-serif" w:hAnsi="Times New Roman;sans-serif"/>
                  <w:b w:val="false"/>
                  <w:color w:val="0E32E1"/>
                  <w:sz w:val="20"/>
                  <w:u w:val="single"/>
                </w:rPr>
                <w:t>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219f0f6f59470c8e40dde955f25597_10">
              <w:r>
                <w:rPr>
                  <w:rStyle w:val="InternetLink"/>
                  <w:rFonts w:ascii="Times New Roman;sans-serif" w:hAnsi="Times New Roman;sans-serif"/>
                  <w:b w:val="false"/>
                  <w:color w:val="112ADB"/>
                  <w:sz w:val="20"/>
                  <w:u w:val="single"/>
                </w:rPr>
                <w:t>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12ADB"/>
                <w:u w:val="single"/>
              </w:rPr>
            </w:pPr>
            <w:r>
              <w:rPr>
                <w:color w:val="112ADB"/>
                <w:u w:val="single"/>
              </w:rPr>
              <w:t> </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E32E1"/>
              </w:rPr>
            </w:pPr>
            <w:r>
              <w:rPr>
                <w:color w:val="0E32E1"/>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19f0f6f59470c8e40dde955f25597_13">
              <w:r>
                <w:rPr>
                  <w:rStyle w:val="InternetLink"/>
                  <w:rFonts w:ascii="Times New Roman;sans-serif" w:hAnsi="Times New Roman;sans-serif"/>
                  <w:b w:val="false"/>
                  <w:color w:val="112ADB"/>
                  <w:sz w:val="20"/>
                  <w:u w:val="singl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19f0f6f59470c8e40dde955f25597_13">
              <w:r>
                <w:rPr>
                  <w:rStyle w:val="InternetLink"/>
                  <w:rFonts w:ascii="Times New Roman;sans-serif" w:hAnsi="Times New Roman;sans-serif"/>
                  <w:b w:val="false"/>
                  <w:color w:val="000080"/>
                  <w:sz w:val="20"/>
                  <w:u w:val="single"/>
                </w:rPr>
                <w:t>Condensed Financial Statements</w:t>
              </w:r>
            </w:hyperlink>
            <w:r>
              <w:rPr>
                <w:rFonts w:ascii="Times New Roman;sans-serif" w:hAnsi="Times New Roman;sans-serif"/>
                <w:b w:val="false"/>
                <w:color w:val="0E32E1"/>
                <w:sz w:val="20"/>
                <w:u w:val="single"/>
              </w:rPr>
              <w:t xml:space="preserve"> (Unaudited)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219f0f6f59470c8e40dde955f25597_13">
              <w:r>
                <w:rPr>
                  <w:rStyle w:val="InternetLink"/>
                  <w:rFonts w:ascii="Times New Roman;sans-serif" w:hAnsi="Times New Roman;sans-serif"/>
                  <w:b w:val="false"/>
                  <w:color w:val="112ADB"/>
                  <w:sz w:val="20"/>
                  <w:u w:val="singl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19f0f6f59470c8e40dde955f25597_16">
              <w:r>
                <w:rPr>
                  <w:rStyle w:val="InternetLink"/>
                  <w:rFonts w:ascii="Times New Roman;sans-serif" w:hAnsi="Times New Roman;sans-serif"/>
                  <w:b w:val="false"/>
                  <w:color w:val="0E32E1"/>
                  <w:sz w:val="20"/>
                  <w:u w:val="single"/>
                </w:rPr>
                <w:t xml:space="preserve">Condensed Balance Sheets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219f0f6f59470c8e40dde955f25597_16">
              <w:r>
                <w:rPr>
                  <w:rStyle w:val="InternetLink"/>
                  <w:rFonts w:ascii="Times New Roman;sans-serif" w:hAnsi="Times New Roman;sans-serif"/>
                  <w:b w:val="false"/>
                  <w:color w:val="112ADB"/>
                  <w:sz w:val="20"/>
                  <w:u w:val="singl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19f0f6f59470c8e40dde955f25597_19">
              <w:r>
                <w:rPr>
                  <w:rStyle w:val="InternetLink"/>
                  <w:rFonts w:ascii="Times New Roman;sans-serif" w:hAnsi="Times New Roman;sans-serif"/>
                  <w:b w:val="false"/>
                  <w:color w:val="0E32E1"/>
                  <w:sz w:val="20"/>
                  <w:u w:val="single"/>
                </w:rPr>
                <w:t xml:space="preserve">Condensed Statements of Operations and Comprehensive Loss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219f0f6f59470c8e40dde955f25597_19">
              <w:r>
                <w:rPr>
                  <w:rStyle w:val="InternetLink"/>
                  <w:rFonts w:ascii="Times New Roman;sans-serif" w:hAnsi="Times New Roman;sans-serif"/>
                  <w:b w:val="false"/>
                  <w:color w:val="112ADB"/>
                  <w:sz w:val="20"/>
                  <w:u w:val="single"/>
                </w:rPr>
                <w:t>7</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19f0f6f59470c8e40dde955f25597_22">
              <w:r>
                <w:rPr>
                  <w:rStyle w:val="InternetLink"/>
                  <w:rFonts w:ascii="Times New Roman;sans-serif" w:hAnsi="Times New Roman;sans-serif"/>
                  <w:b w:val="false"/>
                  <w:color w:val="0E32E1"/>
                  <w:sz w:val="20"/>
                  <w:u w:val="single"/>
                </w:rPr>
                <w:t xml:space="preserve">Condensed Statements of Stockholders’ Equity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219f0f6f59470c8e40dde955f25597_22">
              <w:r>
                <w:rPr>
                  <w:rStyle w:val="InternetLink"/>
                  <w:rFonts w:ascii="Times New Roman;sans-serif" w:hAnsi="Times New Roman;sans-serif"/>
                  <w:b w:val="false"/>
                  <w:color w:val="112ADB"/>
                  <w:sz w:val="20"/>
                  <w:u w:val="single"/>
                </w:rPr>
                <w:t>8</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19f0f6f59470c8e40dde955f25597_25">
              <w:r>
                <w:rPr>
                  <w:rStyle w:val="InternetLink"/>
                  <w:rFonts w:ascii="Times New Roman;sans-serif" w:hAnsi="Times New Roman;sans-serif"/>
                  <w:b w:val="false"/>
                  <w:color w:val="0E32E1"/>
                  <w:sz w:val="20"/>
                  <w:u w:val="single"/>
                </w:rPr>
                <w:t>Condensed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219f0f6f59470c8e40dde955f25597_25">
              <w:r>
                <w:rPr>
                  <w:rStyle w:val="InternetLink"/>
                  <w:rFonts w:ascii="Times New Roman;sans-serif" w:hAnsi="Times New Roman;sans-serif"/>
                  <w:b w:val="false"/>
                  <w:color w:val="112ADB"/>
                  <w:sz w:val="20"/>
                  <w:u w:val="single"/>
                </w:rPr>
                <w:t>10</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19f0f6f59470c8e40dde955f25597_28">
              <w:r>
                <w:rPr>
                  <w:rStyle w:val="InternetLink"/>
                  <w:rFonts w:ascii="Times New Roman;sans-serif" w:hAnsi="Times New Roman;sans-serif"/>
                  <w:b w:val="false"/>
                  <w:color w:val="0E32E1"/>
                  <w:sz w:val="20"/>
                  <w:u w:val="single"/>
                </w:rPr>
                <w:t xml:space="preserve">Notes to Condensed Financial Statements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219f0f6f59470c8e40dde955f25597_28">
              <w:r>
                <w:rPr>
                  <w:rStyle w:val="InternetLink"/>
                  <w:rFonts w:ascii="Times New Roman;sans-serif" w:hAnsi="Times New Roman;sans-serif"/>
                  <w:b w:val="false"/>
                  <w:color w:val="112ADB"/>
                  <w:sz w:val="20"/>
                  <w:u w:val="single"/>
                </w:rPr>
                <w:t>11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19f0f6f59470c8e40dde955f25597_79">
              <w:r>
                <w:rPr>
                  <w:rStyle w:val="InternetLink"/>
                  <w:rFonts w:ascii="Times New Roman;sans-serif" w:hAnsi="Times New Roman;sans-serif"/>
                  <w:b w:val="false"/>
                  <w:color w:val="112ADB"/>
                  <w:sz w:val="20"/>
                  <w:u w:val="singl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19f0f6f59470c8e40dde955f25597_79">
              <w:r>
                <w:rPr>
                  <w:rStyle w:val="InternetLink"/>
                  <w:rFonts w:ascii="Times New Roman;sans-serif" w:hAnsi="Times New Roman;sans-serif"/>
                  <w:b w:val="false"/>
                  <w:color w:val="0E32E1"/>
                  <w:sz w:val="20"/>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219f0f6f59470c8e40dde955f25597_79">
              <w:r>
                <w:rPr>
                  <w:rStyle w:val="InternetLink"/>
                  <w:rFonts w:ascii="Times New Roman;sans-serif" w:hAnsi="Times New Roman;sans-serif"/>
                  <w:b w:val="false"/>
                  <w:color w:val="112ADB"/>
                  <w:sz w:val="20"/>
                  <w:u w:val="single"/>
                </w:rPr>
                <w:t>20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19f0f6f59470c8e40dde955f25597_115">
              <w:r>
                <w:rPr>
                  <w:rStyle w:val="InternetLink"/>
                  <w:rFonts w:ascii="Times New Roman;sans-serif" w:hAnsi="Times New Roman;sans-serif"/>
                  <w:b w:val="false"/>
                  <w:color w:val="112ADB"/>
                  <w:sz w:val="20"/>
                  <w:u w:val="singl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19f0f6f59470c8e40dde955f25597_115">
              <w:r>
                <w:rPr>
                  <w:rStyle w:val="InternetLink"/>
                  <w:rFonts w:ascii="Times New Roman;sans-serif" w:hAnsi="Times New Roman;sans-serif"/>
                  <w:b w:val="false"/>
                  <w:color w:val="0E32E1"/>
                  <w:sz w:val="20"/>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219f0f6f59470c8e40dde955f25597_115">
              <w:r>
                <w:rPr>
                  <w:rStyle w:val="InternetLink"/>
                  <w:rFonts w:ascii="Times New Roman;sans-serif" w:hAnsi="Times New Roman;sans-serif"/>
                  <w:b w:val="false"/>
                  <w:color w:val="112ADB"/>
                  <w:sz w:val="20"/>
                  <w:u w:val="single"/>
                </w:rPr>
                <w:t>26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19f0f6f59470c8e40dde955f25597_118">
              <w:r>
                <w:rPr>
                  <w:rStyle w:val="InternetLink"/>
                  <w:rFonts w:ascii="Times New Roman;sans-serif" w:hAnsi="Times New Roman;sans-serif"/>
                  <w:b w:val="false"/>
                  <w:color w:val="112ADB"/>
                  <w:sz w:val="20"/>
                  <w:u w:val="singl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19f0f6f59470c8e40dde955f25597_118">
              <w:r>
                <w:rPr>
                  <w:rStyle w:val="InternetLink"/>
                  <w:rFonts w:ascii="Times New Roman;sans-serif" w:hAnsi="Times New Roman;sans-serif"/>
                  <w:b w:val="false"/>
                  <w:color w:val="0E32E1"/>
                  <w:sz w:val="20"/>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219f0f6f59470c8e40dde955f25597_118">
              <w:r>
                <w:rPr>
                  <w:rStyle w:val="InternetLink"/>
                  <w:rFonts w:ascii="Times New Roman;sans-serif" w:hAnsi="Times New Roman;sans-serif"/>
                  <w:b w:val="false"/>
                  <w:color w:val="112ADB"/>
                  <w:sz w:val="20"/>
                  <w:u w:val="single"/>
                </w:rPr>
                <w:t>27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12ADB"/>
                <w:u w:val="single"/>
              </w:rPr>
            </w:pPr>
            <w:r>
              <w:rPr>
                <w:color w:val="112ADB"/>
                <w:u w:val="single"/>
              </w:rPr>
              <w:t> </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E32E1"/>
              </w:rPr>
            </w:pPr>
            <w:r>
              <w:rPr>
                <w:color w:val="0E32E1"/>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19f0f6f59470c8e40dde955f25597_121">
              <w:r>
                <w:rPr>
                  <w:rStyle w:val="InternetLink"/>
                  <w:rFonts w:ascii="Times New Roman;sans-serif" w:hAnsi="Times New Roman;sans-serif"/>
                  <w:b/>
                  <w:color w:val="112ADB"/>
                  <w:sz w:val="20"/>
                  <w:u w:val="single"/>
                </w:rPr>
                <w:t>PART II.</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19f0f6f59470c8e40dde955f25597_121">
              <w:r>
                <w:rPr>
                  <w:rStyle w:val="InternetLink"/>
                  <w:rFonts w:ascii="Times New Roman;sans-serif" w:hAnsi="Times New Roman;sans-serif"/>
                  <w:b w:val="false"/>
                  <w:color w:val="0E32E1"/>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219f0f6f59470c8e40dde955f25597_121">
              <w:r>
                <w:rPr>
                  <w:rStyle w:val="InternetLink"/>
                  <w:rFonts w:ascii="Times New Roman;sans-serif" w:hAnsi="Times New Roman;sans-serif"/>
                  <w:b w:val="false"/>
                  <w:color w:val="112ADB"/>
                  <w:sz w:val="20"/>
                  <w:u w:val="single"/>
                </w:rPr>
                <w:t>27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12ADB"/>
                <w:u w:val="single"/>
              </w:rPr>
            </w:pPr>
            <w:r>
              <w:rPr>
                <w:color w:val="112ADB"/>
                <w:u w:val="single"/>
              </w:rPr>
              <w:t> </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E32E1"/>
              </w:rPr>
            </w:pPr>
            <w:r>
              <w:rPr>
                <w:color w:val="0E32E1"/>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19f0f6f59470c8e40dde955f25597_124">
              <w:r>
                <w:rPr>
                  <w:rStyle w:val="InternetLink"/>
                  <w:rFonts w:ascii="Times New Roman;sans-serif" w:hAnsi="Times New Roman;sans-serif"/>
                  <w:b w:val="false"/>
                  <w:color w:val="112ADB"/>
                  <w:sz w:val="20"/>
                  <w:u w:val="singl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19f0f6f59470c8e40dde955f25597_124">
              <w:r>
                <w:rPr>
                  <w:rStyle w:val="InternetLink"/>
                  <w:rFonts w:ascii="Times New Roman;sans-serif" w:hAnsi="Times New Roman;sans-serif"/>
                  <w:b w:val="false"/>
                  <w:color w:val="0E32E1"/>
                  <w:sz w:val="20"/>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219f0f6f59470c8e40dde955f25597_124">
              <w:r>
                <w:rPr>
                  <w:rStyle w:val="InternetLink"/>
                  <w:rFonts w:ascii="Times New Roman;sans-serif" w:hAnsi="Times New Roman;sans-serif"/>
                  <w:b w:val="false"/>
                  <w:color w:val="112ADB"/>
                  <w:sz w:val="20"/>
                  <w:u w:val="single"/>
                </w:rPr>
                <w:t>27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19f0f6f59470c8e40dde955f25597_127">
              <w:r>
                <w:rPr>
                  <w:rStyle w:val="InternetLink"/>
                  <w:rFonts w:ascii="Times New Roman;sans-serif" w:hAnsi="Times New Roman;sans-serif"/>
                  <w:b w:val="false"/>
                  <w:color w:val="112ADB"/>
                  <w:sz w:val="20"/>
                  <w:u w:val="single"/>
                </w:rPr>
                <w:t>Item 1A.</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19f0f6f59470c8e40dde955f25597_127">
              <w:r>
                <w:rPr>
                  <w:rStyle w:val="InternetLink"/>
                  <w:rFonts w:ascii="Times New Roman;sans-serif" w:hAnsi="Times New Roman;sans-serif"/>
                  <w:b w:val="false"/>
                  <w:color w:val="0E32E1"/>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219f0f6f59470c8e40dde955f25597_127">
              <w:r>
                <w:rPr>
                  <w:rStyle w:val="InternetLink"/>
                  <w:rFonts w:ascii="Times New Roman;sans-serif" w:hAnsi="Times New Roman;sans-serif"/>
                  <w:b w:val="false"/>
                  <w:color w:val="112ADB"/>
                  <w:sz w:val="20"/>
                  <w:u w:val="single"/>
                </w:rPr>
                <w:t>27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19f0f6f59470c8e40dde955f25597_130">
              <w:r>
                <w:rPr>
                  <w:rStyle w:val="InternetLink"/>
                  <w:rFonts w:ascii="Times New Roman;sans-serif" w:hAnsi="Times New Roman;sans-serif"/>
                  <w:b w:val="false"/>
                  <w:color w:val="112ADB"/>
                  <w:sz w:val="20"/>
                  <w:u w:val="singl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19f0f6f59470c8e40dde955f25597_130">
              <w:r>
                <w:rPr>
                  <w:rStyle w:val="InternetLink"/>
                  <w:rFonts w:ascii="Times New Roman;sans-serif" w:hAnsi="Times New Roman;sans-serif"/>
                  <w:b w:val="false"/>
                  <w:color w:val="0E32E1"/>
                  <w:sz w:val="20"/>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219f0f6f59470c8e40dde955f25597_130">
              <w:r>
                <w:rPr>
                  <w:rStyle w:val="InternetLink"/>
                  <w:rFonts w:ascii="Times New Roman;sans-serif" w:hAnsi="Times New Roman;sans-serif"/>
                  <w:b w:val="false"/>
                  <w:color w:val="112ADB"/>
                  <w:sz w:val="20"/>
                  <w:u w:val="single"/>
                </w:rPr>
                <w:t>74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19f0f6f59470c8e40dde955f25597_133">
              <w:r>
                <w:rPr>
                  <w:rStyle w:val="InternetLink"/>
                  <w:rFonts w:ascii="Times New Roman;sans-serif" w:hAnsi="Times New Roman;sans-serif"/>
                  <w:b w:val="false"/>
                  <w:color w:val="112ADB"/>
                  <w:sz w:val="20"/>
                  <w:u w:val="singl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19f0f6f59470c8e40dde955f25597_133">
              <w:r>
                <w:rPr>
                  <w:rStyle w:val="InternetLink"/>
                  <w:rFonts w:ascii="Times New Roman;sans-serif" w:hAnsi="Times New Roman;sans-serif"/>
                  <w:b w:val="false"/>
                  <w:color w:val="0E32E1"/>
                  <w:sz w:val="20"/>
                  <w:u w:val="single"/>
                </w:rPr>
                <w:t>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219f0f6f59470c8e40dde955f25597_133">
              <w:r>
                <w:rPr>
                  <w:rStyle w:val="InternetLink"/>
                  <w:rFonts w:ascii="Times New Roman;sans-serif" w:hAnsi="Times New Roman;sans-serif"/>
                  <w:b w:val="false"/>
                  <w:color w:val="112ADB"/>
                  <w:sz w:val="20"/>
                  <w:u w:val="single"/>
                </w:rPr>
                <w:t>74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19f0f6f59470c8e40dde955f25597_136">
              <w:r>
                <w:rPr>
                  <w:rStyle w:val="InternetLink"/>
                  <w:rFonts w:ascii="Times New Roman;sans-serif" w:hAnsi="Times New Roman;sans-serif"/>
                  <w:b w:val="false"/>
                  <w:color w:val="112ADB"/>
                  <w:sz w:val="20"/>
                  <w:u w:val="singl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19f0f6f59470c8e40dde955f25597_136">
              <w:r>
                <w:rPr>
                  <w:rStyle w:val="InternetLink"/>
                  <w:rFonts w:ascii="Times New Roman;sans-serif" w:hAnsi="Times New Roman;sans-serif"/>
                  <w:b w:val="false"/>
                  <w:color w:val="0E32E1"/>
                  <w:sz w:val="20"/>
                  <w:u w:val="singl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219f0f6f59470c8e40dde955f25597_136">
              <w:r>
                <w:rPr>
                  <w:rStyle w:val="InternetLink"/>
                  <w:rFonts w:ascii="Times New Roman;sans-serif" w:hAnsi="Times New Roman;sans-serif"/>
                  <w:b w:val="false"/>
                  <w:color w:val="112ADB"/>
                  <w:sz w:val="20"/>
                  <w:u w:val="single"/>
                </w:rPr>
                <w:t>74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19f0f6f59470c8e40dde955f25597_139">
              <w:r>
                <w:rPr>
                  <w:rStyle w:val="InternetLink"/>
                  <w:rFonts w:ascii="Times New Roman;sans-serif" w:hAnsi="Times New Roman;sans-serif"/>
                  <w:b w:val="false"/>
                  <w:color w:val="112ADB"/>
                  <w:sz w:val="20"/>
                  <w:u w:val="single"/>
                </w:rPr>
                <w:t>Item 5.</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19f0f6f59470c8e40dde955f25597_139">
              <w:r>
                <w:rPr>
                  <w:rStyle w:val="InternetLink"/>
                  <w:rFonts w:ascii="Times New Roman;sans-serif" w:hAnsi="Times New Roman;sans-serif"/>
                  <w:b w:val="false"/>
                  <w:color w:val="0E32E1"/>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219f0f6f59470c8e40dde955f25597_139">
              <w:r>
                <w:rPr>
                  <w:rStyle w:val="InternetLink"/>
                  <w:rFonts w:ascii="Times New Roman;sans-serif" w:hAnsi="Times New Roman;sans-serif"/>
                  <w:b w:val="false"/>
                  <w:color w:val="112ADB"/>
                  <w:sz w:val="20"/>
                  <w:u w:val="single"/>
                </w:rPr>
                <w:t>74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19f0f6f59470c8e40dde955f25597_142">
              <w:r>
                <w:rPr>
                  <w:rStyle w:val="InternetLink"/>
                  <w:rFonts w:ascii="Times New Roman;sans-serif" w:hAnsi="Times New Roman;sans-serif"/>
                  <w:b w:val="false"/>
                  <w:color w:val="112ADB"/>
                  <w:sz w:val="20"/>
                  <w:u w:val="single"/>
                </w:rPr>
                <w:t>Item 6.</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19f0f6f59470c8e40dde955f25597_142">
              <w:r>
                <w:rPr>
                  <w:rStyle w:val="InternetLink"/>
                  <w:rFonts w:ascii="Times New Roman;sans-serif" w:hAnsi="Times New Roman;sans-serif"/>
                  <w:b w:val="false"/>
                  <w:color w:val="0E32E1"/>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219f0f6f59470c8e40dde955f25597_142">
              <w:r>
                <w:rPr>
                  <w:rStyle w:val="InternetLink"/>
                  <w:rFonts w:ascii="Times New Roman;sans-serif" w:hAnsi="Times New Roman;sans-serif"/>
                  <w:b w:val="false"/>
                  <w:color w:val="112ADB"/>
                  <w:sz w:val="20"/>
                  <w:u w:val="single"/>
                </w:rPr>
                <w:t>75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219f0f6f59470c8e40dde955f25597_145">
              <w:r>
                <w:rPr>
                  <w:rStyle w:val="InternetLink"/>
                  <w:rFonts w:ascii="Times New Roman;sans-serif" w:hAnsi="Times New Roman;sans-serif"/>
                  <w:b w:val="false"/>
                  <w:color w:val="112ADB"/>
                  <w:sz w:val="20"/>
                  <w:u w:val="single"/>
                </w:rPr>
                <w:t>Signatures</w:t>
              </w:r>
            </w:hyperlink>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219f0f6f59470c8e40dde955f25597_145">
              <w:r>
                <w:rPr>
                  <w:rStyle w:val="InternetLink"/>
                  <w:rFonts w:ascii="Times New Roman;sans-serif" w:hAnsi="Times New Roman;sans-serif"/>
                  <w:b w:val="false"/>
                  <w:color w:val="112ADB"/>
                  <w:sz w:val="20"/>
                  <w:u w:val="single"/>
                </w:rPr>
                <w:t>76</w:t>
              </w:r>
            </w:hyperlink>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or this Report, contains forward-looking statements that involve risks, uncertainties, and assumptions that, if they never materialize or prove incorrect, could cause our results to differ materially from those expressed or implied by such forward-looking statements. The statements contained in this Report that are not purely historical are forward-looking statements within the meaning of Section 27A of the Securities Act of 1933, as amended, or the Securities Act, and Section 21E of the Securities Exchange Act of 1934, as amended, or the Exchange Act. Forward-looking statements are often identified by the use of words such as, but not limited to, “anticipate,” “believe,” “could,” “estimate,” “expect,” “intend,” “may,” “plan,” “potential,” “predict,” “project,” “should,” “will,” “would” or the negative of those terms, and similar expressions that convey uncertainty of future events or outcomes. Any statements contained herein that are not statements of historical facts may be deemed to be forward-looking statements. Forward-looking statements in this Report include, but are not limited to, statements about:</w:t>
      </w:r>
    </w:p>
    <w:p>
      <w:pPr>
        <w:pStyle w:val="TextBody"/>
        <w:bidi w:val="0"/>
        <w:spacing w:lineRule="auto" w:line="288" w:before="120" w:after="120"/>
        <w:ind w:left="0" w:right="0" w:firstLine="450"/>
        <w:jc w:val="left"/>
        <w:rPr/>
      </w:pPr>
      <w:r>
        <w:rPr>
          <w:color w:val="000000"/>
        </w:rPr>
        <w:t>•</w:t>
      </w:r>
      <w:r>
        <w:rPr>
          <w:rFonts w:ascii="Times New Roman;sans-serif" w:hAnsi="Times New Roman;sans-serif"/>
          <w:b w:val="false"/>
          <w:color w:val="000000"/>
          <w:sz w:val="20"/>
        </w:rPr>
        <w:t>Our estimates regarding expenses, future revenue, capital requirements and needs for additional financing;</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The success, cost and timing of our product development activities and clinical trials of our lead product candidate, bexotegrast (PLN-74809) and our other product candidates;</w:t>
      </w:r>
    </w:p>
    <w:p>
      <w:pPr>
        <w:pStyle w:val="TextBody"/>
        <w:bidi w:val="0"/>
        <w:spacing w:lineRule="auto" w:line="268" w:before="0" w:after="0"/>
        <w:ind w:left="0" w:right="0" w:hanging="630"/>
        <w:jc w:val="left"/>
        <w:rPr/>
      </w:pPr>
      <w:r>
        <w:rPr>
          <w:color w:val="000000"/>
        </w:rPr>
        <w:t>•</w:t>
      </w:r>
      <w:r>
        <w:rPr>
          <w:rFonts w:ascii="Times New Roman;sans-serif" w:hAnsi="Times New Roman;sans-serif"/>
          <w:b w:val="false"/>
          <w:color w:val="000000"/>
          <w:sz w:val="20"/>
        </w:rPr>
        <w:t>Our estimates regarding the impact of challenging macroeconomic and marketplace conditions, including the effects of health epidemics and pandemics, such as COVID-19, on our business and operations, and our ability to manage such impacts;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or our future collaborators' plans to initiate, recruit and enroll patients in, and conduct our clinical trials at the pace that we project;</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plans and strategy to obtain and maintain regulatory approvals of our product candidates;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plans and strategy to obtain funding for our operations, including funding necessary to complete further development and, upon successful development, if approved, commercialize any of our product candidates;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The potential benefit of orphan drug and Fast Track designations for bexotegrast;</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ability to compete with companies currently marketing or engaged in the development of treatments for fibrosis;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plans and strategy regarding obtaining and maintaining intellectual property protection for our product candidates and the duration of such protection;</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plans and strategy regarding the manufacture of our product candidates for clinical trials and for commercial use, if approved;</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dependence on current and future collaborators for developing, obtaining regulatory approval for and commercializing product candidates in the collaboration;</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receipt and timing of any milestone payments or royalties under any future research collaboration or license agreements or arrangements;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plans and strategy regarding the commercialization of any products that are approved for marketing and our ability to establish adequate pricing in the U.S. and international markets;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The size and growth potential of the markets for our product candidates, and our ability to serve those markets, either alone or in combination with others;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ability to attract and retain qualified employees and key personnel; and</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expectations regarding government and third-party payor coverage and reimbursement.</w:t>
      </w:r>
    </w:p>
    <w:p>
      <w:pPr>
        <w:pStyle w:val="TextBody"/>
        <w:bidi w:val="0"/>
        <w:spacing w:lineRule="auto" w:line="288" w:before="120" w:after="120"/>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These statements are based on the beliefs and assumptions of our management, which are in turn based on information currently available to management. Such forward-looking statements are subject to risks, uncertainties and other important factors that could cause actual results and the timing of certain events to differ materially from future results and timing expressed or implied by such forward-looking statements. Factors that could cause or contribute to such differences include, but are not limited to, those discussed in the section entitled “Risk Factors” included under Part II, Item 1A in this Report. Furthermore, such forward-looking statements speak only as of the date of this Report. Except as required by law, we undertake no obligation to update any forward-looking statements to reflect events or circumstances after the date of such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SUMMARY OF RISKS ASSOCIATED WITH OUR BUSINESS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involves significant risks, some of which are summarized below. The summary risk factors listed below should be read together with the text of the full risk factors discussed in "Part II, Item 1A. Risk Factors" in this Report. You should carefully consider the risks described below, as well as the other information in this Report, including our financial statements and the related notes and “Management’s Discussion and Analysis of Financial Condition and Results of Operations” as well as in other documents that we file with the Securities and Exchange Commission, or the SEC. The occurrence of any of the events or developments described in this Report could have a material adverse effect on our business, financial condition, results of operations, growth prospects and stock price. In such an event, the market price of our common stock could decline. Additional risks and uncertainties not presently known to us or that we currently deem immaterial may also impair our business operations and the market price of our common stock.</w:t>
      </w:r>
    </w:p>
    <w:p>
      <w:pPr>
        <w:pStyle w:val="TextBody"/>
        <w:bidi w:val="0"/>
        <w:spacing w:lineRule="auto" w:line="288" w:before="12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Risks Related to Our Financial Position and Need for Additional Capital</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have incurred significant net losses since inception, and we expect to continue to incur significant net losses for the foreseeable future.</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will require substantial additional capital to finance our operations. If we are unable to raise such capital when needed, or on acceptable terms, we may be forced to delay, reduce and/or eliminate one or more of our research and drug development programs, future commercialization efforts or other operations.</w:t>
      </w:r>
    </w:p>
    <w:p>
      <w:pPr>
        <w:pStyle w:val="TextBody"/>
        <w:bidi w:val="0"/>
        <w:spacing w:lineRule="auto" w:line="288" w:before="12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Risks Related to Research and Development and the Biopharmaceutical Industry</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have a limited operating history, which may make it difficult to evaluate our prospects and likelihood of success.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business is highly dependent on the success of our lead product candidate, bexotegrast and any other product candidates that we advance into the clinic. All of our product candidates will require significant additional preclinical and clinical development before we may be able to seek regulatory approval for and launch a product commercially.</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approach to drug discovery and development in the area of fibrotic diseases is unproven and may not result in marketable products.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Clinical development involves a lengthy, complex, and expensive process, with an uncertain outcome to support either a marketing authorization or positive pricing and reimbursement decisions.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may incur additional costs or experience delays in completing, or ultimately be unable to complete, the development and commercialization of bexotegrast or any other product candidates.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may fail to obtain and maintain certain regulatory exclusivities and orphan designations in some jurisdictions and therefore fail to secure orphan exclusivity or other exclusivity extensions in those jurisdictions.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ongoing and future clinical trials may reveal significant adverse events or unexpected drug-drug interactions not seen in our preclinical studies and may result in a safety profile that could delay or prevent regulatory approval or market acceptance of any of our product candidates.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If we encounter difficulties enrolling patients in our clinical trials, our clinical development activities could be delayed or otherwise adversely affected.</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face substantial competition, which may result in others discovering, developing, or commercializing products before or more successfully than us.</w:t>
      </w:r>
    </w:p>
    <w:p>
      <w:pPr>
        <w:pStyle w:val="TextBody"/>
        <w:bidi w:val="0"/>
        <w:spacing w:lineRule="auto" w:line="288" w:before="12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Risks Related to Our Intellectual Property</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success depends in part on our ability to obtain patent term extensions and to protect our intellectual property. It is difficult and costly to protect our proprietary rights and technology, and we may not be able to ensure their protection.</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pStyle w:val="TextBody"/>
        <w:bidi w:val="0"/>
        <w:spacing w:lineRule="auto" w:line="288" w:before="12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Risks Related to Our Reliance on Third Parties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 xml:space="preserve">We previously entered into a collaboration agreement, as amended, with Novartis Institutes for Biomedical Research, Inc., or Novartis, for the development of PLN-1474, which was terminated in April 2023, and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the future seek to enter into collaborations with third parties for the development and commercialization of other product candidates. If we fail to enter into such collaborations, or if our collaborations are not successful, we may be unable to continue development of such product candidates, we would not receive any contemplated milestone payments or royalties, and we could fail to capitalize on the market potential of such product candidates.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rely on third parties to conduct certain aspects of our preclinical studies and clinical trials and for tissue samples and other materials required for our research and development activities.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rely on single-source third party suppliers located in foreign jurisdictions, including China, to manufacture our drug candidates. An interruption in this supply, caused by a business interruption or geopolitical events, could materially disrupt our research and development activities.</w:t>
      </w:r>
    </w:p>
    <w:p>
      <w:pPr>
        <w:pStyle w:val="TextBody"/>
        <w:bidi w:val="0"/>
        <w:spacing w:lineRule="auto" w:line="288" w:before="12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Risks Related to Managing Our Business and Operations</w:t>
      </w:r>
    </w:p>
    <w:p>
      <w:pPr>
        <w:pStyle w:val="TextBody"/>
        <w:bidi w:val="0"/>
        <w:spacing w:lineRule="auto" w:line="268" w:before="0" w:after="0"/>
        <w:ind w:left="0" w:right="0" w:hanging="630"/>
        <w:jc w:val="left"/>
        <w:rPr/>
      </w:pPr>
      <w:r>
        <w:rPr>
          <w:color w:val="000000"/>
        </w:rPr>
        <w:t>•</w:t>
      </w:r>
      <w:r>
        <w:rPr>
          <w:rFonts w:ascii="Times New Roman;sans-serif" w:hAnsi="Times New Roman;sans-serif"/>
          <w:b w:val="false"/>
          <w:color w:val="000000"/>
          <w:sz w:val="20"/>
        </w:rPr>
        <w:t>The effects of health epidemics and pandemics, such as the COVID-19 could adversely impact our business, including our preclinical studies and clinical trials.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loss of key management personnel, or our failure to recruit additional highly skilled personnel, will impair our ability to develop current product candidates or identify and develop new product candidates, could result in loss of markets or market share and could make us less competitive.</w:t>
      </w:r>
    </w:p>
    <w:p>
      <w:pPr>
        <w:pStyle w:val="TextBody"/>
        <w:bidi w:val="0"/>
        <w:spacing w:before="120" w:after="120"/>
        <w:ind w:left="0" w:right="0" w:firstLine="45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number of shares and per share amounts)</w:t>
      </w:r>
    </w:p>
    <w:tbl>
      <w:tblPr>
        <w:tblW w:w="10205" w:type="dxa"/>
        <w:jc w:val="left"/>
        <w:tblInd w:w="0" w:type="dxa"/>
        <w:tblLayout w:type="fixed"/>
        <w:tblCellMar>
          <w:top w:w="28" w:type="dxa"/>
          <w:left w:w="28" w:type="dxa"/>
          <w:bottom w:w="28" w:type="dxa"/>
          <w:right w:w="28" w:type="dxa"/>
        </w:tblCellMar>
      </w:tblPr>
      <w:tblGrid>
        <w:gridCol w:w="2833"/>
        <w:gridCol w:w="2324"/>
        <w:gridCol w:w="2256"/>
        <w:gridCol w:w="220"/>
        <w:gridCol w:w="864"/>
        <w:gridCol w:w="114"/>
        <w:gridCol w:w="109"/>
        <w:gridCol w:w="109"/>
        <w:gridCol w:w="109"/>
        <w:gridCol w:w="223"/>
        <w:gridCol w:w="876"/>
        <w:gridCol w:w="168"/>
      </w:tblGrid>
      <w:tr>
        <w:trPr/>
        <w:tc>
          <w:tcPr>
            <w:tcW w:w="2833"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4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7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57,679 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465,933 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297,502 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 receivable</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(Note 5)</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534,335 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340,311 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540,464 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350,613 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research and development</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(Note 6)</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current</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non-current</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(Note 7)</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37,271 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Stockholders’ equity </w:t>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300,000,000 shares authorized at September 30, 2023 and December 31, 2022; and 59,890,980 and 48,941,254 shares issued and outstanding at September 30, 2023 and December 31, 2022, respectively;</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963,588 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653,707 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(458,639)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(338,412)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503,048 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313,342 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540,464 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350,613 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ans-serif" w:hAnsi="Times New Roman;sans-serif"/>
          <w:b w:val="false"/>
          <w:color w:val="000000"/>
          <w:sz w:val="20"/>
        </w:rPr>
        <w:t>*The condensed balance sheet as of December 31, 2022 has been derived from the audited financial statements as of that date</w:t>
      </w:r>
      <w:r>
        <w:rPr>
          <w:rFonts w:ascii="Times New Roman;sans-serif" w:hAnsi="Times New Roman;sans-serif"/>
          <w:b w:val="false"/>
          <w:color w:val="000000"/>
          <w:sz w:val="18"/>
        </w:rPr>
        <w:t>.</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number of shares and per share amounts)</w:t>
      </w:r>
    </w:p>
    <w:tbl>
      <w:tblPr>
        <w:tblW w:w="10205" w:type="dxa"/>
        <w:jc w:val="center"/>
        <w:tblInd w:w="0" w:type="dxa"/>
        <w:tblLayout w:type="fixed"/>
        <w:tblCellMar>
          <w:top w:w="28" w:type="dxa"/>
          <w:left w:w="28" w:type="dxa"/>
          <w:bottom w:w="28" w:type="dxa"/>
          <w:right w:w="28" w:type="dxa"/>
        </w:tblCellMar>
      </w:tblPr>
      <w:tblGrid>
        <w:gridCol w:w="1756"/>
        <w:gridCol w:w="1318"/>
        <w:gridCol w:w="1330"/>
        <w:gridCol w:w="240"/>
        <w:gridCol w:w="841"/>
        <w:gridCol w:w="109"/>
        <w:gridCol w:w="109"/>
        <w:gridCol w:w="109"/>
        <w:gridCol w:w="109"/>
        <w:gridCol w:w="240"/>
        <w:gridCol w:w="841"/>
        <w:gridCol w:w="109"/>
        <w:gridCol w:w="109"/>
        <w:gridCol w:w="109"/>
        <w:gridCol w:w="109"/>
        <w:gridCol w:w="211"/>
        <w:gridCol w:w="883"/>
        <w:gridCol w:w="109"/>
        <w:gridCol w:w="109"/>
        <w:gridCol w:w="109"/>
        <w:gridCol w:w="109"/>
        <w:gridCol w:w="240"/>
        <w:gridCol w:w="841"/>
        <w:gridCol w:w="156"/>
      </w:tblGrid>
      <w:tr>
        <w:trPr/>
        <w:tc>
          <w:tcPr>
            <w:tcW w:w="1756"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4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(71,822)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(97,520)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(89,800)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(88,261)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(88,261)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 basic and diluted</w:t>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computing net loss per share attributable to common stockholders - basic and diluted</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59,688,451 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46,799,058 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58,319,608 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39,735,342 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(loss) on short-term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gain (loss)</w:t>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(90,514)</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number of shares and per share amounts)</w:t>
      </w:r>
    </w:p>
    <w:tbl>
      <w:tblPr>
        <w:tblW w:w="10205" w:type="dxa"/>
        <w:jc w:val="center"/>
        <w:tblInd w:w="0" w:type="dxa"/>
        <w:tblLayout w:type="fixed"/>
        <w:tblCellMar>
          <w:top w:w="28" w:type="dxa"/>
          <w:left w:w="28" w:type="dxa"/>
          <w:bottom w:w="28" w:type="dxa"/>
          <w:right w:w="28" w:type="dxa"/>
        </w:tblCellMar>
      </w:tblPr>
      <w:tblGrid>
        <w:gridCol w:w="763"/>
        <w:gridCol w:w="444"/>
        <w:gridCol w:w="445"/>
        <w:gridCol w:w="540"/>
        <w:gridCol w:w="541"/>
        <w:gridCol w:w="211"/>
        <w:gridCol w:w="109"/>
        <w:gridCol w:w="109"/>
        <w:gridCol w:w="109"/>
        <w:gridCol w:w="275"/>
        <w:gridCol w:w="333"/>
        <w:gridCol w:w="143"/>
        <w:gridCol w:w="109"/>
        <w:gridCol w:w="109"/>
        <w:gridCol w:w="109"/>
        <w:gridCol w:w="211"/>
        <w:gridCol w:w="826"/>
        <w:gridCol w:w="109"/>
        <w:gridCol w:w="109"/>
        <w:gridCol w:w="109"/>
        <w:gridCol w:w="109"/>
        <w:gridCol w:w="297"/>
        <w:gridCol w:w="890"/>
        <w:gridCol w:w="155"/>
        <w:gridCol w:w="109"/>
        <w:gridCol w:w="109"/>
        <w:gridCol w:w="109"/>
        <w:gridCol w:w="211"/>
        <w:gridCol w:w="846"/>
        <w:gridCol w:w="109"/>
        <w:gridCol w:w="109"/>
        <w:gridCol w:w="109"/>
        <w:gridCol w:w="109"/>
        <w:gridCol w:w="215"/>
        <w:gridCol w:w="843"/>
        <w:gridCol w:w="163"/>
      </w:tblGrid>
      <w:tr>
        <w:trPr/>
        <w:tc>
          <w:tcPr>
            <w:tcW w:w="76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w:t>
              <w:br/>
              <w:t>Equity</w:t>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48,941,254 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313,342 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in a public offering, net of offering expenses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9,583,334 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269,915 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benefit plans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454,314 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11,923 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on short-term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58,978,902 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561,920 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offering expenses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benefit plans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243,783 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13,046 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short-term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(41,192)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59,222,685 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533,065 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benefit plans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668,295 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on short-term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2023</w:t>
            </w:r>
          </w:p>
        </w:tc>
        <w:tc>
          <w:tcPr>
            <w:tcW w:w="108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59,890,980 </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963,588 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(458,639)</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503,048 </w:t>
            </w:r>
          </w:p>
        </w:tc>
        <w:tc>
          <w:tcPr>
            <w:tcW w:w="1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financial statements.</w:t>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number of shares and per share amounts)</w:t>
      </w:r>
    </w:p>
    <w:tbl>
      <w:tblPr>
        <w:tblW w:w="10205" w:type="dxa"/>
        <w:jc w:val="center"/>
        <w:tblInd w:w="0" w:type="dxa"/>
        <w:tblLayout w:type="fixed"/>
        <w:tblCellMar>
          <w:top w:w="28" w:type="dxa"/>
          <w:left w:w="28" w:type="dxa"/>
          <w:bottom w:w="28" w:type="dxa"/>
          <w:right w:w="28" w:type="dxa"/>
        </w:tblCellMar>
      </w:tblPr>
      <w:tblGrid>
        <w:gridCol w:w="763"/>
        <w:gridCol w:w="444"/>
        <w:gridCol w:w="445"/>
        <w:gridCol w:w="540"/>
        <w:gridCol w:w="541"/>
        <w:gridCol w:w="211"/>
        <w:gridCol w:w="109"/>
        <w:gridCol w:w="109"/>
        <w:gridCol w:w="109"/>
        <w:gridCol w:w="275"/>
        <w:gridCol w:w="333"/>
        <w:gridCol w:w="143"/>
        <w:gridCol w:w="109"/>
        <w:gridCol w:w="109"/>
        <w:gridCol w:w="109"/>
        <w:gridCol w:w="211"/>
        <w:gridCol w:w="826"/>
        <w:gridCol w:w="109"/>
        <w:gridCol w:w="109"/>
        <w:gridCol w:w="109"/>
        <w:gridCol w:w="109"/>
        <w:gridCol w:w="297"/>
        <w:gridCol w:w="890"/>
        <w:gridCol w:w="155"/>
        <w:gridCol w:w="109"/>
        <w:gridCol w:w="109"/>
        <w:gridCol w:w="109"/>
        <w:gridCol w:w="211"/>
        <w:gridCol w:w="846"/>
        <w:gridCol w:w="109"/>
        <w:gridCol w:w="109"/>
        <w:gridCol w:w="109"/>
        <w:gridCol w:w="109"/>
        <w:gridCol w:w="215"/>
        <w:gridCol w:w="843"/>
        <w:gridCol w:w="163"/>
      </w:tblGrid>
      <w:tr>
        <w:trPr/>
        <w:tc>
          <w:tcPr>
            <w:tcW w:w="76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w:t>
              <w:br/>
              <w:t>Equity</w:t>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2021</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36,083,301 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199,059 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benefit plans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63,552 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short-term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(28,100)</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36,162,459 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173,793 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restricted stock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benefit plans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short-term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(29,546)</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36,182,297 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147,788 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benefit plans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135,113 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short-term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in a public offering, net of offering expenses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12,432,432 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215,400 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2022</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48,749,842 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336,994 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financial statements.</w:t>
      </w:r>
    </w:p>
    <w:p>
      <w:pPr>
        <w:pStyle w:val="TextBody"/>
        <w:bidi w:val="0"/>
        <w:spacing w:before="0" w:after="0"/>
        <w:jc w:val="left"/>
        <w:rPr/>
      </w:pPr>
      <w:r>
        <w:rPr/>
      </w:r>
    </w:p>
    <w:p>
      <w:pPr>
        <w:pStyle w:val="TextBody"/>
        <w:bidi w:val="0"/>
        <w:spacing w:before="240" w:after="283"/>
        <w:ind w:left="0" w:right="0" w:hanging="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904" w:type="dxa"/>
        <w:jc w:val="left"/>
        <w:tblInd w:w="0" w:type="dxa"/>
        <w:tblLayout w:type="fixed"/>
        <w:tblCellMar>
          <w:top w:w="28" w:type="dxa"/>
          <w:left w:w="28" w:type="dxa"/>
          <w:bottom w:w="28" w:type="dxa"/>
          <w:right w:w="28" w:type="dxa"/>
        </w:tblCellMar>
      </w:tblPr>
      <w:tblGrid>
        <w:gridCol w:w="2242"/>
        <w:gridCol w:w="1971"/>
        <w:gridCol w:w="1982"/>
        <w:gridCol w:w="211"/>
        <w:gridCol w:w="901"/>
        <w:gridCol w:w="109"/>
        <w:gridCol w:w="109"/>
        <w:gridCol w:w="109"/>
        <w:gridCol w:w="109"/>
        <w:gridCol w:w="211"/>
        <w:gridCol w:w="796"/>
        <w:gridCol w:w="154"/>
      </w:tblGrid>
      <w:tr>
        <w:trPr/>
        <w:tc>
          <w:tcPr>
            <w:tcW w:w="2242"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operating lease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on short-term investments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(63,392)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short-term investments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Maturity of short-term investments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(170,226)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issuances of common stock under benefit plans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offering costs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debt issuance costs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term loan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common stock in a public offering</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cash flow information:</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noncash investing and financing activities: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short-term investments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 in 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Offering costs in accounts payable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right-of -use assets and liabilities from lease modifications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 Organization and Description of Business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Pliant Therapeutics, Inc. (the “Company” or "Pliant" or “we” or “our” or “us”) is a clinical stage biopharmaceutical company focused on discovering and developing novel therapies for the treatment of fibrosis with an initial focus on treating fibrosis by inhibiting integrin-mediated activation of TGF-ß. Fibrosis refers to the abnormal thickening and scarring of connective tissue due to the production and deposition of excess collagen in the extra-cellular matrix. Fibrosis can occur in many different tissues including lung, liver, kidney, muscle, skin and the GI tract, and often causes severe and debilitating disease leading to organ failure. The Company is located in South San Francisco, California, and was incorporated in the state of Delaware in June 2015.</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Public Offering</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the Company completed a public offering of 9,583,334 shares of common stock, including the exercise in full of the underwriters' option to purchase 1,250,000 additional shares of common stock. The shares were offered at a price of $30.00 per share, resulting in aggregate proceeds of approximately $269.5 million, net of underwriting discounts, commissions and offering expenses payable by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interim condensed financial statements have been prepared in conformity with accounting principles generally accepted in the United States of America (“U.S. GAAP”) and follow the requirements of the Securities and Exchange Commission ("SEC"), for interim financial reporting. As permitted under those rules, certain footnotes or other financial information that are normally required by U.S. GAAP have been condensed or omitted, and accordingly the unaudited interim condensed financial statements do not include all of the information and notes required by U.S. GAAP for complete financial statements. These unaudited interim condensed financial statements have been prepared on the same basis as our annual financial statements and, in the opinion of management, reflect all adjustments (consisting only of normal recurring adjustments) that are necessary for a fair presentation of the Company's financial information. The results of operations for the three and nine months ended September 30, 2023 are not necessarily indicative of the results to be expected for the year ending December 31, 2023 or for any other interim period or for any other future year.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information included herein should be read in conjunction with the audited financial statements and related notes in the Company’s Annual Report on Form 10-K for the year ended December 31, 2022, filed with the SEC on March 9, 2023 (the "2022 10-K"). Certain prior year reported amounts may have been reclassified to conform with the current period presentation.</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liabilities, and expenses as well as the disclosure of contingent assets and liabilities as of and during the reporting period. The Company bases its estimates and assumptions on historical experience when available and on various factors that it believes to be reasonable under the circumstances. Significant estimates and assumptions reflected in these financial statements include, but are not limited to, stock-based compensation expense and accruals and prepayments for research and development costs. The Company assesses estimates on an ongoing basis, however, actual results could materially differ from those estimates.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Significant Accounting Policies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to the accounting policies during the three and nine months ended September 30, 2023, as compared to the significant accounting policies described in Note 2 of the "Notes to the Financial Statements" in the Company's audited financial statements included in the 2022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3. Financial Instruments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short-term investments consist of U.S. Treasury securities, U.S. Government agency securities and highly rated, investment-grade corporate debt securities with original maturities beyond three months at the date of purchase. The Company has classified and accounted for its short-term investments as available-for-sale securities as the Company may sell these securities at any time even prior to maturity and such investments represent cash available for current operations. As a result, short-term investments may include securities with maturities beyond twelve months that are classified within current assets in the Balance Sheets. The Company’s short-term investments classified as available-for-sale are carried at fair market value with unrealized gains or losses recognized in the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cash equivalent Money Market Funds are classified as Level 1 because they are valued using quoted active market prices. The fair value of the Company’s U.S. Treasury securities, U.S. government agency securities and corporate debt securities are classified as Level 2 because they are valued using observable inputs to quoted market prices other than Level 1 prices, benchmark yields, reported trades, broker/dealer quotes or alternative pricing sources with reasonable levels of price transparency and include U.S. government agency securities, U.S. Treasury securities and corporate debt securities.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assets or liabilities recorded at fair value to the condensed balance sheets using Level 3 inputs as of September 30, 2023 and as of December 31, 2022.</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show the Company’s Money Market Funds, U.S. Treasury securities, U.S. government agency securities and corporate debt securities by significant investment category as of September 30, 2023 and December 31, 2022 (in thousands):</w:t>
      </w:r>
    </w:p>
    <w:tbl>
      <w:tblPr>
        <w:tblW w:w="10205" w:type="dxa"/>
        <w:jc w:val="left"/>
        <w:tblInd w:w="0" w:type="dxa"/>
        <w:tblLayout w:type="fixed"/>
        <w:tblCellMar>
          <w:top w:w="28" w:type="dxa"/>
          <w:left w:w="28" w:type="dxa"/>
          <w:bottom w:w="28" w:type="dxa"/>
          <w:right w:w="28" w:type="dxa"/>
        </w:tblCellMar>
      </w:tblPr>
      <w:tblGrid>
        <w:gridCol w:w="1927"/>
        <w:gridCol w:w="1524"/>
        <w:gridCol w:w="1520"/>
        <w:gridCol w:w="211"/>
        <w:gridCol w:w="826"/>
        <w:gridCol w:w="109"/>
        <w:gridCol w:w="109"/>
        <w:gridCol w:w="109"/>
        <w:gridCol w:w="109"/>
        <w:gridCol w:w="270"/>
        <w:gridCol w:w="520"/>
        <w:gridCol w:w="141"/>
        <w:gridCol w:w="109"/>
        <w:gridCol w:w="109"/>
        <w:gridCol w:w="109"/>
        <w:gridCol w:w="211"/>
        <w:gridCol w:w="663"/>
        <w:gridCol w:w="109"/>
        <w:gridCol w:w="109"/>
        <w:gridCol w:w="109"/>
        <w:gridCol w:w="109"/>
        <w:gridCol w:w="211"/>
        <w:gridCol w:w="826"/>
        <w:gridCol w:w="156"/>
      </w:tblGrid>
      <w:tr>
        <w:trPr/>
        <w:tc>
          <w:tcPr>
            <w:tcW w:w="1927"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2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September 30, 2023</w:t>
            </w:r>
          </w:p>
        </w:tc>
      </w:tr>
      <w:tr>
        <w:trPr/>
        <w:tc>
          <w:tcPr>
            <w:tcW w:w="49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Adjusted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Market</w:t>
              <w:br/>
              <w:t>Value</w:t>
            </w:r>
          </w:p>
        </w:tc>
      </w:tr>
      <w:tr>
        <w:trPr/>
        <w:tc>
          <w:tcPr>
            <w:tcW w:w="4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included in cash and cash equivalents and short-term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 included in cash and cash equivalents and 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119,778 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 included in cash and cash equivalents and short-term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520,086 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518,179 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1907"/>
        <w:gridCol w:w="1530"/>
        <w:gridCol w:w="1530"/>
        <w:gridCol w:w="211"/>
        <w:gridCol w:w="826"/>
        <w:gridCol w:w="109"/>
        <w:gridCol w:w="109"/>
        <w:gridCol w:w="109"/>
        <w:gridCol w:w="109"/>
        <w:gridCol w:w="270"/>
        <w:gridCol w:w="520"/>
        <w:gridCol w:w="141"/>
        <w:gridCol w:w="109"/>
        <w:gridCol w:w="109"/>
        <w:gridCol w:w="109"/>
        <w:gridCol w:w="211"/>
        <w:gridCol w:w="667"/>
        <w:gridCol w:w="109"/>
        <w:gridCol w:w="109"/>
        <w:gridCol w:w="109"/>
        <w:gridCol w:w="109"/>
        <w:gridCol w:w="211"/>
        <w:gridCol w:w="826"/>
        <w:gridCol w:w="156"/>
      </w:tblGrid>
      <w:tr>
        <w:trPr/>
        <w:tc>
          <w:tcPr>
            <w:tcW w:w="1907"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6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2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2022</w:t>
            </w:r>
          </w:p>
        </w:tc>
      </w:tr>
      <w:tr>
        <w:trPr/>
        <w:tc>
          <w:tcPr>
            <w:tcW w:w="496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Adjusted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Market</w:t>
              <w:br/>
              <w:t>Value</w:t>
            </w:r>
          </w:p>
        </w:tc>
      </w:tr>
      <w:tr>
        <w:trPr/>
        <w:tc>
          <w:tcPr>
            <w:tcW w:w="49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included in cash and cash equivalents and short-term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agency securities included in 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 included in cash and cash equivalents and short-term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325,813 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sell certain of its short-term securities prior to their stated maturities for reasons including, but not limited to, managing liquidity, credit risk, duration and asset allocation.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liabilities measured at fair value on a recurring basis as of September 30, 2023 and December 31, 2022. The Company evaluates transfers between levels at the end of each reporting period and there have been no transfers between fair value measurement levels during the nine months ended September 30, 2023. In addition, there were no assets or liabilities measured at fair value on a non-recurring basis as of September 30, 2023 and December 31, 2022.</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had not recorded any impairment related to other-than-temporary declines in the fair value of short-term investments. Short-term investments are considered impaired when a decline in fair value is judged to be other-than-temporary. The Company consults with its investment managers and considers available quantitative and qualitative evidence in evaluating potential impairment of its short-term investments on a quarterly basis. If the cost of an individual investment exceeds its fair value, the Company evaluates, among other factors, general market conditions, the duration and extent to which the fair value is less than cost and its intent and ability to hold the investment.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interest income, accretion income and amortization expense on Money Market Funds and U.S. Treasury, U.S. government agency and corporate debt securities to interest and other income (expense), net in its condensed statement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4. Property and Equipment, net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 (in thousands):</w:t>
      </w:r>
    </w:p>
    <w:tbl>
      <w:tblPr>
        <w:tblW w:w="7480" w:type="dxa"/>
        <w:jc w:val="left"/>
        <w:tblInd w:w="0" w:type="dxa"/>
        <w:tblLayout w:type="fixed"/>
        <w:tblCellMar>
          <w:top w:w="28" w:type="dxa"/>
          <w:left w:w="28" w:type="dxa"/>
          <w:bottom w:w="28" w:type="dxa"/>
          <w:right w:w="28" w:type="dxa"/>
        </w:tblCellMar>
      </w:tblPr>
      <w:tblGrid>
        <w:gridCol w:w="1108"/>
        <w:gridCol w:w="974"/>
        <w:gridCol w:w="978"/>
        <w:gridCol w:w="416"/>
        <w:gridCol w:w="1423"/>
        <w:gridCol w:w="215"/>
        <w:gridCol w:w="109"/>
        <w:gridCol w:w="109"/>
        <w:gridCol w:w="109"/>
        <w:gridCol w:w="438"/>
        <w:gridCol w:w="1281"/>
        <w:gridCol w:w="320"/>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2022</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10,351 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9,581 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w:t>
            </w:r>
          </w:p>
        </w:tc>
        <w:tc>
          <w:tcPr>
            <w:tcW w:w="1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gross</w:t>
            </w:r>
          </w:p>
        </w:tc>
        <w:tc>
          <w:tcPr>
            <w:tcW w:w="18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12,187 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11,327 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(6,841)</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4,486 </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for each of the three months ended September 30, 2023 and 2022 was $0.5 million. Depreciation expense for each of the nine months ended September 30, 2023 and 2022 was $1.4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5. Prepaid Expenses and Other Current Assets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consisted of the following (in thousands):</w:t>
      </w:r>
    </w:p>
    <w:tbl>
      <w:tblPr>
        <w:tblW w:w="7540" w:type="dxa"/>
        <w:jc w:val="left"/>
        <w:tblInd w:w="0" w:type="dxa"/>
        <w:tblLayout w:type="fixed"/>
        <w:tblCellMar>
          <w:top w:w="28" w:type="dxa"/>
          <w:left w:w="28" w:type="dxa"/>
          <w:bottom w:w="28" w:type="dxa"/>
          <w:right w:w="28" w:type="dxa"/>
        </w:tblCellMar>
      </w:tblPr>
      <w:tblGrid>
        <w:gridCol w:w="1424"/>
        <w:gridCol w:w="1249"/>
        <w:gridCol w:w="1256"/>
        <w:gridCol w:w="334"/>
        <w:gridCol w:w="1142"/>
        <w:gridCol w:w="174"/>
        <w:gridCol w:w="109"/>
        <w:gridCol w:w="109"/>
        <w:gridCol w:w="109"/>
        <w:gridCol w:w="351"/>
        <w:gridCol w:w="1026"/>
        <w:gridCol w:w="257"/>
      </w:tblGrid>
      <w:tr>
        <w:trPr/>
        <w:tc>
          <w:tcPr>
            <w:tcW w:w="142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As of 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As of December 31,</w:t>
              <w:br/>
              <w:t>2022</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research and development</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w:t>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licenses</w:t>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receivable</w:t>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and other current assets</w:t>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10,640 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7,058 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6. Accrued Liabilities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consisted of the following (in thousands):</w:t>
      </w:r>
    </w:p>
    <w:tbl>
      <w:tblPr>
        <w:tblW w:w="6626" w:type="dxa"/>
        <w:jc w:val="left"/>
        <w:tblInd w:w="0" w:type="dxa"/>
        <w:tblLayout w:type="fixed"/>
        <w:tblCellMar>
          <w:top w:w="28" w:type="dxa"/>
          <w:left w:w="28" w:type="dxa"/>
          <w:bottom w:w="28" w:type="dxa"/>
          <w:right w:w="28" w:type="dxa"/>
        </w:tblCellMar>
      </w:tblPr>
      <w:tblGrid>
        <w:gridCol w:w="1093"/>
        <w:gridCol w:w="959"/>
        <w:gridCol w:w="963"/>
        <w:gridCol w:w="371"/>
        <w:gridCol w:w="1086"/>
        <w:gridCol w:w="193"/>
        <w:gridCol w:w="109"/>
        <w:gridCol w:w="109"/>
        <w:gridCol w:w="109"/>
        <w:gridCol w:w="351"/>
        <w:gridCol w:w="1026"/>
        <w:gridCol w:w="257"/>
      </w:tblGrid>
      <w:tr>
        <w:trPr/>
        <w:tc>
          <w:tcPr>
            <w:tcW w:w="109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As of 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As of December 31,</w:t>
              <w:br/>
              <w:t>2022</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7,200 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8,310 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 consist primarily of accrued bonuses and accrued vacation.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Long-term Debt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2022, we entered into a term loan facility (the “Oxford Loan Agreement”) with Oxford Finance LLC (the "Lender") for up to $100.0 million. At closing, we entered into a term loan for $10.0 million, and in the first quarter of 2023 we declined our option to draw an additional $40.0 million from the first and second tranche. The Oxford Loan Agreement provides for an additional $50.0 million over two tranches, $25.0 million of which is at our option upon the satisfaction of certain conditions related to the development of bexotegrast and one of our preclinical product candidates, and $25.0 million at the Lender's discretion. In connection with the Oxford Loan Agreement, we granted a security interest in substantially all of our current and future assets. There are no warrants or financial covenants associated with the Oxford Loan Agreement.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Oxford Loan Agreement bear interest at a rate per annum equal to 1-month term Secured Overnight Financing Rate (SOFR) plus 8.5%, subject to an agreed upon floor and cap. The Oxford Loan Agreement requires the Company to make monthly interest-only payments until July 1, 2026 (extendable to July 1, 2027) with monthly interest and principal payments thereafter until the maturity date of May 1, 2027 (extendable to May 1, 2028).</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term loan as of September 30, 2023 was measured using Level 2 and Level 3 inputs and approximates the carrying value recorded to the condensed balance sheet. The effective interest rate for the term loan is 12.69% and interest expense for the three and nine months ended September 30, 2023 was $0.3 million and $0.9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Future maturities of debt as of September 30, 2023 are as follows (in thousands):</w:t>
      </w:r>
    </w:p>
    <w:tbl>
      <w:tblPr>
        <w:tblW w:w="5620" w:type="dxa"/>
        <w:jc w:val="left"/>
        <w:tblInd w:w="0" w:type="dxa"/>
        <w:tblLayout w:type="fixed"/>
        <w:tblCellMar>
          <w:top w:w="28" w:type="dxa"/>
          <w:left w:w="28" w:type="dxa"/>
          <w:bottom w:w="28" w:type="dxa"/>
          <w:right w:w="28" w:type="dxa"/>
        </w:tblCellMar>
      </w:tblPr>
      <w:tblGrid>
        <w:gridCol w:w="1156"/>
        <w:gridCol w:w="1012"/>
        <w:gridCol w:w="1026"/>
        <w:gridCol w:w="109"/>
        <w:gridCol w:w="109"/>
        <w:gridCol w:w="109"/>
        <w:gridCol w:w="408"/>
        <w:gridCol w:w="1394"/>
        <w:gridCol w:w="297"/>
      </w:tblGrid>
      <w:tr>
        <w:trPr/>
        <w:tc>
          <w:tcPr>
            <w:tcW w:w="115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September 30, 2023</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4,545 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final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10,021 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8. Novartis Collaboration and License Agreement (the "Novartis Agreement")</w:t>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2019, we entered into the Novartis Agreement with Novartis Institutes for BioMedical Research, Inc. (“Novartis”) for the development and commercialization of our preclinical product candidate, PLN-1474, and up to three additional integrin research targets. On February 17, 2023, Novartis exercised their right to terminate the Novartis Agreement as part of their new strategy focusing on a limited number of therapeutic areas. The termination took effect on April 18, 2023, and effective upon the termination, all rights and licenses granted to Novartis under the Novartis Agreement, including PLN-1474, the related investigational new drug (“IND”), and the validated research target, reverted back to us. The payment obligations of Novartis with respect to future milestones, royalties and research and development funding were also terminated.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Revenues associated with the Novartis Agreement for the three and nine months ended September 30, 2023 were nil and $1.6 million, respectively and $1.5 million and $7.7 million for the three and nine months ended September 30,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Preferred Stock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Under the Company’s Amended and Restated Certificate of Incorporation (“Certificate of Incorporation”), the Company is authorized to issue two classes of shares: preferred and common stock. The preferred stock may be issued in series, and the Company’s board of directors is authorized to determine the rights, preferences, and terms of each series. These rights, preferences and terms could include dividend rights, conversion rights, voting rights, terms of redemptions, liquidation preferences and sinking fund terms. As of September 30, 2023 and December 31, 2022, the Company was authorized to issue 10,000,000 shares of preferred stock and there was no outstanding preferred stock as of September 30, 2023 and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10. Common Stock</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the Company was authorized to issue 300,000,000 shares of common stock at a par value of $0.0001 per share. The common stock has the following rights and privileges: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Voting</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holders of shares of common stock are entitled to one vote for each share of common stock held at any meeting of stockholders.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Dividends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holders of shares of common stock are entitled to receive dividends, when declared by the Company’s board of directors. Cash dividends may not be declared or paid to holders of shares of common stock until all unpaid dividends on preferred stock have been paid in accordance with their terms. No dividends have been declared or paid by the Company since its inception. The terms of the Oxford Loan Agreement restrict our ability to declare and pay dividends.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Liquidation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preferential rights of holders of preferred stock then outstanding, the holders of shares of common stock are entitled to share ratably in the Company’s remaining assets available for distribution to its stockholders in the event of any voluntary or involuntary liquidation, dissolution or winding up of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Shares reserved for future issuance</w:t>
      </w:r>
    </w:p>
    <w:tbl>
      <w:tblPr>
        <w:tblW w:w="10205" w:type="dxa"/>
        <w:jc w:val="left"/>
        <w:tblInd w:w="0" w:type="dxa"/>
        <w:tblLayout w:type="fixed"/>
        <w:tblCellMar>
          <w:top w:w="28" w:type="dxa"/>
          <w:left w:w="28" w:type="dxa"/>
          <w:bottom w:w="28" w:type="dxa"/>
          <w:right w:w="28" w:type="dxa"/>
        </w:tblCellMar>
      </w:tblPr>
      <w:tblGrid>
        <w:gridCol w:w="2472"/>
        <w:gridCol w:w="2169"/>
        <w:gridCol w:w="2180"/>
        <w:gridCol w:w="540"/>
        <w:gridCol w:w="541"/>
        <w:gridCol w:w="401"/>
        <w:gridCol w:w="109"/>
        <w:gridCol w:w="109"/>
        <w:gridCol w:w="109"/>
        <w:gridCol w:w="540"/>
        <w:gridCol w:w="541"/>
        <w:gridCol w:w="494"/>
      </w:tblGrid>
      <w:tr>
        <w:trPr/>
        <w:tc>
          <w:tcPr>
            <w:tcW w:w="2472"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6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As of</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As of</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6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stock option awards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6,852,652 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5,569,567 </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916,708 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507,925 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PSUs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354,534 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531,796 </w:t>
            </w:r>
          </w:p>
        </w:tc>
        <w:tc>
          <w:tcPr>
            <w:tcW w:w="49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available for future grants under the 2020 Stock Option and Incentive Plan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2,795,354 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2,937,769 </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available for future issuance under the 2020 Employee Stock Purchase Plan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805,756 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888,184 </w:t>
            </w:r>
          </w:p>
        </w:tc>
        <w:tc>
          <w:tcPr>
            <w:tcW w:w="49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available for future issuance under the 2022 Inducement Plan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reserved for future issuance</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12,575,004 </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11,435,241 </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11. Equity Incentive Plans and Stock-Based Compensation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2015, the Company’s board of directors adopted the 2015 Equity Incentive Plan (as amended in 2018, 2019 and 2020, the “2015 Plan”), which provided for the grant of incentive stock options, nonqualified stock options or other awards including stock appreciation rights and restricted stock awards to the Company’s employees, officers, directors, advisors, and consultants. In May 2020, the board of directors adopted the 2020 Stock Options and Incentive Plan (the “2020 Plan”) and suspended the 2015 Plan. Awards outstanding under either the 2015 Plan or 2020 Plan that are cancelled, expire or otherwise terminated subsequent to May 2020 will become available for issuance as common stock under the 2020 Plan. Additionally, the 2020 Plan is subject to automatic increases on January 1 of each year beginning January 1, 2021. The number of shares added each January 1 will be equal to the lesser of (i) 5% of the outstanding shares on the immediately preceding December 31 or (ii) such amount as determined by the administrator of the 2020 Plan, which is the compensation committee of the board of directors of the Company.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2020 Plan provides for the grant of incentive stock options, nonqualified stock options or other awards including stock appreciation rights, restricted stock awards and restricted stock units to the Company’s employees, officers, directors, advisors, and consultants.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2022, the Board of Directors adopted the 2022 Inducement Plan (“Inducement Plan”), under which the Company may grant restricted stock units, stock options, stock appreciation rights, and restricted stock awards to new hires.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Options under the 2020 Plan may be granted for periods of up to 10 years and at prices no less than the market price of the Company’s common stock on the date of grant, provided, however, that the exercise price of an incentive stock option granted to a 10% shareholder shall not be less than 110% of the estimated fair value of the shares on the date of grant and the option is not exercisable after the expiration of five years from the date of grant.</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Incentive Stock Options and Nonqualified Stock Options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issued under either the 2015 Plan or the 2020 Plan generally vest over four years and expire ten years from the date of grant. Certain options provide for accelerated vesting if there is a change in control, as defined in the respective plans.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used the Black-Scholes option pricing model to estimate stock-based compensation expense for stock option awards with the following assumptions:</w:t>
      </w:r>
    </w:p>
    <w:tbl>
      <w:tblPr>
        <w:tblW w:w="10205" w:type="dxa"/>
        <w:jc w:val="left"/>
        <w:tblInd w:w="0" w:type="dxa"/>
        <w:tblLayout w:type="fixed"/>
        <w:tblCellMar>
          <w:top w:w="28" w:type="dxa"/>
          <w:left w:w="28" w:type="dxa"/>
          <w:bottom w:w="28" w:type="dxa"/>
          <w:right w:w="28" w:type="dxa"/>
        </w:tblCellMar>
      </w:tblPr>
      <w:tblGrid>
        <w:gridCol w:w="992"/>
        <w:gridCol w:w="840"/>
        <w:gridCol w:w="843"/>
        <w:gridCol w:w="480"/>
        <w:gridCol w:w="460"/>
        <w:gridCol w:w="425"/>
        <w:gridCol w:w="291"/>
        <w:gridCol w:w="291"/>
        <w:gridCol w:w="291"/>
        <w:gridCol w:w="471"/>
        <w:gridCol w:w="450"/>
        <w:gridCol w:w="443"/>
        <w:gridCol w:w="109"/>
        <w:gridCol w:w="109"/>
        <w:gridCol w:w="109"/>
        <w:gridCol w:w="475"/>
        <w:gridCol w:w="465"/>
        <w:gridCol w:w="425"/>
        <w:gridCol w:w="273"/>
        <w:gridCol w:w="273"/>
        <w:gridCol w:w="273"/>
        <w:gridCol w:w="430"/>
        <w:gridCol w:w="419"/>
        <w:gridCol w:w="568"/>
      </w:tblGrid>
      <w:tr>
        <w:trPr/>
        <w:tc>
          <w:tcPr>
            <w:tcW w:w="99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6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60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26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3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82.66% - 83.22%</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78.96% - 79.53%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80.97% - 83.22%</w:t>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73.78% - 79.53%</w:t>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3.95% - 4.38%</w:t>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2.86% - 3.59%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3.42%- 4.38%</w:t>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1.64% - 3.59%</w:t>
            </w:r>
          </w:p>
        </w:tc>
      </w:tr>
      <w:tr>
        <w:trPr/>
        <w:tc>
          <w:tcPr>
            <w:tcW w:w="2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w:t>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6.00 - 6.08</w:t>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5.77 - 6.08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5.31- 6.08</w:t>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5.33 - 6.08</w:t>
            </w:r>
          </w:p>
        </w:tc>
      </w:tr>
      <w:tr>
        <w:trPr/>
        <w:tc>
          <w:tcPr>
            <w:tcW w:w="2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Underlying common stock fair value</w:t>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$16.01 - $18.80</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$7.67 - $24.23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$16.01 - $34.65</w:t>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$4.92 - $24.23</w:t>
            </w:r>
          </w:p>
        </w:tc>
      </w:tr>
    </w:tbl>
    <w:p>
      <w:pPr>
        <w:pStyle w:val="TextBody"/>
        <w:bidi w:val="0"/>
        <w:spacing w:lineRule="auto" w:line="288" w:before="3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option activity under the 2015 Plan and the 2020 Plan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61"/>
        <w:gridCol w:w="1369"/>
        <w:gridCol w:w="1377"/>
        <w:gridCol w:w="488"/>
        <w:gridCol w:w="488"/>
        <w:gridCol w:w="231"/>
        <w:gridCol w:w="109"/>
        <w:gridCol w:w="109"/>
        <w:gridCol w:w="109"/>
        <w:gridCol w:w="307"/>
        <w:gridCol w:w="898"/>
        <w:gridCol w:w="161"/>
        <w:gridCol w:w="109"/>
        <w:gridCol w:w="109"/>
        <w:gridCol w:w="109"/>
        <w:gridCol w:w="418"/>
        <w:gridCol w:w="418"/>
        <w:gridCol w:w="420"/>
        <w:gridCol w:w="109"/>
        <w:gridCol w:w="109"/>
        <w:gridCol w:w="109"/>
        <w:gridCol w:w="211"/>
        <w:gridCol w:w="721"/>
        <w:gridCol w:w="156"/>
      </w:tblGrid>
      <w:tr>
        <w:trPr/>
        <w:tc>
          <w:tcPr>
            <w:tcW w:w="156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br/>
              <w:t>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 Exercise</w:t>
              <w:br/>
              <w:t>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w:t>
            </w:r>
          </w:p>
        </w:tc>
      </w:tr>
      <w:tr>
        <w:trPr/>
        <w:tc>
          <w:tcPr>
            <w:tcW w:w="430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2022</w:t>
            </w:r>
          </w:p>
        </w:tc>
        <w:tc>
          <w:tcPr>
            <w:tcW w:w="97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5,569,567 </w:t>
            </w:r>
          </w:p>
        </w:tc>
        <w:tc>
          <w:tcPr>
            <w:tcW w:w="23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13.34 </w:t>
            </w:r>
          </w:p>
        </w:tc>
        <w:tc>
          <w:tcPr>
            <w:tcW w:w="16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43,696 </w:t>
            </w:r>
          </w:p>
        </w:tc>
        <w:tc>
          <w:tcPr>
            <w:tcW w:w="15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1,899,214 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7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(504,684)</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(111,445)</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September 30, 2023</w:t>
            </w:r>
          </w:p>
        </w:tc>
        <w:tc>
          <w:tcPr>
            <w:tcW w:w="97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6,852,652 </w:t>
            </w:r>
          </w:p>
        </w:tc>
        <w:tc>
          <w:tcPr>
            <w:tcW w:w="23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29,986 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September 30, 2023</w:t>
            </w:r>
          </w:p>
        </w:tc>
        <w:tc>
          <w:tcPr>
            <w:tcW w:w="97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3,150,334 </w:t>
            </w:r>
          </w:p>
        </w:tc>
        <w:tc>
          <w:tcPr>
            <w:tcW w:w="231"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as of September 30, 2023</w:t>
            </w:r>
          </w:p>
        </w:tc>
        <w:tc>
          <w:tcPr>
            <w:tcW w:w="976" w:type="dxa"/>
            <w:gridSpan w:val="2"/>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6,852,652 </w:t>
            </w:r>
          </w:p>
        </w:tc>
        <w:tc>
          <w:tcPr>
            <w:tcW w:w="231" w:type="dxa"/>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29,986 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there were $50.7 million of unrecognized compensation costs that are expected to be recognized over the weighted-average period of 2.6 years related to stock options. Aggregate intrinsic value represents the difference between the fair value of the underlying common stock and the exercise price as of September 30, 2023.</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service-based condition for restricted stock units ("RSUs") is generally satisfied over two years or three years. The following table sets forth the outstanding RSUs and related activity for the nine months ended September 30, 2023:</w:t>
      </w:r>
    </w:p>
    <w:p>
      <w:pPr>
        <w:pStyle w:val="TextBody"/>
        <w:bidi w:val="0"/>
        <w:spacing w:before="0" w:after="0"/>
        <w:jc w:val="left"/>
        <w:rPr/>
      </w:pPr>
      <w:r>
        <w:rPr/>
      </w:r>
    </w:p>
    <w:tbl>
      <w:tblPr>
        <w:tblW w:w="9595" w:type="dxa"/>
        <w:jc w:val="left"/>
        <w:tblInd w:w="0" w:type="dxa"/>
        <w:tblLayout w:type="fixed"/>
        <w:tblCellMar>
          <w:top w:w="28" w:type="dxa"/>
          <w:left w:w="28" w:type="dxa"/>
          <w:bottom w:w="28" w:type="dxa"/>
          <w:right w:w="28" w:type="dxa"/>
        </w:tblCellMar>
      </w:tblPr>
      <w:tblGrid>
        <w:gridCol w:w="1489"/>
        <w:gridCol w:w="1308"/>
        <w:gridCol w:w="1313"/>
        <w:gridCol w:w="609"/>
        <w:gridCol w:w="609"/>
        <w:gridCol w:w="611"/>
        <w:gridCol w:w="109"/>
        <w:gridCol w:w="109"/>
        <w:gridCol w:w="109"/>
        <w:gridCol w:w="716"/>
        <w:gridCol w:w="2091"/>
        <w:gridCol w:w="522"/>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and outstanding at December 31, 2022</w:t>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507,925 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683,703 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(247,488)</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and outstanding at September 30, 2023</w:t>
            </w:r>
          </w:p>
        </w:tc>
        <w:tc>
          <w:tcPr>
            <w:tcW w:w="12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916,708 </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had $21.2 million of unrecognized stock-based compensation expense related to outstanding RSUs expected to be recognized over a weighted-average period of 1.91 years.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Performance-Based Restricted Stock Units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 restricted stock units ("PSUs") vest upon the achievement of market and performance conditions. Market conditions include the Company's total shareholder return ("TSR") relative to the NASDAQ Biotechnology Index over the term of the award ending on June 30, 2024, and performance conditions consist of multiple clinical development milestones associated with bexotegrast. The performance vesting conditions generally must be satisfied within a two-year period and are forfeited if the vesting conditions are not met. Additionally, the number of shares of common stock issued upon vesting will range from 0% to 200% of the PSUs based on achievement of certain targets. The PSUs granted were allocated evenly between the market based, TSR, awards and those with performance conditions associated with clinical development milestones.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PSUs associated with clinical development vesting conditions were determined to be equal to the fair market value of the Company's share price on the date of grant. The fair value of the TSR PSUs were derived from a Monte Carlo simulation model that used the following key assumptions:</w:t>
      </w:r>
    </w:p>
    <w:tbl>
      <w:tblPr>
        <w:tblW w:w="5024" w:type="dxa"/>
        <w:jc w:val="left"/>
        <w:tblInd w:w="0" w:type="dxa"/>
        <w:tblLayout w:type="fixed"/>
        <w:tblCellMar>
          <w:top w:w="28" w:type="dxa"/>
          <w:left w:w="28" w:type="dxa"/>
          <w:bottom w:w="28" w:type="dxa"/>
          <w:right w:w="28" w:type="dxa"/>
        </w:tblCellMar>
      </w:tblPr>
      <w:tblGrid>
        <w:gridCol w:w="1287"/>
        <w:gridCol w:w="1130"/>
        <w:gridCol w:w="1137"/>
        <w:gridCol w:w="109"/>
        <w:gridCol w:w="109"/>
        <w:gridCol w:w="109"/>
        <w:gridCol w:w="211"/>
        <w:gridCol w:w="616"/>
        <w:gridCol w:w="316"/>
      </w:tblGrid>
      <w:tr>
        <w:trPr/>
        <w:tc>
          <w:tcPr>
            <w:tcW w:w="128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date share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 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r>
      <w:tr>
        <w:trPr/>
        <w:tc>
          <w:tcPr>
            <w:tcW w:w="355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Correlation coefficient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0.3508</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peer group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peer group correlation coefficient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0.4397</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there were 354,534 PSUs associated with the TSR goal at target level achievement of 100% outstanding with a weighted average grant date fair value of $29.15 per share. There were no additional grants, forfeitures or vesting of the PSUs associated with market-based vesting conditions during the nine months ended September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March and July 2023 the second and the third milestones applicable to PSUs under the clinical development vesting conditions were achieved. There are no remaining PSUs with clinical development performance conditions outstanding as of September 30, 2023.</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had $4.2 million of unrecognized stock-based compensation expense related to unvested PSUs expected to be recognized over a remaining weighted-average period of 0.79 years.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2020 Employee Stock Purchase Plan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2020, the Company adopted the Company's 2020 Employee Stock Purchase Plan (the "2020 ESPP"). The Company reserved 700,000 shares of common stock for future issuance under the plan. The 2020 ESPP provides that the number of shares reserved and available for issuance will automatically increase on January 1 of each calendar year, beginning January 1, 2021, by the least of (1) 1.0% of the total number of shares of common stock outstanding on December 31 of the preceding calendar year, (2) 700,000 shares or (3) such lesser amount as determined by the administrator of the 2020 ESPP, which is the compensation committee of the board of directors of the Company.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Under the 2020 ESPP, eligible employees may purchase shares of our common stock through payroll deductions that cannot exceed 15% of each employee’s salary. The 2020 ESPP provides for a nine-month offering period. At the end of the purchase period, eligible employees are permitted to purchase shares of common stock at the lower of 85% of the fair market value at the beginning of the offering period or 85% of the fair market value at the end of the purchase period, subject to tax limitations on the total value of the purchase. The 2020 ESPP is considered a compensatory plan, and the Company recorded $0.1 million and $0.4 million in stock-based compensation expense for the three and nine months ended September 30, 2023, respectively. There was $0.1 million and $0.2 million in stock-based compensation expense attributed to the 2020 ESPP for the three and nine months ended September 30, 2022. During the three and nine months ended September 30, 2023, 39,132 shares and 82,428 shares, respectively, of common stock were issued under the 2020 ESPP with 805,756 shares remaining available for issuance under the 2020 ESPP. The Company used Black-Scholes option pricing model to estimate stock-based compensation expense for the 2020 ESPP with the following assumptions:</w:t>
      </w:r>
    </w:p>
    <w:p>
      <w:pPr>
        <w:pStyle w:val="TextBody"/>
        <w:bidi w:val="0"/>
        <w:spacing w:before="120" w:after="283"/>
        <w:jc w:val="left"/>
        <w:rPr/>
      </w:pPr>
      <w:r>
        <w:rPr/>
      </w:r>
    </w:p>
    <w:tbl>
      <w:tblPr>
        <w:tblW w:w="7289" w:type="dxa"/>
        <w:jc w:val="left"/>
        <w:tblInd w:w="0" w:type="dxa"/>
        <w:tblLayout w:type="fixed"/>
        <w:tblCellMar>
          <w:top w:w="28" w:type="dxa"/>
          <w:left w:w="28" w:type="dxa"/>
          <w:bottom w:w="28" w:type="dxa"/>
          <w:right w:w="28" w:type="dxa"/>
        </w:tblCellMar>
      </w:tblPr>
      <w:tblGrid>
        <w:gridCol w:w="1070"/>
        <w:gridCol w:w="939"/>
        <w:gridCol w:w="945"/>
        <w:gridCol w:w="109"/>
        <w:gridCol w:w="109"/>
        <w:gridCol w:w="109"/>
        <w:gridCol w:w="505"/>
        <w:gridCol w:w="505"/>
        <w:gridCol w:w="505"/>
        <w:gridCol w:w="296"/>
        <w:gridCol w:w="296"/>
        <w:gridCol w:w="296"/>
        <w:gridCol w:w="470"/>
        <w:gridCol w:w="470"/>
        <w:gridCol w:w="665"/>
      </w:tblGrid>
      <w:tr>
        <w:trP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5.20% - 5.47%</w:t>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0.60% - 3.34%</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of options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stock price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54.78% - 69.15%</w:t>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63.17% - 82.02% </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100" w:after="283"/>
        <w:jc w:val="left"/>
        <w:rPr/>
      </w:pPr>
      <w:r>
        <w:rPr/>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and classification of stock-based compensation expense for the Company’s stock-based awards for the three and nine months ended September 30, 2023 and 2022 (in thousands):</w:t>
      </w:r>
    </w:p>
    <w:tbl>
      <w:tblPr>
        <w:tblW w:w="8534" w:type="dxa"/>
        <w:jc w:val="center"/>
        <w:tblInd w:w="0" w:type="dxa"/>
        <w:tblLayout w:type="fixed"/>
        <w:tblCellMar>
          <w:top w:w="28" w:type="dxa"/>
          <w:left w:w="28" w:type="dxa"/>
          <w:bottom w:w="28" w:type="dxa"/>
          <w:right w:w="28" w:type="dxa"/>
        </w:tblCellMar>
      </w:tblPr>
      <w:tblGrid>
        <w:gridCol w:w="1247"/>
        <w:gridCol w:w="1097"/>
        <w:gridCol w:w="1105"/>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Nine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44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ESPP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 restricted stock units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12. Income Taxes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2023 and 2022, the Company did not record an income tax provision. The Company will continue to maintain a 100% valuation allowance on total deferred tax assets. The Company believes it is more likely than not that the related deferred tax asset will not be realized. As a result, the Company’s effective tax rate will remain at 0% because there are no estimated or discrete items that would impact the tax provision.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13. Commitments and Contingencies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Purchase Commitments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contractual arrangements with research and development organizations and suppliers; however, these contracts are generally cancellable on 30 days’ notice and the obligations under these contracts are largely based on services performed.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14. Leases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New Lease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28, 2023, the Company entered into a lease agreement for a premise consisting of approximately 100,904 square feet located at Oyster Point Blvd, South San Francisco, California (the "Oyster Point Lease"), which the Company intends to use as laboratory and office space. The lease term of approximately seven years will start upon the Landlord’s substantial completion of tenant improvements, and may be extended for a period of eight years at then prevailing market rates for a comparable property. Future lease payments are approximately $43.7 million and are expected to start in the third quarter of 2024. Additionally, the Company is required to provide a letter of credit to the Landlord in the amount of $1.4 million in connection with the Oyster Point Lease. The Company has not recognized a right-of-use asset ("ROU") or aggregate lease liability as of September 30, 2023 for this lease as the Company did not control the underlying assets at any time as of September 30, 2023.</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Existing leases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conjunction with the Oyster Point Lease, we modified the lease term of our existing lease to end upon the start date of the Oyster Point Lease. As a result of this modification, we reduced our lease liability and our right-of-use asset by $1.8 million as of September 30, 2023. Additionally, we paid a refundable security deposit of approximately $0.4 million at inception of the lease term which has been reclassified from other non-current assets to other current assets in the condensed balance sheet at September 30, 2023.</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ROU assets and liabilities on our condensed balance sheets represent the present value of our remaining lease payments over the remaining lease terms. We use our incremental borrowing rate to calculate the present value of our lease payments, as the implicit rates in our leases are not readily determinable. Operating lease liabilities are based on the net present value of the remaining lease payments over the remaining lease term. In determining the present value of lease payments, the Company used its incremental borrowing rate based on the information available at the date of adoption of Topic 842 or the date of lease modification. The undiscounted future non-cancellable lease payments of the Company's operating lease liabilities as of September 30, 2023 were as follows (in thousands):</w:t>
      </w:r>
    </w:p>
    <w:tbl>
      <w:tblPr>
        <w:tblW w:w="5577" w:type="dxa"/>
        <w:jc w:val="left"/>
        <w:tblInd w:w="0" w:type="dxa"/>
        <w:tblLayout w:type="fixed"/>
        <w:tblCellMar>
          <w:top w:w="28" w:type="dxa"/>
          <w:left w:w="28" w:type="dxa"/>
          <w:bottom w:w="28" w:type="dxa"/>
          <w:right w:w="28" w:type="dxa"/>
        </w:tblCellMar>
      </w:tblPr>
      <w:tblGrid>
        <w:gridCol w:w="1393"/>
        <w:gridCol w:w="1220"/>
        <w:gridCol w:w="1227"/>
        <w:gridCol w:w="109"/>
        <w:gridCol w:w="109"/>
        <w:gridCol w:w="109"/>
        <w:gridCol w:w="260"/>
        <w:gridCol w:w="760"/>
        <w:gridCol w:w="390"/>
      </w:tblGrid>
      <w:tr>
        <w:trPr/>
        <w:tc>
          <w:tcPr>
            <w:tcW w:w="1393"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41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Operating Lease</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(remainder of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2,193 </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Present value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2,061 </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Weighted-average remaining lease term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months</w:t>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incremental borrowing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6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costs comprise primarily of the Company's proportionate share of operating expenses, property taxes, and insurance. Short-term lease expense and variable lease payments recorded in operating expenses were immaterial for the three and nine months ended September 30, 2023 and 2022. Lease expenses for the three and nine months ended September 30, 2023 and 2022 are as follows (in thousands)</w:t>
      </w:r>
    </w:p>
    <w:tbl>
      <w:tblPr>
        <w:tblW w:w="6300" w:type="dxa"/>
        <w:jc w:val="left"/>
        <w:tblInd w:w="0" w:type="dxa"/>
        <w:tblLayout w:type="fixed"/>
        <w:tblCellMar>
          <w:top w:w="28" w:type="dxa"/>
          <w:left w:w="28" w:type="dxa"/>
          <w:bottom w:w="28" w:type="dxa"/>
          <w:right w:w="28" w:type="dxa"/>
        </w:tblCellMar>
      </w:tblPr>
      <w:tblGrid>
        <w:gridCol w:w="662"/>
        <w:gridCol w:w="582"/>
        <w:gridCol w:w="586"/>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Nine Months Ended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8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variable costs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operating lease liabilities was $2.6 million and $1.9 million for the nine months ended September 30,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12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15. Defined Contribution Plan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sponsors a defined contribution plan under Section 401(k) of the Internal Revenue Code covering substantially all full-time U.S. employees. Employee contributions are voluntary and are determined on an individual basis subject to the maximum allowable under federal tax regulations. The Company made contributions to the plan of $0.2 million and $0.1 million for the three months ended September 30, 2023 and 2022, respectively. The Company made contributions of $0.8 million and $0.6 million for the nine months ended September 30,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16. Net Loss Per Share Attributable to Common Stockholders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outstanding shares of potentially dilutive securities were excluded from the computation of diluted net loss per share attributable to common stockholders for the periods presented, because including them would have been antidilutive:</w:t>
      </w:r>
    </w:p>
    <w:tbl>
      <w:tblPr>
        <w:tblW w:w="10205" w:type="dxa"/>
        <w:jc w:val="left"/>
        <w:tblInd w:w="0" w:type="dxa"/>
        <w:tblLayout w:type="fixed"/>
        <w:tblCellMar>
          <w:top w:w="28" w:type="dxa"/>
          <w:left w:w="28" w:type="dxa"/>
          <w:bottom w:w="28" w:type="dxa"/>
          <w:right w:w="28" w:type="dxa"/>
        </w:tblCellMar>
      </w:tblPr>
      <w:tblGrid>
        <w:gridCol w:w="2927"/>
        <w:gridCol w:w="2180"/>
        <w:gridCol w:w="2162"/>
        <w:gridCol w:w="678"/>
        <w:gridCol w:w="299"/>
        <w:gridCol w:w="180"/>
        <w:gridCol w:w="180"/>
        <w:gridCol w:w="180"/>
        <w:gridCol w:w="180"/>
        <w:gridCol w:w="678"/>
        <w:gridCol w:w="299"/>
        <w:gridCol w:w="262"/>
      </w:tblGrid>
      <w:tr>
        <w:trPr/>
        <w:tc>
          <w:tcPr>
            <w:tcW w:w="2927"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7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7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6,852,652 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5,474,346 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916,708 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523,475 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 restricted stock units*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7,769,360 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5,997,821 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 unvested performance-based restricted stock units are included above as none of the contingently issuable shares would be issued assuming the end of our reporting period was the end of the relevant PSU award contingency period</w:t>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numerator and denominator used in the calculation of the basic and diluted net loss per share attributable to common stockholders is as follows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928"/>
        <w:gridCol w:w="1294"/>
        <w:gridCol w:w="1179"/>
        <w:gridCol w:w="240"/>
        <w:gridCol w:w="841"/>
        <w:gridCol w:w="110"/>
        <w:gridCol w:w="110"/>
        <w:gridCol w:w="110"/>
        <w:gridCol w:w="110"/>
        <w:gridCol w:w="240"/>
        <w:gridCol w:w="841"/>
        <w:gridCol w:w="110"/>
        <w:gridCol w:w="109"/>
        <w:gridCol w:w="109"/>
        <w:gridCol w:w="109"/>
        <w:gridCol w:w="211"/>
        <w:gridCol w:w="878"/>
        <w:gridCol w:w="109"/>
        <w:gridCol w:w="109"/>
        <w:gridCol w:w="109"/>
        <w:gridCol w:w="109"/>
        <w:gridCol w:w="240"/>
        <w:gridCol w:w="841"/>
        <w:gridCol w:w="159"/>
      </w:tblGrid>
      <w:tr>
        <w:trPr/>
        <w:tc>
          <w:tcPr>
            <w:tcW w:w="1928"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per share:</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(88,261)</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 - basic and diluted</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(41,487)</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(30,615)</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(88,261)</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used to calculate net loss per share attributable to common stockholders - basic and 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59,688,451 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46,799,058 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58,319,608 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39,735,342 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 basic and diluted</w:t>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w:t>
            </w:r>
          </w:p>
        </w:tc>
        <w:tc>
          <w:tcPr>
            <w:tcW w:w="1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w:t>
            </w:r>
          </w:p>
        </w:tc>
        <w:tc>
          <w:tcPr>
            <w:tcW w:w="1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5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should be read in conjunction with our condensed financial statements and related notes appearing elsewhere in this Quarterly Report on Form 10-Q, or this Report, as well as our audited financial statements and related notes included in our 2022 10-K. This discussion and analysis contains forward-looking statements based upon current beliefs, plans and expectations that involve risks, uncertainties and assumptions, such as statements regarding our plans, objectives, expectations, intention, beliefs and projections. Our actual results and the timing of events could differ materially from those anticipated in these forward-looking statements as a result of several factors, including those set forth in the section titled “Risk Factors” under Part II, Item 1A of this Report and under Part I, Item 1A of our 2022 10-K. In some cases, you can identify forward-looking statements by terminology such as “anticipate,” “believe,” “continue,” “could,” “estimate,” “expect,” “intend,” “may,” “plan,” “potentially,” “predict,” “should,” “will” or the negative of these terms or other similar expressions.</w:t>
      </w:r>
    </w:p>
    <w:p>
      <w:pPr>
        <w:pStyle w:val="TextBody"/>
        <w:bidi w:val="0"/>
        <w:spacing w:lineRule="auto" w:line="288" w:before="12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we have conducted exhaustive inquiry into, or review of, all potentially available relevant information. These statements are inherently uncertain and investors are cautioned not to unduly rely upon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clinical stage biopharmaceutical company focused on discovering and developing novel therapies for the treatment of fibrosis and related diseases. Our initial focus is on treating fibrosis by inhibiting integrin-mediated activation of TGF-β. We have applied our deep understanding of fibrosis biology, along with our medicinal chemistry and translational medicine expertise to develop a set of proprietary tools designed to discover and de-risk product candidates quickly and efficiently. Our wholly-owned lead product candidate, bexotegrast (PLN-74809), is an oral, small molecule, dual selective inhibitor of αvß6 and αvß1 integrins that we are developing for the treatment of idiopathic pulmonary fibrosis, or IPF, and primary sclerosing cholangitis, or PSC. We have recently initiated BEACON-IPF, a Phase 2b trial of bexotegrast in patients with IPF. BEACON-IPF is a 52-week, multinational, randomized, dose-ranging, double-blind, placebo-controlled trial evaluating bexotegrast at once-daily doses of 160 mg or 320 mg in approximately 270 patients with IPF.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also developed a second product candidate, PLN-1474, a Phase 2-ready, oral, small molecule selective inhibitor of the αvß1 integrin for the treatment of advanced liver fibrosis associated with nonalcoholic steatohepatitis, or NASH. PLN-1474 was licensed to Novartis in 2019, and, as part of a broad strategic realignment, Novartis determined in early 2023 to discontinue clinical development in NASH and, as a result, discontinue development of PLN-1474. In February 2023, Novartis exercised its right to terminate the Novartis Agreement, and in April 2023, returned global rights to PLN-1474 to Pliant.</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2022, we filed an investigational new drug (IND) application for our third clinical program, PLN-101095, a dual inhibitor of αvß8 and αvß1 integrins for the treatment of solid tumors resistant to immune checkpoint inhibitors. In January 2023, we received FDA clearance for our IND and initiated a Phase 1 trial of PLN-101095 in the second quarter of 2023.</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clinical programs, we are currently advancing a preclinical integrin-based program targeting muscular dystrophies.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Third Quarter and Recent Highlights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Bexotegrast Highlights</w:t>
      </w:r>
    </w:p>
    <w:p>
      <w:pPr>
        <w:pStyle w:val="TextBody"/>
        <w:bidi w:val="0"/>
        <w:spacing w:lineRule="auto" w:line="288" w:before="20" w:after="283"/>
        <w:ind w:left="0" w:right="0" w:hanging="360"/>
        <w:jc w:val="left"/>
        <w:rPr/>
      </w:pPr>
      <w:r>
        <w:rPr>
          <w:color w:val="000000"/>
        </w:rPr>
        <w:t>•</w:t>
      </w:r>
      <w:r>
        <w:rPr>
          <w:rFonts w:ascii="Times New Roman;sans-serif" w:hAnsi="Times New Roman;sans-serif"/>
          <w:b/>
          <w:color w:val="000000"/>
          <w:sz w:val="20"/>
        </w:rPr>
        <w:t>Enrollment continues in BEACON-IPF, a Phase 2b trial of bexotegrast in patients with idiopathic pulmonary fibrosis</w:t>
      </w:r>
      <w:r>
        <w:rPr>
          <w:color w:val="000000"/>
        </w:rPr>
        <w:t xml:space="preserve"> </w:t>
      </w:r>
      <w:r>
        <w:rPr>
          <w:rFonts w:ascii="Times New Roman;sans-serif" w:hAnsi="Times New Roman;sans-serif"/>
          <w:b w:val="false"/>
          <w:color w:val="000000"/>
          <w:sz w:val="20"/>
        </w:rPr>
        <w:t>(</w:t>
      </w:r>
      <w:r>
        <w:rPr>
          <w:rFonts w:ascii="Times New Roman;sans-serif" w:hAnsi="Times New Roman;sans-serif"/>
          <w:b/>
          <w:color w:val="000000"/>
          <w:sz w:val="20"/>
        </w:rPr>
        <w:t>IPF)</w:t>
      </w:r>
      <w:r>
        <w:rPr>
          <w:rFonts w:ascii="Times New Roman;sans-serif" w:hAnsi="Times New Roman;sans-serif"/>
          <w:b/>
          <w:color w:val="000000"/>
          <w:sz w:val="20"/>
          <w:shd w:fill="FFFFFF" w:val="clear"/>
        </w:rPr>
        <w:t>.</w:t>
      </w:r>
      <w:r>
        <w:rPr>
          <w:color w:val="000000"/>
        </w:rPr>
        <w:t xml:space="preserve"> </w:t>
      </w:r>
      <w:r>
        <w:rPr>
          <w:rFonts w:ascii="Times New Roman;sans-serif" w:hAnsi="Times New Roman;sans-serif"/>
          <w:b w:val="false"/>
          <w:color w:val="000000"/>
          <w:sz w:val="20"/>
        </w:rPr>
        <w:t xml:space="preserve">BEACON-IPF is a 52-week, multinational, randomized, dose-ranging, double-blind, placebo-controlled trial evaluating bexotegrast at once-daily doses of 160 mg or 320 mg. BEACON-IPF is expected to enroll approximately 270 patients with IPF. </w:t>
      </w:r>
    </w:p>
    <w:p>
      <w:pPr>
        <w:pStyle w:val="TextBody"/>
        <w:bidi w:val="0"/>
        <w:spacing w:lineRule="auto" w:line="268" w:before="0" w:after="0"/>
        <w:ind w:left="0" w:right="0" w:hanging="360"/>
        <w:jc w:val="left"/>
        <w:rPr/>
      </w:pPr>
      <w:r>
        <w:rPr>
          <w:color w:val="000000"/>
        </w:rPr>
        <w:t>•</w:t>
      </w:r>
      <w:r>
        <w:rPr>
          <w:rFonts w:ascii="Times New Roman;sans-serif" w:hAnsi="Times New Roman;sans-serif"/>
          <w:b/>
          <w:color w:val="000000"/>
          <w:sz w:val="20"/>
        </w:rPr>
        <w:t xml:space="preserve">Positive safety and efficacy data from INTEGRIS-PSC Phase 2a trial in patients with primary sclerosing cholangitis (PSC). </w:t>
      </w:r>
      <w:r>
        <w:rPr>
          <w:rFonts w:ascii="Times New Roman;sans-serif" w:hAnsi="Times New Roman;sans-serif"/>
          <w:b w:val="false"/>
          <w:color w:val="000000"/>
          <w:sz w:val="20"/>
        </w:rPr>
        <w:t>At once-daily doses of 40 mg, 80 mg and 160 mg, bexotegrast was well tolerated over 12 weeks of treatment with no drug-related severe or serious adverse events. At all doses tested, bexotegrast reduced both Enhanced Liver Fibrosis (ELF) scores and PRO-C3 levels at Week 12 relative to placebo, with statistically significant differences at the 160 mg dose. These data were selected for an oral late-breaker presentation at next week’s American Association for the Study of Liver Diseases’ (AASLD) The Liver Meeting</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2023. </w:t>
      </w:r>
    </w:p>
    <w:p>
      <w:pPr>
        <w:pStyle w:val="TextBody"/>
        <w:bidi w:val="0"/>
        <w:spacing w:lineRule="auto" w:line="288" w:before="20" w:after="283"/>
        <w:ind w:left="0" w:right="0" w:hanging="360"/>
        <w:jc w:val="left"/>
        <w:rPr/>
      </w:pPr>
      <w:r>
        <w:rPr>
          <w:color w:val="000000"/>
        </w:rPr>
        <w:t>•</w:t>
      </w:r>
      <w:r>
        <w:rPr>
          <w:rFonts w:ascii="Times New Roman;sans-serif" w:hAnsi="Times New Roman;sans-serif"/>
          <w:b/>
          <w:color w:val="000000"/>
          <w:sz w:val="20"/>
        </w:rPr>
        <w:t xml:space="preserve">Positive independent Data Safety Monitoring Board (DSMB) review of the ongoing of INTEGRIS-PSC Phase 2a trial. </w:t>
      </w:r>
      <w:r>
        <w:rPr>
          <w:rFonts w:ascii="Times New Roman;sans-serif" w:hAnsi="Times New Roman;sans-serif"/>
          <w:b w:val="false"/>
          <w:color w:val="000000"/>
          <w:sz w:val="20"/>
        </w:rPr>
        <w:t xml:space="preserve">This regularly scheduled DSMB review was held in October after the completion of enrollment of the 320 mg dose cohort. The DSMB examined the safety data from all patients enrolled, with all patients completing at least 12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weeks of treatment, and recommended the INTEGRIS-PSC trial continue without modification.</w:t>
      </w:r>
    </w:p>
    <w:p>
      <w:pPr>
        <w:pStyle w:val="TextBody"/>
        <w:bidi w:val="0"/>
        <w:spacing w:lineRule="auto" w:line="288" w:before="20" w:after="283"/>
        <w:ind w:left="0" w:right="0" w:hanging="360"/>
        <w:jc w:val="left"/>
        <w:rPr/>
      </w:pPr>
      <w:r>
        <w:rPr>
          <w:color w:val="000000"/>
        </w:rPr>
        <w:t>•</w:t>
      </w:r>
      <w:r>
        <w:rPr>
          <w:rFonts w:ascii="Times New Roman;sans-serif" w:hAnsi="Times New Roman;sans-serif"/>
          <w:b/>
          <w:color w:val="000000"/>
          <w:sz w:val="20"/>
        </w:rPr>
        <w:t xml:space="preserve">INTEGRIS-PSC interim 12-week 320 mg dose data expected in the first quarter of 2024. </w:t>
      </w:r>
      <w:r>
        <w:rPr>
          <w:rFonts w:ascii="Times New Roman;sans-serif" w:hAnsi="Times New Roman;sans-serif"/>
          <w:b w:val="false"/>
          <w:color w:val="000000"/>
          <w:sz w:val="20"/>
        </w:rPr>
        <w:t>This trial is evaluating the safety, tolerability and pharmacokinetics of bexotegrast at 320 mg versus placebo at 12 and 24 weeks of treatment in approximately 28 patients with PSC. The trial is also evaluating exploratory efficacy endpoints including fibrosis biomarkers such as serum PRO-C3 and ELF score, changes in alkaline phosphatase (ALP) and liver imaging. Twenty- four week data from the 320 mg dose group is expected in mid-2024.</w:t>
      </w:r>
    </w:p>
    <w:p>
      <w:pPr>
        <w:pStyle w:val="TextBody"/>
        <w:bidi w:val="0"/>
        <w:spacing w:lineRule="auto" w:line="288" w:before="120" w:after="283"/>
        <w:jc w:val="left"/>
        <w:rPr/>
      </w:pPr>
      <w:r>
        <w:rPr>
          <w:rFonts w:ascii="Times New Roman;sans-serif" w:hAnsi="Times New Roman;sans-serif"/>
          <w:b/>
          <w:color w:val="000000"/>
          <w:sz w:val="20"/>
          <w:shd w:fill="FFFFFF" w:val="clear"/>
        </w:rPr>
        <w:t>Pipeline</w:t>
      </w:r>
      <w:r>
        <w:rPr>
          <w:color w:val="000000"/>
        </w:rPr>
        <w:t xml:space="preserve"> </w:t>
      </w:r>
      <w:r>
        <w:rPr>
          <w:rFonts w:ascii="Times New Roman;sans-serif" w:hAnsi="Times New Roman;sans-serif"/>
          <w:b/>
          <w:color w:val="000000"/>
          <w:sz w:val="20"/>
        </w:rPr>
        <w:t>Programs</w:t>
      </w:r>
    </w:p>
    <w:p>
      <w:pPr>
        <w:pStyle w:val="TextBody"/>
        <w:bidi w:val="0"/>
        <w:spacing w:lineRule="auto" w:line="288" w:before="20" w:after="283"/>
        <w:ind w:left="0" w:right="0" w:hanging="360"/>
        <w:jc w:val="left"/>
        <w:rPr/>
      </w:pPr>
      <w:r>
        <w:rPr>
          <w:color w:val="000000"/>
        </w:rPr>
        <w:t>•</w:t>
      </w:r>
      <w:r>
        <w:rPr>
          <w:rFonts w:ascii="Times New Roman;sans-serif" w:hAnsi="Times New Roman;sans-serif"/>
          <w:b/>
          <w:color w:val="000000"/>
          <w:sz w:val="20"/>
        </w:rPr>
        <w:t>Phase 1 trial of PLN-101095 in solid tumors is enrolling.</w:t>
      </w:r>
      <w:r>
        <w:rPr>
          <w:color w:val="000000"/>
        </w:rPr>
        <w:t xml:space="preserve"> </w:t>
      </w:r>
      <w:r>
        <w:rPr>
          <w:rFonts w:ascii="Times New Roman;sans-serif" w:hAnsi="Times New Roman;sans-serif"/>
          <w:b w:val="false"/>
          <w:color w:val="000000"/>
          <w:sz w:val="20"/>
        </w:rPr>
        <w:t xml:space="preserve">This is a Phase 1 open-label trial of PLN-101095, an oral, small-molecule, dual selective inhibitor of αvβ8 and αvβ1 integrins designed to block TGF-β activation in the tumor microenvironment. This trial is enrolling patients with solid tumors that are resistant to immune checkpoint inhibitors. </w:t>
      </w:r>
    </w:p>
    <w:p>
      <w:pPr>
        <w:pStyle w:val="TextBody"/>
        <w:bidi w:val="0"/>
        <w:spacing w:lineRule="auto" w:line="288" w:before="20" w:after="283"/>
        <w:ind w:left="0" w:right="0" w:hanging="360"/>
        <w:jc w:val="left"/>
        <w:rPr/>
      </w:pPr>
      <w:r>
        <w:rPr>
          <w:color w:val="000000"/>
        </w:rPr>
        <w:t>•</w:t>
      </w:r>
      <w:r>
        <w:rPr>
          <w:rFonts w:ascii="Times New Roman;sans-serif" w:hAnsi="Times New Roman;sans-serif"/>
          <w:b/>
          <w:color w:val="000000"/>
          <w:sz w:val="20"/>
        </w:rPr>
        <w:t xml:space="preserve">Muscular dystrophy program on track for regulatory filing in the first quarter of 2024. </w:t>
      </w:r>
      <w:r>
        <w:rPr>
          <w:rFonts w:ascii="Times New Roman;sans-serif" w:hAnsi="Times New Roman;sans-serif"/>
          <w:b w:val="false"/>
          <w:color w:val="000000"/>
          <w:sz w:val="20"/>
        </w:rPr>
        <w:t>PLN-101325 is a monoclonal antibody designed to act as an allosteric agonist of integrin α7β1. Filing for first-in-human clinical studies in Duchenne muscular dystrophy (DMD) is expected in the first quarter of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Since inception, we have had significant operating losses. Our net loss was $41.5 million and $120.2 million for the three and nine months ended September 30, 2023. As of September 30, 2023, we had an accumulated deficit of $458.6 million and cash, cash equivalents and short-term investments of $523.6 million. We expect to continue to incur net losses for the foreseeable future, and we expect our research and development expenses, general and administrative expenses, and capital expenditures will increase in connection with our ongoing activities, as we: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perform research and development activities to identify and develop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advance product candidates into and through clinical development;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require the manufacture of supplies to support research and development, preclinical studies and clinical trials;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seek regulatory approvals for any product candidates that successfully complete clinical trials;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expand our operational, financial and management systems and increase personnel to support our clinical development, manufacturing and commercialization efforts and our operations as a public company;</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maintain, expand and protect our intellectual property portfolio;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invest in or in-license other technologies or product candidates.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Components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not generated any revenue from product sales and do not expect to do so in the near future. Our revenue to date is derived from a Collaboration and License Agreement with Novartis, or the "Novartis Agreement," that was executed in 2019.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Novartis Agreement, we received an upfront license fee payment of $50.0 million for the worldwide, exclusive license to PLN-1474 and an additional $29.0 million upon the achievement of specified research and development milestones. As part of a broad strategic realignment, Novartis has discontinued clinical development in NASH and, as a result, discontinued development of PLN-1474. In February 2023, Novartis issued a termination notice for the collaboration and license agreement, and returned global rights to Pliant for PLN-1474.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termination of the Novartis Agreement, we are no longer eligible to receive additional milestone or royalty payments under the arrangement; however, we continued to earn research and development services revenues through the effective termination date of April 18, 2023. We recognized nil and $1.6 million in revenues for performing research and development activities associated with PLN-1474 and integrin research targets in the three and nine months ended September 30, 2023, respectively.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expenses consist of expenses incurred in connection with the development of our product candidates. Research and development expenses include: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employee-related expenses, which include salaries, benefits and stock-based compensation for our research and development personnel;</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expenses incurred under agreements with third-party contract organizations for pre-clinical studies, clinical trials and consultants that conduct research and development activities on our behalf;</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costs associated with the manufacture of supplies to support research and development, preclinical studies and clinical trials;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depreciation of laboratory equipment and costs of equipment and supplies;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costs associated with technology and intellectual property licenses;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facilities and other allocated expenses, which include expenses for rent and other facility related costs and other supplies.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general and administrative expenses consist primarily of salaries, benefits and stock-based compensation for our general and administrative personnel, allocated facilities costs, insurance and other expenses for outside professional services, including legal, marketing, investor relations, human resource and accounting services.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and Other Income (Expense), net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interest and other income (expense), net consists of interest, accretion income and amortization expense on cash and cash equivalents, and short-term investments, and realized gains and losses on investments.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interest expense is derived from a term loan under the Oxford Loan Agreement that we entered into in May 2022. Borrowings under the Oxford Loan Agreement bear interest at a rate per annum equal to 1-month term Secured Overnight Financing Rate (SOFR) plus 8.5%, subject to an agreed upon floor and cap.</w:t>
      </w:r>
    </w:p>
    <w:p>
      <w:pPr>
        <w:pStyle w:val="TextBody"/>
        <w:bidi w:val="0"/>
        <w:spacing w:before="12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Financial Operations Overview</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Comparison of the three months ended September 30, 2023 and 2022 (in thousands)</w:t>
      </w:r>
    </w:p>
    <w:tbl>
      <w:tblPr>
        <w:tblW w:w="7724" w:type="dxa"/>
        <w:jc w:val="center"/>
        <w:tblInd w:w="0" w:type="dxa"/>
        <w:tblLayout w:type="fixed"/>
        <w:tblCellMar>
          <w:top w:w="28" w:type="dxa"/>
          <w:left w:w="28" w:type="dxa"/>
          <w:bottom w:w="28" w:type="dxa"/>
          <w:right w:w="28" w:type="dxa"/>
        </w:tblCellMar>
      </w:tblPr>
      <w:tblGrid>
        <w:gridCol w:w="1208"/>
        <w:gridCol w:w="1064"/>
        <w:gridCol w:w="1073"/>
        <w:gridCol w:w="238"/>
        <w:gridCol w:w="900"/>
        <w:gridCol w:w="123"/>
        <w:gridCol w:w="123"/>
        <w:gridCol w:w="123"/>
        <w:gridCol w:w="123"/>
        <w:gridCol w:w="238"/>
        <w:gridCol w:w="900"/>
        <w:gridCol w:w="123"/>
        <w:gridCol w:w="109"/>
        <w:gridCol w:w="109"/>
        <w:gridCol w:w="109"/>
        <w:gridCol w:w="211"/>
        <w:gridCol w:w="796"/>
        <w:gridCol w:w="154"/>
      </w:tblGrid>
      <w:tr>
        <w:trPr/>
        <w:tc>
          <w:tcPr>
            <w:tcW w:w="120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(32,339)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(47,685)</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(33,429)</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(47,685)</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(31,947)</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(41,487)</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(30,615)</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revenue of $1.5 million is attributable to decreased research and development services resulting from the termination of the Novartis Agreement.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research and development expenses for the three months ended September 30, 2023 and 2022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297"/>
        <w:gridCol w:w="2020"/>
        <w:gridCol w:w="2029"/>
        <w:gridCol w:w="223"/>
        <w:gridCol w:w="763"/>
        <w:gridCol w:w="115"/>
        <w:gridCol w:w="115"/>
        <w:gridCol w:w="115"/>
        <w:gridCol w:w="115"/>
        <w:gridCol w:w="223"/>
        <w:gridCol w:w="763"/>
        <w:gridCol w:w="115"/>
        <w:gridCol w:w="109"/>
        <w:gridCol w:w="109"/>
        <w:gridCol w:w="109"/>
        <w:gridCol w:w="211"/>
        <w:gridCol w:w="616"/>
        <w:gridCol w:w="158"/>
      </w:tblGrid>
      <w:tr>
        <w:trPr/>
        <w:tc>
          <w:tcPr>
            <w:tcW w:w="2297"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54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634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expenses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and consulting services for preclinical studies and research and development activities by third-party contract organizations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trials expenses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lab equipment and costs of equipment and supplies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and other allocated expenses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intellectual property licenses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expenses</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32,339 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for the three months ended September 30, 2023 increased $7.7 million, primarily due to employee-related expenses, driven by increased headcount, salaries and stock-based compensation expense and manufacturing expense for IPF Phase 2b clinical drug supply. These costs were partially offset by a decrease in preclinical manufacturing costs associated with activities that were substantially complete in 2022 and by a decrease in facilities and other allocated charges.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do not allocate our costs by product candidates or by preclinical programs as these are in early stages of clinical trials or development, and our internal expenses are not allocated between product candidates and programs. Although external third-party costs are allocable between product candidates and programs, we do not perform this allocation. We expect our research and development expenses to increase for the foreseeable future as we continue to invest in research and development activities related to developing our product candidates and our preclinical programs and as they advance into later stages of development.</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for the three months ended September 30, 2023 increased $6.5 million, primarily attributable to employee-related costs, driven by increased headcount, salaries and stock-based compensation expense.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general and administrative expenses to increase for the foreseeable future as we continue to build our administrative function to support our growth in operations.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and Other Income (Expense), net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and other income (expense), net increased $4.9 million, attributable to higher interest income due to increased yields and an increase in short-term investments due to current year financing activities.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Comparison of the nine months ended September 30, 2023 and 2022 (in thousands)</w:t>
      </w:r>
    </w:p>
    <w:tbl>
      <w:tblPr>
        <w:tblW w:w="7497" w:type="dxa"/>
        <w:jc w:val="center"/>
        <w:tblInd w:w="0" w:type="dxa"/>
        <w:tblLayout w:type="fixed"/>
        <w:tblCellMar>
          <w:top w:w="28" w:type="dxa"/>
          <w:left w:w="28" w:type="dxa"/>
          <w:bottom w:w="28" w:type="dxa"/>
          <w:right w:w="28" w:type="dxa"/>
        </w:tblCellMar>
      </w:tblPr>
      <w:tblGrid>
        <w:gridCol w:w="1208"/>
        <w:gridCol w:w="1064"/>
        <w:gridCol w:w="1073"/>
        <w:gridCol w:w="211"/>
        <w:gridCol w:w="901"/>
        <w:gridCol w:w="109"/>
        <w:gridCol w:w="109"/>
        <w:gridCol w:w="109"/>
        <w:gridCol w:w="109"/>
        <w:gridCol w:w="211"/>
        <w:gridCol w:w="796"/>
        <w:gridCol w:w="109"/>
        <w:gridCol w:w="109"/>
        <w:gridCol w:w="109"/>
        <w:gridCol w:w="109"/>
        <w:gridCol w:w="211"/>
        <w:gridCol w:w="796"/>
        <w:gridCol w:w="154"/>
      </w:tblGrid>
      <w:tr>
        <w:trPr/>
        <w:tc>
          <w:tcPr>
            <w:tcW w:w="120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(41,168)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(47,308)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revenue decrease of $6.1 million is attributable to decreased research and development services associated with the termination of the Novartis Agreement.</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research and development expenses for the nine months ended September 30, 2023 and 2022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276"/>
        <w:gridCol w:w="2002"/>
        <w:gridCol w:w="2010"/>
        <w:gridCol w:w="219"/>
        <w:gridCol w:w="749"/>
        <w:gridCol w:w="113"/>
        <w:gridCol w:w="113"/>
        <w:gridCol w:w="113"/>
        <w:gridCol w:w="113"/>
        <w:gridCol w:w="219"/>
        <w:gridCol w:w="749"/>
        <w:gridCol w:w="113"/>
        <w:gridCol w:w="109"/>
        <w:gridCol w:w="109"/>
        <w:gridCol w:w="109"/>
        <w:gridCol w:w="211"/>
        <w:gridCol w:w="721"/>
        <w:gridCol w:w="157"/>
      </w:tblGrid>
      <w:tr>
        <w:trPr/>
        <w:tc>
          <w:tcPr>
            <w:tcW w:w="2276"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8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628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expenses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and consulting services for preclinical studies and research and development activities by third-party contract organizations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trials expenses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36,132 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lab equipment and costs of equipment and supplies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and other allocated expenses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intellectual property licenses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expenses</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94,614 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71,822 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$22.8 million, primarily due to employee-related expenses, driven by increased headcount, salaries and stock-based compensation expense, IPF Phase 2b clinical trial expenses, manufacturing activities for clinical drug supply and facilities and other allocated charges. These costs were partially offset by a decrease in preclinical manufacturing costs associated with activities that were substantially complete in 2022.</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do not allocate our costs by product candidates or by preclinical programs as these are in early stages of clinical trials or development, and our internal expenses are not allocated between product candidates and programs. Although external third-party costs are allocable between product candidates and programs, we do not perform this allocation. We expect our research and development expenses to increase for the foreseeable future as we continue to invest in research and development activities related to developing our product candidates and our preclinical programs and as they advance into later stages of development.</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increased $18.4 million, primarily attributable to employee-related costs, driven by increased headcount, salaries and stock-based compensation expense, consulting and other professional services expense.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general and administrative expenses to increase for the foreseeable future as we continue to build our administrative function to support our growth in operations.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and Other Income (Expense), net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and other income (expense), net increased $15.8 million attributable to higher interest income due to increased yields and an increase in short-term investments due to current year financing activities.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$0.5 million due to the interest incurred from our term loan under the Oxford Loan Agreement, issued in the second quarter of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Overview</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we had $523.6 million of cash, cash equivalents and short-term investments. Our short-term investments consist of U.S. Treasury securities, U.S. Government agency securities and highly rated, investment-grade corporate debt securities.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2022 we entered into a Loan and Security Agreement (the “Oxford Loan Agreement”) with Oxford Finance LLC (or "Oxford"). Upon closing of the Oxford Loan Agreement, we drew $10.0 million, and in the first quarter of 2023 we decided to forego drawing an additional $40.0 million available to us. A further $50.0 million may become available to us, $25.0 million upon the achievement of pre-determined development milestones and $25.0 million at Oxford's discretion.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2022, we completed an underwritten public offering of 12,432,432 shares of common stock, including the exercise in full of the underwriters' option to purchase 1,621,621 additional shares of common stock. The shares were offered at a price to the public of $18.50 per share, resulting in aggregate proceeds of approximately $215.4 million, net of underwriting discounts, commissions and offering expenses, payable by us.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we completed an underwritten public offering of 9,583,334 shares of common stock, including the exercise in full of the underwriters' option to purchase 1,250,000 additional shares of common stock. The shares were offered at a price of $30.00 per share, resulting in aggregate proceeds of approximately $269.5 million, net of underwriting discounts, commissions and offering expenses, payable by us.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existing capital resources will be sufficient to meet our projected operating requirements to the second half of 2026. We have based these estimates on assumptions that may prove to be wrong, and we could utilize our available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capital resources sooner than we currently expect. Further, our operating plan may change, and we may need additional funds to meet operational needs and capital requirements for product development and commercialization sooner than planned.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Our operations have been financed primarily through the issuance and sale of convertible preferred stock, issuance of common stock, debt and our collaboration with Novartis. During the third quarter of 2021, we entered into a Controlled Equity Offering</w:t>
      </w:r>
      <w:r>
        <w:rPr>
          <w:rFonts w:ascii="Times New Roman;sans-serif" w:hAnsi="Times New Roman;sans-serif"/>
          <w:b w:val="false"/>
          <w:color w:val="000000"/>
          <w:sz w:val="13"/>
        </w:rPr>
        <w:t xml:space="preserve">SM </w:t>
      </w:r>
      <w:r>
        <w:rPr>
          <w:rFonts w:ascii="Times New Roman;sans-serif" w:hAnsi="Times New Roman;sans-serif"/>
          <w:b w:val="false"/>
          <w:color w:val="000000"/>
          <w:sz w:val="20"/>
        </w:rPr>
        <w:t>Sales Agreement (the “Sales Agreement”) with Cantor Fitzgerald &amp; Co., as sales agent, pursuant to which we may issue and sell shares of common stock. In March 2023, we filed a prospectus registering the offer and sale of up to $150.0 million of shares of common stock from time to time pursuant to the Sales Agreement. The issuance and sale of these shares pursuant to the Sales Agreement are deemed an “at-the-market” offering and are registered under the Securities Act of 1933, as amended. As of September 30, 2023, we had not issued any shares pursuant to any at-the-market offerings.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Funding Requirements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pStyle w:val="TextBody"/>
        <w:bidi w:val="0"/>
        <w:spacing w:lineRule="auto" w:line="288" w:before="6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funding requirements will depend on many factors, including the following:</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the initiation, progress, timing, costs and results of preclinical studies and clinical trials for our product candidates;</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the clinical development plans we establish for these product candidates;</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the timelines of our clinical trials and the overall costs to conduct and complete the clinical trials, which may be impacted by global events and macroeconomic conditions, including the effects of health epidemics and pandemics, such as the COVID-19;</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the number and characteristics of product candidates that we develop;</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the outcome, timing and cost of meeting regulatory requirements established by the FDA and other comparable foreign regulatory authorities including but not limited to the European Medicines Agency (EMA), the UK Medicines and Healthcare products Regulatory Agency (MHRA);</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whether we enter into any collaboration agreements and the terms of any such agreements;</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the cost of filing, prosecuting, defending and enforcing our patent claims and other intellectual property rights;</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the cost of defending intellectual property disputes, including patent infringement actions brought by third parties against us or our product candidates;</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the effect of competing technological and market developments;</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the cost and timing of completion of commercial-scale outsourced manufacturing activities;</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the cost and timing of achieving favorable pricing and reimbursement agreements with the pricing authorities in each market of interest, including of securing a positive recommendation after undergoing a health technology assessment by health technology authorities;</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the cost of establishing sales, marketing and distribution capabilities for any product candidates for which we may receive regulatory approval in regions where we choose to commercialize our products on our own; and</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the cost of operating as a public company.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Further, our operating plan may change, and we may need additional funds to meet operational needs and capital requirements for clinical trials and other research and development expenditures. If we need to raise additional capital to fund our operations, funding may not be available to us on acceptable terms, or at all. If we are unable to obtain adequate financing when needed, we may have to delay, reduce the scope of or suspend one or more of our preclinical studies, clinical trials, research and development programs or commercialization efforts. We may seek to raise any necessary additional capital through a combination of public or private equity offerings, debt financings, collaborations and other licensing arrangements. If we raise capital through additional debt financing, we may be subject to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Comparison of the nine months ended September 30, 2023 and 2022</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our cash flows for the periods indicated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tbl>
      <w:tblPr>
        <w:tblW w:w="7167" w:type="dxa"/>
        <w:jc w:val="center"/>
        <w:tblInd w:w="0" w:type="dxa"/>
        <w:tblLayout w:type="fixed"/>
        <w:tblCellMar>
          <w:top w:w="28" w:type="dxa"/>
          <w:left w:w="28" w:type="dxa"/>
          <w:bottom w:w="28" w:type="dxa"/>
          <w:right w:w="28" w:type="dxa"/>
        </w:tblCellMar>
      </w:tblPr>
      <w:tblGrid>
        <w:gridCol w:w="1562"/>
        <w:gridCol w:w="1377"/>
        <w:gridCol w:w="1380"/>
        <w:gridCol w:w="231"/>
        <w:gridCol w:w="871"/>
        <w:gridCol w:w="119"/>
        <w:gridCol w:w="119"/>
        <w:gridCol w:w="119"/>
        <w:gridCol w:w="119"/>
        <w:gridCol w:w="231"/>
        <w:gridCol w:w="871"/>
        <w:gridCol w:w="168"/>
      </w:tblGrid>
      <w:tr>
        <w:trPr/>
        <w:tc>
          <w:tcPr>
            <w:tcW w:w="1562"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(91,259)</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(63,392)</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(158,933)</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(170,226)</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1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274,186 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226,570 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23,994 </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(7,048)</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Cash Used in Operating Activities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increased $27.9 million over the prior year attributable to an increase in net loss of $32.0 million, the timing of revenue related cash receipts and cash outlay to settle accrued liabilities.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Cash Used in Investing Activities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decreased by $11.3 million year over year primarily due to the use of maturities of investment for operating activities.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Cash Provided by Financing Activities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increased $47.6 million primarily due to net proceeds from the Company's January 2023 underwritten public offering.</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 and Other Commitments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Except as mentioned below, there have been no material changes to our contractual obligations and other commitments as of September 30, 2023, as compared to those disclosed in our 2022 10-K.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2023, we had various non-cancelable operating leases for office space and equipment, which expire between December 31,2023 and March 2031. Refer to Note 13 and 14 of our unaudited condensed financial statements included elsewhere in this Quarterly Report on Form 10-Q for a discussion of material obligations and commitments.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periods presented, we did not have, nor do we currently have, any off-balance sheet arrangements or holdings in any variable interest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Polices and Estimates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management’s discussion and analysis of our financial condition and results of operations is based on our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policies and estimates from those described in “Part II, Item 7. Management’s Discussion and Analysis of Financial Condition and Results of Operations” included in our Annual Report on Form 10-K for the fiscal year ended December 31, 2022 filed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See Note 2 to our condensed financial statements appearing elsewhere in this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Smaller Reporting Company and Non-Accelerated Filer Status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market value of our common stock held by our non-affiliates as of June 30, 2022, we were considered a “non-accelerated filer” and a “smaller reporting company,” each effective as of December 31, 2022. Based on the market value of our common stock held by our non-affiliates as of June 30, 2023, we will no longer be a smaller reporting company and will be considered a “large accelerated filer” effective as of December 31, 2023, and thus will be subject to accelerated filing deadlines, as well as the requirements of section 404(b) of the Sarbanes-Oxley Act of 2002.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objectives of our investment activities are to ensure liquidity and to preserve capital. We are exposed to market risks in the ordinary course of our business. These risks primarily include interest rate sensitivities. We had cash,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equivalents and short-term investments of $523.6 million as of September 30, 2023 which consisted of bank deposits, highly liquid money market funds and short-term investments in U.S. treasury securities, U.S. government agency securities and corporate debt securities. Under the Oxford Loan Agreement, we had a $10.0 million term loan outstanding as of September 30, 2023 which is subject to the movement in interest rates, however the exposure is capped at 2.0%. Due to the short-term maturities of our cash equivalents and short-term investments, an immediate 100 basis point change in interest rates would not have a material effect on the fair market value of our cash equivalents or short-term investments.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minimize the risk, we maintain our portfolio of cash equivalents and short-term investments in institutional market funds that are composed of U.S. Treasury and U.S. Treasury-backed repurchase agreements or short-term U.S. Treasury securities, U.S. government agency securities and corporate debt securities. We do not believe that inflation, interest rate changes, or exchange rate fluctuations had a significant impact on our results of operations for any periods presented herein. A hypothetical 10% change in interest rates during the periods presented would not have had a material impact on our condensed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management, with the participation of our Chief Executive Officer and Chief Financial Officer, performed an evaluation of the effectiveness of the design and operation of our disclosure controls and procedures as defined in Rules 13a-15(e) and 15d-15(e) under the Exchange Act. Our disclosure controls and procedures are designed to ensure that information required to be disclosed by us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September 30, 2023, the design and operation of our disclosure controls and procedures were effective at a reasonable assurance level.</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controls over financial reporting identified in connection with the evaluation required by Rule 13a-15(d) and 15d-15(d) under the Exchange Act that occurred during the quarter ended September 30, 2023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the date of this filing, 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Our business faces significant risks. If any of the events or circumstances described in the following risks actually occurs, our business may suffer, the trading price of our common stock could decline and our financial condition or results of operations could be harmed. These risks should be read in conjunction with the other information set forth in this quarterly report on Form 10-Q. The risks and uncertainties described below are not the only ones facing us. There may be additional risks faced by our business. Other events that we do not currently anticipate or that we currently deem immaterial also may adversely affect our financial condition or results of operations.</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RISK FACTORS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Financial Position and Need for Additional Capital</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have incurred significant net losses since inception and we expect to continue to incur significant net losses for the foreseeable future.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incurred significant net losses since our inception and have financed our operations principally through equity and debt financing and our prior collaboration with Novartis. We continue to incur significant research and development and other expenses related to our ongoing operations. Our net loss was $123.3 million and $97.3 million for the years ended December 31, 2022 and 2021, respectively. As of September 30, 2023, we had an accumulated deficit of $458.6 million.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have devoted substantially all of our resources and efforts to research and development, and we expect that it will be at least several years, if ever, before we generate revenue from product sales. Even if we receive marketing approval for and commercialize one or more of our product candidates, we expect that we will continue to incur substantial research and development and other expenses in order to further develop and, if approved, market additional potential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incur significant losses for the foreseeable future, and we anticipate that our expenses will increase substantially if, and as, we: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advance our lead product candidate, bexotegrast, and our other product candidates through clinical development, and, if successful, later-stage clinical trials;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discover and develop new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advance our preclinical development programs into clinical development;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further develop manufacturing processes and manufacture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experience delays or interruptions to preclinical studies, clinical trials, our receipt of services from our third-party service providers on whom we rely, or our supply chain due to the effects of health epidemics and pandemics, such as the COVID-19 pandemic;</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seek regulatory approvals for any product candidates that successfully complete clinical trials;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commercialize bexotegrast, our other product candidates and any future product candidates, if approved;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increase the amount of research and development activities to identify and develop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hire additional clinical development, quality control, scientific and management personnel;</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expand our operational, financial and management systems and increase personnel, including personnel to support our clinical development and manufacturing efforts;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establish a sales, marketing, medical affairs and distribution infrastructure to commercialize any products for which we may obtain marketing approval and intend to commercialize on our own or jointly with third parties;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maintain, expand and protect our intellectual property portfolio;</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invest in or in-license other technologies or product candidates;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continue to build out our organization to engage in such activities.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To become and remain profitable, we must develop and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pStyle w:val="TextBody"/>
        <w:bidi w:val="0"/>
        <w:spacing w:lineRule="auto" w:line="288" w:before="12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We will require substantial additional capital to fund our operations. If we are unable to raise such capital when needed, or on acceptable terms, we may be forced to delay, reduce and/or eliminate one or more of our research and drug development programs, future commercialization efforts or other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Developing biopharmaceutical products, including conducting preclinical studies and clinical trials, is a very time-consuming, expensive, and uncertain process that takes years to complete. Our operations have consumed substantial amounts of cash since inception. We expect our expenses to increase in connection with our ongoing activities, particularly as we conduct our planned clinical trials of bexotegrast and any future product candidates that we may develop, seek regulatory approvals for our product candidates and to launch and commercialize any products for which we receive regulatory approval. Accordingly, we will need to obtain substantial additional funding in order to maintain our continuing operations. If we are unable to raise capital when needed or on acceptable terms, we may be forced to delay, reduce, or eliminate one or more of our research and drug development programs or future commercialization efforts.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we had approximately $523.6 million in cash, cash equivalents and short-term investments. Based on our current operating plan, we believe that our existing cash, cash equivalents and short-term investments will be sufficient to fund our anticipated operating expenses and capital expenditure requirements into the second half of 2026. However, our future capital requirements and the period for which our existing resources will support our operations may vary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significantly from what we expect, and we will in any event require additional capital in order to complete clinical development of any of our current programs. Our monthly spending levels will vary based on new and ongoing development and corporate activities. Because the length of time and activities associated with development of our product candidates is highly uncertain, we are unable to estimate the actual funds we will require for development, marketing, and commercialization activities. Our future funding requirements, both near and long-term, will depend on many factors, including, but not limited to:</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initiation, progress, timing, costs and results of preclinical studies and clinical trials for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clinical development plans we establish for these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timelines of our clinical trials and the overall costs to conduct and complete the clinical trials, including any increased costs due to disruptions caused by marketplace conditions, including the effects of health epidemics and pandemics, such as the COVID-19 pandemic, or other geopolitical conditions;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and capital commitments required for developing manufacturing processes for our product candidates and manufacturing our product candidates at clinical and commercial scales;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number and characteristics of product candidates that we develop;</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outcome, timing and cost of meeting regulatory requirements established by the FDA and other comparable foreign regulatory authorities;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 xml:space="preserve">whether we are able to enter into future collaboration agreements and the terms of any such agreements; </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ability to and timing of achieving a favorable pricing and reimbursement decision by the pricing authorities in the markets of interest;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ability to secure a position recommendation following the health technology assessment by the health technology bodies in the relevant market;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of filing, prosecuting, defending and enforcing our patent claims and other intellectual property rights;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of defending intellectual property disputes, including patent infringement actions brought by third parties against us or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effect of competing technological and market developments;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and timing of completion of commercial-scale outsourced manufacturing activities;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of establishing sales, marketing and distribution capabilities for any product candidates for which we may receive regulatory approval in regions where we choose to commercialize our products on our own.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borrowed and in the future may borrow additional capital from institutional and commercial banking sources to fund future growth, including pursuant to our Oxford Loan Agreement, or potentially pursuant to new arrangements with different lenders. In addition, we expect to continue to opportunistically seek access to the equity capital markets to support our development efforts and operations. However, we cannot be certain that additional funding will be available on acceptable terms, or at all. Until we can generate sufficient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the rights of our common stockholders. Further, to the extent that we raise additional capital through the sale of common stock or securities convertible or exchangeable into common stock, your ownership interest will be diluted. In addition, any debt financing may subject us to fixed payment obligations and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intellectual property or other rights to our product candidates, technologies, future revenue streams or research programs or grant licenses on terms that may not be favorable to us. We also may be required to seek collaborators for any of our product candidates at an earlier stage than otherwise would be desirable or relinquish our rights to product candidates or technologies that we otherwise would seek to develop or commercialize ourselves. Market volatility resulting from challenging financial markets factors, including the effects of health epidemics and pandemics, such as the COVID-19 pandemic, could also adversely impact our ability to access capital as and when needed. If we are unable to raise additional capital in sufficient amounts or on terms acceptable to us, we may have to significantly delay, scale back or discontinue the development or commercialization of one or more of our product candidates or one or more of our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initiatives. Any of the above events could significantly harm our business, prospects, financial condition and results of operations and cause the price of our common stock to decline.</w:t>
      </w:r>
    </w:p>
    <w:p>
      <w:pPr>
        <w:pStyle w:val="TextBody"/>
        <w:bidi w:val="0"/>
        <w:spacing w:lineRule="auto" w:line="288" w:before="12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Covenants and other provisions in the Oxford Loan Agreement restrict our business and operations in many ways, and if we do not effectively manage our covenants, our financial conditions and results of operations could be adversely affected. In addition, our operations may not provide sufficient cash to meet the repayment obligations of our debt incurred under the Oxford Loan Agreement.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Oxford Loan Agreement, Oxford has been granted a security interest in substantially all of our assets, excluding intellectual property (but including the right to payments and proceeds of intellectual property), and a negative pledge on substantially all of our intellectual property, subject to customary exceptions. If an event of default occurs under the Oxford Loan Agreement, Oxford may foreclose on its security interest and liquidate some or all of these assets, which would harm our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 default in connection with our bankruptcy, insolvency, liquidation, or reorganization, Oxford would have a prior right to substantially all of our assets to the exclusion of our general unsecured creditors. Only after satisfying the claims of Oxford and any unsecured creditors would any amount be available for our equity holders.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pledge of these assets and other restrictions imposed in the Oxford Loan Agreement may limit our flexibility in raising capital for other purposes. Because substantially all of our assets are pledged to secure the Oxford Loan Agreement obligations, our ability to incur additional indebtedness or to sell or dispose of assets to raise capital may be impaired, which could have an adverse effect on our financial flexibility.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if we are unable to comply with certain financial and operating restrictions in the Oxford Loan Agreement, we may be limited in our business activities and access to credit or may default under the Oxford Loan Agreement. Provisions in the Oxford Loan Agreement impose restrictions or require prior approval on our ability, and the ability of certain of our subsidiaries to, among other things: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Incur additional debt;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Make certain investments and acquisitions;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Guarantee the indebtedness of others or our subsidiaries;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Create liens or encumbrances;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Engage in new lines of business;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Enter into transactions with affiliates;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Pay cash dividends and make distributions;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Redeem or repurchase capital shares;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Sell, lease or transfer certain parts of our business or property, including equity interests of our subsidiaries;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Prepay other indebtedness;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Acquire new companies and merge or consolidate.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Oxford Loan Agreement also contains other customary covenants. We may not be able to comply with these covenants in the future. Our failure to comply with these covenants may result in the declaration of an event of default, which, if not cured or waived, may result in the acceleration of the maturity of indebtedness outstanding under the Oxford Loan Agreement and would require us to pay all amounts outstanding. If the maturity of our indebtedness is accelerated, we may not have sufficient funds then available for repayment or we may not have the ability to borrow or obtain sufficient funds to replace the accelerated indebtedness on terms acceptable to us or at all. Our failure to repay our obligations under the Oxford Loan Agreement would result in Oxford foreclosing on all or a portion of our assets, which could force us to curtail or cease our operations.</w:t>
      </w:r>
    </w:p>
    <w:p>
      <w:pPr>
        <w:pStyle w:val="TextBody"/>
        <w:bidi w:val="0"/>
        <w:spacing w:lineRule="auto" w:line="288" w:before="12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The amount of our future losses is uncertain and our quarterly operating results may fluctuate significantly or may fall below the expectations of investors or securities analysts, each of which may cause our stock price to fluctuate or decline.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quarterly and annual operating results may fluctuate significantly in the future due to a variety of factors, many of which are outside of our control and may be difficult to predict, including the following: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timing and success or failure of clinical trials for our product candidates or competing product candidates, or any other change in the competitive landscape of our industry, including consolidation among our competitors or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ability to successfully recruit and retain subjects for clinical trials, and any delays caused by difficulties in such efforts;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ability to obtain marketing approval for our product candidates, and the timing and scope of any such approvals we may receive;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timing and cost of, and level of investment in, research and development activities relating to our product candidates, which may change from time to time;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of manufacturing our product candidates, which may vary depending on the difficulty of manufacture, quantity of production and the terms of our agreements with manufacturers;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ability to attract, hire and retain qualified personnel;</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expenditures that we will or may incur to develop additional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level of demand for our product candidates should they receive approval, which may vary significantly;</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risk/benefit profile, cost and reimbursement policies with respect to our product candidates, if approved, and existing and potential future therapeutics that compete with our product candidates;</w:t>
      </w:r>
    </w:p>
    <w:p>
      <w:pPr>
        <w:pStyle w:val="TextBody"/>
        <w:bidi w:val="0"/>
        <w:spacing w:lineRule="auto" w:line="288" w:before="0" w:after="0"/>
        <w:ind w:left="0" w:right="0" w:hanging="630"/>
        <w:jc w:val="left"/>
        <w:rPr/>
      </w:pPr>
      <w:r>
        <w:rPr>
          <w:color w:val="000000"/>
        </w:rPr>
        <w:t>•</w:t>
      </w:r>
      <w:r>
        <w:rPr>
          <w:rFonts w:ascii="Times New Roman;sans-serif" w:hAnsi="Times New Roman;sans-serif"/>
          <w:b w:val="false"/>
          <w:color w:val="000000"/>
          <w:sz w:val="20"/>
        </w:rPr>
        <w:t>general market conditions or extraordinary external events, such as recessions or the the effects of health epidemics and pandemics, such as COVID-19 pandemic;</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changing and volatile U.S. and global economic and political environments;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future accounting pronouncements or changes in our accounting policies.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Research and Development and the Biopharmaceutical Industry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have a limited operating history, which may make it difficult to evaluate our prospects and likelihood of success.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no products approved for commercial sale and have not generated any revenue from product sales to date. Our operations to date have been limited to organizing and staffing our company, business planning, raising capital, establishing our intellectual property portfolio and performing research and development of our product candidates and our technology related to transforming growth factor beta, or TGF-β, signaling and integrin biology, medicinal chemistry, translational screening technologies, and clinical insights to discover and develop novel therapies for the treatment of fibrosis. Our approach to the discovery and development of product candidates is unproven, and we do not know whether we will be able to develop any products of commercial value. We have not yet demonstrated the ability to progress any product candidate through clinical trials, obtain regulatory approval, manufacture a commercial scale product, or arrange for a third party to do so on our behalf, or conduct sales and marketing activities necessary for successful product commercialization. In addition, as a business with a limited operating history, we may encounter unforeseen expenses, difficulties, complications, delays and other known and unknown factors and risks frequently experienced by early-stage biopharmaceutical companies in rapidly evolving fields. Consequently, we expect our operating results to continue to fluctuate significantly from quarter to quarter and year to year due to a variety of factors, many of which are beyond our control, and predictions about our future success or viability may not be as accurate as they could be if we had a longer operating history or a history of successfully developing and commercializing drug products.</w:t>
      </w:r>
    </w:p>
    <w:p>
      <w:pPr>
        <w:pStyle w:val="TextBody"/>
        <w:bidi w:val="0"/>
        <w:spacing w:lineRule="auto" w:line="288" w:before="12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Our business is highly dependent on the success of our lead product candidate, bexotegrast and any other product candidates that we advance into the clinic. Our product candidates will require significant additional development before we may be able to seek regulatory approval for and launch a product commercially.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have no products that are approved for commercial sale and may never be able to develop marketable products. We are early in our clinical development for bexotegrast. If bexotegrast or any of our other product candidates encounter safety or efficacy problems, development delays, regulatory issues or other problems, our development plans and business would be significantly harmed. We have completed several Phase 1 and Phase 2a trials of bexotegrast in IPF and are currently conducting a Phase 2a trial in PSC. We previously collaborated with Novartis to develop PLN-1474 for advanced liver fibrosis associated with NASH and have completed a Phase 1a SAD/MAD study evaluating PLN-1474 in healthy volunteers. As part of a broad strategic realignment, Novartis discontinued clinical development in NASH and, as a result,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development of PLN-1474. In February 2023, Novartis issued a termination notice for the collaboration and license agreement, and effective upon the termination, returned global rights to Pliant for PLN-1474 and we may pursue other collaborations to further clinical development of PLN-1474. All of the risks and uncertainties that apply to bexotegrast or any candidates that we develop independently apply equally to those candidates we may develop in collaboration with third parties. See “Risks Related to Our Reliance on Third Parties.”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Before we can generate any revenue from sales of our lead product candidate, bexotegrast, or any of our other product candidates, we must undergo additional preclinical and clinical development, regulatory review, and approval in one or more jurisdictions. In addition, if one or more of our product candidates are approved, we must ensure access to sufficient commercial manufacturing capacity and conduct significant marketing efforts in connection with any commercial launch. These efforts will require substantial investment, and we may not have the financial resources to continue development of our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experience setbacks that could delay or prevent regulatory approval of, or the extent of regulatory protection or our ability to commercialize, our product candidates, including: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negative or inconclusive results from our preclinical studies or clinical trials or the clinical trials of others for product candidates similar to ours, leading to a decision or requirement to conduct additional preclinical testing or clinical trials or abandon a program;</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product-related side effects experienced by subjects in our clinical trials or by individuals using drugs or therapeutics similar to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delays in submitting investigational new drug (IND) applications or comparable foreign applications or delays or failure in obtaining the necessary approvals from regulators to commence a clinical trial, or a suspension or termination of a clinical trial once commenced;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conditions imposed by the FDA or comparable foreign authorities regarding the scope or design of our clinical trials;</w:t>
      </w:r>
    </w:p>
    <w:p>
      <w:pPr>
        <w:pStyle w:val="TextBody"/>
        <w:bidi w:val="0"/>
        <w:spacing w:lineRule="auto" w:line="288" w:before="0" w:after="0"/>
        <w:ind w:left="0" w:right="0" w:hanging="630"/>
        <w:jc w:val="left"/>
        <w:rPr/>
      </w:pPr>
      <w:r>
        <w:rPr>
          <w:color w:val="000000"/>
        </w:rPr>
        <w:t>•</w:t>
      </w:r>
      <w:r>
        <w:rPr>
          <w:rFonts w:ascii="Times New Roman;sans-serif" w:hAnsi="Times New Roman;sans-serif"/>
          <w:b w:val="false"/>
          <w:color w:val="000000"/>
          <w:sz w:val="20"/>
        </w:rPr>
        <w:t>delays in enrolling subjects in clinical trials, including due to the effects of health epidemics and pandemics, such as the COVID-19 pandemic;</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 xml:space="preserve">high drop-out rates of subjects from clinical trials; </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inadequate supply or quality of product candidates or other materials necessary for the conduct of our clinical trials;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challenges manufacturing our product candidates to regulatory requirements in a cost effective manner;</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greater than anticipated clinical trial costs;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inability to compete with other therapies;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failure to secure or maintain orphan designation in some jurisdictions;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poor efficacy of our product candidates during clinical trials;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unfavorable FDA or other regulatory agency inspection and review of a clinical trial site;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failure of our third-party contractors or investigators to comply with regulatory requirements or otherwise meet their contractual obligations in a timely manner, or at all;</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delays and changes in regulatory requirements, policy and guidelines, including the imposition of additional regulatory oversight around clinical testing generally or with respect to our technology in particular; or</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varying interpretations of data by the FDA and similar foreign regulatory agencies.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complete control over many of these factors, including certain aspects of clinical development and the regulatory submission process, potential threats to our intellectual property rights and our manufacturing, marketing, distribution and sales efforts or that of any future collaborator.</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approach to drug discovery and development in the area of fibrotic diseases, with an initial focus on tissue-specific integrin modulation and TGF-β signaling inhibition, is unproven and may not result in marketable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approach is designed to discover and develop targeted treatments for fibrosis with an initial focus on the antagonism of tissue-specific TGF-β signaling through the inhibition of integrins known to mediate the release of activated TGF-β in fibrotic tissue. However, although multiple studies are currently underway, to date, this mechanism has not been definitively proven to successfully treat fibrosis. Targeting integrins to treat fibrosis is a novel approach in a rapidly developing field, and there can be no assurance that we will not experience currently unknown problems or delays in developing our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candidates, that such problems or delays will not result in unanticipated costs, or that any such development problems can be solved. We have primarily tested our lead product candidate, bexotegrast, in healthy volunteers. Therefore, we may ultimately discover that our approach and any product candidates resulting therefrom do not possess properties required for therapeutic effectiveness. As a result, we may never succeed in developing a marketable product.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while we have developed an extensive panel of cell assays and precision cut tissue assays and have utilized animal models to uncover biological pathways, understood gene expression changes and optimized the potency and selectivity of our potential product candidates, there can be no assurance that our technology will yield their intended benefits. While we believe our assays represent a differentiator in our approach to drug development, our approach has not yet been clinically proven to yield results. Our practice of evaluating our product candidates in live human fibrotic tissue samples before advancing them into the clinic is intended to serve as a bridge between animal models and clinical proof-of-concept. However, there can be no assurance that positive results observed from preclinical animal testing and human fibrotic tissue models will be replicated when a program is advanced into clinical development. In addition, our practice of utilizing live human fibrotic tissue as part of our development efforts may become more widespread in the future, and this approach may be adopted and replicated by others, including our competitors.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Studies involving human tissue samples may also be subject to institutional and government human subject privacy policies that may vary by territory. We or our partners who provide us with human tissue samples or conduct tissue and/or animal studies on our behalf, may be found to be in violation of one or more of these regulations or policies and may be subject to closure, censure or other penalties. In some cases, these penalties could materially impact the performance, availability, or validity of studies conducted by us or on our behalf. Even in the absence of violations resulting in penalties, regulatory and other authorities may refuse to authorize the conduct or to accept the results of studies for regulatory or ethical reasons.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Clinical development involves a lengthy, complex, and expensive process, with an uncertain outcome.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To obtain the requisite regulatory approvals to commercialize any product candidates, we must demonstrate through extensive preclinical studies and clinical trials that our product candidates are safe and effective in humans. Clinical testing is expensive and can take many years to complete, and its outcome is inherently uncertain. In particular, the general approach for FDA approval of a new drug is dispositive data from two well-controlled, Phase 3 clinical trials of the relevant drug in the relevant patient population. Phase 3 clinical trials typically involve hundreds of patients, have significant costs and take years to complete. A product candidate can fail at any stage of testing, even after observing promising signals of activity in earlier preclinical studies or clinical trials. The results of preclinical studies and early clinical trials of our product candidates may not be predictive of the results of later-stage clinical trials. 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commence clinical trials are never approved as products and there can be no assurance that any of our future clinical trials will ultimately be successful or support further clinical development of bexotegrast or any of our other product candidates. Product candidates that appear promising in the early phases of development may fail to reach the market for several reasons, including: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preclinical studies or clinical trials may show the product candidates to be less effective than expected (e.g., a clinical trial could fail to meet its primary endpoint(s)) or to have unacceptable side effects or toxicities;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failure to establish clinical endpoints that applicable regulatory authorities would consider clinically meaningful;</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failure to receive the necessary regulatory approvals;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development of competing products in the same disease state;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manufacturing costs, formulation issues, pricing or reimbursement issues, or other factors that make a product candidate uneconomical;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proprietary rights of others and their competing products and technologies that may prevent one of our product candidates from being commercialized.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differences in trial design between early-stage clinical trials and later-stage clinical trials make it difficult to extrapolate the results of earlier clinical trials to later clinical trials. Further, as we rely on novel technologies including sophisticated imaging technologies to generate data relating to our clinical endpoints, there is an increased risk that we may not properly measure, analyze or interpret this data. Moreover, clinical data are often susceptible to varying interpretations and analyses, and many companies that have believed their product candidates performed satisfactorily in clinical trials have nonetheless failed to obtain marketing approval of their products. Additionally, some of our trials are open-label studies, where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both the patient and investigator know whether the patient is receiving the investigational product candidate or either an existing approved drug or placebo. Most typically, open-label clinical trials test only the investigational product candidate and sometimes do so at different dose levels. Open-label clinical trials are subject to various limitations that may exaggerate any therapeutic effect as patients in open-label clinical trials are aware when they are receiving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open-label trials will not be replicated in later placebo-controlled trials.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standards that the FDA and comparable foreign regulatory authorities use when regulating us require judgment and can change, which makes it difficult to predict with certainty how they will be applied. Although we are initially focusing our efforts on development of small molecule drug products, we are also considering the development of biological products, including a potential candidate for muscular dystrophies, which could make us subject to additional regulatory requirements.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Examples of such regulations include future legislation or administrative action, or changes in FDA policy during the period of product development and FDA regulatory review. It is impossible to predict whether legislative changes will be enacted, or whether FDA or foreign regulations, guidance or interpretations will be changed, or what the impact of such changes, if any, may be. 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seek to conduct clinical trials in foreign countries or pursue marketing approvals in foreign jurisdictions, we must comply with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Successful completion of clinical trials is a prerequisite to submitting a marketing application to the FDA and similar marketing applications to comparable foreign regulatory authorities, for each product candidate and, consequently, the ultimate approval and commercial marketing of any product candidates. We may experience negative or inconclusive results, which may result in our deciding, or our being required by regulators, to conduct additional clinical studies or trials or abandon some or all of our product development programs, which could have a material adverse effect on our business.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incur additional costs or experience delays in completing, or ultimately be unable to complete, the development and commercialization of bexotegrast or any other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experience delays in initiating or completing clinical trials. We also may experience numerous unforeseen events during, or as a result of, any future clinical trials that could delay or prevent our ability to receive marketing approval or commercialize bexotegrast or any other product candidates, including: </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regulators or institutional review boards, or IRBs, or ethics committees may not authorize us or our investigators to commence a clinical trial or conduct a clinical trial at a prospective trial site;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FDA or other comparable regulatory authorities may disagree with our clinical trial design, including with respect to dosing levels administered in our planned clinical trials, which may delay or prevent us from initiating our clinical trials with our originally intended trial design;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may experience delays in reaching, or fail to reach, agreement on acceptable terms with prospective trial sites and prospective contract research organizations, or CROs, which can be subject to extensive negotiation and may vary significantly among different CROs and trial sites;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number of subjects required for clinical trials of any product candidates may be larger than we anticipate or subjects may drop out of these clinical trials or fail to return for post-treatment follow-up at a higher rate than we anticipate;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due to the impact of COVID-19 pandemic, we have experienced, and may continue to experience, delays and interruptions to our preclinical studies and clinical trials, we may experience delays or interruptions to our manufacturing supply chain, or we could suffer delays in reaching, or we may fail to reach, agreement on acceptable terms with third-party service providers on whom we rely;</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additional delays and interruptions to our clinical trials could extend the duration of the trials and increase the overall costs to finish the trials as our fixed costs are not substantially reduced during delays;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may elect to, or regulators, IRBs, Data Safety Monitoring Boards, or DSMBs, or ethics committees may require that we or our investigators suspend or terminate clinical research or trials for various reasons, including noncompliance with regulatory requirements or a finding that the participants are being exposed to unacceptable health risks;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may not have the financial resources available to begin and complete the planned trials, or the cost of clinical trials of any product candidates may be greater than we anticipate;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supply or quality of our product candidates or other materials necessary to conduct clinical trials of our product candidates may be insufficient or inadequate to initiate or complete a given clinical trial;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FDA or other comparable foreign regulatory authorities may require us to submit additional data such as long-term toxicology studies, or impose other requirements before permitting us to initiate a clinical trial.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 development costs will increase if we experience additional delays in clinical testing or in obtaining marketing approvals. We do not know whether any of our clinical trials will begin as planned, will need to be restructured or will be completed on schedule, or at all. If we do not achieve our product development goals in the timeframes we announce and expect, the approval and commercialization of our product candidates may be delayed or prevented entirely.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ongoing and future clinical trials may reveal significant adverse events or unexpected drug-drug interactions not seen in our preclinical studies and may result in a safety profile that could delay or prevent regulatory approval or market acceptance of any of our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completed our Phase 1a clinical trial of our lead product candidate bexotegrast in healthy volunteers, and, with the exception of a number of reported minor adverse events, the product candidate was observed to be generally well-tolerated across all doses in 71 trial participants. In addition, we announced positive interim data from our first Phase 2a INTEGRIS-IPF trial in July 2022, January 2023 and May 2023 in which bexotegrast was observed to be well-tolerated over a treatment period of at least 12 weeks, and up to 40 weeks, in the 89 patients treated with bexotegrast. In September 2023, we announced positive interim data from INTEGRIS-PSC, a Phase 2a clinical trial of bexotegrast in patients with primary sclerosing cholangitis and suspected moderate to severe liver fibrosis. The trial met its primary and secondary endpoints demonstrating that bexotegrast was well tolerated over a 12-week treatment period and its plasma concentrations increased with dose. However, if significant adverse events or other side effects are observed in any of our ongoing or future clinical trials, we may have difficulty recruiting patients to our clinical trials, patients may drop out of our trials, or we may be required to abandon the trials or our development efforts altogether. In addition, in our ongoing Phase 2a clinical trials, we are evaluating bexotegrast administered with approved IPF agents. We have completed a Phase 1a study evaluating one-way interaction of bexotegrast on nintedanib or pirfenidone, concluding that clinical safety and pharmacokinetic data indicate that no dose adjustments are needed for nintedanib or pirfenidone when combined with bexotegrast. However, we may encounter unexpected drug-drug interactions in our planned trials, and may be required to further test these candidates, including additional drug-drug interaction studies, which may be expensive, time-consuming and result in delays to our programs.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Some potential therapeutics developed in the biopharmaceutical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of the approved product due to its tolerability versus other therapies.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encounter difficulties enrolling patients in our clinical trials, our clinical development activities could be delayed or otherwise adversely affected.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patient eligibility and exclusion criteria defined in the protocol;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size of the patient population required for analysis of the trial’s primary endpoints and the process for identifying patients;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willingness or availability (including legality under any future or reinstated COVID-19 policies) of patients to participate in our trials (including due to fears of contracting COVID-19 or other diseases);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proximity of patients to trial sites;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design of the trial;</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ability to recruit clinical trial investigators with the appropriate competencies and experience;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clinicians’ and patients’ perceptions as to the potential advantages and risks of the product candidate being studied in relation to other available therapies, including any new products that may be approved for the indications we are investigating;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availability of competing commercially available therapies and other competing product candidates’ clinical trials;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ability to obtain and maintain patient informed consents;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risk that patients enrolled in clinical trials will drop out of the trials before completion.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we are initially developing bexotegrast for the treatment of IPF and PSC, each of which is an orphan indication. In the United States, IPF is estimated to affect approximately 140,000 patients, while PSC is estimated to affect approximately 30,000 to 45,000 patients. As a result, we may encounter difficulties enrolling subjects in our clinical trials of bexotegrast due, in part, to the small size of these patient populations.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Further, timely enrollment in clinical trials is reliant on clinical trial sites which may be adversely affected by global health matters, including, among other things, pandemics. For example, our clinical trial sites have been affected by the effects of COVID-19 pandemic. Commencement of enrollment of our clinical trials of bexotegrast in IPF and PSC was delayed. While these trials have resumed patient enrollment, and in some cases completed enrollment, we experienced slower than expected enrollment due to COVID-19. Also, while the Phase 1 trial of PLN-1474 has completed, this trial experienced delays due to COVID-19. In addition, after enrollment in these trials, if patients contract illnesses during participation in our trials or are subject to isolation or shelter-in-place restrictions to combat future pandemics, including a resurgence of COVID-19, this may cause them to drop out of our trials, miss scheduled doses or follow-up visits or otherwise fail to follow trial protocols. If patients are unable to follow the trial protocols or if our trial results are otherwise disputed due to the effects of the a pandemic or actions taken to mitigate its spread, the integrity of data from our trials may be compromised or not accepted by the FDA or other regulatory authorities, which would represent a significant setback for the applicable program.</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FDA may modify or enhance trial requirements, which may affect enrollment. For example, in August 2023, the FDA published a guidance document, “Informed Consent, Guidance for IRBs, Clinical Investigators, and Sponsors,” which supersedes past guidance and finalizes draft guidance on informed consent. The FDA’s new guidance presents evolving requirements for informed consent which may effect recruitment and retention of patients in clinical trials. Effects on recruitment and retention of patients may hinder or delay a clinical trial and could cause a significant setback to an applicable program.</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The design or execution of our ongoing and future clinical trials may not support marketing approval.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design or execution of a clinical trial can determine whether its results will support marketing approval, and flaws in the design or execution of a clinical trial may not become apparent until the clinical trial is well advanced. We recently completed two Phase 2a trials of bexotegrast in IPF. In the first of these trials, the study was designed to enroll IPF patients and utilize a positron emission tomography, or PET, ligand to measure αvß6 target engagement by bexotegrast in the lungs post-treatment. The second trial was a double-blind placebo-controlled trial designed to evaluate safety, tolerability and pharmacokinetics of bexotegrast in IPF patients for up to 48 weeks at doses of up to 320 mg. It is possible that we may need to amend our clinical trials, which would require us to resubmit our clinical trial protocols to competent authorities and ethics committees for reexamination, and may impact the costs, timing, or successful completion of such clinical trial. In addition, we may desire to test bexotegrast at doses exceeding those evaluated in an ongoing Phase 1a trial and may not be able to do so.</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in some instances, there can be significant variability in safety or efficacy results between different trials with the same product candidate due to numerous factors, including differences in trial protocols, size and type of the patient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populations, variable adherence to the dosing regimen or other protocol requirements and the rate of dropout among clinical trial participants. We do not know whether any clinical trials we conduct will demonstrate consistent or adequate efficacy and safety to obtain marketing approval to market our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FDA and comparable foreign regulatory authorities have substantial discretion in the approval process and in determining when or whether marketing approval will be obtained for any of our product candidates. Our product candidates may not be approved even if they achieve their primary endpoints in future Phase 3 clinical trials or registrational trials. The FDA or comparable foreign regulatory authorities may disagree with our trial designs and our interpretation of data from preclinical studies or clinical trials. Further, requirements regarding clinical trial data may evolve. In June 2023, the FDA published a draft guidance, E6(R3) Good Clinical Practice (GCP), which seeks to unify standards for clinical trial data for ICH member countries and regions. Changes to data requirements may cause the FDA or comparable foreign regulatory authorities to disagree with data from preclinical studies or clinical trials, and may require further studies.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any of these regulatory authorities may change requirements for the approval of a product candidate even after reviewing and providing comments or advice on a protocol for a pivotal Phase 3 or registrational clinical trial. In addition, any of these regulatory authorities may also approve a product candidate for fewer or more limited indications than we request or may grant approval contingent on the performance of costly post-marketing clinical trials. The FDA or comparable foreign regulatory authorities may not approve the labeling claims that we believe would be necessary or desirable for the successful commercialization of our product candidates, if approved.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Delays in patient enrollment may result in increased costs or may affect the timing or outcome of our future clinical trials, which could prevent completion of these trials and adversely affect our ability to advance the development of our product candidates.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Although we have received U.S. orphan drug designation for bexotegrast for IPF and PSC indications and EEA orphan drug designation for bexotegrast for IPF and for PSC we may be unable to obtain and maintain orphan drug designation for our other product candidates and, even if we obtain such designation, we may not be able to realize the benefits of such designation, including potential marketing exclusivity of our product candidates, if approved.</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Regulatory authorities in some jurisdictions, including the United States and other major markets, may designate drugs intended to treat conditions or diseases affecting relatively small patient populations as orphan drugs. Under the Orphan Drug Act of 1983, the Food and Drug Administration, or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order to obtain orphan designation in the European Economic Area (EEA) and the UK,, the product must fulfill certain challenging criteria. Under Article 3 of Regulation (EC) 141/2000, a medicinal product may be designated as an orphan medicinal product if it meets the following criteria: (1) such product is intended for the diagnosis, prevention or treatment of a life-threatening or chronically debilitating condition; (2) either the prevalence of such condition must not be more than five in 10,000 persons in the EU when the application is made, or without the benefits derived from orphan status, it must be unlikely that the marketing of the medicine would generate sufficient return in the EU to justify the investment needed for its development; and (3) there exists no satisfactory method of diagnosis, prevention or treatment of such condition authorized for marketing in the EU or if such a method exists, the product will be of significant benefit to those affected by the condition, as defined in Regulation (EC) 847/2000. In the EEA, the grant of the orphan designation does not mean that the product will be granted orphan status at the time it is assessed in parallel with the application for a marketing authorization.</w:t>
      </w:r>
      <w:r>
        <w:rPr>
          <w:color w:val="000000"/>
        </w:rPr>
        <w:t xml:space="preserve"> </w:t>
      </w:r>
      <w:r>
        <w:rPr>
          <w:rFonts w:ascii="Times New Roman;sans-serif" w:hAnsi="Times New Roman;sans-serif"/>
          <w:b w:val="false"/>
          <w:color w:val="000000"/>
          <w:sz w:val="20"/>
        </w:rPr>
        <w:t>The authorities reassess then whether the product still fulfills the criteria for orphan status.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have received U.S. orphan drug designation for bexotegrast for idiopathic pulmonary fibrosis, or IPF, and primary sclerosing cholangitis, PSC, and EEA orphan drug designation for bexotegrast for IPF and for PSC, the designation of any of our product candidates as an orphan drug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a similar medicinal product treating the same indication for that marketing exclusivity period, except in limited circumstances. The applicable period is seven years in the United States and ten years in the EEA. The ten-year period of market exclusivity in the EEA can be extended by a further two years if the product qualifies for a pediatric extension, but can be reduced to a period of six years if the orphan designation criteria are no longer met after the fifth year. Orphan drug exclusivity may be revoked if any regulatory agency determines that the request for designation was materially defective or if the manufacturer is unable to assure sufficient quantity of the product to meet the needs of patients with the rare disease or condition. On April 26, 2023, the European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Commission adopted a proposal for a new Directive and a new Regulation. If made into law, this proposal will revise and replace the existing general pharmaceutical legislation and may make it more difficult to obtain orphan designation in the EEA.</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Even if we obtain orphan drug exclusivity for a product candidate, that exclusivity may not effectively protect the product candidate from competition because different drugs with different active moieties can be approved for the same condition in the United States or EEA. Even after an orphan drug is approved, the FDA or European Medicines Agency, or EMA, as applicable, may subsequently approve another drug with the same active moiety for the same condition if the FDA concludes that the latter drug is not a similar medicinal product or is clinically superior in that it is shown to be safer, more effective or makes a major contribution to patient care.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Congress is considering updates to the orphan drug provisions of the Food, Drug, and Cosmetic Act, or FDCA, in response to a recent decision by the U.S. Court of Appeals for the Eleventh Circuit. Any changes to the orphan drug provisions could change our opportunities for, or likelihood of success in obtaining, orphan drug exclusivity and would materially adversely affect our business, results of operations, financial condition and prospects.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A Fast Track designation by the FDA, even if granted for other current or future product candidates, may not lead to a faster development or regulatory review or approval process and does not increase the likelihood that our product candidates will receive marketing approval.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seek Fast Track designation for one or more of our future product candidates. In April 2022, bexotegrast received Fast Track designation for the treatment of IPF. If a drug product is intended for the treatment of a serious or life-threatening disease or condition and it demonstrates the potential to address unmet medical needs for such a disease or condition, the drug sponsor may apply for FDA Fast Track designation for a particular indication. We may seek Fast Track designation for our product candidates, but there is no assurance that the FDA will grant this designation to any of our proposed product candidates. Marketing applications submitted by sponsors of products in Fast Track development may qualify for priority review under the policies and procedures offered by the FDA, but the Fast Track designation does not assure any such qualification or ultimate marketing licensure by the FDA. The FDA has broad discretion whether or not to grant Fast Track designation, so even if we believe a particular product candidate is eligible for this designation, there can be no assurance that the FDA would decide to grant it. Even if we do receive Fast Track designation, we may not experience a faster development process, review or licensure compared to conventional FDA procedures or pathways and receiving a Fast Track designation does not provide assurance of ultimate FDA licensure. In addition, the FDA may withdraw Fast Track designation if it believes that the designation is no longer supported by data from our clinical development program. In addition, the FDA may withdraw any Fast Track designation at any time.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Changes in methods of product candidate manufacturing or formulation may result in additional costs or delay.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product candidates progress through preclinical to late-stage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obtain marketing approval for any of our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Additionally, if we advance a biological candidate into IND-enabling studies, the manufacturing processes for biological products is more complex and expensive than with small molecule products and additional manufacturing suppliers may be needed to manufacture clinical supplies for these programs.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not be successful in our efforts to identify or discover additional product candidates in the future.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programs may initially show promise in identifying potential product candidates, yet fail to yield product candidates for clinical development for a number of reasons, including: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inability to design such product candidates with the pharmacological properties that we desire or attractive pharmacokinetics; 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potential product candidates may, on further study, be shown to have harmful side effects or other characteristics that indicate that they are unlikely to be medicines that will receive marketing approval and achieve market acceptance.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Research programs to identify new product candidates require substantial technical, financial, and human resources. If we are unable to identify suitable compounds for preclinical and clinical development, we will not be able to obtain product revenue in future periods, which likely would result in significant harm to our financial position and adversely impact our stock price.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Due to our limited resources and access to capital, we must make decisions on the allocation of resources to certain programs and product candidates; these decisions may prove to be wrong and may adversely affect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limited financial and human resources and intend to initially focus on research programs and product candidates for a limited set of indications. As a result, we may forgo or delay pursuit of opportunities with other product candidates or for other indications that later prove to have greater commercial potential or a greater likelihood of success. In addition, we seek to accelerate our development timelines, including by initiating certain clinical trials of our product candidates before earlier-stage studies have been completed. This approach may cause us to commit significant resources to prepare for and conduct later-stage trials for one or more product candidates that subsequently fail earlier-stage clinical testing. Therefore, our resource allocation decisions may cause us to fail to capitalize on viable commercial products or profitable market opportunities or expend resources on product candidates that are not viable.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product liability lawsuits are brought against us, we may incur substantial financial or other liabilities and may be required to limit commercialization of our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face an inherent risk of product liability as a result of testing bexotegrast and any of our other product candidates in clinical trials and will face an even greater risk if we commercialize any products. For example, we may be sued if our product candidates cause or are perceived to cause injury or are found to be otherwise unsuitable during clinical trials,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inability to bring a product candidate to the market;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decreased demand for our products;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injury to our reputation;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withdrawal of clinical trial participants and inability to continue clinical trials;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initiation of investigations by regulators;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fines, injunctions or criminal penalties;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costs to defend the related litigation;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diversion of management’s time and our resources;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substantial monetary awards to trial participants;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product recalls, withdrawals or labeling, marketing or promotional restrictions;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loss of revenue;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exhaustion of any available insurance and our capital resources;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inability to commercialize any product candidate, if approved;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decline in our share price.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inability to obtain sufficient product liability insurance at an acceptable cost to protect against potential product liability claims could prevent or inhibit the commercialization of products we develop. We will need to obtain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for clinical trials as bexotegrast continues clinical development and as additional product candidates enter the clinic. However, we may be unable to obtain, or may obtain on unfavorable terms, clinical trial insurance in amounts adequate to cover any liabilities from any of our clinical trials.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face substantial competition, which may result in others discovering, developing, or commercializing products before or more successfully than us.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development and commercialization of new drug products is highly competitive. We may face competition with respect to any product candidates that we seek to develop or commercialize in the future from major biopharmaceutical companies, specialty biopharmaceutical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There are a number of biopharmaceutical and biotechnology companies that are currently pursuing the development of products for the treatment of fibrosis. Companies that we are aware of that are targeting the treatment of various fibrosis indications through inhibiting various parts of the TGF-β pathway include companies with significant financial resources such as AbbVie Inc., AstraZeneca plc,</w:t>
      </w:r>
      <w:r>
        <w:rPr>
          <w:color w:val="000000"/>
        </w:rPr>
        <w:t xml:space="preserve"> </w:t>
      </w:r>
      <w:r>
        <w:rPr>
          <w:rFonts w:ascii="Times New Roman;sans-serif" w:hAnsi="Times New Roman;sans-serif"/>
          <w:b w:val="false"/>
          <w:color w:val="000000"/>
          <w:sz w:val="20"/>
        </w:rPr>
        <w:t>Bristol Myers Squibb Co., Corbus Pharmaceutical, DiCE Therapeutics, Inc. (recently acquired by Eli Lilly and Company), Merck &amp; Co., Inc., Gilead Sciences, Inc., Morphic Therapeutics, Inc., Novartis AG, and Takeda Pharmaceutical Company.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Mergers and acquisitions in the biopharmaceutical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more convenient or less expensive than any products that we may develop. Furthermore, products currently approved for other indications could be discovered to be effective treatments of fibrosis as well, which could give such products significant regulatory and market timing advantages over bexotegrast or other product candidates that we may identify. Our competitors also may obtain FDA or other regulatory approval for their products more rapidly than we may obtain approval for ours,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 The availability of competitive products could limit the demand, and the price we are able to charge, for any products that we may develop and commercialize.</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Marketing, Reimbursement, Healthcare Regulations and Ongoing Regulatory Compliance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Even if a product candidate we develop receives marketing approval, it may fail to achieve the degree of market acceptance by physicians, patients, third-party payors and others in the medical community necessary for commercial success.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Even if bexotegrast or any other product candidate we develop receives marketing approval, it may nonetheless fail to gain sufficient market acceptance by physicians, patients and third-party payors. In addition, the availability of coverage by third-party payors may be affected by existing and future healthcare reform measures designed to reduce the cost of health care. If the product candidates we develop do not achieve an adequate level of acceptance, we may not generate significant product revenues and we may not become profitable.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degree of market acceptance of any product candidate, if approved for commercial sale, will depend on a number of factors, including: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efficacy and potential advantages compared to alternative treatments;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ability to offer our products, if approved, for sale at competitive prices;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convenience and ease of administration compared to alternative treatments;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willingness of the target patient population to try new therapies and of physicians to prescribe these therapies;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recommendations with respect to our product candidates in guidelines published by various scientific organizations applicable to us and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positive HTA assessment in jurisdictions where required;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strength of marketing and distribution support;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ability to obtain sufficient third-party coverage and adequate reimbursement and a positive recommendation by health technology bodies;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prevalence and severity of any side effects.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government and other third-party payors do not provide coverage and adequate reimbursement levels for any products we commercialize, market acceptance and commercial success would be reduced.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Coverage and reimbursement may be limited or unavailable in certain market segments for our product candidates, if approved, which could make it difficult for us to sell any product candidates profitably.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uncertainty exists as to the coverage and reimbursement status of any products for which we may obtain regulatory approval. In the United States, sales of any products for which we may receive regulatory marketing approval will depend, in part, on the availability of coverage and adequacy of reimbursement from third-party payors. Third-party payors include government authorities such as Medicare, Medicaid, TRICARE, and the Veterans Administration, managed care providers, private health insurers, and other organizations. 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are critical to new product acceptance. Patients are unlikely to use our product candidates unless coverage is provided, and reimbursement is adequate to cover a significant portion of the cost. We cannot be sure that coverage and adequate reimbursement will be available for any product that we may develop and, if reimbursement is available, what the level of reimbursement will be.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authorities and other third-party payors decide which drugs and treatments they will cover and the amount of reimbursement. Coverage and reimbursement by a third-party payor may depend upon a number of factors, including the third-party payor’s determination that use of a product is: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 covered benefit under its health plan;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safe, effective and medically necessary;</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appropriate for the specific patient;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cost-effective;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neither experimental nor investigational.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as well as foreign jurisdictions, no uniform policy of coverage and reimbursement for products exists among third-party payors.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Coverage and reimbursement for products may vary depending on the payor, the insurance plan, and other factors.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once approved. It is difficult to predict at this time what third-party payors will decide with respect to the coverage and reimbursement for our product candidates, if approved.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primary trend in the United States and European health care industries is toward cost containment, as government authorities, third-party payors, and others have attempted to control costs by limiting coverage and the amount of reimbursement available for certain treatments. Such third-party payers, including Medicare, may question the coverage of, and challenge or seek to lower the prices charged for medical products, and many third-party payers limit coverage and reimbursement for newly approved health care products. Moreover, reimbursement, if available, may vary according to the use of the product and the clinical setting in which it is used, may be based on reimbursement levels already set for lower cost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Times New Roman;sans-serif" w:hAnsi="Times New Roman;sans-serif"/>
          <w:b w:val="false"/>
          <w:color w:val="000000"/>
          <w:sz w:val="20"/>
        </w:rPr>
        <w:t>products and may be incorporated into existing payments for other services. Net prices for products may be reduced by mandatory discounts or rebates required by government healthcare programs or private payers or by future laws, regulations, or guidance seeking to limit prescription drug prices.</w:t>
      </w:r>
      <w:r>
        <w:rPr>
          <w:color w:val="000000"/>
        </w:rPr>
        <w:t xml:space="preserve"> </w:t>
      </w:r>
      <w:r>
        <w:rPr>
          <w:rFonts w:ascii="Times New Roman;sans-serif" w:hAnsi="Times New Roman;sans-serif"/>
          <w:b w:val="false"/>
          <w:color w:val="000000"/>
          <w:sz w:val="20"/>
        </w:rPr>
        <w:t>If we are unable to promptly obtain coverage and adequate reimbursement rates from both government-funded and private payers for any approved products that we develop, or if net prices are reduced by mandatory discounts or rebates, there could be a material adverse effect on our operating results, our ability to raise capital needed to commercialize products and our overall financial condition.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Changes to current healthcare laws and state and federal healthcare reform measures that may be adopted in the future that impact coverage and reimbursement for drug or biologic products may result in additional payment reductions in Medicare and other healthcare funding and otherwise affect the prices we may obtain for any product candidates for which we may obtain regulatory approval or the frequency with which any such product candidate is prescribed or used.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Even if we obtain FDA approval of any of our product candidates, we may never obtain approval or commercialize such products outside of the United States, which would limit our ability to realize their full market potential.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no internal sales, marketing, or distribution capabilities, nor have we commercialized a product. If any of our product candidates ultimately receives regulatory approval, we expect to establish a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Healthcare providers, physicians and third-party payors in the United States and elsewhere play a primary role in the recommendation and prescription of biopharmaceutical products. Arrangements with third-party payors and customers can expose biopharmaceutical manufacturers to broadly applicable fraud and abuse and other healthcare laws and regulations, as detailed in Part I, Item 1 - Business - Government Regulation - Other Healthcare Laws of our Annual Report on Form 10-K for the year ended December 31, 2022, or 2022 10-K. In particular, the research of our product candidates, as well as the promotion, sales and marketing of healthcare items and services, and certain business arrangements in the healthcare industry,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remuneration provided to health care professionals and their affiliates, charitable donations and other business arrangements generally. Activities subject to these laws also involve the improper use of information obtained in the course of patient recruitment for clinical trials.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distribution of biopharmaceutical products is subject to additional requirements and regulations, including extensive record-keeping, licensing, storage and security requirements intended to prevent the unauthorized sale of biopharmaceutical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scope and enforcement of each of these laws is uncertain and subject to rapid change in the current environment. Ensuring business arrangements comply with applicable healthcare laws can be time- and resource-consuming.</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reputational harm,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 Any action for violation of these laws, even if successfully defended, could cause a biopharmaceutical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any of our product candidates are approved, they will be subject to ongoing regulatory requirements for manufacturing, labeling, packaging, storage, advertising, promotion, sampling, record-keeping, conduct of post-marketing studies, pharmacovigilance, and submission of safety, efficacy and other post-market information, including both federal and state requirements in the United States and requirements of comparable foreign regulatory authorities. In addition, we will be subject to continued compliance with current Good Manufacturing Practice, or cGMP, and GCP requirements for any clinical trials that we conduct post-approval.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Manufacturers and their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marketing application, and previous responses to inspection observations. Accordingly, we and others with whom we work must continue to expend time, money, and effort in all areas of regulatory compliance, including manufacturing, production and quality control.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risk evaluation and mitigation strategies, or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FDA or any other foreign regulatory authority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restrictions on the marketing or manufacturing of our products, withdrawal of the product from the market or voluntary or mandatory product recalls;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fines, warning letters or holds on clinical trials;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refusal by the FDA to approve pending applications or supplements to approved applications filed by us or suspension or revocation of license approvals;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voluntary or mandatory product recalls and related publicity requirements;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total or partial suspension of production;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product seizure or detention or refusal to permit the import or export of our product candidates;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injunctions or the imposition of civil or criminal penalties.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FDA strictly regulates marketing, labeling, advertising, and promotion of products that are placed on the market. Products may be promoted only for the approved indications and in accordance with the provisions of the approved label. However, companies may share truthful and not misleading information that is not inconsistent with the labeling. The FDA and other agencies actively enforce the laws and regulations prohibiting the promotion of off-label uses and a company that is found to have improperly promoted off-label uses may be subject to significant liability.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Ongoing healthcare legislative and regulatory reform measures may have a material adverse effect on our business and results of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and other jurisdictions, there have been, and we expect there will continue to be, a number of legislative and regulatory changes and proposed changes to the healthcare system that could affect our ability to profitably sell any product candidates for which we obtain marketing approval or licensure. Changes in regulations, statutes or the interpretation of existing regulations governing the regulatory approval or licensure, manufacture, and marketing of regulated products or the pricing, coverage and reimbursement thereof could impact our business in the future by resulting in, for example: (i) changes to our manufacturing arrangements; (ii) additions or modifications to product labeling; (iii) the recall or discontinuation of our products; (iv) more rigorous coverage criteria or additional downward pressure on the price that we receive for product candidates for which we obtain marketing approval; or (v) additional record-keeping requirements. If any such changes were to be imposed, they could adversely affect the operation of our business.</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In the United States, there have been and continue to be a number of legislative initiatives to contain healthcare costs, as detailed in Part I, Item 1 – Business – Government Regulation – Current and Future Healthcare Reform Legislation of our 2022 10-K. For example, in August 2022, President Biden signed into law the Inflation Reduction Act or IRA, which implements substantial changes to the Medicare program, including drug pricing reforms and changes to the Medicare Part D benefit design.</w:t>
      </w:r>
      <w:r>
        <w:rPr>
          <w:color w:val="000000"/>
        </w:rPr>
        <w:t xml:space="preserve"> </w:t>
      </w:r>
      <w:r>
        <w:rPr>
          <w:rFonts w:ascii="Times New Roman;sans-serif" w:hAnsi="Times New Roman;sans-serif"/>
          <w:b w:val="false"/>
          <w:color w:val="000000"/>
          <w:sz w:val="20"/>
        </w:rPr>
        <w:t>Among other reforms, the IRA, imposes inflation rebates on drug manufacturers for products reimbursed under Medicare Parts B and D if the prices of those products increase faster than inflation; implements changes to the Medicare Part D benefit that, beginning in 2025, will cap patient annual out-of-pocket spending at $2,000, while imposing new discount obligations for pharmaceutical manufacturers and payors; and, beginning in 2026, establishes a “maximum fair price” for a fixed number of high spend pharmaceutical and biological products covered under Medicare Parts B and D following a price negotiation process with the Centers for Medicare and Medicaid Services.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IRA explicitly excludes from price negotiation orphan drugs designated for only one rare disease or condition and for which the only active approved indication is for such disease or condition. Those drugs with multiple orphan designations are not excluded from drug price negotiation.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its enactment, the Centers for Medicare and Medicaid Services, or CMS, has taken steps to implement various drug pricing provisions of the IRA. This includes issuing new guidance on June 30, 2023 detailing the requirements and parameters of the first round of price negotiations, to take place during 2023 and 2024, for products subject to the “maximum fair price” provision that would become effective in 2026 and, on August 29, 2023, releasing the initial list of 10 drugs subject to price negotiations. While it remains to be seen how the drug pricing provisions imposed by the IRA will affect the broader pharmaceutical industry (including orphan drug or small molecule development), several pharmaceutical manufacturers and other industry stakeholders have challenged the law, including through lawsuits brought against the U.S. Department of Health and Human Services (HHS), the Secretary of HHS, CMS, and the CMS Administrator challenging the constitutionality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implementation of the IRA’s drug price negotiation provisions. We cannot predict whether the IRA, or any of its component parts, will be overturned, repealed, replaced, or amended nor can we predict the likelihood, nature, or extent of other health reform initiatives that may arise from future legislation, administrative, or other action. However, we expect these initiatives to increase pressure on drug pricing. Further, certain broader legislation that is not targeted to the healthcare industry may nonetheless adversely affect our profitability.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 Separately, between March 2020 and February 2022, foreign and domestic inspections were largely placed on hold due to the COVID-19 pandemic.</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authorities outside the United States may adopt similar restrictions or other policy measures in response to COVID-19 or other future pandemics.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Drug marketing and reimbursement regulations may materially affect our ability to market and secure reimbursement for our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drugs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Furthermore, in many European countries (including the U.K.), effective access to the market depends on whether the product obtains a positive recommendation from the relevant health technology assessment body.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Much like the federal Anti-Kickback Statute prohibition in the United States, the provision of benefits or advantages to induce or reward improper performance generally to induce or encourage the prescription, recommendation, endorsement, purchase, supply, order or use of medicinal products is also prohibited in the EU. The provision of benefits or advantages to induce or reward improper performance generally is governed by the national anti-bribery laws of EU Member States, and in respect of the U.K. (which is no longer a member of the EU), the Bribery Act 2010. Infringement of these laws could result in substantial fines and imprisonment. EU Directive 2001/83/EC, which is the EU Directive governing medicinal products for human use, further provides that, where medicinal products are being promoted to persons qualified to prescribe, recommend, use, procure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Payments made to physicians in certain EU Member States and more generally throughout Europe (including the UK) and other countries must be publicly disclosed under applicable transparency provisions. Moreover, agreements with physicians often must be the subject of prior notification and approval by the physician’s employer, his or her competent professional organization and/or the regulatory authorities of the individual EU Member States. These requirements are provided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laws, industry codes or professional codes of conduct, applicable in the EU Member States. Failure to comply with these requirements could result in reputational risk, public reprimands, administrative penalties, fines or imprisonment.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 most foreign countries, including those within the EEA, the proposed pricing for a drug must be approved before it may be lawfully marketed. The requirements governing drug pricing and reimbursement are the prerogative of the Member States and vary widely from country to country. For example, the EU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study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biopharmaceutical products will allow or maintain favorable reimbursement and pricing arrangements for any of our products. Historically, products launched in the EU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Additional laws and regulations governing international operations could negatively impact or restrict our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expand our operations outside of the United States, we must dedicate additional resources to comply with numerous laws and regulations in each jurisdiction in which we plan to operate. The U.S. Foreign Corrupt Practices Act, or the FCPA, prohibits any U.S. individual or business entity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Compliance with the FCPA is expensive and difficult, particularly in countries in which corruption is a recognized problem. In addition, the FCPA presents particular challenges in the biopharmaceutical industry, because, in many countries, hospitals are operated by the government, and doctors and other hospital employees are considered foreign officials. Certain payments to hospitals and healthcare providers in connection with clinical trials and other work have been deemed to be improper payments to government officials and have led to FCPA enforcement actions.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Various laws, regulations and executive orders also restrict the use and dissemination outside of the United States, or the sharing with certain non-U.S. nationals, of information products classified for national security purposes, as well as certain products, technology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FCPA’s accounting provisions.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are subject to certain U.S. and foreign anti-corruption, anti-money laundering, export control, sanctions, and other trade laws and regulations. We can face serious consequences for violations.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success depends in part on our ability to protect our intellectual property. It is difficult and costly to protect our proprietary rights and technology, and we may not be able to ensure their protection.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will depend in large part on obtaining and maintaining patent, IP regulatory rights (such as data exclusivity, marketing exclusivity and patent extensions) trademark and trade secret protection of our proprietary technologies and our product candidates, their respective components, synthetic intermediates,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patenting process is expensive and time-consuming,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cannot be certain that we were the first to file any patent application related to our technology, including our product candidates, and, if we were not, we may be precluded from obtaining patent protection for our technology, including our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cannot be certain that we were the first to invent the inventions covered by pending patent applications and, if we are not, we may be subject to priority disputes. Furthermore, for United States applications in which all claims are entitled to a priority date before March 16, 2013, an interference proceeding can be provoked by a third-party or instituted by the United States Patent and Trademark Office, or USPTO, to determine who was the first to invent any of the subject matter covered by the patent claims of our applications.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obtain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Recent or future patent reform legislation could increase the uncertainties and costs surrounding the prosecution of our patent applications and the enforcement or defense of our issued patents. Under the Leahy-Smith America Invents Act, or America Invents Act, enacted in 2013, the United States moved from a “first to invent” to a “first-to-file” system. Under a “first-to-file” system, assuming the other requirements for patentability are met, the first inventor to file a patent application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America Invents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for our proprietary rights is uncertain because legal means afford only limited protection and may not adequately protect our rights or permit us to gain or keep our competitive advantage. For example: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others may be able to make or use compounds that are similar to the compositions of our product candidates but that are not covered by the claims of our patents or those of our licensors;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or our licensors, as the case may be, may fail to meet our obligations to the U.S. government in regards to any in-licensed patents and patent applications funded by U.S. government grants, leading to the loss of patent rights;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or our licensors, as the case may be, might not have been the first to file patent applications for these inventions;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others may independently develop similar or alternative technologies or duplicate any of our technologies;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it is possible that our pending patent applications will not result in issued patents;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may not be able to extend the patent term in some jurisdictions;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it is possible that there are prior public disclosures that could invalidate our or our licensors’ patents, as the case may be, or parts of our or their patents;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it is possible that others may circumvent our owned or in-licensed patents or regulatory intellectual property rights such as our data protection, orphan market exclusivity and others;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it is possible that there are unpublished applications or patent applications maintained in secrecy that may later issue with claims covering our products or technology similar to ours;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laws of foreign countries may not protect our or our licensors’, as the case may be, proprietary rights to the same extent as the laws of the United States;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claims of our owned or in-licensed issued patents or patent applications, if and when issued, may not cover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owned or in-licensed issued patents may not provide us with any competitive advantages, may be narrowed in scope, or be held invalid or unenforceable as a result of legal challenges by third parties;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have engaged in scientific collaborations in the past and will continue to do so in the future. Such collaborators may develop adjacent or competing products to ours that are outside the scope of our patents;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may not develop additional proprietary technologies for which we can obtain patent protection;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it is possible that product candidates or diagnostic tests we develop may be covered by third parties’ patents or other exclusive rights; or</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patents of others may have an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enter into license or other collaboration agreements in the future that may impose certain obligations on us. If we fail to comply with our obligations under such future agreements with third parties, we could lose license rights that may be important to our future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efforts to expand our pipeline of product candidates, we may enter into certain licenses or other collaboration agreements in the future pertaining to the in-license of rights to additional candidates. Such agreements may impose various diligence, milestone payment, royalty, insurance, or other obligations on us, subject to antitrust law restrictions. If we fail to comply with these obligations, our licensor or collaboration partners may have the right to terminate the relevant agreement, in which event we would not be able to develop or market the products covered by such licensed intellectual property.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Moreover, disputes may arise regarding intellectual property subject to a licensing agreement, including: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scope of rights granted under the license agreement and other interpretation-related issues;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extent to which our product candidates, technology and processes infringe on intellectual property of the licensor that is not subject to the licensing agreement;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sublicensing of patent and other rights under our collaborative development relationships;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diligence obligations under the license agreement and what activities satisfy those diligence obligations;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inventorship and ownership of inventions and know-how resulting from the joint creation or use of intellectual property by our licensors and us and our partners;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priority of invention of patented technology.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are unable to protect the confidentiality of our trade secrets, our business and competitive position would be harmed.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patent protection, we rely heavily upon know-how and trade secret protection, as well as non-disclosure agreements and invention assignment agreements with our employees, consultants and third 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For example, our clinical development strategy includes the testing of live tissue samples, and our techniques for preserving and testing these samples are proprietary and confidential. If one or more third parties obtain or are otherwise able to replicate these techniques, an important feature and differentiator of our clinical development strategy will become available to potential competitors. If any of our confidential or proprietary information, such as our trade secrets, were to be disclosed or misappropriated, or if any such information was independently developed by a competitor, our competitive position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courts outside the United States are sometimes less willing to protect trade secrets.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by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Third-party claims of intellectual property infringement may prevent or delay our product discovery and development efforts.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inter partes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a third party claims that we infringe its intellectual property rights, we may face a number of issues, including, but not limited to:</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infringement and other intellectual property claims which, regardless of merit, may be expensive and time-consuming to litigate and may divert our management’s attention from our core business;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 court prohibiting us from developing, manufacturing, marketing or selling our product candidates, or from using our proprietary technologies, unless the third party licenses its product rights to us, which it is not required to do;</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if a license is available from a third 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redesigning our product candidates or processes so they do not infringe, which may not be possible or may require substantial monetary expenditures and time.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tissue samples and biological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 in a collaborator’s study, we may be limited in our ability to capitalize on the market potential of these inventions or developments.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Third parties may assert that we are employing their proprietary technology without authorization.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may be third-party patents of which we are currently unaware with claims to compositions of matter, materials, formulations, methods of manufacture or methods for treatment that encompass the composition, use or manufacture of 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Third parties may assert that our employees or consultants have wrongfully used or disclosed confidential information or misappropriated trade secrets.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 litigation or other intellectual property related proceedings could adversely affect our ability to compete in the marketplace.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not be successful in obtaining or maintaining necessary rights to develop any future product candidates on acceptable terms.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Because our programs may involve additional product candidates that may require the use of proprietary rights held by third parties, the growth of our business may depend in part on our ability to acquire, in-license or use these proprietary rights.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be involved in lawsuits to protect or enforce our patents or the patents of our licensors, which could be expensive, time-consuming and unsuccessful.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choose to challenge the patentability of claims in a third party’s U.S. patent by requesting that the USPTO review the patent claims in an ex-parte re-examination, inter partes review or post-grant review proceedings. These proceedings are expensive and may consume our time or other resources. We may choose to challenge a third party’s patent in patent opposition proceedings in the European Patent Office, or EPO, or other foreign patent office.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Any patents covering our product candidates could be found invalid or unenforceable if challenged in court or the USPTO (or foreign patent offices).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or one of our licensors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We own pending patent applications covering our proprietary technologies or our product candidates that if issued as patents are expected to expire from 2037 through 2044, without taking into account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possible patent term adjustments or extensions. However, we cannot be assured that the USPTO, EPO or other relevant foreign patent offices will grant any of these patent applications.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Changes in patent law in the U.S. and in foreign jurisdictions could diminish the value of patents in general, thereby impairing our ability to protect our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On March 16, 2013, under the America Invents Act, enacted in September 2011, the United States transitioned to a first inventor to file system.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 our licensor’s patents or patent applications.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the USPTO, and courts or legislative bodies in foreign jurisdictions, the laws and regulations governing patents could change in unpredictable ways that could have a material adverse effect on our existing patent portfolio and our ability to protect and enforce our intellectual property in the future.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have limited foreign intellectual property rights and may not be able to protect our intellectual property rights throughout the world.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Patent terms may be inadequate to protect our competitive position on our product candidates for an adequate amount of time.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the EU level, the Court of Justice of the European Union, or CJEU, has recently narrowed the availability of patent term extension for second medical use therefore affecting the scope of patent protection available. </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do not obtain patent term extension, data exclusivity and orphan exclusivity for any product candidates we may develop, our business may be materially harmed.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Depending upon the timing, duration, and specifics of any FDA or foreign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within the EU, regulatory protections afforded to medicinal products such as data exclusivity, marketing protection, market exclusivity for orphan indications and pediatric extensions are currently under review and is likely to be curtailed in future years. On April 26, 2023, the European Commission adopted a proposal for a new Directive and a new Regulation. If made into law, this proposal will revise and replace the existing general pharmaceutical legislation and will affect the existing period of regulatory protection afforded to medicinal products. If we are unable to obtain patent term extension or the term of any such extension is less than we request, or if data exclusivity or other regulatory protections are reduced, our competitors may obtain approval of competing products following our patent expiration, and our business, financial condition, results of operations, and prospects could be materially harmed. It should be noted that the European Commission’s new proposed legislation, if implemented, will also affect the current EU legal framework of pediatric medicines.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Intellectual property rights do not necessarily address all potential threats to our competitive advantage.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others may be able to make drug candidates that are similar to ours but that are not covered by the claims of the patents that we own or have exclusively licensed;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or our licensors or future collaborators might not have been the first to make the inventions covered by the issued patent or pending patent application that we own or have exclusively licensed;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or our licensors or future collaborators might not have been the first to file patent applications covering certain of our inventions;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others may independently develop similar or alternative technologies or duplicate any of our technologies without infringing our intellectual property rights;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it is possible that our pending patent applications will not lead to issued patents;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issued patents that we own or have exclusively licensed may be held invalid or unenforceable, as a result of legal challenges by our competitors;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may not develop additional proprietary technologies that are patentable;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cannot predict the scope of protection of any patent issuing based on our patent applications, including whether the patent applications that we own or in-license will result in issued patents with claims that cover our drug candidates, drug products or uses thereof in the United States or in other foreign countries;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claims of any patent issuing based on our patent applications may not provide protection against competitors or any competitive advantages, or may be challenged by third parties;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if enforced, a court may not hold that our patents are valid, enforceable and/or infringed;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may need to initiate litigation or administrative proceedings to enforce and/or defend our patent rights which will be costly whether we win or lose;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we may choose not to file a patent application in order to maintain certain trade secrets or know-how, and a third party may subsequently file a patent application covering such intellectual property;</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 xml:space="preserve">we may fail to adequately protect and police our trademarks and trade secrets; </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other parties may independently develop the technology covered by our trade secrets;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patents of others may have an adverse effect on our business, including if others obtain patents claiming subject matter similar to or improving that covered by our patents and patent applications.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Should any of these events occur, they could significantly harm our business, financial condition, results of operations, and prospects.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Reliance on Third Parties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previously entered into a collaboration agreement with Novartis for the development of PLN-1474, which was terminated by Novartis in April 2023, and may in the future seek to enter into collaborations with third parties for the development and commercialization of other product candidates. If we fail to enter into such collaborations, or if our collaborations are not successful, we may be unable to continue development of such product candidates, we would not receive any contemplated milestone payments or royalties, and we could fail to capitalize on the market potential of such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2019, we entered into a license and collaboration agreement with Novartis for the development and commercialization of our then preclinical product candidate, PLN-1474, and up to three integrin research targets. On February 17, 2023, Novartis exercised their right to terminate the Novartis Agreement as part of their new strategy focusing on a limited number of therapeutic areas. The termination took effect on April 18, 2023, whereupon all rights and licenses granted thereunder, including PLN-1474, the related IND, and the validated research target, reverted back to us. The payment obligations of Novartis with respect to future milestones, royalties and research and development funding also terminated.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that we are unable to attract future collaborators, we may be forced to independently develop these product candidates, including funding preclinical or clinical trials, assuming marketing and distribution costs and defending intellectual property rights, or, in certain instances, abandon product candidates altogether, any of which could result in a change to our business plan and a material and adverse effect on our business, financial condition, results of operations and prospects.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rely on third parties to conduct certain aspects of our preclinical studies and clinical trials. If these third parties do not successfully carry out their contractual duties, meet expected deadlines or comply with regulatory requirements, we may not be able to obtain regulatory approval of or commercialize any potential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depend upon third parties to conduct certain aspects of our preclinical studies and clinical trials, under agreements with universities, medical institutions, CROs, strategic collaborators and others. We expect to have to negotiate budgets and contracts with such third parties, which may result in delays to our development timelines and increased costs.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will rely especially heavily on third parties over the course of our clinical trials, and, as a result, will have limited control over the clinical investigators and limited visibility into their day-to-day activities, including with respect to their compliance with the approved clinical protocol. Nevertheless, we are responsible for ensuring that each of our trials is conducted in accordance with the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clinical investigators and trial sites. If we or any of these third parties fail to comply with applicable GCP requirements, the clinical data generated in our clinical trials may be deemed unreliable and the FDA or comparable foreign regulatory authorities may require us to suspend or terminate these trials or perform additional preclinical studies or clinical trials before approving our marketing applications. We cannot be certain that, upon inspection, such regulatory authorities will determine that any of our clinical trials comply with the GCP requirements.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third parties conducting aspects of our preclinical studies or clinical trials will not be our employees and, except for remedies that may be available to us under our agreements with such third parties, we cannot control whether or not they devote sufficient time and resources to our preclinical studies and clinical programs.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preclinical or clinical data they obtain is compromised due to the failure to adhere to our protocols or regulatory requirements or for other reasons or if due to federal or state orders or absenteeism due to global conditions, including pandemics, they are unable to meet their contractual and regulatory obligations, our development timelines, including clinical development timelines,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any of our relationships with these third-party CROs or others terminate, we may not be able to enter into arrangements with alternative CROs or other third parties or to do so on commercially reasonable terms.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Switching or adding additional CROs involves additional cost and requires management time and focus. In addition, there is a natural transition period when a new CRO begins work. As a result, delays may occur, which can materially impact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rely on third parties for tissue samples and other materials required for our research and development activities, and if we are unable to reach agreements with these third parties our research and development activities would be delayed.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third parties, primarily hospitals, health clinics and academic institutions, for the provision of tissue samples and other materials required in our research and development activities. Obtaining these materials requires various approvals as well as reaching a commercial agreement on acceptable terms with the hospital or other provider of the materials. While we currently have agreements in place with the institutions from which we receive our tissue samples, we do not have any exclusive arrangements with such sources and there is no guarantee that we will be able to maintain or renew such agreements on commercially reasonable terms, if at all. If we were unable to maintain or renew such agreements, we would be forced to seek new arrangements with new hospitals, clinics or health institutions. If so, we may not be able to reach agreements with alternative partners or do so on terms acceptable to us. If we are unable to enter into such agreements, our research and development activities will be delayed and our ability to implement a key part of our development strategy will be compromised.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Because we rely on third-party manufacturing and supply vendors, including single-source vendors and vendors in foreign jurisdictions, including China, our supply of research and development, preclinical and clinical development materials may become limited or interrupted or may not be of satisfactory quantity or quality.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third-party contract manufacturers to manufacture our product candidates for preclinical studies and clinical trials. We do not own manufacturing facilities for producing any clinical trial product supplies. There can be no assurance that our preclinical and clinical development product supplies will not be limited, interrupted, or of satisfactory quality or continue to be available at acceptable prices, including due to challenging macroeconomic conditions, including the effects of health epidemics and pandemics, such as the COVID-19 pandemic. In addition, we rely on vendors in foreign jurisdictions, including China for our clinical drug supply for bexotegrast. If this supply is interrupted for business or geopolitical reasons, the development of bexotegrast could be materially delayed. In particular, any replacement of our manufacturers could require significant time, effort and expertise because there may be a limited number of qualified replacements and the process to transfer technology and initiate manufacturing is complex and time consuming.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cGMPs. In the event that any of our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rely on third-party manufacturers if we receive regulatory approval for bexotegrast or any other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and comply with cGMP could adversely affect our business in a number of ways, including: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an inability to initiate or continue clinical trials of product candidates under development;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delay in submitting regulatory applications, or receiving regulatory approvals, for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loss of the cooperation of an existing or future collaborator;</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subjecting third-party manufacturing facilities or our manufacturing facilities to additional inspections by regulatory authorities;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requirements to cease distribution or to recall batches of our product candidates;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 the event of approval to market and commercialize a product candidate, an inability to meet commercial demands for our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a sole supplier for the manufacture of bexotegrast. If this sole supplier is unable to supply to us in the quantities we require, or at all, or otherwise defaults on its supply obligations to us, we may not be able to obtain alternative supplies from other suppliers on acceptable terms, in a timely manner, or at all. We also do not have long-term supply agreements with any of our suppliers. Our current contracts with certain suppliers may be canceled or not extended by such suppliers and, therefore, do not afford us with protection against a reduction or interruption in supplies. Moreover, in the event any of these suppliers breach their contracts with us, our legal remedies associated with such a breach may be insufficient to compensate us for any damages we may suffer.</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contract with fill and finishing providers with the appropriate expertise, facilities and scale to meet our needs. Failure to maintain cGMP can result in a contractor receiving FDA sanctions, which can impact our ability to operate or lead to delays in any clinical development programs. We believe that our current fill and finish contractor is operating in accordance with cGMP, but we can give no assurance that FDA or other regulatory agencies will not conclude that a lack of compliance exists. In addition, any delay in contracting for fill and finish services, or failure of the contract manufacturer to perform the services as needed, may delay any clinical trials, registration and launches, which could negatively affect our business. In the future, if we advance a biological product candidate into IND-enabling studies, we will need to identify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with suppliers who are able to produce biological product candidates and adhere to additional cGMP compliance obligations required for biologicals.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Future collaborations are expected to be important to our business. If we are unable to enter into new collaborations, or if these collaborations are not successful, our business could be adversely affected.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part of our strategy is to selectively evaluate partnerships in indications and geographies where we believe partners can add significant commercial and/or development capabilities. Further, we have limited capabilities for product development and do not yet have any capability for commercialization. Accordingly, we have in the past and may in the future enter into collaborations with other companies to provide us with important technologies and funding for our programs and technology.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future collaborations we enter into may pose a number of risks, including the following: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collaborators may have significant discretion in determining the efforts and resources that they will apply;</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collaborators may not perform their obligations as expected;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collaborators may fail to comply with applicable regulatory requirements regarding the development, manufacture, distribution or marketing of a product candidate or product;</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collaborators with marketing and distribution rights to one or more of our product candidates that achieve regulatory approval may not commit sufficient resources to the marketing and distribution of such product or products;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collaborators may not provide us with timely and accurate information regarding development progress and activity under any future license agreement, which could adversely impact our ability to report progress to our investors and otherwise plan development of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collaborators may infringe the intellectual property rights of third parties, which may expose us to litigation and potential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if a collaborator of ours is involved in a business combination, the collaborator might deemphasize or terminate the development or commercialization of any product candidate licensed to it by us;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collaborations may be terminated by the collaborator, and, if terminated, we could be required to raise additional capital to pursue further development or commercialization of the applicable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collaborations we enter into do not result in the successful discovery, development and commercialization of product candidates or if a future collaborator terminates its agreement with us, we may not receive any research funding or milestone or royalty payments under such collaboration. All of the risks relating to product development, regulatory approval and commercialization described in this Report also apply to the activities of our therapeutic collaborators.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face significant competition in seeking appropriate collaborators for our product candidates, and the negotiation process is time-consuming and complex. In order for us to successfully establish a collaboration for one or more of our product candidates, potential collaborators must view these product candidates as economically valuable in markets they determine to be attractive in light of the terms that we are seeking and other available products for licensing by other companies. Collaborations are complex and time-consuming to negotiate and document. In addition, there have been a significant number of recent business combinations among large biopharmaceutical companies that have resulted in a reduced number of potential future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expertise and additional capital, which may not be available to us on acceptable terms, or at all. If we fail to enter into future collaborations or do not have sufficient funds or expertise to undertake the necessary development and commercialization activities, we may not be able to further develop our product candidates, bring them to market and generate revenue from sales of drugs or continue to develop our technology, and our business may be materially and adversely affected. Even if we are successful in our efforts to establish new strategic collaborations, the terms that we agree upon may not be favorable to us, and we may not be able to maintain such strategic collaborations if, for example, development or approval of a product candidate is delayed or sales of an approved product are disappointing. Any delay in entering into new strategic collaboration agreements related to our product candidates could delay the development and commercialization of our product candidates and reduce their competitiveness even if they reach the market.</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 xml:space="preserve">Our suppliers and any future collaborators may need assurances that our financial resources and stability on a stand-alone basis are sufficient to satisfy their requirements for doing or continuing to do business with us.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suppliers and any future collaborators may need assurances that our financial resources and stability on a stand-alone basis are sufficient to satisfy their requirements for doing or continuing to do business with us. If these parties are not satisfied with our financial resources and stability, it could have a material adverse effect on our ability to develop our drug candidates, enter into licenses or other agreements and on our business, financial condition or results of operations.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Managing Our Business and Operations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Global health pandemics, including the effects of health epidemics and pandemics, such as COVID-19 pandemic, could adversely impact our business, including our preclinical studies and clinical trials.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outbreak of COVID-19 and government measures taken in response thereto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initial spread of COVID-19, we significantly limited access to our executive offices with the majority of our administrative employees continuing their work outside of our offices and limited the presence of our staff in the laboratory and in the administrative spaces to levels that adhere to social distancing protocols. As a result of the COVID-19, we have experienced disruptions and may continue to experience disruptions that could severely impact our business, preclinical studies and clinical trials, including: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delays or difficulties in commencing enrollment of patients in our clinical trials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impact from potential delays, including potential difficulties in clinical site initiation and related processes such as in recruiting clinical site investigators and clinical site staff;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diversion of healthcare resources, including employee resources, away from the conduct of preclinical studies and clinical trials;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interruption of key clinical trial activities, such as clinical trial site data monitoring, due to any future limitations on travel or interruption of clinical trial subject visits and study procedures that are deemed non-essential, which may impact the integrity of subject data and clinical study endpoints;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interruption or delays in the operations of the FDA or other regulatory authorities, which may impact review and approval timelines;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interruption of, or delays in receiving, supplies of our product candidates from our contract manufacturing organizations due to staffing shortages, production slowdowns or stoppages and disruptions in delivery systems;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interruptions in preclinical studies due to restricted or limited operations at our laboratory facility;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interruption or delays to our sourced discovery and clinical activities.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extent to which COVID-19 impacts our business, preclinical studies and clinical trials will depend on future developments, which are highly uncertain and cannot be predicted with confidence, such as any resurgences, renewed travel restrictions and social distancing in the United States and other countries, further business closures or business disruptions and the effectiveness of actions taken in the United States and other countries to contain and treat the disease. The foregoing disruptions, and other continued disruptions to our business in connection with COVID-19, could have a material adverse impact on our business, financial condition or results of operations. In addition, COVID-19 heightens many of the other risks and uncertainties discussed herein.</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encounter difficulties in managing our growth, which could adversely affect our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had 159 full-time employees. As our clinical development and commercialization plans and strategies develop, we will need to expand our managerial, clinical, regulatory, sales, marketing, financial, development, manufacturing and legal capabilities or contract with third parties to provide these capabilities for us. As our operations expand, we expect that we will need to manage additional relationships with various strategic collaborators, suppliers and other third parties. Our future growth would impose significant added responsibilities on members of management, including:</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identifying, recruiting, integrating, retaining and motivating additional employees;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managing our development and commercialization efforts effectively, including the clinical and FDA review process for bexotegrast and any other product candidates, while complying with our contractual obligations to contractors and other third parties;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improving our operational, financial and management controls, reporting systems and procedures.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rely, and for the foreseeable future will continue to rely, in substantial part on certain independent organizations, advisors and consultants to provide certain services, including contract manufacturers and companies focused on research and development and discovery activities.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accuracy or quantity of the services provided is compromised for any reason, our clinical trials may be extended, delayed or terminated, and we may not be able to obtain, or may be substantially delayed in obtaining, regulatory approval of our product candidates or otherwise advance our business. There can be no assurance that we will be able to manage our existing consultants or find other competent outside contractors and consultants on economically reasonable terms, or at all.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are not able to effectively expand our organization by hiring new employees and expanding our groups of consultants and contractors, we may not be able to successfully implement the tasks necessary to further develop and commercialize bexotegrast or any other product candidates and, accordingly, may not achieve our research, development and commercialization goals.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acquire additional technology and complementary businesses in the future. Acquisitions involve many risks, any of which could materially harm our business, including the diversion of management’s attention from core business concerns,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failure to effectively exploit acquired technologies, failure to successfully integrate the acquired business or realize expected synergies or the loss of key employees from either our business or the acquired businesses.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lose key management personnel, or if we fail to recruit additional highly skilled personnel, our ability to develop current product candidates or identify and develop new product candidates will be impaired, could result in loss of markets or market share and could make us less competitive.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compete in the highly competitive biotechnology and biopharmaceutical industries depends upon our ability to attract and retain highly qualified managerial, scientific, and medical personnel. We are highly dependent on our management, scientific and medical personnel, including Bernard Coulie, M.D., Ph.D., our President and Chief Executive Officer, Keith Cummings, M.D., our Chief Financial Officer, Johannes (Hans) Hull, J.D., our Chief Business Officer and Éric Lefebvre, M.D., our Chief Medical Officer. The loss of the services of any of our executive officers, other key employees and other scientific and medical advisors, and our inability to find suitable replacements could result in delays in product development and harm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conduct our operations at our facility in South San Francisco, California. This region is headquarters to many other biopharmaceutical companies, biotechnology companies and research institutions. Competition for skilled personnel in our market is intense and may limit our ability to hire and retain highly qualified personnel on acceptable terms or at all.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To induce valuable employees to remain at our company, in addition to salary and cash incentives, we have provided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key employees are at-will employees, which means that any of our employees could leave our employment at any time, with or without notice. We do not maintain “key person” insurance policies on the lives of these individuals or the lives of any of our other employees. Our success also depends on our ability to continue to attract, retain and motivate highly skilled junior, mid-level and senior scientific and medical personnel.</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 including earthquakes, outbreak of disease or other natural disasters.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In addition, global climate change could result in certain types of natural disasters occurring more frequently or with more intense effects.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employees, independent contractors, consultants, commercial partners, collaborators and vendors may engage in misconduct or other improper activities, including noncompliance with regulatory standards and requirements.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the risk of employee fraud or other illegal activity by our employees, independent contractors, consultants, commercial partners, collaborators,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will also increase. These laws may impact, among other things, our current activities with principal investigators and research patients, as well as proposed and future sales, marketing, and education programs. We adopted a code of business conduct and ethics, but it is not always possible to identify and deter misconduct by our employees, independent contractors, consultants, commercial partners and vendors,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use and generate materials that may expose us to material liability.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programs involve the use of hazardous materials and chemicals, which are generally handled by third parties. We are subject to foreign, federal, state, and local environmental and health and safety laws and regulations governing, among other matters, the use, manufacture, handling, storage and disposal of hazardous materials and waste products such as human tissue samples that may have the potential to transmit diseases.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Compliance with governmental regulations regarding the treatment of animals used in research could increase our operating costs, which would adversely affect the commercialization of our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Animal Welfare Act, or AWA, is the federal law that covers the treatment of certain animals used in research. Currently, the AWA imposes a wide variety of specific regulations that govern the humane handling, care, treatment, and transportation of certain animals by producers and users of research animals, most notably relating to personnel, facilities,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sanitation, cage size, and feeding, watering, and shipping conditions. Third parties with whom we contract are subject to registration, inspections, and reporting requirements under the AWA. Furthermore, some states have their own regulations, including general anti-cruelty legislation, which establish certain standards in handling animals. Comparable rules, regulations, and or obligations exist in many foreign jurisdictions. If we or our contractors fail to comply with regulations concerning the treatment of animals used in research, we may be subject to fines and penalties and adverse publicity, and our operations could be adversely affected.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and certain tax credit carryforwards may be subject to limitation.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had net operating loss carryforwards for U.S. federal and state income tax purposes of $220.2 million and $278.9 million, respectively, some of which will begin to expire in 2035. As of December 31, 2022, we also had available tax credit carryforwards for U.S. federal income tax purposes of $20.2 million, which begin to expire in 2036, and state income tax purposes of $5.6 million, which can be carried forward indefinitely. Under Section 382 of the Internal Revenue Code, as amended, or the Code, changes in our ownership may limit the amount of our net operating loss carryforwards and tax credit carryforwards that could be utilized annually to offset our future taxable income, if any. This limitation would generally apply in the event of a cumulative change in ownership of our company of more than 50 percentage points within a three-year period. Any such limitation may significantly reduce our ability to utilize our net operating loss carryforwards and tax credit carryforwards before they expire. We have performed an analysis under Internal Revenue Code Sections 382 and 383 to determine the amount of our net operating loss carryforwards and research and development credit carryforwards that will be subject to annual limitation. This analysis concluded that we have experienced one or more such ownership changes prior to December 31, 2022, and the Company’s net operating losses and tax credit carryforwards generated prior to the identified ownership changes are subject to no permanent limitation under Sections 382 or 383. In addition, we may experience subsequent ownership changes as a result of future equity offerings or other changes in our stock ownership. Any such limitation could have a material adverse effect on our results of operations in future years. Our ability to utilize those net operating loss carryforwards could be limited by an “ownership change” as described above, which could result in increased tax liability to us. Net operating losses generated after December 31, 2017 are not subject to expiration, but may not be carried back to prior taxable years, except that net operating losses generated in 2018, 2019 and 2020 may be carried back five taxable years. Additionally, the deductibility of such U.S. federal net operating losses is limited to 80% of our taxable income in any taxable year beginning after December 31, 2020.</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The price of our stock may be volatile, and you could lose all or part of your investment.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common stock is likely to be highly volatile and could be subject to wide fluctuations in response to various factors, some of which are beyond our control, including limited trading volume. In addition to the factors discussed in this “Risk Factors” section and elsewhere in this Report, these factors include: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commencement, enrollment or results of our current Phase 2a and Phase 2b clinical trials of bexotegrast and any other clinical trials for our product candidates conducted by us or our collaborators;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any delay in identifying and advancing a clinical candidate for our other development programs;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any delay in our regulatory filings for bexotegrast or our other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adverse results or delays in future clinical trials;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decision to initiate a clinical trial, not to initiate a clinical trial or to terminate an existing clinical trial;</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adverse regulatory decisions, including failure to receive regulatory approval of bexotegrast or any other product candidate;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changes in laws or regulations applicable to bexotegrast or any other product candidate, including but not limited to clinical trial requirements for approvals;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adverse developments concerning our manufacturers;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inability to obtain adequate product supply for any approved product or inability to do so at acceptable prices;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inability to establish collaborations, if needed;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failure to commercialize our product candidates, if approved;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additions or departures of key scientific or management personnel;</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unanticipated serious safety concerns related to the use of bexotegrast or any other product candidate;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introduction of new products or services offered by us or our competitors;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announcements of significant acquisitions, strategic partnerships, joint ventures or capital commitments by us or our competitors;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ability to effectively manage our growth;</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actual or anticipated variations in quarterly operating results;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cash position;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our failure to meet the estimates and projections of the investment community or that we may otherwise provide to the public;</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publication of research reports about us or our industry, or product candidates in particular, or positive or negative recommendations or withdrawal of research coverage by securities analysts;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changes in the market valuations of similar companies;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changes in the structure of the healthcare payment systems;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overall performance of the equity markets;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sales of our common stock by us or our stockholders in the future;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trading volume of our common stock;</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changes in accounting practices;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ineffectiveness of our internal controls;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disputes or other developments relating to proprietary rights, including patents, litigation matters and our ability to obtain patent protection for our technologies;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significant lawsuits, including patent or stockholder litigation;</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general political and economic conditions;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other events or factors, many of which are beyond our control.</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stock market in general, and the market for biopharmaceutical companies in particular, have experienced extreme price and volume fluctuations that have often been unrelated or disproportionate to the operating performance of these companies, including as a result of effects of health epidemics and pandemics, such as COVID-19, the Russian invasion of Ukraine, tensions in the Middle East and rising inflationary pressures.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do not intend to pay dividends on our common stock so any returns will be limited to the value of our stock.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capital stock. We currently intend to retain all available funds and any future earnings to fund the development, operation and growth of our business and do not anticipate declaring or paying any cash dividends for the foreseeable future. Furthermore, future debt or other financing arrangements may contain terms prohibiting or limiting the amount of dividends that may be declared or paid on our common stock. Any return to stockholders will therefore be limited to the appreciation of their stock.</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executive officers, directors and their affiliates and our principal stockholders own a significant percentage of our stock and will be able to exert significant control over matters subject to stockholder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executive officers, directors and our principal stockholders beneficially hold a significant portion of our voting stock. These stockholders, acting together, may be able to significantly influence matters requiring stockholder approval. For example, these stockholders would be able to significantly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there are substantial sales of shares of our common stock, the price of our common stock could decline.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that are either subject to outstanding options or reserved for future issuance under our existing equity compensation plans will become eligible for sale in the public market as they become vested. If these additional shares of common stock are sold, or if it is perceived that they will be sold, in the public market, the trading price of our common stock could decline. Additionally, the number of shares of our common stock reserved for issuance under our 2020 Stock Option and Incentive Plan will automatically increase on January 1 of each year by 5% of the total number of shares of our capital stock outstanding on December 31 of the preceding calendar year, or a lesser number of shares determined by our board of directors or compensation committee. Moreover, the number of shares of our common stock reserved for issuance under our 2020 Employee Stock Purchase Plan, or ESPP, will automatically increase on January 1 of each year by the lesser of 700,000 shares of common stock, 1% of the total number of shares of our capital stock outstanding on December 31 of the preceding calendar year, or a lesser number of shares determined by our board of directors or compensation committee. Unless our board of directors elects not to increase the number of shares available for future grant each year, our stockholders may experience additional dilution.</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Effective December 31, 2023, we will be a large accelerated filer and no longer qualify as a smaller reporting company, which will increase our costs and demands on management.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market value of our common stock held by our non-affiliates as of June 30, 2023, we will no longer be a smaller reporting company and will be considered a “large accelerated filer” effective as of December 31, 2023, and thus will be subject to accelerated filing deadlines, as well as the requirements of section 404(b) of the Sarbanes-Oxley Act of 2002. Due to this upcoming transition, we expect to devote significant time and effort to implement and comply with the additional standards, rules and regulations that will apply to us upon becoming a large accelerated filer and losing our smaller reporting company status. Compliance with the additional requirements of being a large accelerated filer will also increase our legal, accounting and financial compliance costs.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a smaller reporting company, we have availed ourselves of the exemption from the requirement that our independent registered public accounting firm attest to the effectiveness of our internal control over financial reporting under Section 404 of the Sarbanes-Oxley Act of 2002. However, we may no longer avail ourselves of this exemption when we become a large accelerated filer and our independent registered public accounting firm will be required to formally attest to the effectiveness of our internal control over financial reporting for our Annual Report on Form 10-K for the year ending December 31, 2024. Due to the complexity and logistical difficulty of implementing the standards, rules and regulations that apply to non-smaller reporting companies on an accelerated timeframe, there is an increased risk that we may be found to be in non-compliance with such standards, rules and regulations or to have significant deficiencies or material weaknesses in our internal controls over financial reporting. Any failure to maintain effective disclosure controls and internal control over financial reporting could materially and adversely affect our business, results of operations and financial condition, and could cause a decline in the trading price of our common stock.</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and bylaws contain provisions that could delay or prevent a change of control of our company or changes in our board of directors that our stockholders might consider favorable. Some of these provisions include: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 board of directors divided into three classes serving staggered three-year terms, such that not all members of the board will be elected at one time;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 prohibition on stockholder action through written consent, which requires that all stockholder actions be taken at a meeting of our stockholders;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 requirement that special meetings of stockholders be called only by the board of directors acting pursuant to a resolution approved by the affirmative vote of a majority of the directors then in office;</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advance notice requirements for stockholder proposals and nominations for election to our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a requirement of approval of not less than two-thirds of all outstanding shares of our voting stock to amend any bylaws by stockholder action or to amend specific provisions of our certificate of incorporation; and</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authority of the board of directors to issue preferred stock on terms determined by the board of directors without stockholder approval and which preferred stock may include rights superior to the rights of the holders of common stock.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because we are incorporated in Delaware, we are governed by the provisions of Section 203 of the General Corporation Law of the State of Delaware, or the DGCL, which may prohibit certain business combinations with stockholders owning 15% or more of our outstanding voting stock. 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stockholders to elect directors of their choosing or cause us to take other corporate actions our stockholders desire. Any delay or prevention of a change of control transaction or changes in our board of directors could cause the market price of our common stock to decline.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bylaws designate certain courts as the exclusive forum for certain litigation that may be initiated by our stockholders, which could limit our stockholders’ ability to litigate disputes with us in a different judicial forum.</w:t>
      </w:r>
    </w:p>
    <w:p>
      <w:pPr>
        <w:pStyle w:val="TextBody"/>
        <w:bidi w:val="0"/>
        <w:spacing w:lineRule="auto" w:line="288" w:before="120" w:after="283"/>
        <w:ind w:left="0" w:right="0" w:firstLine="450"/>
        <w:jc w:val="left"/>
        <w:rPr/>
      </w:pPr>
      <w:r>
        <w:rPr>
          <w:rFonts w:ascii="Times New Roman;sans-serif" w:hAnsi="Times New Roman;sans-serif"/>
          <w:b w:val="false"/>
          <w:color w:val="231F20"/>
          <w:sz w:val="20"/>
        </w:rPr>
        <w:t>P</w:t>
      </w:r>
      <w:r>
        <w:rPr>
          <w:rFonts w:ascii="Times New Roman;sans-serif" w:hAnsi="Times New Roman;sans-serif"/>
          <w:b w:val="false"/>
          <w:color w:val="000000"/>
          <w:sz w:val="20"/>
        </w:rPr>
        <w:t>ursuant to our bylaws, unless we consent in writing to the selection of an alternative forum, the Court of Chancery of the State of Delaware will be the sole and exclusive forum for any state law claims for: (i) any derivative action or proceeding brought on our behalf; (ii) any action asserting a claim of breach of a fiduciary duty or other wrongdoing by any of our directors, officers, employees or agents to us or our stockholders; (iii) any action asserting a claim against us arising pursuant to any provision of the DGCL, our certificate of incorporation or our bylaws; (iv) any action to interpret, apply, enforce or determine the validity of our certificate of incorporation or bylaws; or (v) any action asserting a claim governed by the internal affairs doctrine, in each case subject to the Court of Chancery having personal jurisdiction over the indispensable parties named as defendants therein, or the Delaware forum provision. This exclusive forum provision will not apply to any causes of action arising under the Securities Act or the Exchange Act or any other claim for which the federal courts have exclusive jurisdiction. Unless we consent in writing to the selection of an alternate forum, the federal district courts shall be the sole and exclusive forum for resolving any complaint asserting a cause of action arising under the Securities Act, or the federal forum provision. In addition, our bylaws provide that any person or entity purchasing or otherwise acquiring any interest in shares of our common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State of California. In addition, these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the provision is not enforceable or invalid. The Court of Chancery of the State of Delaware and the federal district courts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lineRule="auto" w:line="288" w:before="120" w:after="283"/>
        <w:jc w:val="left"/>
        <w:rPr/>
      </w:pPr>
      <w:r>
        <w:rPr>
          <w:rFonts w:ascii="Times New Roman;sans-serif" w:hAnsi="Times New Roman;sans-serif"/>
          <w:b/>
          <w:color w:val="231F20"/>
          <w:sz w:val="20"/>
        </w:rPr>
        <w:t>General</w:t>
      </w:r>
      <w:r>
        <w:rPr>
          <w:color w:val="231F20"/>
        </w:rPr>
        <w:t xml:space="preserve"> </w:t>
      </w:r>
      <w:r>
        <w:rPr>
          <w:rFonts w:ascii="Times New Roman;sans-serif" w:hAnsi="Times New Roman;sans-serif"/>
          <w:b/>
          <w:color w:val="231F20"/>
          <w:sz w:val="20"/>
        </w:rPr>
        <w:t>Risk Factors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required to disclose changes made in our internal controls and procedures on a quarterly basis and our management is required to assess the effectiveness of these controls annually. However, for as long as we are “non-accelerated filer,” as defined by the SEC, our independent registered public accounting firm is not required to attest to the effectiveness of our internal controls over financial reporting pursuant to Section 404 for the fiscal year ending December 31, 2023. An independent assessment of the effectiveness of our internal controls over financial reporting could detect problems that our management’s assessment might not. </w:t>
      </w:r>
    </w:p>
    <w:p>
      <w:pPr>
        <w:pStyle w:val="TextBody"/>
        <w:bidi w:val="0"/>
        <w:spacing w:lineRule="auto" w:line="288" w:before="120" w:after="283"/>
        <w:ind w:left="0" w:right="0" w:firstLine="450"/>
        <w:jc w:val="left"/>
        <w:rPr/>
      </w:pPr>
      <w:r>
        <w:rPr>
          <w:rFonts w:ascii="Times New Roman;sans-serif" w:hAnsi="Times New Roman;sans-serif"/>
          <w:b/>
          <w:i/>
          <w:color w:val="231F20"/>
          <w:sz w:val="20"/>
        </w:rPr>
        <w:t>Our disclosure</w:t>
      </w:r>
      <w:r>
        <w:rPr>
          <w:color w:val="231F20"/>
        </w:rPr>
        <w:t xml:space="preserve"> </w:t>
      </w:r>
      <w:r>
        <w:rPr>
          <w:rFonts w:ascii="Times New Roman;sans-serif" w:hAnsi="Times New Roman;sans-serif"/>
          <w:b/>
          <w:i/>
          <w:color w:val="231F20"/>
          <w:sz w:val="20"/>
        </w:rPr>
        <w:t>controls</w:t>
      </w:r>
      <w:r>
        <w:rPr>
          <w:color w:val="231F20"/>
        </w:rPr>
        <w:t xml:space="preserve"> </w:t>
      </w:r>
      <w:r>
        <w:rPr>
          <w:rFonts w:ascii="Times New Roman;sans-serif" w:hAnsi="Times New Roman;sans-serif"/>
          <w:b/>
          <w:i/>
          <w:color w:val="231F20"/>
          <w:sz w:val="20"/>
        </w:rPr>
        <w:t>and procedures</w:t>
      </w:r>
      <w:r>
        <w:rPr>
          <w:color w:val="231F20"/>
        </w:rPr>
        <w:t xml:space="preserve"> </w:t>
      </w:r>
      <w:r>
        <w:rPr>
          <w:rFonts w:ascii="Times New Roman;sans-serif" w:hAnsi="Times New Roman;sans-serif"/>
          <w:b/>
          <w:i/>
          <w:color w:val="231F20"/>
          <w:sz w:val="20"/>
        </w:rPr>
        <w:t>may</w:t>
      </w:r>
      <w:r>
        <w:rPr>
          <w:color w:val="231F20"/>
        </w:rPr>
        <w:t xml:space="preserve"> </w:t>
      </w:r>
      <w:r>
        <w:rPr>
          <w:rFonts w:ascii="Times New Roman;sans-serif" w:hAnsi="Times New Roman;sans-serif"/>
          <w:b/>
          <w:i/>
          <w:color w:val="231F20"/>
          <w:sz w:val="20"/>
        </w:rPr>
        <w:t>not prevent</w:t>
      </w:r>
      <w:r>
        <w:rPr>
          <w:color w:val="231F20"/>
        </w:rPr>
        <w:t xml:space="preserve"> </w:t>
      </w:r>
      <w:r>
        <w:rPr>
          <w:rFonts w:ascii="Times New Roman;sans-serif" w:hAnsi="Times New Roman;sans-serif"/>
          <w:b/>
          <w:i/>
          <w:color w:val="231F20"/>
          <w:sz w:val="20"/>
        </w:rPr>
        <w:t>or detect</w:t>
      </w:r>
      <w:r>
        <w:rPr>
          <w:color w:val="231F20"/>
        </w:rPr>
        <w:t xml:space="preserve"> </w:t>
      </w:r>
      <w:r>
        <w:rPr>
          <w:rFonts w:ascii="Times New Roman;sans-serif" w:hAnsi="Times New Roman;sans-serif"/>
          <w:b/>
          <w:i/>
          <w:color w:val="231F20"/>
          <w:sz w:val="20"/>
        </w:rPr>
        <w:t>all</w:t>
      </w:r>
      <w:r>
        <w:rPr>
          <w:color w:val="231F20"/>
        </w:rPr>
        <w:t xml:space="preserve"> </w:t>
      </w:r>
      <w:r>
        <w:rPr>
          <w:rFonts w:ascii="Times New Roman;sans-serif" w:hAnsi="Times New Roman;sans-serif"/>
          <w:b/>
          <w:i/>
          <w:color w:val="231F20"/>
          <w:sz w:val="20"/>
        </w:rPr>
        <w:t>errors</w:t>
      </w:r>
      <w:r>
        <w:rPr>
          <w:color w:val="231F20"/>
        </w:rPr>
        <w:t xml:space="preserve"> </w:t>
      </w:r>
      <w:r>
        <w:rPr>
          <w:rFonts w:ascii="Times New Roman;sans-serif" w:hAnsi="Times New Roman;sans-serif"/>
          <w:b/>
          <w:i/>
          <w:color w:val="231F20"/>
          <w:sz w:val="20"/>
        </w:rPr>
        <w:t>or acts</w:t>
      </w:r>
      <w:r>
        <w:rPr>
          <w:color w:val="231F20"/>
        </w:rPr>
        <w:t xml:space="preserve"> </w:t>
      </w:r>
      <w:r>
        <w:rPr>
          <w:rFonts w:ascii="Times New Roman;sans-serif" w:hAnsi="Times New Roman;sans-serif"/>
          <w:b/>
          <w:i/>
          <w:color w:val="231F20"/>
          <w:sz w:val="20"/>
        </w:rPr>
        <w:t>of fraud.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a public reporting company, 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pStyle w:val="TextBody"/>
        <w:bidi w:val="0"/>
        <w:spacing w:lineRule="auto" w:line="288" w:before="120" w:after="283"/>
        <w:ind w:left="0" w:right="0" w:firstLine="450"/>
        <w:jc w:val="left"/>
        <w:rPr/>
      </w:pPr>
      <w:r>
        <w:rPr>
          <w:rFonts w:ascii="Times New Roman;sans-serif" w:hAnsi="Times New Roman;sans-serif"/>
          <w:b/>
          <w:i/>
          <w:color w:val="000000"/>
          <w:sz w:val="20"/>
        </w:rPr>
        <w:t>Our issuance of additional capital stock in connection with financings, acquisitions, investments, our stock incentive plans or otherwise will dilute all other stockholders</w:t>
      </w:r>
      <w:r>
        <w:rPr>
          <w:rFonts w:ascii="Times New Roman;sans-serif" w:hAnsi="Times New Roman;sans-serif"/>
          <w:b/>
          <w:i/>
          <w:color w:val="231F20"/>
          <w:sz w:val="20"/>
        </w:rPr>
        <w:t>.</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We expect to issue additional capital stock in the future that will result in dilution to all other stockholders. We expect to continue to grant equity awards to employees, directors, and consultants under our stock incentive plans. In July 2022 and January 2023, we completed underwritten public offerings of our common stock. In July 2021, we entered into the</w:t>
      </w:r>
      <w:r>
        <w:rPr>
          <w:color w:val="000000"/>
        </w:rPr>
        <w:t xml:space="preserve"> </w:t>
      </w:r>
      <w:r>
        <w:rPr>
          <w:rFonts w:ascii="Times New Roman;sans-serif" w:hAnsi="Times New Roman;sans-serif"/>
          <w:b w:val="false"/>
          <w:color w:val="000000"/>
          <w:sz w:val="20"/>
        </w:rPr>
        <w:t>Sales Agreement (the “Sales Agreement”) with Cantor Fitzgerald &amp; Co., as sales agent, pursuant to which we may issue and sell shares of common stock from time to time. On March 27, 2023, we filed a registration statement on Form S-3 (File No. 333-270862) which included a sales agreement prospectus registering the offer and sale of up to $150.0 million of shares under the Sales Agreement (the Sales Agreement Prospectus).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securities or industry analysts do not publish research or publish inaccurate or unfavorable research about our business, our stock price and trading volume could decline.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incur significant increased costs as a result of operating as a public company, and our management is required to devote substantial time to new compliance initiatives.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public company, we incur significant legal, accounting and other expenses.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the Nasdaq Stock Market, or Nasdaq, to implement provisions of the Sarbanes-Oxley Act, impose significant requirements on public companies, including requiring establishment and maintenance of effective disclosure and financial reporting controls and changes in corporate governance practices. Further,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incur substantial costs in our efforts to comply with evolving global data protection laws and regulations, and any failure or perceived failure by us to comply with such laws and regulations may harm our business and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Numerous federal and state laws and regulations, including the Health Insurance Portability and Accountability Act (HIPAA) and the Health Information Technology for Economic and Clinical Health Act (HITECH), govern the collection, dissemination, security, use and confidentiality of patient-identifiable health information or personal information. In the course of performing our business we obtain personally identifiable information (PII), including health-related information. Such laws and regulations relating to privacy, data protection, and consumer protection are evolving and subject to potentially differing interpretations. These requirements may be interpreted and applied in a manner that varies from one jurisdiction to another and/or may conflict with other laws or regulations. HIPAA establishes national privacy and security standards for the protection of individually identifiable health information, including protected health information (PHI) for certain covered entities, including healthcare providers that submit certain covered transactions electronically, as well as their “business associates.” Penalties for failure to comply with a requirement of HIPAA and HITECH vary significantly depending on the failure and could include civil monetary or criminal penalties. HIPAA also authorizes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 The HHS Office for Civil Rights (OCR) has recently increased its enforcement efforts on compliance with HIPAA, including the security regulations (Security Rule), bringing actions against entities which have failed to implement security measures sufficient to reduce risks to electronic protected health information or to conduct an accurate and thorough risk analysis, among other violations. HIPAA enforcement actions may lead to monetary penalties and costly and burdensome corrective action plans. Moreover, compliance with state laws related to health privacy may cause additional compliance costs. For instance, Washington State recently passed the “My Health My Data Act” which will regulate “consumer health data” which is defined as “personal information that is linked or reasonably linkable to a consumer and that identifies a consumer’s past, present, or future physical or mental health.”</w:t>
      </w:r>
      <w:r>
        <w:rPr>
          <w:color w:val="000000"/>
        </w:rPr>
        <w:t xml:space="preserve"> </w:t>
      </w:r>
      <w:r>
        <w:rPr>
          <w:rFonts w:ascii="Times New Roman;sans-serif" w:hAnsi="Times New Roman;sans-serif"/>
          <w:b w:val="false"/>
          <w:color w:val="000000"/>
          <w:sz w:val="20"/>
        </w:rPr>
        <w:t>The “My Health My Data Act” provides exemptions for personal data used or shared in research, including data subject to 45 C.F.R. Parts 46, 50, and 56. Nevada also recently enacted a consumer health data privacy bill, and additional states may adopt health-specific privacy laws that could impact our business activities depending on how they are interpreted.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encounter vendors that engage in information blocking practices that may inhibit our ability to access the relevant data on behalf of clients or impose new or additional costs. In 2020, the U.S. Department of Health and Human Services’ Office of the National Coordinator for Health Information Technology (ONC) and the Centers for Medicare and Medicaid Services promulgated final rules to support access, exchange, and use of electronic health information (EHI). Specifically, the information blocking rules were implemented as part of the 21st Century Cures Act, and are primarily designed to facilitate technology interoperability and enable the free flow of healthcare information for healthcare treatment, payment or operation purposes. On June 27, 2023, the Department of Health and Human Services Office of the Inspector General (HHS-OIG) published its final rule implementing information blocking penalties for “actors.” HHS-OIG may impose penalties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blocking that has occurred after September 1, 2023. The impact on the information blocking rules to our business is currently unclear.</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California passed the California Consumer Protection Act of 2018, or the CCPA, which went into effect in January 2020 and provides data privacy rights for consumers and new operational requirements for companies, which may increase our compliance costs and potential liability. The CCPA gives California residents expanded rights to access and delete their personal information, opt out of certain personal information sharing, and receive detailed information about how their personal information is used. Failure to comply with the CCPA risks regulatory fines, and the CCPA grants a private right of action and statutory damages for an unauthorized access and exfiltration, theft, or disclosure of certain types of personal information resulting from the company’s violation of a duty to maintain reasonable security procedures and practices. The CCPA also provides authority to the California Attorney General to seek civil penalties for intentional violations of the CCPA. While there is currently an exception for protected health information that is subject to HIPAA and clinical trial regulations, as currently written, the CCPA may impact certain of our business activities. Additionally, this exception does not apply to the private cause of action afforded to individuals for information security incidents.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CCPA was expanded on January 1, 2023, when the California Privacy Rights Act of 2020, or the CPRA, became operative. The CPRA, among other things, gives California residents the ability to limit use of certain sensitive personal information, further restricts the use of cross-contextual advertising, establishes restrictions on the retention of personal information, expands the types of data breaches subject to the CCPA’s private right of action, provides for increased penalties for CPRA violations concerning California residents under the age of 16, and establishes a new California Privacy Protection Agency to implement and enforce the new law. Although there are limited exemptions for clinical trial data under the CCPA, the CCPA and other similar laws could impact our business activities depending on how it is interpreted. In the interim, the CPRA will require additional investment in compliance programs and potential modifications to business processes.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Multiple states have followed California to legislate comprehensive privacy laws with data privacy rights. For example, on March 2, 2021, the Virginia Consumer Data Protection Act was signed into law, which went into effect on January 1, 2023, on May 10 2022, the Connecticut Data Privacy Act was signed into law, which went into effect on July 1, 2023, and on July 8, 2021, the Colorado Privacy Act, was signed into law, which went into effect on July 1, 2023. Multiple states have enacted similar legislation which will go into effect in the coming years. While these new laws generally include exemptions for HIPAA-covered and clinical trial data, they add layers of complexity to compliance in the U.S. market, and could increase our compliance costs and adversely affect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Federal Trade Commission (FTC) and many state attorneys general are interpreting existing federal and state consumer protection laws to impose evolving standards for the collection, use, dissemination and security of health-related and other personal information. Courts may also adopt the standards for fair information practices promulgated by the FTC, which concern consumer notice, choice, security and access. Consumer protection laws require us to publish statements that describe how we handle personal information and choices individuals may have about the way we handle their personal information.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consumers’ personal information secure may constitute unfair acts or practices in or affecting commerce in violation of Section 5 of the FTC Act. Additionally, the FTC recently published an advance notice of proposed rulemaking on commercial surveillance and data security, and is seeking comment on whether it should implement new trade regulation rules or other regulatory alternatives concerning the ways in which companies (1) collect, aggregate, protect, use, analyze, and retain consumer data, as well as (2) transfer, share, sell, or otherwise monetize that data in ways that are unfair or deceptive.</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Our business relies on secure and continuous processing of information and the availability of our Information Technology (IT) networks and IT resources, as well as critical IT vendors that support our technology and data processing operations. Security breaches, computer malware and computer hacking attacks have become more prevalent across industries and may occur on our systems or those of our third-party service providers. Attacks upon information technology systems are increasing in their frequency, levels of persistence, sophistication and intensity, and are being conducted by sophisticated and organized groups and individuals with a wide range of motives and expertise. OCR,</w:t>
      </w:r>
      <w:r>
        <w:rPr>
          <w:color w:val="000000"/>
        </w:rPr>
        <w:t xml:space="preserve"> </w:t>
      </w:r>
      <w:r>
        <w:rPr>
          <w:rFonts w:ascii="Times New Roman;sans-serif" w:hAnsi="Times New Roman;sans-serif"/>
          <w:b w:val="false"/>
          <w:color w:val="000000"/>
          <w:sz w:val="20"/>
        </w:rPr>
        <w:t>pursuant to legislation passed in 2021, recently issued guidance on recognized security practices for covered entities and business associates. OCR indicated that recognized security practices will not be an aggravating factor in OCR investigations, but that implementation of recognized security practices strengthen an organization’s cybersecurity and regulatory posture, as well as possibly lessening enforcement penalties in a potential regulatory enforcement.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regularly monitor, defend against and respond to attacks to our networks and other information security incidents. Despite our information security efforts, our facilities, systems, and data, as well as those of our third party service providers, may be vulnerable to privacy and information security incidents such as data breaches, viruses or other malicious code, coordinated attacks, data loss, phishing attacks, ransomware, denial of service attacks, or other security or IT incidents caused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threat actors, technological vulnerabilities or human error. If we, or any of our IT support vendors, fail to comply with laws requiring the protection of sensitive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operations in the United States, which may be subject to healthcare and other laws relating to the privacy and security of health information and other personal data, we may seek to conduct clinical trials in the EEA and may become subject to additional EEA data privacy laws, regulations and guidelines. The General Data Protection Regulation, or EU GDPR, became effective on May 25, 2018, and deals with the collection, use, storage, disclosure, transfer or other processing of personal data, including personal health data, regarding individuals in the EEA. The EU GDPR imposes a broad range of strict requirements on companies subject to the EU GDPR, including requirements relating to having legal bases for processing personal data (i.e., data relating to identifiable individuals) and transferring such personal data outside the EEA, including to the United States, and providing details to those individuals regarding the processing of their personal data, keeping personal data secure, having data processing agreements with third parties who process personal data on our behalf, responding to individuals’ requests to exercise their rights in respect of their personal data, reporting certain security breaches involving personal data to the competent national data protection authority and affected individuals, appointing data protection officers, conducting data protection impact assessments and record-keeping. Further, national laws of member states of the EU may partially deviate from the EU GDPR and impose different obligations from country to country, so that we do not expect to operate in a uniform legal landscape in the EEA. In particular, as it relates to processing and transfer of genetic data and health data, the EU GDPR specifically allows national laws to impose additional and more specific requirements or restrictions, and European laws have historically differed quite substantially in this field, leading to additional uncertainty.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EU GDPR has in place penalties to which we could be subject in the event of any non-compliance, including fines of up to €10,000,000 or up to 2% of our total worldwide annual turnover for certain comparatively minor offenses, or up to €20,000,000 or up to 4% of our total worldwide annual turnover, whichever is greater, for more serious offenses. The EU GDPR also confers a private right of action on data subjects and consumer associations to lodge complaints with supervisory authorities, seek judicial remedies, and obtain compensation for damages resulting from violations of the EU GDPR. If our efforts to comply with EU GDPR or other applicable EU laws and regulations are not successful, or are perceived to be unsuccessful, it could adversely affect our business in the EU.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The EU GDPR also prohibits the transfer of personal data from the EEA to the United States and other countries that are not recognized as having “adequate” data protection laws by the European Commission unless the parties to the transfer have implemented specific safeguards to protect the transferred personal data. One of the primary safeguards allowing U.S. companies to import personal data from the EEA has been certification to the EU-U.S. Privacy Shield framework administered by the U.S. Department of Commerce. However,</w:t>
      </w:r>
      <w:r>
        <w:rPr>
          <w:color w:val="000000"/>
        </w:rPr>
        <w:t xml:space="preserve"> </w:t>
      </w:r>
      <w:r>
        <w:rPr>
          <w:rFonts w:ascii="Times New Roman;sans-serif" w:hAnsi="Times New Roman;sans-serif"/>
          <w:b w:val="false"/>
          <w:color w:val="000000"/>
          <w:sz w:val="20"/>
        </w:rPr>
        <w:t>the European Court of Justice, or the ECJ, issued a decision in July 2020 which invalidated the EU-U.S. Privacy Shield framework for international transfers (Schrems II) and imposed further restrictions on the use of standard contractual clauses (SCCs). The SCCs were subsequently updated by the European Commission and these now place a contractual obligation on the parties to carry out a transfer privacy impact assessment, which among other things, assesses laws governing access to personal data in the recipient country and considers whether supplementary measures that provide privacy protections additional to those provided under the SCCs will need to be implemented to ensure an essentially equivalent level of data protection to that afforded in the EU. Following that decision, the Swiss Federal Data Protection and Information Commissioner (FDPIC) took a similar view and considered that data transfers based on the Swiss-U.S. Privacy Shield framework are no longer lawful.</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 xml:space="preserve">On October 7, 2022, President Biden introduced an Executive Order to facilitate a new Trans-Atlantic Data Privacy Framework (DPF) and on July 10, 2023, the European Commission adopted its Final Implementing Decision granting the U.S. adequacy (Adequacy Decision) with respect to companies that subscribe to the DPF. Entities relying on Standard Contractual Clauses for transfers to the U.S. are able to rely on the analysis in the Adequacy Decision as support for their transfer impact assessments required by the </w:t>
      </w:r>
      <w:r>
        <w:rPr>
          <w:rFonts w:ascii="Times New Roman;sans-serif" w:hAnsi="Times New Roman;sans-serif"/>
          <w:b w:val="false"/>
          <w:i/>
          <w:color w:val="000000"/>
          <w:sz w:val="20"/>
        </w:rPr>
        <w:t>Schrems II</w:t>
      </w:r>
      <w:r>
        <w:rPr>
          <w:color w:val="000000"/>
        </w:rPr>
        <w:t xml:space="preserve"> </w:t>
      </w:r>
      <w:r>
        <w:rPr>
          <w:rFonts w:ascii="Times New Roman;sans-serif" w:hAnsi="Times New Roman;sans-serif"/>
          <w:b w:val="false"/>
          <w:color w:val="000000"/>
          <w:sz w:val="20"/>
        </w:rPr>
        <w:t>decision regarding the equivalence of U.S. national security safeguards and redress. Given the above, the current legal position could restrict our activities in the EEA/Switzerland, limit our ability to provide our products and services in the EEA/Switzerland, and/or increase our costs and obligations and impose limitations upon our ability to efficiently transfer personal data from the EEA/Switzerland to the United States.</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Following the U.K.’s departure from the EU (Brexit), the EU GDPR’s data protection obligations continue to apply to the UK in substantially unvaried form under the so-called “UK GDPR”. The UK GDPR exists alongside the UK Data Protection Act 2018 which implements certain derogations in the UK GDPR into UK law.</w:t>
      </w:r>
      <w:r>
        <w:rPr>
          <w:color w:val="000000"/>
        </w:rPr>
        <w:t xml:space="preserve"> </w:t>
      </w:r>
      <w:r>
        <w:rPr>
          <w:rFonts w:ascii="Times New Roman;sans-serif" w:hAnsi="Times New Roman;sans-serif"/>
          <w:b w:val="false"/>
          <w:color w:val="000000"/>
          <w:sz w:val="20"/>
        </w:rPr>
        <w:t xml:space="preserve">Under the UK GDPR, companies not established in the UK but who process personal data in relation to the offering of goods or services to individuals in the UK, or to monitor their behavior will be subject to the UK GDPR – the requirements of which are (at this time) largely aligned with those under the EU GDPR and as such, may lead to similar compliance and operational costs with potential fines of up to £17.5 million or 4% of global turnover. As a result, we are potentially exposed to two parallel data protection regimes, each of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authorizes fines and the potential for divergent enforcement actions. It should be noted that the UK GDPR also prohibits the transfer of personal data from the UK to other countries that are not recognized as having “adequate” data protection laws, including the U.S., in a similar manner to the EU. In addition, the UK Government has published its own form of SCCs, known as the International Data Transfer Agreement and International Data Transfer Addendum to the new EU SCCs. The UK Information Commissioner’s Office has also published its version of the transfer impact assessment and revised guidance on international transfers, although companies may choose to either use the EU style or UK style transfer impact assessment. In terms of international data transfers between the UK and U.S., on September 21, 2023, regulations were laid in the UK Parliament to give effect to the UK Extension to the DPF – otherwise known as the “UK-U.S. Data Bridge.” The regulations took effect on October 12, 2023. The UK-US Data Bridge, which is the UK’s equivalent of the Adequacy Decision, will enable companies in the UK to lawfully transfer personal data to participating organizations in the US without the need to implement additional safeguards.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we commence clinical trials in the EEA, the UK or Switzerland, applicable data protection laws may increase our responsibility and liability in relation to personal data that we process, and we may be required to put in place additional mechanisms and safeguards to ensure compliance, including as implemented by individual countries. Compliance with data protection laws in the EEA, the UK and Switzerland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We expect that we will continue to face uncertainty as to whether our efforts to comply with any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biopharmaceutical partners. We may also experience hesitancy, reluctance, or refusal by European or multi-national clients or biopharmaceutical partners to continue to use our products and solutions due to the potential risk exposure as a result of the current (and, in particular, future) data protection obligations imposed on them by certain data protection authorities in interpretation of current law. Such clients or biopharmaceutical partners may also view any alternative approaches to compliance as being too costly, too burdensome, too legally uncertain, or otherwise objectionable and therefore decide not to do business with us. Any of the forgoing could materially harm our business, prospects, financial condition and results of operations.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Following Brexit, legal, political and economic uncertainty surrounding the exit of the U.K. from the EU may be a source of instability in international markets, create significant currency fluctuations, adversely affect our operations in the U.K. and pose additional risks to our business, revenue, financial condition and results of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31, 2020, the U.K. ceased being a Member State of the EU. The U.K. and the EU signed a EU-UK Trade and Cooperation Agreement, or TCA, which became effective on May 1, 2021. Such a withdrawal from the EU is unprecedented, and it is unclear how the restrictions on the U.K.’s access to the European single market for goods, capital, services and labor within the EU, or single market, and the wider commercial, legal and regulatory environment, will impact our current and future operations (including business activities conducted by third parties and contract manufacturers on our behalf) and clinical activities in the U.K.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also face new regulatory costs and challenges that could have an adverse effect on our operations. Since the regulatory framework in the U.K. covering quality, safety and efficacy of pharmaceutical products, clinical trials, marketing authorization, commercial sales and distribution of pharmaceutical products is derived from EU Directives and Regulations, Brexit could materially impact the future regulatory regime with respect to the approval of our product candidates in the U.K., now that U.K. legislation may depart from EU legislation. For instance, now the transition period has expired, Great Britain will no longer be covered by the centralized procedure for obtaining an EEA-wide marketing authorization from the EMA and a separate process will be required for authorization of drug products covering the UK or Great Britain only. Any delay in obtaining, or an inability to obtain, any regulatory approvals, as a result of Brexit or otherwise, would prevent us from commercializing our product candidates in the U.K. and/or the EU and restrict our ability to generate revenue and achieve and sustain profitability. If any of these outcomes occur, we may be forced to restrict or delay efforts to seek regulatory approval in the U.K. and/or EU for our product candidates, which could significantly and materially harm our business.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The TCA allows for future deviation from the current regulatory framework and it is not known if and/or when any deviations may occur, which may have an impact on development, manufacture, marketing authorization, commercial sales and distribution of pharmaceutical products. The U.K. Government and the EU recently adopted a new agreement, the “Windsor Framework,” which will replace the Northern Ireland Protocol. According to the Windsor Framework, medicinal products intended for the UK market, including Northern Ireland, will be authorized by the MHRA and will bear a “UK only” label. This means that medicinal products placed on the market in Northern Ireland will no longer need to be compliant with EU law.</w:t>
      </w:r>
      <w:r>
        <w:rPr>
          <w:color w:val="000000"/>
        </w:rPr>
        <w:t xml:space="preserve"> </w:t>
      </w:r>
      <w:r>
        <w:rPr>
          <w:rFonts w:ascii="Times New Roman;sans-serif" w:hAnsi="Times New Roman;sans-serif"/>
          <w:b w:val="false"/>
          <w:color w:val="000000"/>
          <w:sz w:val="20"/>
        </w:rPr>
        <w:t>These new measures will be implemented on January 1, 2025.</w:t>
      </w:r>
    </w:p>
    <w:p>
      <w:pPr>
        <w:pStyle w:val="TextBody"/>
        <w:bidi w:val="0"/>
        <w:spacing w:lineRule="auto" w:line="288" w:before="120" w:after="283"/>
        <w:ind w:left="0" w:right="0" w:firstLine="450"/>
        <w:jc w:val="left"/>
        <w:rPr/>
      </w:pPr>
      <w:r>
        <w:rPr>
          <w:rFonts w:ascii="Times New Roman;sans-serif" w:hAnsi="Times New Roman;sans-serif"/>
          <w:b/>
          <w:i/>
          <w:color w:val="231F20"/>
          <w:sz w:val="20"/>
        </w:rPr>
        <w:t>Changes in U.S.</w:t>
      </w:r>
      <w:r>
        <w:rPr>
          <w:color w:val="231F20"/>
        </w:rPr>
        <w:t xml:space="preserve"> </w:t>
      </w:r>
      <w:r>
        <w:rPr>
          <w:rFonts w:ascii="Times New Roman;sans-serif" w:hAnsi="Times New Roman;sans-serif"/>
          <w:b/>
          <w:i/>
          <w:color w:val="231F20"/>
          <w:sz w:val="20"/>
        </w:rPr>
        <w:t>tax law could adversely</w:t>
      </w:r>
      <w:r>
        <w:rPr>
          <w:color w:val="231F20"/>
        </w:rPr>
        <w:t xml:space="preserve"> </w:t>
      </w:r>
      <w:r>
        <w:rPr>
          <w:rFonts w:ascii="Times New Roman;sans-serif" w:hAnsi="Times New Roman;sans-serif"/>
          <w:b/>
          <w:i/>
          <w:color w:val="231F20"/>
          <w:sz w:val="20"/>
        </w:rPr>
        <w:t>affect</w:t>
      </w:r>
      <w:r>
        <w:rPr>
          <w:color w:val="231F20"/>
        </w:rPr>
        <w:t xml:space="preserve"> </w:t>
      </w:r>
      <w:r>
        <w:rPr>
          <w:rFonts w:ascii="Times New Roman;sans-serif" w:hAnsi="Times New Roman;sans-serif"/>
          <w:b/>
          <w:i/>
          <w:color w:val="231F20"/>
          <w:sz w:val="20"/>
        </w:rPr>
        <w:t>our financial</w:t>
      </w:r>
      <w:r>
        <w:rPr>
          <w:color w:val="231F20"/>
        </w:rPr>
        <w:t xml:space="preserve"> </w:t>
      </w:r>
      <w:r>
        <w:rPr>
          <w:rFonts w:ascii="Times New Roman;sans-serif" w:hAnsi="Times New Roman;sans-serif"/>
          <w:b/>
          <w:i/>
          <w:color w:val="231F20"/>
          <w:sz w:val="20"/>
        </w:rPr>
        <w:t>condition</w:t>
      </w:r>
      <w:r>
        <w:rPr>
          <w:color w:val="231F20"/>
        </w:rPr>
        <w:t xml:space="preserve"> </w:t>
      </w:r>
      <w:r>
        <w:rPr>
          <w:rFonts w:ascii="Times New Roman;sans-serif" w:hAnsi="Times New Roman;sans-serif"/>
          <w:b/>
          <w:i/>
          <w:color w:val="231F20"/>
          <w:sz w:val="20"/>
        </w:rPr>
        <w:t>and results</w:t>
      </w:r>
      <w:r>
        <w:rPr>
          <w:color w:val="231F20"/>
        </w:rPr>
        <w:t xml:space="preserve"> </w:t>
      </w:r>
      <w:r>
        <w:rPr>
          <w:rFonts w:ascii="Times New Roman;sans-serif" w:hAnsi="Times New Roman;sans-serif"/>
          <w:b/>
          <w:i/>
          <w:color w:val="231F20"/>
          <w:sz w:val="20"/>
        </w:rPr>
        <w:t>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rules dealing with U.S. federal, state and local income taxation are constantly under review by persons involved in the legislative process and by the U.S.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U.S. tax laws could have a material adverse effect on our business, cash flow, financial condition or results of operations. We urge investors to consult with their legal and tax advisors regarding the implications of potential changes in U.S. tax laws on an investment in our common stock.</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internal computer systems, or those of our collaborators or other contractors or consultants, may fail or suffer security breaches, which could result in a material disruption of our product development programs.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internal computer systems and those of our current and any future collaborators, other contractors or consultants, and third-party suppliers (i.e. our supply chain) are vulnerable to damage from computer viruses, unauthorized access, natural disasters, terrorism, war and telecommunication and electrical failures. We exercise little or no direct control over how these third parties operate their networks, which increases our vulnerability to problems with their systems. While we have not experienced any such material system failure, accident or security breach to date, if such an event were to occur and cause interruptions in our information systems, it could result in a disruption of our development programs and our business operations, whether due to a loss of our trade secrets or other proprietary information or other similar disruptions. For example, the loss of clinical trial data from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could be subject to risks caused by misappropriation, misuse, leakage, falsification or intentional or accidental release, exposure or loss of information maintained in the information systems and networks of our company and our vendors, including personal information of our employees and study subjects,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 and viruses, supply chain attacks, phishing and other cyberattacks. The number and complexity of these threats continue to increase over time. If a material breach of, or accidental or intentional loss of data from,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 based information systems, the related security risks will increase and we will need to expend additional resources to protect our technology and information systems.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there can be no assurance that our internal information technology systems or those of our third- 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while we maintain insurance policies that may cover certain liabilities in connection with a cybersecurity incident, we cannot be certain that the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that exceed available insurance coverage, or the occurrence of changes in insurance policies, including premium increases or the imposition of large deductible or co-insurance requirements, could have a material adverse effect on our business, including its financial condition, results of operations and reputation.</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Unfavorable global economic conditions could adversely affect our business,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could be adversely affected by general conditions in the global economy and in the global financial markets. Portions of our future clinical trials may be conducted outside of the United States and unfavorable economic conditions resulting in the weakening of the U.S. dollar would make those clinical trials costlier to operate. Furthermore, the most recent global financial crisis caused extreme volatility and disruptions in the capital and credit markets. A severe or prolonged economic downturn, due to factors including the effects of health epidemics and pandemics, such as the COVID-19 pandemic, Russian invasion of Ukraine, tensions in the Middle East, rising inflationary pressures and rising interest rates could result in a variety of risks to our business, including a reduced ability to raise additional capital when needed on acceptable terms, if at all. A weak or declining economy or international trade disputes could also strain our suppliers, some of which are located outside of the United States,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lineRule="auto" w:line="288" w:before="120" w:after="283"/>
        <w:ind w:left="0" w:right="0" w:firstLine="450"/>
        <w:jc w:val="left"/>
        <w:rPr>
          <w:rFonts w:ascii="Times New Roman;sans-serif" w:hAnsi="Times New Roman;sans-serif"/>
          <w:b/>
          <w:i/>
          <w:color w:val="231F20"/>
          <w:sz w:val="20"/>
        </w:rPr>
      </w:pPr>
      <w:r>
        <w:rPr>
          <w:rFonts w:ascii="Times New Roman;sans-serif" w:hAnsi="Times New Roman;sans-serif"/>
          <w:b/>
          <w:i/>
          <w:color w:val="231F20"/>
          <w:sz w:val="20"/>
        </w:rPr>
        <w:t>The increasing use of social media platforms presents new risks and challenges.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Social media is increasingly being used to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For example, patients may use social media channels to comment on their experience in an ongoing blinded clinical trial or to report an alleged adverse event. When such disclosures occur,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estimates of market opportunity and forecasts of market growth may prove to be inaccurate, and even if the markets in which we compete achieve the forecasted growth, our business may not grow at similar rates, or at all.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w:t>
      </w:r>
    </w:p>
    <w:p>
      <w:pPr>
        <w:pStyle w:val="TextBody"/>
        <w:bidi w:val="0"/>
        <w:spacing w:lineRule="auto" w:line="288" w:before="120" w:after="12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(a) Unregistered Sales of Equity Securities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12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(b) Repurchase of Shares of Company Equity Securities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281"/>
        <w:gridCol w:w="247"/>
        <w:gridCol w:w="249"/>
        <w:gridCol w:w="109"/>
        <w:gridCol w:w="109"/>
        <w:gridCol w:w="109"/>
        <w:gridCol w:w="2725"/>
        <w:gridCol w:w="2626"/>
        <w:gridCol w:w="3750"/>
      </w:tblGrid>
      <w:tr>
        <w:trPr/>
        <w:tc>
          <w:tcPr>
            <w:tcW w:w="28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3750" w:type="dxa"/>
            <w:tcBorders/>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Amended and Restated Certificate of Incorporation of the Registrant, as currently in effect (incorporated by reference to Exhibit 3.1 of the Registrant’s quarterly report on Form 10-Q (File No. 001-39303) filed on August 11, 2020).</w:t>
              </w:r>
            </w:hyperlink>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Second Amended and Restated Bylaws of the Registrant, as currently in effect (incorporated by reference to Exhibit 3.1 of the Registrant’s Current Report on Form 8-K (File No. 001-39303) filed on September 16, 2022).</w:t>
              </w:r>
            </w:hyperlink>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 xml:space="preserve">Specimen Common Stock Certificate (incorporated by reference to Exhibit 4.1 of the Registrant’s Registration Statement on Form S-1, as amended (File No. 333-238146) filed on May 26, 2020). </w:t>
              </w:r>
            </w:hyperlink>
          </w:p>
          <w:p>
            <w:pPr>
              <w:pStyle w:val="TableContents"/>
              <w:bidi w:val="0"/>
              <w:spacing w:lineRule="auto" w:line="240" w:before="0" w:after="0"/>
              <w:jc w:val="left"/>
              <w:rPr>
                <w:color w:val="000000"/>
              </w:rPr>
            </w:pPr>
            <w:r>
              <w:rPr>
                <w:color w:val="000000"/>
              </w:rPr>
              <w:t> </w:t>
            </w:r>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80"/>
                  <w:sz w:val="20"/>
                  <w:u w:val="single"/>
                </w:rPr>
                <w:t>1</w:t>
              </w:r>
            </w:hyperlink>
            <w:hyperlink r:id="rId6">
              <w:r>
                <w:rPr>
                  <w:rStyle w:val="InternetLink"/>
                  <w:rFonts w:ascii="Times New Roman;sans-serif" w:hAnsi="Times New Roman;sans-serif"/>
                  <w:b w:val="false"/>
                  <w:color w:val="000080"/>
                  <w:sz w:val="20"/>
                  <w:u w:val="single"/>
                </w:rPr>
                <w:t>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Office Lease Agreement by and between the Registrant and HCP BTC, LLC , dated September 28, 2023.(incorporated herein by reference to Exhibit 10.1 of the Registrant's Current Report on Form 8-K (File No. 001-39303) filed on October 3, 2023.</w:t>
              </w:r>
            </w:hyperlink>
            <w:r>
              <w:rPr>
                <w:rFonts w:ascii="Times New Roman;sans-serif" w:hAnsi="Times New Roman;sans-serif"/>
                <w:b w:val="false"/>
                <w:color w:val="000000"/>
                <w:sz w:val="20"/>
              </w:rPr>
              <w:t>)</w:t>
            </w:r>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80"/>
                  <w:sz w:val="20"/>
                  <w:u w:val="single"/>
                </w:rPr>
                <w:t>1</w:t>
              </w:r>
            </w:hyperlink>
            <w:hyperlink r:id="rId9">
              <w:r>
                <w:rPr>
                  <w:rStyle w:val="InternetLink"/>
                  <w:rFonts w:ascii="Times New Roman;sans-serif" w:hAnsi="Times New Roman;sans-serif"/>
                  <w:b w:val="false"/>
                  <w:color w:val="000080"/>
                  <w:sz w:val="20"/>
                  <w:u w:val="single"/>
                </w:rPr>
                <w:t>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Termination Agreement by and between the Registrant and Healthpeak OP, LLC, dated September 28, 2023.(incorporated herein by reference to Exhibit 10.2 of the Registrant's Current Report on Form 8-K (File No. 001-39303) filed on October 3, 2023.)</w:t>
              </w:r>
            </w:hyperlink>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30930xex311.htm">
              <w:r>
                <w:rPr>
                  <w:rStyle w:val="InternetLink"/>
                  <w:rFonts w:ascii="Times New Roman;sans-serif" w:hAnsi="Times New Roman;sans-serif"/>
                  <w:b w:val="false"/>
                  <w:color w:val="0000FF"/>
                  <w:sz w:val="20"/>
                  <w:u w:val="single"/>
                </w:rPr>
                <w:t>31.1</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30930xex311.htm">
              <w:r>
                <w:rPr>
                  <w:rStyle w:val="InternetLink"/>
                  <w:rFonts w:ascii="Times New Roman;sans-serif" w:hAnsi="Times New Roman;sans-serif"/>
                  <w:b w:val="false"/>
                  <w:color w:val="0000FF"/>
                  <w:sz w:val="20"/>
                  <w:u w:val="single"/>
                </w:rPr>
                <w:t>Certification of Chief Executive Officer required by Rule 13a-14(a) or Rule 15d-14(a) of the Securities Exchange Act of 1934, as adopted pursuant to Section 302 of the Sarbanes-Oxley Act of 2002.</w:t>
              </w:r>
            </w:hyperlink>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30930xex312.htm">
              <w:r>
                <w:rPr>
                  <w:rStyle w:val="InternetLink"/>
                  <w:rFonts w:ascii="Times New Roman;sans-serif" w:hAnsi="Times New Roman;sans-serif"/>
                  <w:b w:val="false"/>
                  <w:color w:val="0000FF"/>
                  <w:sz w:val="20"/>
                  <w:u w:val="single"/>
                </w:rPr>
                <w:t>31.2</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30930xex312.htm">
              <w:r>
                <w:rPr>
                  <w:rStyle w:val="InternetLink"/>
                  <w:rFonts w:ascii="Times New Roman;sans-serif" w:hAnsi="Times New Roman;sans-serif"/>
                  <w:b w:val="false"/>
                  <w:color w:val="0000FF"/>
                  <w:sz w:val="20"/>
                  <w:u w:val="single"/>
                </w:rPr>
                <w:t>Certification of Chief Financial Officer required by Rule 13a-14(a) or Rule 15d-14(a) of the Securities Exchange Act of 1934, as adopted pursuant to Section 302 of the Sarbanes-Oxley Act of 2002.</w:t>
              </w:r>
            </w:hyperlink>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30930xex321.htm">
              <w:r>
                <w:rPr>
                  <w:rStyle w:val="InternetLink"/>
                  <w:rFonts w:ascii="Times New Roman;sans-serif" w:hAnsi="Times New Roman;sans-serif"/>
                  <w:b w:val="false"/>
                  <w:color w:val="0000FF"/>
                  <w:sz w:val="20"/>
                  <w:u w:val="single"/>
                </w:rPr>
                <w:t>32.1</w:t>
              </w:r>
            </w:hyperlink>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30930xex321.htm">
              <w:r>
                <w:rPr>
                  <w:rStyle w:val="InternetLink"/>
                  <w:rFonts w:ascii="Times New Roman;sans-serif" w:hAnsi="Times New Roman;sans-serif"/>
                  <w:b w:val="false"/>
                  <w:color w:val="0000FF"/>
                  <w:sz w:val="20"/>
                  <w:u w:val="single"/>
                </w:rPr>
                <w:t>Certification of Chief Executive Officer and Chief Financial Officer pursuant to 18 U.S.C. Section 1350, as adopted pursuant to Section 906 of the Sarbanes-Oxley Act of 2002.</w:t>
              </w:r>
            </w:hyperlink>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Calculation Linkbase Document</w:t>
            </w:r>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Document</w:t>
            </w:r>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Label Linkbase Document</w:t>
            </w:r>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Presentation Linkbase Document</w:t>
            </w:r>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0" w:after="0"/>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bidi w:val="0"/>
        <w:spacing w:lineRule="auto" w:line="288" w:before="0" w:after="0"/>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    The certifications furnished in Exhibit 32.1 hereto are deemed to be furnished with this Quarterly Report on Form 10-Q and will not be deemed to be “filed” for purposes of Section 18 of the Securities Exchange Act of 1934, as amended, except to the extent that the Registrant specifically incorporates them by reference.</w:t>
      </w:r>
    </w:p>
    <w:p>
      <w:pPr>
        <w:pStyle w:val="TextBody"/>
        <w:bidi w:val="0"/>
        <w:spacing w:before="0" w:after="0"/>
        <w:ind w:left="0" w:right="0" w:hanging="10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1934, the Registrant has duly caused this report to be signed on its behalf by the undersigned, thereunto duly authorized.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9, 2023 </w:t>
      </w:r>
    </w:p>
    <w:tbl>
      <w:tblPr>
        <w:tblW w:w="6352"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429"/>
        <w:gridCol w:w="429"/>
        <w:gridCol w:w="429"/>
        <w:gridCol w:w="1258"/>
        <w:gridCol w:w="1258"/>
        <w:gridCol w:w="18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PLIANT THERAPEUTICS,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Bernard Coulie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Bernard Coulie, M.D.,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Keith Cummings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Keith Cummings, M.D., M.B.A.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Bernard Coulie, certify that:</w:t>
      </w:r>
    </w:p>
    <w:p>
      <w:pPr>
        <w:pStyle w:val="TextBody"/>
        <w:bidi w:val="0"/>
        <w:spacing w:lineRule="auto" w:line="288" w:before="20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Pliant Therapeutics, Inc.;</w:t>
      </w:r>
    </w:p>
    <w:p>
      <w:pPr>
        <w:pStyle w:val="TextBody"/>
        <w:bidi w:val="0"/>
        <w:spacing w:lineRule="auto" w:line="288" w:before="20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144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144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144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144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144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144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9, 2023 </w:t>
      </w:r>
    </w:p>
    <w:tbl>
      <w:tblPr>
        <w:tblW w:w="3551" w:type="dxa"/>
        <w:jc w:val="left"/>
        <w:tblInd w:w="0" w:type="dxa"/>
        <w:tblLayout w:type="fixed"/>
        <w:tblCellMar>
          <w:top w:w="28" w:type="dxa"/>
          <w:left w:w="28" w:type="dxa"/>
          <w:bottom w:w="28" w:type="dxa"/>
          <w:right w:w="28" w:type="dxa"/>
        </w:tblCellMar>
      </w:tblPr>
      <w:tblGrid>
        <w:gridCol w:w="1153"/>
        <w:gridCol w:w="1010"/>
        <w:gridCol w:w="1016"/>
        <w:gridCol w:w="109"/>
        <w:gridCol w:w="109"/>
        <w:gridCol w:w="154"/>
      </w:tblGrid>
      <w:tr>
        <w:trPr/>
        <w:tc>
          <w:tcPr>
            <w:tcW w:w="115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Bernard Coulie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Bernard Coulie, M.D., Ph.D.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Keith Cummings, certify that:</w:t>
      </w:r>
    </w:p>
    <w:p>
      <w:pPr>
        <w:pStyle w:val="TextBody"/>
        <w:bidi w:val="0"/>
        <w:spacing w:lineRule="auto" w:line="288" w:before="200" w:after="283"/>
        <w:ind w:left="0" w:right="0" w:hanging="144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Pliant Therapeutics, Inc.;</w:t>
      </w:r>
    </w:p>
    <w:p>
      <w:pPr>
        <w:pStyle w:val="TextBody"/>
        <w:bidi w:val="0"/>
        <w:spacing w:lineRule="auto" w:line="288" w:before="200" w:after="283"/>
        <w:ind w:left="0" w:right="0" w:hanging="144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144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144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20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68" w:before="20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144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12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9, 2023 </w:t>
      </w:r>
    </w:p>
    <w:tbl>
      <w:tblPr>
        <w:tblW w:w="2907" w:type="dxa"/>
        <w:jc w:val="left"/>
        <w:tblInd w:w="0" w:type="dxa"/>
        <w:tblLayout w:type="fixed"/>
        <w:tblCellMar>
          <w:top w:w="28" w:type="dxa"/>
          <w:left w:w="28" w:type="dxa"/>
          <w:bottom w:w="28" w:type="dxa"/>
          <w:right w:w="28" w:type="dxa"/>
        </w:tblCellMar>
      </w:tblPr>
      <w:tblGrid>
        <w:gridCol w:w="917"/>
        <w:gridCol w:w="806"/>
        <w:gridCol w:w="812"/>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Keith Cummings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Keith Cummings, M.D., MBA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AND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 set forth in Rule 13a-14(b) of the Securities Exchange Act of 1934, as amended, (the “Exchange Act”) and Section 1350 of Chapter 63 of Title 18 of the United States Code (18 U.S.C. §1350), Bernard Coulie, Chief Executive Officer of Pliant Therapeutics, Inc. (the “Company”), and Keith Cummings, Chief Financial Officer of the Company, each hereby certifies that, to the best of his knowledge:</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1.The Company’s Quarterly Report on Form 10-Q for the period ended September 30, 2023, to which this Certification is attached as Exhibit 32.1 (the “Periodic Report”), fully complies with the requirements of Section 13(a) or Section 15(d) of the Exchange Act; and</w:t>
      </w:r>
    </w:p>
    <w:p>
      <w:pPr>
        <w:pStyle w:val="TextBody"/>
        <w:bidi w:val="0"/>
        <w:spacing w:lineRule="auto" w:line="288" w:before="24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Periodic Report fairly presents, in all material respects, the financial condition and results of operations of the Company.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November 9, 2023 </w:t>
      </w:r>
    </w:p>
    <w:tbl>
      <w:tblPr>
        <w:tblW w:w="3551" w:type="dxa"/>
        <w:jc w:val="left"/>
        <w:tblInd w:w="0" w:type="dxa"/>
        <w:tblLayout w:type="fixed"/>
        <w:tblCellMar>
          <w:top w:w="28" w:type="dxa"/>
          <w:left w:w="28" w:type="dxa"/>
          <w:bottom w:w="28" w:type="dxa"/>
          <w:right w:w="28" w:type="dxa"/>
        </w:tblCellMar>
      </w:tblPr>
      <w:tblGrid>
        <w:gridCol w:w="1153"/>
        <w:gridCol w:w="1010"/>
        <w:gridCol w:w="1016"/>
        <w:gridCol w:w="109"/>
        <w:gridCol w:w="109"/>
        <w:gridCol w:w="154"/>
      </w:tblGrid>
      <w:tr>
        <w:trPr/>
        <w:tc>
          <w:tcPr>
            <w:tcW w:w="115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Bernard Coulie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Bernard Coulie, M.D., Ph.D.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906" w:type="dxa"/>
        <w:jc w:val="left"/>
        <w:tblInd w:w="0" w:type="dxa"/>
        <w:tblLayout w:type="fixed"/>
        <w:tblCellMar>
          <w:top w:w="28" w:type="dxa"/>
          <w:left w:w="28" w:type="dxa"/>
          <w:bottom w:w="28" w:type="dxa"/>
          <w:right w:w="28" w:type="dxa"/>
        </w:tblCellMar>
      </w:tblPr>
      <w:tblGrid>
        <w:gridCol w:w="917"/>
        <w:gridCol w:w="806"/>
        <w:gridCol w:w="811"/>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Keith Cummings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Keith Cummings, M.D., MBA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746473/000156459020039327/plrx-ex31_301.htm" TargetMode="External"/><Relationship Id="rId3" Type="http://schemas.openxmlformats.org/officeDocument/2006/relationships/hyperlink" Target="https://www.sec.gov/Archives/edgar/data/0001746473/000119312520322128/d61993dex31.htm" TargetMode="External"/><Relationship Id="rId4" Type="http://schemas.openxmlformats.org/officeDocument/2006/relationships/hyperlink" Target="https://www.sec.gov/Archives/edgar/data/0001746473/000119312520150643/d729258dex41.htm" TargetMode="External"/><Relationship Id="rId5" Type="http://schemas.openxmlformats.org/officeDocument/2006/relationships/hyperlink" Target="https://www.sec.gov/Archives/edgar/data/1746473/000174647323000062/lease-331oysterpoint.htm" TargetMode="External"/><Relationship Id="rId6" Type="http://schemas.openxmlformats.org/officeDocument/2006/relationships/hyperlink" Target="https://www.sec.gov/Archives/edgar/data/1746473/000174647323000062/lease-331oysterpoint.htm" TargetMode="External"/><Relationship Id="rId7" Type="http://schemas.openxmlformats.org/officeDocument/2006/relationships/hyperlink" Target="https://www.sec.gov/Archives/edgar/data/1746473/000174647323000062/lease-331oysterpoint.htm" TargetMode="External"/><Relationship Id="rId8" Type="http://schemas.openxmlformats.org/officeDocument/2006/relationships/hyperlink" Target="https://www.sec.gov/Archives/edgar/data/1746473/000174647323000062/terminationagreement-littl.htm" TargetMode="External"/><Relationship Id="rId9" Type="http://schemas.openxmlformats.org/officeDocument/2006/relationships/hyperlink" Target="https://www.sec.gov/Archives/edgar/data/1746473/000174647323000062/terminationagreement-littl.htm" TargetMode="External"/><Relationship Id="rId10" Type="http://schemas.openxmlformats.org/officeDocument/2006/relationships/hyperlink" Target="https://www.sec.gov/Archives/edgar/data/1746473/000174647323000062/terminationagreement-littl.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55158</Words>
  <Characters>310185</Characters>
  <CharactersWithSpaces>363700</CharactersWithSpaces>
  <Paragraphs>2523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