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767080</wp:posOffset>
            </wp:positionV>
            <wp:extent cx="70675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791845</wp:posOffset>
            </wp:positionV>
            <wp:extent cx="70675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7550" cy="8255"/>
                    </a:xfrm>
                    <a:prstGeom prst="rect">
                      <a:avLst/>
                    </a:prstGeom>
                    <a:noFill/>
                  </pic:spPr>
                </pic:pic>
              </a:graphicData>
            </a:graphic>
          </wp:anchor>
        </w:drawing>
        <w:t>UNITED STATES</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320" w:lineRule="exact"/>
        <w:rPr>
          <w:sz w:val="24"/>
          <w:szCs w:val="24"/>
          <w:color w:val="auto"/>
        </w:rPr>
      </w:pPr>
    </w:p>
    <w:p>
      <w:pPr>
        <w:ind w:left="840" w:hanging="821"/>
        <w:spacing w:after="0"/>
        <w:tabs>
          <w:tab w:leader="none" w:pos="84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97" w:lineRule="exact"/>
        <w:rPr>
          <w:sz w:val="24"/>
          <w:szCs w:val="24"/>
          <w:color w:val="auto"/>
        </w:rPr>
      </w:pPr>
    </w:p>
    <w:p>
      <w:pPr>
        <w:ind w:left="840" w:hanging="821"/>
        <w:spacing w:after="0"/>
        <w:tabs>
          <w:tab w:leader="none" w:pos="8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ind w:left="4000"/>
        <w:spacing w:after="0"/>
        <w:tabs>
          <w:tab w:leader="none" w:pos="66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3924935</wp:posOffset>
            </wp:positionH>
            <wp:positionV relativeFrom="paragraph">
              <wp:posOffset>-8255</wp:posOffset>
            </wp:positionV>
            <wp:extent cx="681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001-39303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PLIANT THERAPEUTICS, INC.</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700" w:type="dxa"/>
            <w:vAlign w:val="bottom"/>
          </w:tcPr>
          <w:p>
            <w:pPr>
              <w:jc w:val="center"/>
              <w:ind w:left="584"/>
              <w:spacing w:after="0"/>
              <w:rPr>
                <w:sz w:val="20"/>
                <w:szCs w:val="20"/>
                <w:color w:val="auto"/>
              </w:rPr>
            </w:pPr>
            <w:r>
              <w:rPr>
                <w:rFonts w:ascii="Arial" w:cs="Arial" w:eastAsia="Arial" w:hAnsi="Arial"/>
                <w:sz w:val="17"/>
                <w:szCs w:val="17"/>
                <w:b w:val="1"/>
                <w:bCs w:val="1"/>
                <w:color w:val="auto"/>
                <w:w w:val="91"/>
              </w:rPr>
              <w:t>Delaware</w:t>
            </w:r>
          </w:p>
        </w:tc>
        <w:tc>
          <w:tcPr>
            <w:tcW w:w="1760" w:type="dxa"/>
            <w:vAlign w:val="bottom"/>
          </w:tcPr>
          <w:p>
            <w:pPr>
              <w:spacing w:after="0"/>
              <w:rPr>
                <w:sz w:val="18"/>
                <w:szCs w:val="18"/>
                <w:color w:val="auto"/>
              </w:rPr>
            </w:pPr>
          </w:p>
        </w:tc>
        <w:tc>
          <w:tcPr>
            <w:tcW w:w="4680" w:type="dxa"/>
            <w:vAlign w:val="bottom"/>
          </w:tcPr>
          <w:p>
            <w:pPr>
              <w:jc w:val="right"/>
              <w:ind w:right="2205"/>
              <w:spacing w:after="0"/>
              <w:rPr>
                <w:sz w:val="20"/>
                <w:szCs w:val="20"/>
                <w:color w:val="auto"/>
              </w:rPr>
            </w:pPr>
            <w:r>
              <w:rPr>
                <w:rFonts w:ascii="Arial" w:cs="Arial" w:eastAsia="Arial" w:hAnsi="Arial"/>
                <w:sz w:val="17"/>
                <w:szCs w:val="17"/>
                <w:b w:val="1"/>
                <w:bCs w:val="1"/>
                <w:color w:val="auto"/>
              </w:rPr>
              <w:t>47-4272481</w:t>
            </w:r>
          </w:p>
        </w:tc>
      </w:tr>
      <w:tr>
        <w:trPr>
          <w:trHeight w:val="175"/>
        </w:trPr>
        <w:tc>
          <w:tcPr>
            <w:tcW w:w="4700" w:type="dxa"/>
            <w:vAlign w:val="bottom"/>
          </w:tcPr>
          <w:p>
            <w:pPr>
              <w:jc w:val="center"/>
              <w:ind w:left="584"/>
              <w:spacing w:after="0"/>
              <w:rPr>
                <w:sz w:val="20"/>
                <w:szCs w:val="20"/>
                <w:color w:val="auto"/>
              </w:rPr>
            </w:pPr>
            <w:r>
              <w:rPr>
                <w:rFonts w:ascii="Arial" w:cs="Arial" w:eastAsia="Arial" w:hAnsi="Arial"/>
                <w:sz w:val="14"/>
                <w:szCs w:val="14"/>
                <w:b w:val="1"/>
                <w:bCs w:val="1"/>
                <w:color w:val="auto"/>
                <w:w w:val="87"/>
              </w:rPr>
              <w:t>(State or other jurisdiction of</w:t>
            </w:r>
          </w:p>
        </w:tc>
        <w:tc>
          <w:tcPr>
            <w:tcW w:w="1760" w:type="dxa"/>
            <w:vAlign w:val="bottom"/>
          </w:tcPr>
          <w:p>
            <w:pPr>
              <w:spacing w:after="0"/>
              <w:rPr>
                <w:sz w:val="15"/>
                <w:szCs w:val="15"/>
                <w:color w:val="auto"/>
              </w:rPr>
            </w:pPr>
          </w:p>
        </w:tc>
        <w:tc>
          <w:tcPr>
            <w:tcW w:w="4680" w:type="dxa"/>
            <w:vAlign w:val="bottom"/>
          </w:tcPr>
          <w:p>
            <w:pPr>
              <w:jc w:val="center"/>
              <w:ind w:right="625"/>
              <w:spacing w:after="0"/>
              <w:rPr>
                <w:sz w:val="20"/>
                <w:szCs w:val="20"/>
                <w:color w:val="auto"/>
              </w:rPr>
            </w:pPr>
            <w:r>
              <w:rPr>
                <w:rFonts w:ascii="Arial" w:cs="Arial" w:eastAsia="Arial" w:hAnsi="Arial"/>
                <w:sz w:val="14"/>
                <w:szCs w:val="14"/>
                <w:b w:val="1"/>
                <w:bCs w:val="1"/>
                <w:color w:val="auto"/>
                <w:w w:val="91"/>
              </w:rPr>
              <w:t>(I.R.S. Employer</w:t>
            </w:r>
          </w:p>
        </w:tc>
      </w:tr>
      <w:tr>
        <w:trPr>
          <w:trHeight w:val="191"/>
        </w:trPr>
        <w:tc>
          <w:tcPr>
            <w:tcW w:w="4700" w:type="dxa"/>
            <w:vAlign w:val="bottom"/>
          </w:tcPr>
          <w:p>
            <w:pPr>
              <w:jc w:val="center"/>
              <w:ind w:left="584"/>
              <w:spacing w:after="0"/>
              <w:rPr>
                <w:sz w:val="20"/>
                <w:szCs w:val="20"/>
                <w:color w:val="auto"/>
              </w:rPr>
            </w:pPr>
            <w:r>
              <w:rPr>
                <w:rFonts w:ascii="Arial" w:cs="Arial" w:eastAsia="Arial" w:hAnsi="Arial"/>
                <w:sz w:val="14"/>
                <w:szCs w:val="14"/>
                <w:b w:val="1"/>
                <w:bCs w:val="1"/>
                <w:color w:val="auto"/>
                <w:w w:val="88"/>
              </w:rPr>
              <w:t>incorporation or organization)</w:t>
            </w:r>
          </w:p>
        </w:tc>
        <w:tc>
          <w:tcPr>
            <w:tcW w:w="1760" w:type="dxa"/>
            <w:vAlign w:val="bottom"/>
          </w:tcPr>
          <w:p>
            <w:pPr>
              <w:spacing w:after="0"/>
              <w:rPr>
                <w:sz w:val="16"/>
                <w:szCs w:val="16"/>
                <w:color w:val="auto"/>
              </w:rPr>
            </w:pPr>
          </w:p>
        </w:tc>
        <w:tc>
          <w:tcPr>
            <w:tcW w:w="4680" w:type="dxa"/>
            <w:vAlign w:val="bottom"/>
          </w:tcPr>
          <w:p>
            <w:pPr>
              <w:jc w:val="center"/>
              <w:ind w:right="625"/>
              <w:spacing w:after="0"/>
              <w:rPr>
                <w:sz w:val="20"/>
                <w:szCs w:val="20"/>
                <w:color w:val="auto"/>
              </w:rPr>
            </w:pPr>
            <w:r>
              <w:rPr>
                <w:rFonts w:ascii="Arial" w:cs="Arial" w:eastAsia="Arial" w:hAnsi="Arial"/>
                <w:sz w:val="14"/>
                <w:szCs w:val="14"/>
                <w:b w:val="1"/>
                <w:bCs w:val="1"/>
                <w:color w:val="auto"/>
                <w:w w:val="89"/>
              </w:rPr>
              <w:t>Identification No.)</w:t>
            </w:r>
          </w:p>
        </w:tc>
      </w:tr>
      <w:tr>
        <w:trPr>
          <w:trHeight w:val="236"/>
        </w:trPr>
        <w:tc>
          <w:tcPr>
            <w:tcW w:w="4700" w:type="dxa"/>
            <w:vAlign w:val="bottom"/>
          </w:tcPr>
          <w:p>
            <w:pPr>
              <w:jc w:val="center"/>
              <w:ind w:left="564"/>
              <w:spacing w:after="0"/>
              <w:rPr>
                <w:sz w:val="20"/>
                <w:szCs w:val="20"/>
                <w:color w:val="auto"/>
              </w:rPr>
            </w:pPr>
            <w:r>
              <w:rPr>
                <w:rFonts w:ascii="Arial" w:cs="Arial" w:eastAsia="Arial" w:hAnsi="Arial"/>
                <w:sz w:val="17"/>
                <w:szCs w:val="17"/>
                <w:b w:val="1"/>
                <w:bCs w:val="1"/>
                <w:color w:val="auto"/>
                <w:w w:val="90"/>
              </w:rPr>
              <w:t>260 Littlefield Avenue</w:t>
            </w:r>
          </w:p>
        </w:tc>
        <w:tc>
          <w:tcPr>
            <w:tcW w:w="176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212"/>
        </w:trPr>
        <w:tc>
          <w:tcPr>
            <w:tcW w:w="4700" w:type="dxa"/>
            <w:vAlign w:val="bottom"/>
          </w:tcPr>
          <w:p>
            <w:pPr>
              <w:jc w:val="center"/>
              <w:ind w:left="584"/>
              <w:spacing w:after="0"/>
              <w:rPr>
                <w:sz w:val="20"/>
                <w:szCs w:val="20"/>
                <w:color w:val="auto"/>
              </w:rPr>
            </w:pPr>
            <w:r>
              <w:rPr>
                <w:rFonts w:ascii="Arial" w:cs="Arial" w:eastAsia="Arial" w:hAnsi="Arial"/>
                <w:sz w:val="17"/>
                <w:szCs w:val="17"/>
                <w:b w:val="1"/>
                <w:bCs w:val="1"/>
                <w:color w:val="auto"/>
                <w:w w:val="88"/>
              </w:rPr>
              <w:t>South San Francisco, CA</w:t>
            </w:r>
          </w:p>
        </w:tc>
        <w:tc>
          <w:tcPr>
            <w:tcW w:w="1760" w:type="dxa"/>
            <w:vAlign w:val="bottom"/>
          </w:tcPr>
          <w:p>
            <w:pPr>
              <w:spacing w:after="0"/>
              <w:rPr>
                <w:sz w:val="18"/>
                <w:szCs w:val="18"/>
                <w:color w:val="auto"/>
              </w:rPr>
            </w:pPr>
          </w:p>
        </w:tc>
        <w:tc>
          <w:tcPr>
            <w:tcW w:w="4680" w:type="dxa"/>
            <w:vAlign w:val="bottom"/>
          </w:tcPr>
          <w:p>
            <w:pPr>
              <w:jc w:val="right"/>
              <w:ind w:right="2405"/>
              <w:spacing w:after="0"/>
              <w:rPr>
                <w:sz w:val="20"/>
                <w:szCs w:val="20"/>
                <w:color w:val="auto"/>
              </w:rPr>
            </w:pPr>
            <w:r>
              <w:rPr>
                <w:rFonts w:ascii="Arial" w:cs="Arial" w:eastAsia="Arial" w:hAnsi="Arial"/>
                <w:sz w:val="17"/>
                <w:szCs w:val="17"/>
                <w:b w:val="1"/>
                <w:bCs w:val="1"/>
                <w:color w:val="auto"/>
              </w:rPr>
              <w:t>94080</w:t>
            </w:r>
          </w:p>
        </w:tc>
      </w:tr>
      <w:tr>
        <w:trPr>
          <w:trHeight w:val="175"/>
        </w:trPr>
        <w:tc>
          <w:tcPr>
            <w:tcW w:w="4700" w:type="dxa"/>
            <w:vAlign w:val="bottom"/>
          </w:tcPr>
          <w:p>
            <w:pPr>
              <w:jc w:val="center"/>
              <w:ind w:left="5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60" w:type="dxa"/>
            <w:vAlign w:val="bottom"/>
          </w:tcPr>
          <w:p>
            <w:pPr>
              <w:spacing w:after="0"/>
              <w:rPr>
                <w:sz w:val="15"/>
                <w:szCs w:val="15"/>
                <w:color w:val="auto"/>
              </w:rPr>
            </w:pPr>
          </w:p>
        </w:tc>
        <w:tc>
          <w:tcPr>
            <w:tcW w:w="4680" w:type="dxa"/>
            <w:vAlign w:val="bottom"/>
          </w:tcPr>
          <w:p>
            <w:pPr>
              <w:jc w:val="center"/>
              <w:ind w:right="625"/>
              <w:spacing w:after="0"/>
              <w:rPr>
                <w:sz w:val="20"/>
                <w:szCs w:val="20"/>
                <w:color w:val="auto"/>
              </w:rPr>
            </w:pPr>
            <w:r>
              <w:rPr>
                <w:rFonts w:ascii="Arial" w:cs="Arial" w:eastAsia="Arial" w:hAnsi="Arial"/>
                <w:sz w:val="14"/>
                <w:szCs w:val="14"/>
                <w:b w:val="1"/>
                <w:bCs w:val="1"/>
                <w:color w:val="auto"/>
                <w:w w:val="89"/>
              </w:rPr>
              <w:t>(Zip Code)</w:t>
            </w:r>
          </w:p>
        </w:tc>
      </w:tr>
      <w:tr>
        <w:trPr>
          <w:trHeight w:val="318"/>
        </w:trPr>
        <w:tc>
          <w:tcPr>
            <w:tcW w:w="11140" w:type="dxa"/>
            <w:vAlign w:val="bottom"/>
            <w:gridSpan w:val="3"/>
          </w:tcPr>
          <w:p>
            <w:pPr>
              <w:ind w:left="3680"/>
              <w:spacing w:after="0"/>
              <w:rPr>
                <w:sz w:val="20"/>
                <w:szCs w:val="20"/>
                <w:color w:val="auto"/>
              </w:rPr>
            </w:pPr>
            <w:r>
              <w:rPr>
                <w:rFonts w:ascii="Arial" w:cs="Arial" w:eastAsia="Arial" w:hAnsi="Arial"/>
                <w:sz w:val="14"/>
                <w:szCs w:val="14"/>
                <w:b w:val="1"/>
                <w:bCs w:val="1"/>
                <w:color w:val="auto"/>
              </w:rPr>
              <w:t>Registrant’s telephone number, including area code: (650) 481-6770</w:t>
            </w:r>
          </w:p>
        </w:tc>
      </w:tr>
      <w:tr>
        <w:trPr>
          <w:trHeight w:val="252"/>
        </w:trPr>
        <w:tc>
          <w:tcPr>
            <w:tcW w:w="4700" w:type="dxa"/>
            <w:vAlign w:val="bottom"/>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760" w:type="dxa"/>
            <w:vAlign w:val="bottom"/>
          </w:tcPr>
          <w:p>
            <w:pPr>
              <w:spacing w:after="0"/>
              <w:rPr>
                <w:sz w:val="21"/>
                <w:szCs w:val="21"/>
                <w:color w:val="auto"/>
              </w:rPr>
            </w:pPr>
          </w:p>
        </w:tc>
        <w:tc>
          <w:tcPr>
            <w:tcW w:w="4680" w:type="dxa"/>
            <w:vAlign w:val="bottom"/>
          </w:tcPr>
          <w:p>
            <w:pPr>
              <w:spacing w:after="0"/>
              <w:rPr>
                <w:sz w:val="21"/>
                <w:szCs w:val="21"/>
                <w:color w:val="auto"/>
              </w:rPr>
            </w:pPr>
          </w:p>
        </w:tc>
      </w:tr>
      <w:tr>
        <w:trPr>
          <w:trHeight w:val="77"/>
        </w:trPr>
        <w:tc>
          <w:tcPr>
            <w:tcW w:w="4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r>
      <w:tr>
        <w:trPr>
          <w:trHeight w:val="167"/>
        </w:trPr>
        <w:tc>
          <w:tcPr>
            <w:tcW w:w="470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w w:val="92"/>
              </w:rPr>
              <w:t>Trading</w:t>
            </w:r>
          </w:p>
        </w:tc>
        <w:tc>
          <w:tcPr>
            <w:tcW w:w="4680" w:type="dxa"/>
            <w:vAlign w:val="bottom"/>
            <w:tcBorders>
              <w:right w:val="single" w:sz="8" w:color="auto"/>
            </w:tcBorders>
          </w:tcPr>
          <w:p>
            <w:pPr>
              <w:spacing w:after="0"/>
              <w:rPr>
                <w:sz w:val="14"/>
                <w:szCs w:val="14"/>
                <w:color w:val="auto"/>
              </w:rPr>
            </w:pPr>
          </w:p>
        </w:tc>
      </w:tr>
      <w:tr>
        <w:trPr>
          <w:trHeight w:val="220"/>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Title of Each Class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Symbol</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177"/>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Common Stock, par value $0.0001 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PLRX</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Nasdaq Stock Market LLC</w:t>
            </w:r>
          </w:p>
        </w:tc>
      </w:tr>
    </w:tbl>
    <w:p>
      <w:pPr>
        <w:spacing w:after="0" w:line="115" w:lineRule="exact"/>
        <w:rPr>
          <w:sz w:val="24"/>
          <w:szCs w:val="24"/>
          <w:color w:val="auto"/>
        </w:rPr>
      </w:pPr>
    </w:p>
    <w:p>
      <w:pPr>
        <w:ind w:firstLine="458"/>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31" w:lineRule="exact"/>
        <w:rPr>
          <w:sz w:val="24"/>
          <w:szCs w:val="24"/>
          <w:color w:val="auto"/>
        </w:rPr>
      </w:pPr>
    </w:p>
    <w:p>
      <w:pPr>
        <w:jc w:val="center"/>
        <w:ind w:right="40"/>
        <w:spacing w:after="0" w:line="173" w:lineRule="exact"/>
        <w:rPr>
          <w:sz w:val="20"/>
          <w:szCs w:val="20"/>
          <w:color w:val="auto"/>
        </w:rPr>
      </w:pPr>
      <w:r>
        <w:rPr>
          <w:rFonts w:ascii="Arial" w:cs="Arial" w:eastAsia="Arial" w:hAnsi="Arial"/>
          <w:sz w:val="15"/>
          <w:szCs w:val="15"/>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77" w:lineRule="exact"/>
        <w:rPr>
          <w:sz w:val="24"/>
          <w:szCs w:val="24"/>
          <w:color w:val="auto"/>
        </w:rPr>
      </w:pPr>
    </w:p>
    <w:p>
      <w:pPr>
        <w:ind w:firstLine="458"/>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85"/>
        </w:trPr>
        <w:tc>
          <w:tcPr>
            <w:tcW w:w="24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74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4420" w:type="dxa"/>
            <w:vAlign w:val="bottom"/>
          </w:tcPr>
          <w:p>
            <w:pPr>
              <w:ind w:left="1940"/>
              <w:spacing w:after="0"/>
              <w:rPr>
                <w:sz w:val="20"/>
                <w:szCs w:val="20"/>
                <w:color w:val="auto"/>
              </w:rPr>
            </w:pPr>
            <w:r>
              <w:rPr>
                <w:rFonts w:ascii="Arial" w:cs="Arial" w:eastAsia="Arial" w:hAnsi="Arial"/>
                <w:sz w:val="17"/>
                <w:szCs w:val="17"/>
                <w:color w:val="auto"/>
              </w:rPr>
              <w:t>Accelerated filer</w:t>
            </w:r>
          </w:p>
        </w:tc>
        <w:tc>
          <w:tcPr>
            <w:tcW w:w="780" w:type="dxa"/>
            <w:vAlign w:val="bottom"/>
            <w:vMerge w:val="restart"/>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02"/>
        </w:trPr>
        <w:tc>
          <w:tcPr>
            <w:tcW w:w="24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480" w:type="dxa"/>
            <w:vAlign w:val="bottom"/>
          </w:tcPr>
          <w:p>
            <w:pPr>
              <w:spacing w:after="0"/>
              <w:rPr>
                <w:sz w:val="20"/>
                <w:szCs w:val="20"/>
                <w:color w:val="auto"/>
              </w:rPr>
            </w:pPr>
            <w:r>
              <w:rPr>
                <w:rFonts w:ascii="Arial" w:cs="Arial" w:eastAsia="Arial" w:hAnsi="Arial"/>
                <w:sz w:val="17"/>
                <w:szCs w:val="17"/>
                <w:color w:val="auto"/>
              </w:rPr>
              <w:t>Non-accelerated filer</w:t>
            </w:r>
          </w:p>
        </w:tc>
        <w:tc>
          <w:tcPr>
            <w:tcW w:w="274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4420" w:type="dxa"/>
            <w:vAlign w:val="bottom"/>
          </w:tcPr>
          <w:p>
            <w:pPr>
              <w:ind w:left="194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740" w:type="dxa"/>
            <w:vAlign w:val="bottom"/>
            <w:vMerge w:val="restart"/>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4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160" w:firstLine="458"/>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460" w:right="2480" w:hanging="304"/>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4, 2023, the registrant had 59,834,098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666750</wp:posOffset>
            </wp:positionV>
            <wp:extent cx="716534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65405</wp:posOffset>
            </wp:positionV>
            <wp:extent cx="706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75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90170</wp:posOffset>
            </wp:positionV>
            <wp:extent cx="706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9"/>
        </w:trPr>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560"/>
              <w:spacing w:after="0"/>
              <w:rPr>
                <w:sz w:val="20"/>
                <w:szCs w:val="20"/>
                <w:color w:val="auto"/>
              </w:rPr>
            </w:pPr>
            <w:r>
              <w:rPr>
                <w:rFonts w:ascii="Arial" w:cs="Arial" w:eastAsia="Arial" w:hAnsi="Arial"/>
                <w:sz w:val="17"/>
                <w:szCs w:val="17"/>
                <w:b w:val="1"/>
                <w:bCs w:val="1"/>
                <w:color w:val="auto"/>
              </w:rPr>
              <w:t>Table of Contents</w:t>
            </w: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3"/>
        </w:trPr>
        <w:tc>
          <w:tcPr>
            <w:tcW w:w="1220" w:type="dxa"/>
            <w:vAlign w:val="bottom"/>
            <w:gridSpan w:val="6"/>
          </w:tcPr>
          <w:p>
            <w:pPr>
              <w:spacing w:after="0"/>
              <w:rPr>
                <w:sz w:val="20"/>
                <w:szCs w:val="20"/>
                <w:color w:val="auto"/>
              </w:rPr>
            </w:pPr>
            <w:r>
              <w:rPr>
                <w:rFonts w:ascii="Arial" w:cs="Arial" w:eastAsia="Arial" w:hAnsi="Arial"/>
                <w:sz w:val="17"/>
                <w:szCs w:val="17"/>
                <w:b w:val="1"/>
                <w:bCs w:val="1"/>
                <w:color w:val="112ADB"/>
              </w:rPr>
              <w:t>PART I.</w:t>
            </w:r>
          </w:p>
        </w:tc>
        <w:tc>
          <w:tcPr>
            <w:tcW w:w="6080" w:type="dxa"/>
            <w:vAlign w:val="bottom"/>
            <w:gridSpan w:val="16"/>
          </w:tcPr>
          <w:p>
            <w:pPr>
              <w:spacing w:after="0"/>
              <w:rPr>
                <w:sz w:val="20"/>
                <w:szCs w:val="20"/>
                <w:color w:val="auto"/>
              </w:rPr>
            </w:pPr>
            <w:r>
              <w:rPr>
                <w:rFonts w:ascii="Arial" w:cs="Arial" w:eastAsia="Arial" w:hAnsi="Arial"/>
                <w:sz w:val="17"/>
                <w:szCs w:val="17"/>
                <w:color w:val="0E32E1"/>
              </w:rPr>
              <w:t>FINANCIAL INFORMATION</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6</w:t>
            </w:r>
          </w:p>
        </w:tc>
      </w:tr>
      <w:tr>
        <w:trPr>
          <w:trHeight w:val="20"/>
        </w:trPr>
        <w:tc>
          <w:tcPr>
            <w:tcW w:w="480" w:type="dxa"/>
            <w:vAlign w:val="bottom"/>
            <w:shd w:val="clear" w:color="auto" w:fill="112ADB"/>
          </w:tcPr>
          <w:p>
            <w:pPr>
              <w:spacing w:after="0" w:line="20" w:lineRule="exact"/>
              <w:rPr>
                <w:sz w:val="1"/>
                <w:szCs w:val="1"/>
                <w:color w:val="auto"/>
              </w:rPr>
            </w:pPr>
          </w:p>
        </w:tc>
        <w:tc>
          <w:tcPr>
            <w:tcW w:w="100" w:type="dxa"/>
            <w:vAlign w:val="bottom"/>
            <w:shd w:val="clear" w:color="auto" w:fill="112AD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12ADB"/>
          </w:tcPr>
          <w:p>
            <w:pPr>
              <w:spacing w:after="0" w:line="20" w:lineRule="exact"/>
              <w:rPr>
                <w:sz w:val="1"/>
                <w:szCs w:val="1"/>
                <w:color w:val="auto"/>
              </w:rPr>
            </w:pPr>
          </w:p>
        </w:tc>
      </w:tr>
      <w:tr>
        <w:trPr>
          <w:trHeight w:val="349"/>
        </w:trPr>
        <w:tc>
          <w:tcPr>
            <w:tcW w:w="480" w:type="dxa"/>
            <w:vAlign w:val="bottom"/>
          </w:tcPr>
          <w:p>
            <w:pPr>
              <w:spacing w:after="0"/>
              <w:rPr>
                <w:sz w:val="20"/>
                <w:szCs w:val="20"/>
                <w:color w:val="auto"/>
              </w:rPr>
            </w:pPr>
            <w:r>
              <w:rPr>
                <w:rFonts w:ascii="Arial" w:cs="Arial" w:eastAsia="Arial" w:hAnsi="Arial"/>
                <w:sz w:val="17"/>
                <w:szCs w:val="17"/>
                <w:color w:val="112ADB"/>
                <w:w w:val="88"/>
              </w:rPr>
              <w:t>Item 1.</w:t>
            </w:r>
          </w:p>
        </w:tc>
        <w:tc>
          <w:tcPr>
            <w:tcW w:w="100" w:type="dxa"/>
            <w:vAlign w:val="bottom"/>
          </w:tcPr>
          <w:p>
            <w:pPr>
              <w:spacing w:after="0"/>
              <w:rPr>
                <w:sz w:val="24"/>
                <w:szCs w:val="24"/>
                <w:color w:val="auto"/>
              </w:rPr>
            </w:pPr>
          </w:p>
        </w:tc>
        <w:tc>
          <w:tcPr>
            <w:tcW w:w="640" w:type="dxa"/>
            <w:vAlign w:val="bottom"/>
            <w:gridSpan w:val="4"/>
          </w:tcPr>
          <w:p>
            <w:pPr>
              <w:spacing w:after="0"/>
              <w:rPr>
                <w:sz w:val="24"/>
                <w:szCs w:val="24"/>
                <w:color w:val="auto"/>
              </w:rPr>
            </w:pPr>
          </w:p>
        </w:tc>
        <w:tc>
          <w:tcPr>
            <w:tcW w:w="3080" w:type="dxa"/>
            <w:vAlign w:val="bottom"/>
            <w:gridSpan w:val="11"/>
          </w:tcPr>
          <w:p>
            <w:pPr>
              <w:spacing w:after="0"/>
              <w:rPr>
                <w:sz w:val="20"/>
                <w:szCs w:val="20"/>
                <w:color w:val="auto"/>
              </w:rPr>
            </w:pPr>
            <w:r>
              <w:rPr>
                <w:rFonts w:ascii="Arial" w:cs="Arial" w:eastAsia="Arial" w:hAnsi="Arial"/>
                <w:sz w:val="17"/>
                <w:szCs w:val="17"/>
                <w:color w:val="0E32E1"/>
                <w:w w:val="88"/>
              </w:rPr>
              <w:t>Condensed Financial Statements (Unaudited)</w:t>
            </w:r>
          </w:p>
        </w:tc>
        <w:tc>
          <w:tcPr>
            <w:tcW w:w="3000" w:type="dxa"/>
            <w:vAlign w:val="bottom"/>
            <w:gridSpan w:val="5"/>
          </w:tcPr>
          <w:p>
            <w:pPr>
              <w:spacing w:after="0"/>
              <w:rPr>
                <w:sz w:val="24"/>
                <w:szCs w:val="24"/>
                <w:color w:val="auto"/>
              </w:rPr>
            </w:pP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6</w:t>
            </w:r>
          </w:p>
        </w:tc>
      </w:tr>
      <w:tr>
        <w:trPr>
          <w:trHeight w:val="20"/>
        </w:trPr>
        <w:tc>
          <w:tcPr>
            <w:tcW w:w="480" w:type="dxa"/>
            <w:vAlign w:val="bottom"/>
            <w:shd w:val="clear" w:color="auto" w:fill="112AD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12ADB"/>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gridSpan w:val="11"/>
          </w:tcPr>
          <w:p>
            <w:pPr>
              <w:spacing w:after="0"/>
              <w:rPr>
                <w:sz w:val="20"/>
                <w:szCs w:val="20"/>
                <w:color w:val="auto"/>
              </w:rPr>
            </w:pPr>
            <w:r>
              <w:rPr>
                <w:rFonts w:ascii="Arial" w:cs="Arial" w:eastAsia="Arial" w:hAnsi="Arial"/>
                <w:sz w:val="17"/>
                <w:szCs w:val="17"/>
                <w:color w:val="0E32E1"/>
              </w:rPr>
              <w:t>Condensed Balance Sheets</w:t>
            </w:r>
          </w:p>
        </w:tc>
        <w:tc>
          <w:tcPr>
            <w:tcW w:w="3000" w:type="dxa"/>
            <w:vAlign w:val="bottom"/>
            <w:gridSpan w:val="5"/>
          </w:tcPr>
          <w:p>
            <w:pPr>
              <w:spacing w:after="0"/>
              <w:rPr>
                <w:sz w:val="17"/>
                <w:szCs w:val="17"/>
                <w:color w:val="auto"/>
              </w:rPr>
            </w:pP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6</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12ADB"/>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80" w:type="dxa"/>
            <w:vAlign w:val="bottom"/>
            <w:gridSpan w:val="16"/>
          </w:tcPr>
          <w:p>
            <w:pPr>
              <w:spacing w:after="0"/>
              <w:rPr>
                <w:sz w:val="20"/>
                <w:szCs w:val="20"/>
                <w:color w:val="auto"/>
              </w:rPr>
            </w:pPr>
            <w:r>
              <w:rPr>
                <w:rFonts w:ascii="Arial" w:cs="Arial" w:eastAsia="Arial" w:hAnsi="Arial"/>
                <w:sz w:val="17"/>
                <w:szCs w:val="17"/>
                <w:color w:val="0E32E1"/>
              </w:rPr>
              <w:t>Condensed Statements of Operations and Comprehensive Loss</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7</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12ADB"/>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60" w:type="dxa"/>
            <w:vAlign w:val="bottom"/>
            <w:gridSpan w:val="15"/>
          </w:tcPr>
          <w:p>
            <w:pPr>
              <w:spacing w:after="0"/>
              <w:rPr>
                <w:sz w:val="20"/>
                <w:szCs w:val="20"/>
                <w:color w:val="auto"/>
              </w:rPr>
            </w:pPr>
            <w:r>
              <w:rPr>
                <w:rFonts w:ascii="Arial" w:cs="Arial" w:eastAsia="Arial" w:hAnsi="Arial"/>
                <w:sz w:val="17"/>
                <w:szCs w:val="17"/>
                <w:color w:val="0E32E1"/>
              </w:rPr>
              <w:t>Condensed Statements of Stockholders’ Equity</w:t>
            </w:r>
          </w:p>
        </w:tc>
        <w:tc>
          <w:tcPr>
            <w:tcW w:w="1820" w:type="dxa"/>
            <w:vAlign w:val="bottom"/>
          </w:tcPr>
          <w:p>
            <w:pPr>
              <w:spacing w:after="0"/>
              <w:rPr>
                <w:sz w:val="17"/>
                <w:szCs w:val="17"/>
                <w:color w:val="auto"/>
              </w:rPr>
            </w:pP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8</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12ADB"/>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tcBorders>
              <w:bottom w:val="single" w:sz="8" w:color="0E32E1"/>
            </w:tcBorders>
            <w:gridSpan w:val="9"/>
          </w:tcPr>
          <w:p>
            <w:pPr>
              <w:spacing w:after="0"/>
              <w:rPr>
                <w:sz w:val="20"/>
                <w:szCs w:val="20"/>
                <w:color w:val="auto"/>
              </w:rPr>
            </w:pPr>
            <w:r>
              <w:rPr>
                <w:rFonts w:ascii="Arial" w:cs="Arial" w:eastAsia="Arial" w:hAnsi="Arial"/>
                <w:sz w:val="17"/>
                <w:szCs w:val="17"/>
                <w:color w:val="0E32E1"/>
                <w:w w:val="87"/>
              </w:rPr>
              <w:t>Condensed Statements of Cash Flows</w:t>
            </w:r>
          </w:p>
        </w:tc>
        <w:tc>
          <w:tcPr>
            <w:tcW w:w="620" w:type="dxa"/>
            <w:vAlign w:val="bottom"/>
            <w:gridSpan w:val="3"/>
          </w:tcPr>
          <w:p>
            <w:pPr>
              <w:spacing w:after="0"/>
              <w:rPr>
                <w:sz w:val="17"/>
                <w:szCs w:val="17"/>
                <w:color w:val="auto"/>
              </w:rPr>
            </w:pPr>
          </w:p>
        </w:tc>
        <w:tc>
          <w:tcPr>
            <w:tcW w:w="2900" w:type="dxa"/>
            <w:vAlign w:val="bottom"/>
            <w:gridSpan w:val="4"/>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10</w:t>
            </w:r>
          </w:p>
        </w:tc>
      </w:tr>
      <w:tr>
        <w:trPr>
          <w:trHeight w:val="209"/>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80" w:type="dxa"/>
            <w:vAlign w:val="bottom"/>
            <w:gridSpan w:val="16"/>
          </w:tcPr>
          <w:p>
            <w:pPr>
              <w:spacing w:after="0"/>
              <w:rPr>
                <w:sz w:val="20"/>
                <w:szCs w:val="20"/>
                <w:color w:val="auto"/>
              </w:rPr>
            </w:pPr>
            <w:r>
              <w:rPr>
                <w:rFonts w:ascii="Arial" w:cs="Arial" w:eastAsia="Arial" w:hAnsi="Arial"/>
                <w:sz w:val="17"/>
                <w:szCs w:val="17"/>
                <w:color w:val="0E32E1"/>
              </w:rPr>
              <w:t>Notes to Condensed Financial Statements</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11</w:t>
            </w: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2"/>
            <w:shd w:val="clear" w:color="auto" w:fill="0E32E1"/>
          </w:tcPr>
          <w:p>
            <w:pPr>
              <w:spacing w:after="0" w:line="20" w:lineRule="exact"/>
              <w:rPr>
                <w:sz w:val="1"/>
                <w:szCs w:val="1"/>
                <w:color w:val="auto"/>
              </w:rPr>
            </w:pPr>
          </w:p>
        </w:tc>
        <w:tc>
          <w:tcPr>
            <w:tcW w:w="640" w:type="dxa"/>
            <w:vAlign w:val="bottom"/>
            <w:gridSpan w:val="2"/>
            <w:shd w:val="clear" w:color="auto" w:fill="0E32E1"/>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60" w:type="dxa"/>
            <w:vAlign w:val="bottom"/>
            <w:gridSpan w:val="2"/>
            <w:shd w:val="clear" w:color="auto" w:fill="112ADB"/>
          </w:tcPr>
          <w:p>
            <w:pPr>
              <w:spacing w:after="0" w:line="20" w:lineRule="exact"/>
              <w:rPr>
                <w:sz w:val="1"/>
                <w:szCs w:val="1"/>
                <w:color w:val="auto"/>
              </w:rPr>
            </w:pPr>
          </w:p>
        </w:tc>
      </w:tr>
      <w:tr>
        <w:trPr>
          <w:trHeight w:val="196"/>
        </w:trPr>
        <w:tc>
          <w:tcPr>
            <w:tcW w:w="480" w:type="dxa"/>
            <w:vAlign w:val="bottom"/>
            <w:tcBorders>
              <w:bottom w:val="single" w:sz="8" w:color="112ADB"/>
            </w:tcBorders>
          </w:tcPr>
          <w:p>
            <w:pPr>
              <w:spacing w:after="0"/>
              <w:rPr>
                <w:sz w:val="20"/>
                <w:szCs w:val="20"/>
                <w:color w:val="auto"/>
              </w:rPr>
            </w:pPr>
            <w:r>
              <w:rPr>
                <w:rFonts w:ascii="Arial" w:cs="Arial" w:eastAsia="Arial" w:hAnsi="Arial"/>
                <w:sz w:val="17"/>
                <w:szCs w:val="17"/>
                <w:color w:val="112ADB"/>
                <w:w w:val="88"/>
              </w:rPr>
              <w:t>Item 2.</w:t>
            </w:r>
          </w:p>
        </w:tc>
        <w:tc>
          <w:tcPr>
            <w:tcW w:w="740" w:type="dxa"/>
            <w:vAlign w:val="bottom"/>
            <w:gridSpan w:val="5"/>
          </w:tcPr>
          <w:p>
            <w:pPr>
              <w:spacing w:after="0"/>
              <w:rPr>
                <w:sz w:val="17"/>
                <w:szCs w:val="17"/>
                <w:color w:val="auto"/>
              </w:rPr>
            </w:pPr>
          </w:p>
        </w:tc>
        <w:tc>
          <w:tcPr>
            <w:tcW w:w="6080" w:type="dxa"/>
            <w:vAlign w:val="bottom"/>
            <w:tcBorders>
              <w:bottom w:val="single" w:sz="8" w:color="0E32E1"/>
            </w:tcBorders>
            <w:gridSpan w:val="16"/>
          </w:tcPr>
          <w:p>
            <w:pPr>
              <w:spacing w:after="0"/>
              <w:rPr>
                <w:sz w:val="20"/>
                <w:szCs w:val="20"/>
                <w:color w:val="auto"/>
              </w:rPr>
            </w:pPr>
            <w:r>
              <w:rPr>
                <w:rFonts w:ascii="Arial" w:cs="Arial" w:eastAsia="Arial" w:hAnsi="Arial"/>
                <w:sz w:val="17"/>
                <w:szCs w:val="17"/>
                <w:color w:val="0E32E1"/>
                <w:w w:val="90"/>
              </w:rPr>
              <w:t>Management’s Discussion and Analysis of Financial Condition and Results of Operations</w:t>
            </w: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19</w:t>
            </w:r>
          </w:p>
        </w:tc>
      </w:tr>
      <w:tr>
        <w:trPr>
          <w:trHeight w:val="196"/>
        </w:trPr>
        <w:tc>
          <w:tcPr>
            <w:tcW w:w="480" w:type="dxa"/>
            <w:vAlign w:val="bottom"/>
            <w:tcBorders>
              <w:bottom w:val="single" w:sz="8" w:color="112ADB"/>
            </w:tcBorders>
          </w:tcPr>
          <w:p>
            <w:pPr>
              <w:spacing w:after="0"/>
              <w:rPr>
                <w:sz w:val="20"/>
                <w:szCs w:val="20"/>
                <w:color w:val="auto"/>
              </w:rPr>
            </w:pPr>
            <w:r>
              <w:rPr>
                <w:rFonts w:ascii="Arial" w:cs="Arial" w:eastAsia="Arial" w:hAnsi="Arial"/>
                <w:sz w:val="17"/>
                <w:szCs w:val="17"/>
                <w:color w:val="112ADB"/>
                <w:w w:val="88"/>
              </w:rPr>
              <w:t>Item 3.</w:t>
            </w:r>
          </w:p>
        </w:tc>
        <w:tc>
          <w:tcPr>
            <w:tcW w:w="740" w:type="dxa"/>
            <w:vAlign w:val="bottom"/>
            <w:gridSpan w:val="5"/>
          </w:tcPr>
          <w:p>
            <w:pPr>
              <w:spacing w:after="0"/>
              <w:rPr>
                <w:sz w:val="17"/>
                <w:szCs w:val="17"/>
                <w:color w:val="auto"/>
              </w:rPr>
            </w:pPr>
          </w:p>
        </w:tc>
        <w:tc>
          <w:tcPr>
            <w:tcW w:w="4120" w:type="dxa"/>
            <w:vAlign w:val="bottom"/>
            <w:tcBorders>
              <w:bottom w:val="single" w:sz="8" w:color="0E32E1"/>
            </w:tcBorders>
            <w:gridSpan w:val="14"/>
          </w:tcPr>
          <w:p>
            <w:pPr>
              <w:spacing w:after="0"/>
              <w:rPr>
                <w:sz w:val="20"/>
                <w:szCs w:val="20"/>
                <w:color w:val="auto"/>
              </w:rPr>
            </w:pPr>
            <w:r>
              <w:rPr>
                <w:rFonts w:ascii="Arial" w:cs="Arial" w:eastAsia="Arial" w:hAnsi="Arial"/>
                <w:sz w:val="17"/>
                <w:szCs w:val="17"/>
                <w:color w:val="0E32E1"/>
                <w:w w:val="92"/>
              </w:rPr>
              <w:t>Quantitative and Qualitative Disclosures About Market Risk</w:t>
            </w:r>
          </w:p>
        </w:tc>
        <w:tc>
          <w:tcPr>
            <w:tcW w:w="1960" w:type="dxa"/>
            <w:vAlign w:val="bottom"/>
            <w:gridSpan w:val="2"/>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26</w:t>
            </w:r>
          </w:p>
        </w:tc>
      </w:tr>
      <w:tr>
        <w:trPr>
          <w:trHeight w:val="209"/>
        </w:trPr>
        <w:tc>
          <w:tcPr>
            <w:tcW w:w="480" w:type="dxa"/>
            <w:vAlign w:val="bottom"/>
          </w:tcPr>
          <w:p>
            <w:pPr>
              <w:spacing w:after="0"/>
              <w:rPr>
                <w:sz w:val="20"/>
                <w:szCs w:val="20"/>
                <w:color w:val="auto"/>
              </w:rPr>
            </w:pPr>
            <w:r>
              <w:rPr>
                <w:rFonts w:ascii="Arial" w:cs="Arial" w:eastAsia="Arial" w:hAnsi="Arial"/>
                <w:sz w:val="17"/>
                <w:szCs w:val="17"/>
                <w:color w:val="112ADB"/>
                <w:w w:val="88"/>
              </w:rPr>
              <w:t>Item 4.</w:t>
            </w:r>
          </w:p>
        </w:tc>
        <w:tc>
          <w:tcPr>
            <w:tcW w:w="740" w:type="dxa"/>
            <w:vAlign w:val="bottom"/>
            <w:gridSpan w:val="5"/>
          </w:tcPr>
          <w:p>
            <w:pPr>
              <w:spacing w:after="0"/>
              <w:rPr>
                <w:sz w:val="18"/>
                <w:szCs w:val="18"/>
                <w:color w:val="auto"/>
              </w:rPr>
            </w:pPr>
          </w:p>
        </w:tc>
        <w:tc>
          <w:tcPr>
            <w:tcW w:w="6080" w:type="dxa"/>
            <w:vAlign w:val="bottom"/>
            <w:gridSpan w:val="16"/>
          </w:tcPr>
          <w:p>
            <w:pPr>
              <w:spacing w:after="0"/>
              <w:rPr>
                <w:sz w:val="20"/>
                <w:szCs w:val="20"/>
                <w:color w:val="auto"/>
              </w:rPr>
            </w:pPr>
            <w:r>
              <w:rPr>
                <w:rFonts w:ascii="Arial" w:cs="Arial" w:eastAsia="Arial" w:hAnsi="Arial"/>
                <w:sz w:val="17"/>
                <w:szCs w:val="17"/>
                <w:color w:val="0E32E1"/>
              </w:rPr>
              <w:t>Controls and Procedures</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26</w:t>
            </w:r>
          </w:p>
        </w:tc>
      </w:tr>
      <w:tr>
        <w:trPr>
          <w:trHeight w:val="20"/>
        </w:trPr>
        <w:tc>
          <w:tcPr>
            <w:tcW w:w="480" w:type="dxa"/>
            <w:vAlign w:val="bottom"/>
            <w:shd w:val="clear" w:color="auto" w:fill="112ADB"/>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3"/>
            <w:shd w:val="clear" w:color="auto" w:fill="112ADB"/>
          </w:tcPr>
          <w:p>
            <w:pPr>
              <w:spacing w:after="0" w:line="20" w:lineRule="exact"/>
              <w:rPr>
                <w:sz w:val="1"/>
                <w:szCs w:val="1"/>
                <w:color w:val="auto"/>
              </w:rPr>
            </w:pPr>
          </w:p>
        </w:tc>
      </w:tr>
      <w:tr>
        <w:trPr>
          <w:trHeight w:val="349"/>
        </w:trPr>
        <w:tc>
          <w:tcPr>
            <w:tcW w:w="660" w:type="dxa"/>
            <w:vAlign w:val="bottom"/>
            <w:tcBorders>
              <w:bottom w:val="single" w:sz="8" w:color="112ADB"/>
            </w:tcBorders>
            <w:gridSpan w:val="4"/>
          </w:tcPr>
          <w:p>
            <w:pPr>
              <w:spacing w:after="0"/>
              <w:rPr>
                <w:sz w:val="20"/>
                <w:szCs w:val="20"/>
                <w:color w:val="auto"/>
              </w:rPr>
            </w:pPr>
            <w:r>
              <w:rPr>
                <w:rFonts w:ascii="Arial" w:cs="Arial" w:eastAsia="Arial" w:hAnsi="Arial"/>
                <w:sz w:val="17"/>
                <w:szCs w:val="17"/>
                <w:b w:val="1"/>
                <w:bCs w:val="1"/>
                <w:color w:val="112ADB"/>
                <w:w w:val="98"/>
              </w:rPr>
              <w:t>PART II.</w:t>
            </w:r>
          </w:p>
        </w:tc>
        <w:tc>
          <w:tcPr>
            <w:tcW w:w="560" w:type="dxa"/>
            <w:vAlign w:val="bottom"/>
            <w:gridSpan w:val="2"/>
          </w:tcPr>
          <w:p>
            <w:pPr>
              <w:spacing w:after="0"/>
              <w:rPr>
                <w:sz w:val="24"/>
                <w:szCs w:val="24"/>
                <w:color w:val="auto"/>
              </w:rPr>
            </w:pPr>
          </w:p>
        </w:tc>
        <w:tc>
          <w:tcPr>
            <w:tcW w:w="1820" w:type="dxa"/>
            <w:vAlign w:val="bottom"/>
            <w:tcBorders>
              <w:bottom w:val="single" w:sz="8" w:color="0E32E1"/>
            </w:tcBorders>
            <w:gridSpan w:val="6"/>
          </w:tcPr>
          <w:p>
            <w:pPr>
              <w:spacing w:after="0"/>
              <w:rPr>
                <w:sz w:val="20"/>
                <w:szCs w:val="20"/>
                <w:color w:val="auto"/>
              </w:rPr>
            </w:pPr>
            <w:r>
              <w:rPr>
                <w:rFonts w:ascii="Arial" w:cs="Arial" w:eastAsia="Arial" w:hAnsi="Arial"/>
                <w:sz w:val="17"/>
                <w:szCs w:val="17"/>
                <w:color w:val="0E32E1"/>
                <w:w w:val="97"/>
              </w:rPr>
              <w:t>OTHER INFORMATION</w:t>
            </w:r>
          </w:p>
        </w:tc>
        <w:tc>
          <w:tcPr>
            <w:tcW w:w="4260" w:type="dxa"/>
            <w:vAlign w:val="bottom"/>
            <w:gridSpan w:val="10"/>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26</w:t>
            </w:r>
          </w:p>
        </w:tc>
      </w:tr>
      <w:tr>
        <w:trPr>
          <w:trHeight w:val="425"/>
        </w:trPr>
        <w:tc>
          <w:tcPr>
            <w:tcW w:w="480" w:type="dxa"/>
            <w:vAlign w:val="bottom"/>
            <w:tcBorders>
              <w:bottom w:val="single" w:sz="8" w:color="112ADB"/>
            </w:tcBorders>
          </w:tcPr>
          <w:p>
            <w:pPr>
              <w:spacing w:after="0"/>
              <w:rPr>
                <w:sz w:val="20"/>
                <w:szCs w:val="20"/>
                <w:color w:val="auto"/>
              </w:rPr>
            </w:pPr>
            <w:r>
              <w:rPr>
                <w:rFonts w:ascii="Arial" w:cs="Arial" w:eastAsia="Arial" w:hAnsi="Arial"/>
                <w:sz w:val="17"/>
                <w:szCs w:val="17"/>
                <w:color w:val="112ADB"/>
                <w:w w:val="88"/>
              </w:rPr>
              <w:t>Item 1.</w:t>
            </w:r>
          </w:p>
        </w:tc>
        <w:tc>
          <w:tcPr>
            <w:tcW w:w="740" w:type="dxa"/>
            <w:vAlign w:val="bottom"/>
            <w:gridSpan w:val="5"/>
          </w:tcPr>
          <w:p>
            <w:pPr>
              <w:spacing w:after="0"/>
              <w:rPr>
                <w:sz w:val="24"/>
                <w:szCs w:val="24"/>
                <w:color w:val="auto"/>
              </w:rPr>
            </w:pPr>
          </w:p>
        </w:tc>
        <w:tc>
          <w:tcPr>
            <w:tcW w:w="1260" w:type="dxa"/>
            <w:vAlign w:val="bottom"/>
            <w:tcBorders>
              <w:bottom w:val="single" w:sz="8" w:color="0E32E1"/>
            </w:tcBorders>
            <w:gridSpan w:val="4"/>
          </w:tcPr>
          <w:p>
            <w:pPr>
              <w:spacing w:after="0"/>
              <w:rPr>
                <w:sz w:val="20"/>
                <w:szCs w:val="20"/>
                <w:color w:val="auto"/>
              </w:rPr>
            </w:pPr>
            <w:r>
              <w:rPr>
                <w:rFonts w:ascii="Arial" w:cs="Arial" w:eastAsia="Arial" w:hAnsi="Arial"/>
                <w:sz w:val="17"/>
                <w:szCs w:val="17"/>
                <w:color w:val="0E32E1"/>
                <w:w w:val="88"/>
              </w:rPr>
              <w:t>Legal Proceedings</w:t>
            </w:r>
          </w:p>
        </w:tc>
        <w:tc>
          <w:tcPr>
            <w:tcW w:w="4820" w:type="dxa"/>
            <w:vAlign w:val="bottom"/>
            <w:gridSpan w:val="12"/>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26</w:t>
            </w:r>
          </w:p>
        </w:tc>
      </w:tr>
      <w:tr>
        <w:trPr>
          <w:trHeight w:val="196"/>
        </w:trPr>
        <w:tc>
          <w:tcPr>
            <w:tcW w:w="1220" w:type="dxa"/>
            <w:vAlign w:val="bottom"/>
            <w:gridSpan w:val="6"/>
          </w:tcPr>
          <w:p>
            <w:pPr>
              <w:spacing w:after="0"/>
              <w:rPr>
                <w:sz w:val="20"/>
                <w:szCs w:val="20"/>
                <w:color w:val="auto"/>
              </w:rPr>
            </w:pPr>
            <w:r>
              <w:rPr>
                <w:rFonts w:ascii="Arial" w:cs="Arial" w:eastAsia="Arial" w:hAnsi="Arial"/>
                <w:sz w:val="17"/>
                <w:szCs w:val="17"/>
                <w:color w:val="112ADB"/>
              </w:rPr>
              <w:t>Item 1A.</w:t>
            </w:r>
          </w:p>
        </w:tc>
        <w:tc>
          <w:tcPr>
            <w:tcW w:w="6080" w:type="dxa"/>
            <w:vAlign w:val="bottom"/>
            <w:gridSpan w:val="16"/>
          </w:tcPr>
          <w:p>
            <w:pPr>
              <w:spacing w:after="0"/>
              <w:rPr>
                <w:sz w:val="20"/>
                <w:szCs w:val="20"/>
                <w:color w:val="auto"/>
              </w:rPr>
            </w:pPr>
            <w:r>
              <w:rPr>
                <w:rFonts w:ascii="Arial" w:cs="Arial" w:eastAsia="Arial" w:hAnsi="Arial"/>
                <w:sz w:val="17"/>
                <w:szCs w:val="17"/>
                <w:color w:val="0E32E1"/>
              </w:rPr>
              <w:t>Risk Factors</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26</w:t>
            </w:r>
          </w:p>
        </w:tc>
      </w:tr>
      <w:tr>
        <w:trPr>
          <w:trHeight w:val="20"/>
        </w:trPr>
        <w:tc>
          <w:tcPr>
            <w:tcW w:w="600" w:type="dxa"/>
            <w:vAlign w:val="bottom"/>
            <w:gridSpan w:val="3"/>
            <w:shd w:val="clear" w:color="auto" w:fill="112ADB"/>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3"/>
            <w:shd w:val="clear" w:color="auto" w:fill="112ADB"/>
          </w:tcPr>
          <w:p>
            <w:pPr>
              <w:spacing w:after="0" w:line="20" w:lineRule="exact"/>
              <w:rPr>
                <w:sz w:val="1"/>
                <w:szCs w:val="1"/>
                <w:color w:val="auto"/>
              </w:rPr>
            </w:pPr>
          </w:p>
        </w:tc>
      </w:tr>
      <w:tr>
        <w:trPr>
          <w:trHeight w:val="196"/>
        </w:trPr>
        <w:tc>
          <w:tcPr>
            <w:tcW w:w="480" w:type="dxa"/>
            <w:vAlign w:val="bottom"/>
            <w:tcBorders>
              <w:bottom w:val="single" w:sz="8" w:color="112ADB"/>
            </w:tcBorders>
          </w:tcPr>
          <w:p>
            <w:pPr>
              <w:spacing w:after="0"/>
              <w:rPr>
                <w:sz w:val="20"/>
                <w:szCs w:val="20"/>
                <w:color w:val="auto"/>
              </w:rPr>
            </w:pPr>
            <w:r>
              <w:rPr>
                <w:rFonts w:ascii="Arial" w:cs="Arial" w:eastAsia="Arial" w:hAnsi="Arial"/>
                <w:sz w:val="17"/>
                <w:szCs w:val="17"/>
                <w:color w:val="112ADB"/>
                <w:w w:val="88"/>
              </w:rPr>
              <w:t>Item 2.</w:t>
            </w:r>
          </w:p>
        </w:tc>
        <w:tc>
          <w:tcPr>
            <w:tcW w:w="120" w:type="dxa"/>
            <w:vAlign w:val="bottom"/>
            <w:gridSpan w:val="2"/>
          </w:tcPr>
          <w:p>
            <w:pPr>
              <w:spacing w:after="0"/>
              <w:rPr>
                <w:sz w:val="17"/>
                <w:szCs w:val="17"/>
                <w:color w:val="auto"/>
              </w:rPr>
            </w:pPr>
          </w:p>
        </w:tc>
        <w:tc>
          <w:tcPr>
            <w:tcW w:w="620" w:type="dxa"/>
            <w:vAlign w:val="bottom"/>
            <w:gridSpan w:val="3"/>
          </w:tcPr>
          <w:p>
            <w:pPr>
              <w:spacing w:after="0"/>
              <w:rPr>
                <w:sz w:val="17"/>
                <w:szCs w:val="17"/>
                <w:color w:val="auto"/>
              </w:rPr>
            </w:pPr>
          </w:p>
        </w:tc>
        <w:tc>
          <w:tcPr>
            <w:tcW w:w="4100" w:type="dxa"/>
            <w:vAlign w:val="bottom"/>
            <w:tcBorders>
              <w:bottom w:val="single" w:sz="8" w:color="0E32E1"/>
            </w:tcBorders>
            <w:gridSpan w:val="13"/>
          </w:tcPr>
          <w:p>
            <w:pPr>
              <w:spacing w:after="0"/>
              <w:rPr>
                <w:sz w:val="20"/>
                <w:szCs w:val="20"/>
                <w:color w:val="auto"/>
              </w:rPr>
            </w:pPr>
            <w:r>
              <w:rPr>
                <w:rFonts w:ascii="Arial" w:cs="Arial" w:eastAsia="Arial" w:hAnsi="Arial"/>
                <w:sz w:val="17"/>
                <w:szCs w:val="17"/>
                <w:color w:val="0E32E1"/>
                <w:w w:val="89"/>
              </w:rPr>
              <w:t>Unregistered Sales of Equity Securities and Use of Proceeds</w:t>
            </w:r>
          </w:p>
        </w:tc>
        <w:tc>
          <w:tcPr>
            <w:tcW w:w="1980" w:type="dxa"/>
            <w:vAlign w:val="bottom"/>
            <w:gridSpan w:val="3"/>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73</w:t>
            </w:r>
          </w:p>
        </w:tc>
      </w:tr>
      <w:tr>
        <w:trPr>
          <w:trHeight w:val="209"/>
        </w:trPr>
        <w:tc>
          <w:tcPr>
            <w:tcW w:w="480" w:type="dxa"/>
            <w:vAlign w:val="bottom"/>
          </w:tcPr>
          <w:p>
            <w:pPr>
              <w:spacing w:after="0"/>
              <w:rPr>
                <w:sz w:val="20"/>
                <w:szCs w:val="20"/>
                <w:color w:val="auto"/>
              </w:rPr>
            </w:pPr>
            <w:r>
              <w:rPr>
                <w:rFonts w:ascii="Arial" w:cs="Arial" w:eastAsia="Arial" w:hAnsi="Arial"/>
                <w:sz w:val="17"/>
                <w:szCs w:val="17"/>
                <w:color w:val="112ADB"/>
                <w:w w:val="88"/>
              </w:rPr>
              <w:t>Item 3.</w:t>
            </w:r>
          </w:p>
        </w:tc>
        <w:tc>
          <w:tcPr>
            <w:tcW w:w="740" w:type="dxa"/>
            <w:vAlign w:val="bottom"/>
            <w:gridSpan w:val="5"/>
          </w:tcPr>
          <w:p>
            <w:pPr>
              <w:spacing w:after="0"/>
              <w:rPr>
                <w:sz w:val="18"/>
                <w:szCs w:val="18"/>
                <w:color w:val="auto"/>
              </w:rPr>
            </w:pPr>
          </w:p>
        </w:tc>
        <w:tc>
          <w:tcPr>
            <w:tcW w:w="6080" w:type="dxa"/>
            <w:vAlign w:val="bottom"/>
            <w:gridSpan w:val="16"/>
          </w:tcPr>
          <w:p>
            <w:pPr>
              <w:spacing w:after="0"/>
              <w:rPr>
                <w:sz w:val="20"/>
                <w:szCs w:val="20"/>
                <w:color w:val="auto"/>
              </w:rPr>
            </w:pPr>
            <w:r>
              <w:rPr>
                <w:rFonts w:ascii="Arial" w:cs="Arial" w:eastAsia="Arial" w:hAnsi="Arial"/>
                <w:sz w:val="17"/>
                <w:szCs w:val="17"/>
                <w:color w:val="0E32E1"/>
              </w:rPr>
              <w:t>Defaults Upon Senior Securities</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73</w:t>
            </w:r>
          </w:p>
        </w:tc>
      </w:tr>
      <w:tr>
        <w:trPr>
          <w:trHeight w:val="196"/>
        </w:trPr>
        <w:tc>
          <w:tcPr>
            <w:tcW w:w="480" w:type="dxa"/>
            <w:vAlign w:val="bottom"/>
            <w:tcBorders>
              <w:top w:val="single" w:sz="8" w:color="112ADB"/>
            </w:tcBorders>
          </w:tcPr>
          <w:p>
            <w:pPr>
              <w:spacing w:after="0"/>
              <w:rPr>
                <w:sz w:val="20"/>
                <w:szCs w:val="20"/>
                <w:color w:val="auto"/>
              </w:rPr>
            </w:pPr>
            <w:r>
              <w:rPr>
                <w:rFonts w:ascii="Arial" w:cs="Arial" w:eastAsia="Arial" w:hAnsi="Arial"/>
                <w:sz w:val="17"/>
                <w:szCs w:val="17"/>
                <w:color w:val="112ADB"/>
                <w:w w:val="88"/>
              </w:rPr>
              <w:t>Item 4.</w:t>
            </w:r>
          </w:p>
        </w:tc>
        <w:tc>
          <w:tcPr>
            <w:tcW w:w="740" w:type="dxa"/>
            <w:vAlign w:val="bottom"/>
            <w:gridSpan w:val="5"/>
          </w:tcPr>
          <w:p>
            <w:pPr>
              <w:spacing w:after="0"/>
              <w:rPr>
                <w:sz w:val="17"/>
                <w:szCs w:val="17"/>
                <w:color w:val="auto"/>
              </w:rPr>
            </w:pPr>
          </w:p>
        </w:tc>
        <w:tc>
          <w:tcPr>
            <w:tcW w:w="2180" w:type="dxa"/>
            <w:vAlign w:val="bottom"/>
            <w:tcBorders>
              <w:top w:val="single" w:sz="8" w:color="0E32E1"/>
            </w:tcBorders>
            <w:gridSpan w:val="8"/>
          </w:tcPr>
          <w:p>
            <w:pPr>
              <w:spacing w:after="0"/>
              <w:rPr>
                <w:sz w:val="20"/>
                <w:szCs w:val="20"/>
                <w:color w:val="auto"/>
              </w:rPr>
            </w:pPr>
            <w:r>
              <w:rPr>
                <w:rFonts w:ascii="Arial" w:cs="Arial" w:eastAsia="Arial" w:hAnsi="Arial"/>
                <w:sz w:val="17"/>
                <w:szCs w:val="17"/>
                <w:color w:val="0E32E1"/>
              </w:rPr>
              <w:t>Mine Safety Disclosures</w:t>
            </w:r>
          </w:p>
        </w:tc>
        <w:tc>
          <w:tcPr>
            <w:tcW w:w="3900" w:type="dxa"/>
            <w:vAlign w:val="bottom"/>
            <w:gridSpan w:val="8"/>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top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73</w:t>
            </w:r>
          </w:p>
        </w:tc>
      </w:tr>
      <w:tr>
        <w:trPr>
          <w:trHeight w:val="196"/>
        </w:trPr>
        <w:tc>
          <w:tcPr>
            <w:tcW w:w="480" w:type="dxa"/>
            <w:vAlign w:val="bottom"/>
            <w:tcBorders>
              <w:top w:val="single" w:sz="8" w:color="112ADB"/>
              <w:bottom w:val="single" w:sz="8" w:color="112ADB"/>
            </w:tcBorders>
          </w:tcPr>
          <w:p>
            <w:pPr>
              <w:spacing w:after="0"/>
              <w:rPr>
                <w:sz w:val="20"/>
                <w:szCs w:val="20"/>
                <w:color w:val="auto"/>
              </w:rPr>
            </w:pPr>
            <w:r>
              <w:rPr>
                <w:rFonts w:ascii="Arial" w:cs="Arial" w:eastAsia="Arial" w:hAnsi="Arial"/>
                <w:sz w:val="17"/>
                <w:szCs w:val="17"/>
                <w:color w:val="112ADB"/>
                <w:w w:val="88"/>
              </w:rPr>
              <w:t>Item 5.</w:t>
            </w:r>
          </w:p>
        </w:tc>
        <w:tc>
          <w:tcPr>
            <w:tcW w:w="740" w:type="dxa"/>
            <w:vAlign w:val="bottom"/>
            <w:gridSpan w:val="5"/>
          </w:tcPr>
          <w:p>
            <w:pPr>
              <w:spacing w:after="0"/>
              <w:rPr>
                <w:sz w:val="17"/>
                <w:szCs w:val="17"/>
                <w:color w:val="auto"/>
              </w:rPr>
            </w:pPr>
          </w:p>
        </w:tc>
        <w:tc>
          <w:tcPr>
            <w:tcW w:w="1240" w:type="dxa"/>
            <w:vAlign w:val="bottom"/>
            <w:tcBorders>
              <w:top w:val="single" w:sz="8" w:color="0E32E1"/>
              <w:bottom w:val="single" w:sz="8" w:color="0E32E1"/>
            </w:tcBorders>
            <w:gridSpan w:val="3"/>
          </w:tcPr>
          <w:p>
            <w:pPr>
              <w:spacing w:after="0"/>
              <w:rPr>
                <w:sz w:val="20"/>
                <w:szCs w:val="20"/>
                <w:color w:val="auto"/>
              </w:rPr>
            </w:pPr>
            <w:r>
              <w:rPr>
                <w:rFonts w:ascii="Arial" w:cs="Arial" w:eastAsia="Arial" w:hAnsi="Arial"/>
                <w:sz w:val="17"/>
                <w:szCs w:val="17"/>
                <w:color w:val="0E32E1"/>
                <w:w w:val="92"/>
              </w:rPr>
              <w:t>Other Information</w:t>
            </w:r>
          </w:p>
        </w:tc>
        <w:tc>
          <w:tcPr>
            <w:tcW w:w="420" w:type="dxa"/>
            <w:vAlign w:val="bottom"/>
            <w:tcBorders>
              <w:top w:val="single" w:sz="8" w:color="0E32E1"/>
            </w:tcBorders>
            <w:gridSpan w:val="2"/>
          </w:tcPr>
          <w:p>
            <w:pPr>
              <w:spacing w:after="0"/>
              <w:rPr>
                <w:sz w:val="17"/>
                <w:szCs w:val="17"/>
                <w:color w:val="auto"/>
              </w:rPr>
            </w:pPr>
          </w:p>
        </w:tc>
        <w:tc>
          <w:tcPr>
            <w:tcW w:w="4420" w:type="dxa"/>
            <w:vAlign w:val="bottom"/>
            <w:gridSpan w:val="11"/>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top w:val="single" w:sz="8" w:color="112ADB"/>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73</w:t>
            </w:r>
          </w:p>
        </w:tc>
      </w:tr>
      <w:tr>
        <w:trPr>
          <w:trHeight w:val="209"/>
        </w:trPr>
        <w:tc>
          <w:tcPr>
            <w:tcW w:w="480" w:type="dxa"/>
            <w:vAlign w:val="bottom"/>
          </w:tcPr>
          <w:p>
            <w:pPr>
              <w:spacing w:after="0"/>
              <w:rPr>
                <w:sz w:val="20"/>
                <w:szCs w:val="20"/>
                <w:color w:val="auto"/>
              </w:rPr>
            </w:pPr>
            <w:r>
              <w:rPr>
                <w:rFonts w:ascii="Arial" w:cs="Arial" w:eastAsia="Arial" w:hAnsi="Arial"/>
                <w:sz w:val="17"/>
                <w:szCs w:val="17"/>
                <w:color w:val="112ADB"/>
                <w:w w:val="88"/>
              </w:rPr>
              <w:t>Item 6.</w:t>
            </w:r>
          </w:p>
        </w:tc>
        <w:tc>
          <w:tcPr>
            <w:tcW w:w="740" w:type="dxa"/>
            <w:vAlign w:val="bottom"/>
            <w:gridSpan w:val="5"/>
          </w:tcPr>
          <w:p>
            <w:pPr>
              <w:spacing w:after="0"/>
              <w:rPr>
                <w:sz w:val="18"/>
                <w:szCs w:val="18"/>
                <w:color w:val="auto"/>
              </w:rPr>
            </w:pPr>
          </w:p>
        </w:tc>
        <w:tc>
          <w:tcPr>
            <w:tcW w:w="6080" w:type="dxa"/>
            <w:vAlign w:val="bottom"/>
            <w:gridSpan w:val="16"/>
          </w:tcPr>
          <w:p>
            <w:pPr>
              <w:spacing w:after="0"/>
              <w:rPr>
                <w:sz w:val="20"/>
                <w:szCs w:val="20"/>
                <w:color w:val="auto"/>
              </w:rPr>
            </w:pPr>
            <w:r>
              <w:rPr>
                <w:rFonts w:ascii="Arial" w:cs="Arial" w:eastAsia="Arial" w:hAnsi="Arial"/>
                <w:sz w:val="17"/>
                <w:szCs w:val="17"/>
                <w:color w:val="0E32E1"/>
              </w:rPr>
              <w:t>Exhibits</w:t>
            </w:r>
          </w:p>
        </w:tc>
        <w:tc>
          <w:tcPr>
            <w:tcW w:w="3880" w:type="dxa"/>
            <w:vAlign w:val="bottom"/>
            <w:gridSpan w:val="4"/>
          </w:tcPr>
          <w:p>
            <w:pPr>
              <w:jc w:val="right"/>
              <w:spacing w:after="0"/>
              <w:rPr>
                <w:sz w:val="20"/>
                <w:szCs w:val="20"/>
                <w:color w:val="auto"/>
              </w:rPr>
            </w:pPr>
            <w:r>
              <w:rPr>
                <w:rFonts w:ascii="Arial" w:cs="Arial" w:eastAsia="Arial" w:hAnsi="Arial"/>
                <w:sz w:val="17"/>
                <w:szCs w:val="17"/>
                <w:color w:val="112ADB"/>
              </w:rPr>
              <w:t>73</w:t>
            </w:r>
          </w:p>
        </w:tc>
      </w:tr>
      <w:tr>
        <w:trPr>
          <w:trHeight w:val="20"/>
        </w:trPr>
        <w:tc>
          <w:tcPr>
            <w:tcW w:w="480" w:type="dxa"/>
            <w:vAlign w:val="bottom"/>
            <w:shd w:val="clear" w:color="auto" w:fill="112ADB"/>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3"/>
            <w:shd w:val="clear" w:color="auto" w:fill="112ADB"/>
          </w:tcPr>
          <w:p>
            <w:pPr>
              <w:spacing w:after="0" w:line="20" w:lineRule="exact"/>
              <w:rPr>
                <w:sz w:val="1"/>
                <w:szCs w:val="1"/>
                <w:color w:val="auto"/>
              </w:rPr>
            </w:pPr>
          </w:p>
        </w:tc>
      </w:tr>
      <w:tr>
        <w:trPr>
          <w:trHeight w:val="196"/>
        </w:trPr>
        <w:tc>
          <w:tcPr>
            <w:tcW w:w="720" w:type="dxa"/>
            <w:vAlign w:val="bottom"/>
            <w:tcBorders>
              <w:bottom w:val="single" w:sz="8" w:color="112ADB"/>
            </w:tcBorders>
            <w:gridSpan w:val="5"/>
          </w:tcPr>
          <w:p>
            <w:pPr>
              <w:spacing w:after="0"/>
              <w:rPr>
                <w:sz w:val="20"/>
                <w:szCs w:val="20"/>
                <w:color w:val="auto"/>
              </w:rPr>
            </w:pPr>
            <w:r>
              <w:rPr>
                <w:rFonts w:ascii="Arial" w:cs="Arial" w:eastAsia="Arial" w:hAnsi="Arial"/>
                <w:sz w:val="17"/>
                <w:szCs w:val="17"/>
                <w:color w:val="112ADB"/>
                <w:w w:val="86"/>
              </w:rPr>
              <w:t>Signatures</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Borders>
              <w:bottom w:val="single" w:sz="8" w:color="112ADB"/>
            </w:tcBorders>
            <w:gridSpan w:val="3"/>
          </w:tcPr>
          <w:p>
            <w:pPr>
              <w:jc w:val="right"/>
              <w:spacing w:after="0"/>
              <w:rPr>
                <w:sz w:val="20"/>
                <w:szCs w:val="20"/>
                <w:color w:val="auto"/>
              </w:rPr>
            </w:pPr>
            <w:r>
              <w:rPr>
                <w:rFonts w:ascii="Arial" w:cs="Arial" w:eastAsia="Arial" w:hAnsi="Arial"/>
                <w:sz w:val="17"/>
                <w:szCs w:val="17"/>
                <w:color w:val="112ADB"/>
                <w:w w:val="84"/>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-2761615</wp:posOffset>
            </wp:positionV>
            <wp:extent cx="1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-1404620</wp:posOffset>
            </wp:positionV>
            <wp:extent cx="1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-1122045</wp:posOffset>
            </wp:positionV>
            <wp:extent cx="1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64770</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40" w:top="84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14"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81" w:lineRule="exact"/>
        <w:rPr>
          <w:sz w:val="20"/>
          <w:szCs w:val="20"/>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109" w:lineRule="exact"/>
        <w:rPr>
          <w:rFonts w:ascii="Arial" w:cs="Arial" w:eastAsia="Arial" w:hAnsi="Arial"/>
          <w:sz w:val="17"/>
          <w:szCs w:val="17"/>
          <w:color w:val="auto"/>
        </w:rPr>
      </w:pPr>
    </w:p>
    <w:p>
      <w:pPr>
        <w:ind w:left="1220" w:right="20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 of our lead product candidate, bexotegrast (PLN-74809), as well as PLN-1474 and our other product candidates;</w:t>
      </w:r>
    </w:p>
    <w:p>
      <w:pPr>
        <w:spacing w:after="0" w:line="64" w:lineRule="exact"/>
        <w:rPr>
          <w:rFonts w:ascii="Arial" w:cs="Arial" w:eastAsia="Arial" w:hAnsi="Arial"/>
          <w:sz w:val="17"/>
          <w:szCs w:val="17"/>
          <w:color w:val="auto"/>
        </w:rPr>
      </w:pPr>
    </w:p>
    <w:p>
      <w:pPr>
        <w:ind w:left="1220" w:right="48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the impact of challenging macroeconomic and marketplace conditions, including lingering effects of the COVID-19 pandemic, on our business and operations, and our ability to manage such impacts;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or our future collaborators' plans to initiate, recruit and enroll patients in, and conduct our clinical trials at the pace that we project;</w:t>
      </w:r>
    </w:p>
    <w:p>
      <w:pPr>
        <w:spacing w:after="0" w:line="121" w:lineRule="exact"/>
        <w:rPr>
          <w:rFonts w:ascii="Arial" w:cs="Arial" w:eastAsia="Arial" w:hAnsi="Arial"/>
          <w:sz w:val="16"/>
          <w:szCs w:val="16"/>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and maintain regulatory approvals of our product candidates;</w:t>
      </w:r>
    </w:p>
    <w:p>
      <w:pPr>
        <w:spacing w:after="0" w:line="109" w:lineRule="exact"/>
        <w:rPr>
          <w:rFonts w:ascii="Arial" w:cs="Arial" w:eastAsia="Arial" w:hAnsi="Arial"/>
          <w:sz w:val="17"/>
          <w:szCs w:val="17"/>
          <w:color w:val="auto"/>
        </w:rPr>
      </w:pPr>
    </w:p>
    <w:p>
      <w:pPr>
        <w:ind w:left="1220" w:right="32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to obtain funding for our operations, including funding necessary to complete further development and, upon successful development, if approved, commercialize any of our product candidates;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 of orphan drug and Fast Track designations for bexotegrast;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with companies currently marketing or engaged in the development of treatments for fibrosis;</w:t>
      </w:r>
    </w:p>
    <w:p>
      <w:pPr>
        <w:spacing w:after="0" w:line="109" w:lineRule="exact"/>
        <w:rPr>
          <w:rFonts w:ascii="Arial" w:cs="Arial" w:eastAsia="Arial" w:hAnsi="Arial"/>
          <w:sz w:val="17"/>
          <w:szCs w:val="17"/>
          <w:color w:val="auto"/>
        </w:rPr>
      </w:pPr>
    </w:p>
    <w:p>
      <w:pPr>
        <w:ind w:left="1220" w:right="32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obtaining and maintaining intellectual property protection for our product candidates and the duration of such protection;</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09" w:lineRule="exact"/>
        <w:rPr>
          <w:rFonts w:ascii="Arial" w:cs="Arial" w:eastAsia="Arial" w:hAnsi="Arial"/>
          <w:sz w:val="17"/>
          <w:szCs w:val="17"/>
          <w:color w:val="auto"/>
        </w:rPr>
      </w:pPr>
    </w:p>
    <w:p>
      <w:pPr>
        <w:ind w:left="1220" w:right="18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current and future collaborators for developing, obtaining regulatory approval for and commercializing product candidates in the collaboration;</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receipt and timing of any milestone payments or royalties under any future research collaboration or license agreements or arrangements;</w:t>
      </w:r>
    </w:p>
    <w:p>
      <w:pPr>
        <w:spacing w:after="0" w:line="132" w:lineRule="exact"/>
        <w:rPr>
          <w:rFonts w:ascii="Arial" w:cs="Arial" w:eastAsia="Arial" w:hAnsi="Arial"/>
          <w:sz w:val="15"/>
          <w:szCs w:val="15"/>
          <w:color w:val="auto"/>
        </w:rPr>
      </w:pPr>
    </w:p>
    <w:p>
      <w:pPr>
        <w:ind w:left="1220" w:right="46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commercialization of any products that are approved for marketing and our ability to establish adequate pricing in the U.S. and international markets;</w:t>
      </w:r>
    </w:p>
    <w:p>
      <w:pPr>
        <w:spacing w:after="0" w:line="64" w:lineRule="exact"/>
        <w:rPr>
          <w:rFonts w:ascii="Arial" w:cs="Arial" w:eastAsia="Arial" w:hAnsi="Arial"/>
          <w:sz w:val="17"/>
          <w:szCs w:val="17"/>
          <w:color w:val="auto"/>
        </w:rPr>
      </w:pPr>
    </w:p>
    <w:p>
      <w:pPr>
        <w:ind w:left="1220" w:right="60" w:hanging="531"/>
        <w:spacing w:after="0" w:line="273"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 either alone or in combination with others;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 and key personnel;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government and third-party payor coverage and reimbursement.</w:t>
      </w:r>
    </w:p>
    <w:p>
      <w:pPr>
        <w:spacing w:after="0" w:line="110" w:lineRule="exact"/>
        <w:rPr>
          <w:sz w:val="20"/>
          <w:szCs w:val="20"/>
          <w:color w:val="auto"/>
        </w:rPr>
      </w:pPr>
    </w:p>
    <w:p>
      <w:pPr>
        <w:ind w:right="40" w:firstLine="1068"/>
        <w:spacing w:after="0" w:line="273" w:lineRule="auto"/>
        <w:rPr>
          <w:sz w:val="20"/>
          <w:szCs w:val="20"/>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3" w:name="page4"/>
    <w:bookmarkEnd w:id="3"/>
    <w:p>
      <w:pPr>
        <w:jc w:val="center"/>
        <w:ind w:right="300"/>
        <w:spacing w:after="0"/>
        <w:rPr>
          <w:sz w:val="20"/>
          <w:szCs w:val="20"/>
          <w:color w:val="auto"/>
        </w:rPr>
      </w:pPr>
      <w:r>
        <w:rPr>
          <w:rFonts w:ascii="Arial" w:cs="Arial" w:eastAsia="Arial" w:hAnsi="Arial"/>
          <w:sz w:val="17"/>
          <w:szCs w:val="17"/>
          <w:b w:val="1"/>
          <w:bCs w:val="1"/>
          <w:color w:val="auto"/>
        </w:rPr>
        <w:t>SUMMARY OF RISKS ASSOCIATED WITH OUR BUSINESS</w:t>
      </w:r>
    </w:p>
    <w:p>
      <w:pPr>
        <w:spacing w:after="0" w:line="114" w:lineRule="exact"/>
        <w:rPr>
          <w:sz w:val="20"/>
          <w:szCs w:val="20"/>
          <w:color w:val="auto"/>
        </w:rPr>
      </w:pPr>
    </w:p>
    <w:p>
      <w:pPr>
        <w:ind w:firstLine="382"/>
        <w:spacing w:after="0" w:line="272" w:lineRule="auto"/>
        <w:rPr>
          <w:sz w:val="20"/>
          <w:szCs w:val="20"/>
          <w:color w:val="auto"/>
        </w:rPr>
      </w:pPr>
      <w:r>
        <w:rPr>
          <w:rFonts w:ascii="Arial" w:cs="Arial" w:eastAsia="Arial" w:hAnsi="Arial"/>
          <w:sz w:val="16"/>
          <w:szCs w:val="16"/>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Related to Our Financial Position and Need for Additional Capital</w:t>
      </w:r>
    </w:p>
    <w:p>
      <w:pPr>
        <w:spacing w:after="0" w:line="110" w:lineRule="exact"/>
        <w:rPr>
          <w:sz w:val="20"/>
          <w:szCs w:val="20"/>
          <w:color w:val="auto"/>
        </w:rPr>
      </w:pPr>
    </w:p>
    <w:p>
      <w:pPr>
        <w:ind w:left="920" w:hanging="531"/>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expect to continue to incur significant net losses for the foreseeable future.</w:t>
      </w:r>
    </w:p>
    <w:p>
      <w:pPr>
        <w:spacing w:after="0" w:line="121" w:lineRule="exact"/>
        <w:rPr>
          <w:rFonts w:ascii="Arial" w:cs="Arial" w:eastAsia="Arial" w:hAnsi="Arial"/>
          <w:sz w:val="16"/>
          <w:szCs w:val="16"/>
          <w:color w:val="auto"/>
        </w:rPr>
      </w:pPr>
    </w:p>
    <w:p>
      <w:pPr>
        <w:jc w:val="both"/>
        <w:ind w:left="920" w:right="100" w:hanging="531"/>
        <w:spacing w:after="0" w:line="26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Related to Research and Development and the Biopharmaceutical Industry</w:t>
      </w:r>
    </w:p>
    <w:p>
      <w:pPr>
        <w:spacing w:after="0" w:line="110" w:lineRule="exact"/>
        <w:rPr>
          <w:sz w:val="20"/>
          <w:szCs w:val="20"/>
          <w:color w:val="auto"/>
        </w:rPr>
      </w:pPr>
    </w:p>
    <w:p>
      <w:pPr>
        <w:ind w:left="920" w:hanging="531"/>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which may make it difficult to evaluate our prospects and likelihood of success.</w:t>
      </w:r>
    </w:p>
    <w:p>
      <w:pPr>
        <w:spacing w:after="0" w:line="109" w:lineRule="exact"/>
        <w:rPr>
          <w:rFonts w:ascii="Arial" w:cs="Arial" w:eastAsia="Arial" w:hAnsi="Arial"/>
          <w:sz w:val="17"/>
          <w:szCs w:val="17"/>
          <w:color w:val="auto"/>
        </w:rPr>
      </w:pPr>
    </w:p>
    <w:p>
      <w:pPr>
        <w:jc w:val="both"/>
        <w:ind w:left="920" w:right="20" w:hanging="531"/>
        <w:spacing w:after="0" w:line="26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highly dependent on the success of our lead product candidate, bexotegrast,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4" w:lineRule="exact"/>
        <w:rPr>
          <w:rFonts w:ascii="Arial" w:cs="Arial" w:eastAsia="Arial" w:hAnsi="Arial"/>
          <w:sz w:val="17"/>
          <w:szCs w:val="17"/>
          <w:color w:val="auto"/>
        </w:rPr>
      </w:pPr>
    </w:p>
    <w:p>
      <w:pPr>
        <w:ind w:left="920" w:hanging="531"/>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approach to drug discovery and development in the area of fibrotic diseases is unproven and may not result in marketable products.</w:t>
      </w:r>
    </w:p>
    <w:p>
      <w:pPr>
        <w:spacing w:after="0" w:line="121" w:lineRule="exact"/>
        <w:rPr>
          <w:rFonts w:ascii="Arial" w:cs="Arial" w:eastAsia="Arial" w:hAnsi="Arial"/>
          <w:sz w:val="16"/>
          <w:szCs w:val="16"/>
          <w:color w:val="auto"/>
        </w:rPr>
      </w:pPr>
    </w:p>
    <w:p>
      <w:pPr>
        <w:ind w:left="920" w:hanging="531"/>
        <w:spacing w:after="0" w:line="273"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development involves a lengthy, complex, and expensive process, with an uncertain outcome to support either a marketing authorization or positive pricing and reimbursement decisions.</w:t>
      </w:r>
    </w:p>
    <w:p>
      <w:pPr>
        <w:spacing w:after="0" w:line="64" w:lineRule="exact"/>
        <w:rPr>
          <w:rFonts w:ascii="Arial" w:cs="Arial" w:eastAsia="Arial" w:hAnsi="Arial"/>
          <w:sz w:val="17"/>
          <w:szCs w:val="17"/>
          <w:color w:val="auto"/>
        </w:rPr>
      </w:pPr>
    </w:p>
    <w:p>
      <w:pPr>
        <w:ind w:left="920" w:right="80" w:hanging="531"/>
        <w:spacing w:after="0" w:line="273"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additional costs or experience delays in completing, or ultimately be unable to complete, the development and commercialization of bexotegrast or any other product candidates.</w:t>
      </w:r>
    </w:p>
    <w:p>
      <w:pPr>
        <w:spacing w:after="0" w:line="64" w:lineRule="exact"/>
        <w:rPr>
          <w:rFonts w:ascii="Arial" w:cs="Arial" w:eastAsia="Arial" w:hAnsi="Arial"/>
          <w:sz w:val="17"/>
          <w:szCs w:val="17"/>
          <w:color w:val="auto"/>
        </w:rPr>
      </w:pPr>
    </w:p>
    <w:p>
      <w:pPr>
        <w:ind w:left="920" w:right="500" w:hanging="531"/>
        <w:spacing w:after="0" w:line="273"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obtain and maintain certain regulatory exclusivities and orphan designations in some jurisdictions and therefore fail to secure orphan exclusivity or other exclusivity extensions in those jurisdictions.</w:t>
      </w:r>
    </w:p>
    <w:p>
      <w:pPr>
        <w:spacing w:after="0" w:line="64" w:lineRule="exact"/>
        <w:rPr>
          <w:rFonts w:ascii="Arial" w:cs="Arial" w:eastAsia="Arial" w:hAnsi="Arial"/>
          <w:sz w:val="17"/>
          <w:szCs w:val="17"/>
          <w:color w:val="auto"/>
        </w:rPr>
      </w:pPr>
    </w:p>
    <w:p>
      <w:pPr>
        <w:ind w:left="920" w:right="40" w:hanging="531"/>
        <w:spacing w:after="0" w:line="342" w:lineRule="auto"/>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17" w:lineRule="exact"/>
        <w:rPr>
          <w:rFonts w:ascii="Arial" w:cs="Arial" w:eastAsia="Arial" w:hAnsi="Arial"/>
          <w:sz w:val="15"/>
          <w:szCs w:val="15"/>
          <w:color w:val="auto"/>
        </w:rPr>
      </w:pPr>
    </w:p>
    <w:p>
      <w:pPr>
        <w:ind w:left="920" w:right="400" w:hanging="531"/>
        <w:spacing w:after="0" w:line="273"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clinical trials, our clinical development activities could be delayed or otherwise adversely affected.</w:t>
      </w:r>
    </w:p>
    <w:p>
      <w:pPr>
        <w:spacing w:after="0" w:line="64" w:lineRule="exact"/>
        <w:rPr>
          <w:rFonts w:ascii="Arial" w:cs="Arial" w:eastAsia="Arial" w:hAnsi="Arial"/>
          <w:sz w:val="17"/>
          <w:szCs w:val="17"/>
          <w:color w:val="auto"/>
        </w:rPr>
      </w:pPr>
    </w:p>
    <w:p>
      <w:pPr>
        <w:ind w:left="920" w:hanging="531"/>
        <w:spacing w:after="0" w:line="273"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us.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Related to Our Intellectual Property</w:t>
      </w:r>
    </w:p>
    <w:p>
      <w:pPr>
        <w:spacing w:after="0" w:line="110" w:lineRule="exact"/>
        <w:rPr>
          <w:sz w:val="20"/>
          <w:szCs w:val="20"/>
          <w:color w:val="auto"/>
        </w:rPr>
      </w:pPr>
    </w:p>
    <w:p>
      <w:pPr>
        <w:ind w:left="920" w:right="480" w:hanging="531"/>
        <w:spacing w:after="0" w:line="273"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in part on our ability to obtain patent term extensions and to protect our intellectual property. It is difficult and costly to protect our proprietary rights and technology, and we may not be able to ensure their protection.</w:t>
      </w:r>
    </w:p>
    <w:p>
      <w:pPr>
        <w:spacing w:after="0" w:line="64" w:lineRule="exact"/>
        <w:rPr>
          <w:rFonts w:ascii="Arial" w:cs="Arial" w:eastAsia="Arial" w:hAnsi="Arial"/>
          <w:sz w:val="17"/>
          <w:szCs w:val="17"/>
          <w:color w:val="auto"/>
        </w:rPr>
      </w:pPr>
    </w:p>
    <w:p>
      <w:pPr>
        <w:ind w:left="920" w:hanging="531"/>
        <w:spacing w:after="0" w:line="306"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Related to Our Reliance on Third Parties</w:t>
      </w:r>
    </w:p>
    <w:p>
      <w:pPr>
        <w:spacing w:after="0" w:line="110" w:lineRule="exact"/>
        <w:rPr>
          <w:sz w:val="20"/>
          <w:szCs w:val="20"/>
          <w:color w:val="auto"/>
        </w:rPr>
      </w:pPr>
    </w:p>
    <w:p>
      <w:pPr>
        <w:ind w:left="920" w:right="380" w:hanging="531"/>
        <w:spacing w:after="0" w:line="273"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previously entered into a collaboration agreement, as amended, with Novartis Institutes for Biomedical Research, Inc., or Novartis, for the development of PLN-1474, which was terminated in April 2023, and may</w:t>
      </w:r>
    </w:p>
    <w:p>
      <w:pPr>
        <w:spacing w:after="0" w:line="200" w:lineRule="exact"/>
        <w:rPr>
          <w:sz w:val="20"/>
          <w:szCs w:val="20"/>
          <w:color w:val="auto"/>
        </w:rPr>
      </w:pPr>
    </w:p>
    <w:p>
      <w:pPr>
        <w:spacing w:after="0" w:line="386"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64770</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940"/>
          </w:cols>
          <w:pgMar w:left="620" w:top="950" w:right="339" w:bottom="1440" w:gutter="0" w:footer="0" w:header="0"/>
        </w:sectPr>
      </w:pPr>
    </w:p>
    <w:bookmarkStart w:id="4" w:name="page5"/>
    <w:bookmarkEnd w:id="4"/>
    <w:p>
      <w:pPr>
        <w:ind w:left="540"/>
        <w:spacing w:after="0" w:line="257" w:lineRule="auto"/>
        <w:rPr>
          <w:sz w:val="20"/>
          <w:szCs w:val="20"/>
          <w:color w:val="auto"/>
        </w:rPr>
      </w:pPr>
      <w:r>
        <w:rPr>
          <w:rFonts w:ascii="Arial" w:cs="Arial" w:eastAsia="Arial" w:hAnsi="Arial"/>
          <w:sz w:val="17"/>
          <w:szCs w:val="17"/>
          <w:color w:val="auto"/>
        </w:rPr>
        <w:t>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79" w:lineRule="exact"/>
        <w:rPr>
          <w:sz w:val="20"/>
          <w:szCs w:val="20"/>
          <w:color w:val="auto"/>
        </w:rPr>
      </w:pPr>
    </w:p>
    <w:p>
      <w:pPr>
        <w:ind w:left="540" w:right="200" w:hanging="531"/>
        <w:spacing w:after="0" w:line="273"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third parties to conduct certain aspects of our preclinical studies and clinical trials and for tissue samples and other materials required for our research and development activities.</w:t>
      </w:r>
    </w:p>
    <w:p>
      <w:pPr>
        <w:spacing w:after="0" w:line="64" w:lineRule="exact"/>
        <w:rPr>
          <w:rFonts w:ascii="Arial" w:cs="Arial" w:eastAsia="Arial" w:hAnsi="Arial"/>
          <w:sz w:val="17"/>
          <w:szCs w:val="17"/>
          <w:color w:val="auto"/>
        </w:rPr>
      </w:pPr>
    </w:p>
    <w:p>
      <w:pPr>
        <w:ind w:left="540" w:right="20" w:hanging="531"/>
        <w:spacing w:after="0" w:line="342"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Managing Our Business and Operations</w:t>
      </w:r>
    </w:p>
    <w:p>
      <w:pPr>
        <w:spacing w:after="0" w:line="110" w:lineRule="exact"/>
        <w:rPr>
          <w:sz w:val="20"/>
          <w:szCs w:val="20"/>
          <w:color w:val="auto"/>
        </w:rPr>
      </w:pPr>
    </w:p>
    <w:p>
      <w:pPr>
        <w:ind w:left="540" w:hanging="531"/>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lingering effects of the COVID-19 pandemic could adversely impact our business, including our preclinical studies and clinical trials.</w:t>
      </w:r>
    </w:p>
    <w:p>
      <w:pPr>
        <w:spacing w:after="0" w:line="121" w:lineRule="exact"/>
        <w:rPr>
          <w:rFonts w:ascii="Arial" w:cs="Arial" w:eastAsia="Arial" w:hAnsi="Arial"/>
          <w:sz w:val="16"/>
          <w:szCs w:val="16"/>
          <w:color w:val="auto"/>
        </w:rPr>
      </w:pPr>
    </w:p>
    <w:p>
      <w:pPr>
        <w:ind w:left="540" w:right="480" w:hanging="531"/>
        <w:spacing w:after="0" w:line="261"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64770</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560"/>
          </w:cols>
          <w:pgMar w:left="1000" w:top="954" w:right="3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4"/>
          <w:szCs w:val="14"/>
          <w:b w:val="1"/>
          <w:bCs w:val="1"/>
          <w:color w:val="auto"/>
        </w:rPr>
        <w:t>PART I—FINANCIAL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Financial Statements.</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Pliant Therapeutics, Inc.</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Balance Sheets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(In thousands, except number of shares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504"/>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32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6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33,685</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500,208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297,502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7"/>
                <w:szCs w:val="17"/>
                <w:color w:val="auto"/>
              </w:rPr>
              <w:t>Tax credit receivable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 (Note 5)</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7,058</w:t>
            </w:r>
          </w:p>
        </w:tc>
        <w:tc>
          <w:tcPr>
            <w:tcW w:w="0" w:type="dxa"/>
            <w:vAlign w:val="bottom"/>
          </w:tcPr>
          <w:p>
            <w:pPr>
              <w:spacing w:after="0"/>
              <w:rPr>
                <w:sz w:val="1"/>
                <w:szCs w:val="1"/>
                <w:color w:val="auto"/>
              </w:rPr>
            </w:pPr>
          </w:p>
        </w:tc>
      </w:tr>
      <w:tr>
        <w:trPr>
          <w:trHeight w:val="207"/>
        </w:trPr>
        <w:tc>
          <w:tcPr>
            <w:tcW w:w="7680" w:type="dxa"/>
            <w:vAlign w:val="bottom"/>
          </w:tcPr>
          <w:p>
            <w:pPr>
              <w:ind w:left="620"/>
              <w:spacing w:after="0"/>
              <w:rPr>
                <w:sz w:val="20"/>
                <w:szCs w:val="20"/>
                <w:color w:val="auto"/>
              </w:rPr>
            </w:pPr>
            <w:r>
              <w:rPr>
                <w:rFonts w:ascii="Arial" w:cs="Arial" w:eastAsia="Arial" w:hAnsi="Arial"/>
                <w:sz w:val="17"/>
                <w:szCs w:val="17"/>
                <w:color w:val="auto"/>
              </w:rPr>
              <w:t>Total current assets</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565,701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340,311</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4,486</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5,422</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197"/>
        </w:trPr>
        <w:tc>
          <w:tcPr>
            <w:tcW w:w="7680" w:type="dxa"/>
            <w:vAlign w:val="bottom"/>
          </w:tcPr>
          <w:p>
            <w:pPr>
              <w:ind w:left="620"/>
              <w:spacing w:after="0"/>
              <w:rPr>
                <w:sz w:val="20"/>
                <w:szCs w:val="20"/>
                <w:color w:val="auto"/>
              </w:rPr>
            </w:pPr>
            <w:r>
              <w:rPr>
                <w:rFonts w:ascii="Arial" w:cs="Arial" w:eastAsia="Arial" w:hAnsi="Arial"/>
                <w:sz w:val="17"/>
                <w:szCs w:val="17"/>
                <w:color w:val="auto"/>
              </w:rPr>
              <w:t>Total assets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574,891</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350,613</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8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7"/>
                <w:szCs w:val="17"/>
                <w:color w:val="auto"/>
              </w:rPr>
              <w:t>Accrued research and development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11,218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liabilities (Note 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8,658</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Lease liabilities, current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2,457</w:t>
            </w:r>
          </w:p>
        </w:tc>
        <w:tc>
          <w:tcPr>
            <w:tcW w:w="0" w:type="dxa"/>
            <w:vAlign w:val="bottom"/>
          </w:tcPr>
          <w:p>
            <w:pPr>
              <w:spacing w:after="0"/>
              <w:rPr>
                <w:sz w:val="1"/>
                <w:szCs w:val="1"/>
                <w:color w:val="auto"/>
              </w:rPr>
            </w:pPr>
          </w:p>
        </w:tc>
      </w:tr>
      <w:tr>
        <w:trPr>
          <w:trHeight w:val="197"/>
        </w:trPr>
        <w:tc>
          <w:tcPr>
            <w:tcW w:w="7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current liabilities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23,913</w:t>
            </w:r>
          </w:p>
        </w:tc>
        <w:tc>
          <w:tcPr>
            <w:tcW w:w="0" w:type="dxa"/>
            <w:vAlign w:val="bottom"/>
          </w:tcPr>
          <w:p>
            <w:pPr>
              <w:spacing w:after="0"/>
              <w:rPr>
                <w:sz w:val="1"/>
                <w:szCs w:val="1"/>
                <w:color w:val="auto"/>
              </w:rPr>
            </w:pPr>
          </w:p>
        </w:tc>
      </w:tr>
      <w:tr>
        <w:trPr>
          <w:trHeight w:val="227"/>
        </w:trPr>
        <w:tc>
          <w:tcPr>
            <w:tcW w:w="7680" w:type="dxa"/>
            <w:vAlign w:val="bottom"/>
          </w:tcPr>
          <w:p>
            <w:pPr>
              <w:ind w:left="220"/>
              <w:spacing w:after="0"/>
              <w:rPr>
                <w:sz w:val="20"/>
                <w:szCs w:val="20"/>
                <w:color w:val="auto"/>
              </w:rPr>
            </w:pPr>
            <w:r>
              <w:rPr>
                <w:rFonts w:ascii="Arial" w:cs="Arial" w:eastAsia="Arial" w:hAnsi="Arial"/>
                <w:sz w:val="17"/>
                <w:szCs w:val="17"/>
                <w:color w:val="auto"/>
              </w:rPr>
              <w:t>Lease liabilities, non-current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3,429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Long-term debt (Note 7)</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9,929</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37,271</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00"/>
              <w:spacing w:after="0" w:line="166" w:lineRule="exact"/>
              <w:rPr>
                <w:sz w:val="20"/>
                <w:szCs w:val="20"/>
                <w:color w:val="auto"/>
              </w:rPr>
            </w:pPr>
            <w:r>
              <w:rPr>
                <w:rFonts w:ascii="Arial" w:cs="Arial" w:eastAsia="Arial" w:hAnsi="Arial"/>
                <w:sz w:val="17"/>
                <w:szCs w:val="17"/>
                <w:color w:val="auto"/>
                <w:w w:val="90"/>
              </w:rPr>
              <w:t>Common stock, $0.0001 par value; 300,000,000 shares authorized at June 30, 2023 and December 31, 2022;</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680" w:type="dxa"/>
            <w:vAlign w:val="bottom"/>
          </w:tcPr>
          <w:p>
            <w:pPr>
              <w:ind w:left="360"/>
              <w:spacing w:after="0" w:line="166" w:lineRule="exact"/>
              <w:rPr>
                <w:sz w:val="20"/>
                <w:szCs w:val="20"/>
                <w:color w:val="auto"/>
              </w:rPr>
            </w:pPr>
            <w:r>
              <w:rPr>
                <w:rFonts w:ascii="Arial" w:cs="Arial" w:eastAsia="Arial" w:hAnsi="Arial"/>
                <w:sz w:val="17"/>
                <w:szCs w:val="17"/>
                <w:color w:val="auto"/>
                <w:w w:val="91"/>
              </w:rPr>
              <w:t>and 59,222,685 and 48,941,254 shares issued and outstanding at June 30, 2023 and December 31, 2022,</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360"/>
              <w:spacing w:after="0"/>
              <w:rPr>
                <w:sz w:val="20"/>
                <w:szCs w:val="20"/>
                <w:color w:val="auto"/>
              </w:rPr>
            </w:pPr>
            <w:r>
              <w:rPr>
                <w:rFonts w:ascii="Arial" w:cs="Arial" w:eastAsia="Arial" w:hAnsi="Arial"/>
                <w:sz w:val="17"/>
                <w:szCs w:val="17"/>
                <w:color w:val="auto"/>
              </w:rPr>
              <w:t>respectively;</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653,707</w:t>
            </w:r>
          </w:p>
        </w:tc>
        <w:tc>
          <w:tcPr>
            <w:tcW w:w="0" w:type="dxa"/>
            <w:vAlign w:val="bottom"/>
          </w:tcPr>
          <w:p>
            <w:pPr>
              <w:spacing w:after="0"/>
              <w:rPr>
                <w:sz w:val="1"/>
                <w:szCs w:val="1"/>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(417,152)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(338,412)</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(1,958)</w:t>
            </w:r>
          </w:p>
        </w:tc>
        <w:tc>
          <w:tcPr>
            <w:tcW w:w="0" w:type="dxa"/>
            <w:vAlign w:val="bottom"/>
          </w:tcPr>
          <w:p>
            <w:pPr>
              <w:spacing w:after="0"/>
              <w:rPr>
                <w:sz w:val="1"/>
                <w:szCs w:val="1"/>
                <w:color w:val="auto"/>
              </w:rPr>
            </w:pPr>
          </w:p>
        </w:tc>
      </w:tr>
      <w:tr>
        <w:trPr>
          <w:trHeight w:val="197"/>
        </w:trPr>
        <w:tc>
          <w:tcPr>
            <w:tcW w:w="7680" w:type="dxa"/>
            <w:vAlign w:val="bottom"/>
          </w:tcPr>
          <w:p>
            <w:pPr>
              <w:ind w:left="620"/>
              <w:spacing w:after="0"/>
              <w:rPr>
                <w:sz w:val="20"/>
                <w:szCs w:val="20"/>
                <w:color w:val="auto"/>
              </w:rPr>
            </w:pPr>
            <w:r>
              <w:rPr>
                <w:rFonts w:ascii="Arial" w:cs="Arial" w:eastAsia="Arial" w:hAnsi="Arial"/>
                <w:sz w:val="17"/>
                <w:szCs w:val="17"/>
                <w:color w:val="auto"/>
              </w:rPr>
              <w:t>Total stockholders’ equity</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533,065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313,342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574,891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350,613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2720" w:right="1980" w:hanging="2718"/>
        <w:spacing w:after="0" w:line="484" w:lineRule="auto"/>
        <w:tabs>
          <w:tab w:leader="none" w:pos="603"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condensed balance sheet as of December 31, 2022 has been derived from the audited financial statements as of that date</w:t>
      </w:r>
      <w:r>
        <w:rPr>
          <w:rFonts w:ascii="Arial" w:cs="Arial" w:eastAsia="Arial" w:hAnsi="Arial"/>
          <w:sz w:val="13"/>
          <w:szCs w:val="13"/>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The accompanying notes are an integral part of these condensed financial statements</w:t>
      </w: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4"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680" w:type="dxa"/>
            <w:vAlign w:val="bottom"/>
            <w:gridSpan w:val="2"/>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4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6,238</w:t>
            </w:r>
          </w:p>
        </w:tc>
        <w:tc>
          <w:tcPr>
            <w:tcW w:w="0" w:type="dxa"/>
            <w:vAlign w:val="bottom"/>
          </w:tcPr>
          <w:p>
            <w:pPr>
              <w:spacing w:after="0"/>
              <w:rPr>
                <w:sz w:val="1"/>
                <w:szCs w:val="1"/>
                <w:color w:val="auto"/>
              </w:rPr>
            </w:pPr>
          </w:p>
        </w:tc>
      </w:tr>
      <w:tr>
        <w:trPr>
          <w:trHeight w:val="222"/>
        </w:trPr>
        <w:tc>
          <w:tcPr>
            <w:tcW w:w="50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(47,216)</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(14,574)</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(28,728)</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(16,875)</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(47,576)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(64,091)</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(47,328)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(29,642)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(89,423)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(57,853)</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(41,192)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(78,740)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(57,646)</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(41,192)</w:t>
            </w:r>
          </w:p>
        </w:tc>
        <w:tc>
          <w:tcPr>
            <w:tcW w:w="680" w:type="dxa"/>
            <w:vAlign w:val="bottom"/>
            <w:gridSpan w:val="2"/>
          </w:tcPr>
          <w:p>
            <w:pPr>
              <w:jc w:val="right"/>
              <w:ind w:right="39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(29,546)</w:t>
            </w:r>
          </w:p>
        </w:tc>
        <w:tc>
          <w:tcPr>
            <w:tcW w:w="4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(78,740)</w:t>
            </w:r>
          </w:p>
        </w:tc>
        <w:tc>
          <w:tcPr>
            <w:tcW w:w="640" w:type="dxa"/>
            <w:vAlign w:val="bottom"/>
            <w:gridSpan w:val="2"/>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(57,646)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04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Net loss per share, attributable to common stockholders - basic and</w:t>
            </w:r>
          </w:p>
        </w:tc>
        <w:tc>
          <w:tcPr>
            <w:tcW w:w="34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680" w:type="dxa"/>
            <w:vAlign w:val="bottom"/>
            <w:gridSpan w:val="2"/>
            <w:vMerge w:val="restart"/>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440" w:type="dxa"/>
            <w:vAlign w:val="bottom"/>
            <w:gridSpan w:val="2"/>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640" w:type="dxa"/>
            <w:vAlign w:val="bottom"/>
            <w:gridSpan w:val="2"/>
            <w:vMerge w:val="restart"/>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40"/>
              <w:spacing w:after="0" w:line="190" w:lineRule="exact"/>
              <w:rPr>
                <w:sz w:val="20"/>
                <w:szCs w:val="20"/>
                <w:color w:val="auto"/>
              </w:rPr>
            </w:pPr>
            <w:r>
              <w:rPr>
                <w:rFonts w:ascii="Arial" w:cs="Arial" w:eastAsia="Arial" w:hAnsi="Arial"/>
                <w:sz w:val="17"/>
                <w:szCs w:val="17"/>
                <w:color w:val="auto"/>
              </w:rPr>
              <w:t>diluted</w:t>
            </w:r>
          </w:p>
        </w:tc>
        <w:tc>
          <w:tcPr>
            <w:tcW w:w="3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7"/>
                <w:szCs w:val="17"/>
                <w:color w:val="auto"/>
                <w:w w:val="97"/>
              </w:rPr>
              <w:t>Shares used in computing net loss per share attributable to common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59,172,869</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w w:val="89"/>
              </w:rPr>
              <w:t>36,173,135</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57,623,842</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w w:val="93"/>
              </w:rPr>
              <w:t>36,144,944</w:t>
            </w:r>
          </w:p>
        </w:tc>
        <w:tc>
          <w:tcPr>
            <w:tcW w:w="0" w:type="dxa"/>
            <w:vAlign w:val="bottom"/>
          </w:tcPr>
          <w:p>
            <w:pPr>
              <w:spacing w:after="0"/>
              <w:rPr>
                <w:sz w:val="1"/>
                <w:szCs w:val="1"/>
                <w:color w:val="auto"/>
              </w:rPr>
            </w:pPr>
          </w:p>
        </w:tc>
      </w:tr>
      <w:tr>
        <w:trPr>
          <w:trHeight w:val="203"/>
        </w:trPr>
        <w:tc>
          <w:tcPr>
            <w:tcW w:w="5040" w:type="dxa"/>
            <w:vAlign w:val="bottom"/>
          </w:tcPr>
          <w:p>
            <w:pPr>
              <w:ind w:left="240"/>
              <w:spacing w:after="0"/>
              <w:rPr>
                <w:sz w:val="20"/>
                <w:szCs w:val="20"/>
                <w:color w:val="auto"/>
              </w:rPr>
            </w:pPr>
            <w:r>
              <w:rPr>
                <w:rFonts w:ascii="Arial" w:cs="Arial" w:eastAsia="Arial" w:hAnsi="Arial"/>
                <w:sz w:val="17"/>
                <w:szCs w:val="17"/>
                <w:color w:val="auto"/>
              </w:rPr>
              <w:t>stockholders - 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Comprehensive loss: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(41,192)</w:t>
            </w:r>
          </w:p>
        </w:tc>
        <w:tc>
          <w:tcPr>
            <w:tcW w:w="680" w:type="dxa"/>
            <w:vAlign w:val="bottom"/>
            <w:gridSpan w:val="2"/>
          </w:tcPr>
          <w:p>
            <w:pPr>
              <w:jc w:val="right"/>
              <w:ind w:right="39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(29,546)</w:t>
            </w:r>
          </w:p>
        </w:tc>
        <w:tc>
          <w:tcPr>
            <w:tcW w:w="4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(78,740)</w:t>
            </w:r>
          </w:p>
        </w:tc>
        <w:tc>
          <w:tcPr>
            <w:tcW w:w="640" w:type="dxa"/>
            <w:vAlign w:val="bottom"/>
            <w:gridSpan w:val="2"/>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(57,646)</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unrealized loss on short-term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other comprehensive loss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(42,102)</w:t>
            </w:r>
          </w:p>
        </w:tc>
        <w:tc>
          <w:tcPr>
            <w:tcW w:w="680" w:type="dxa"/>
            <w:vAlign w:val="bottom"/>
            <w:gridSpan w:val="2"/>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(29,855)</w:t>
            </w:r>
          </w:p>
        </w:tc>
        <w:tc>
          <w:tcPr>
            <w:tcW w:w="4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(79,023)</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(58,704)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64770</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400" w:top="848"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1960" w:type="dxa"/>
            <w:vAlign w:val="bottom"/>
            <w:gridSpan w:val="3"/>
            <w:vMerge w:val="restart"/>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7"/>
              <w:spacing w:after="0" w:line="153" w:lineRule="exact"/>
              <w:rPr>
                <w:sz w:val="20"/>
                <w:szCs w:val="20"/>
                <w:color w:val="auto"/>
              </w:rPr>
            </w:pPr>
            <w:r>
              <w:rPr>
                <w:rFonts w:ascii="Arial" w:cs="Arial" w:eastAsia="Arial" w:hAnsi="Arial"/>
                <w:sz w:val="15"/>
                <w:szCs w:val="15"/>
                <w:b w:val="1"/>
                <w:bCs w:val="1"/>
                <w:color w:val="auto"/>
                <w:w w:val="99"/>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97"/>
              <w:spacing w:after="0" w:line="132"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12"/>
                <w:szCs w:val="12"/>
                <w:color w:val="auto"/>
              </w:rPr>
            </w:pPr>
          </w:p>
        </w:tc>
        <w:tc>
          <w:tcPr>
            <w:tcW w:w="112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0"/>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6"/>
              <w:spacing w:after="0" w:line="132" w:lineRule="exact"/>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2"/>
                <w:szCs w:val="12"/>
                <w:color w:val="auto"/>
              </w:rPr>
            </w:pPr>
          </w:p>
        </w:tc>
        <w:tc>
          <w:tcPr>
            <w:tcW w:w="108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94"/>
        </w:trPr>
        <w:tc>
          <w:tcPr>
            <w:tcW w:w="28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6"/>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1"/>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2022</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48,941,254</w:t>
            </w:r>
          </w:p>
        </w:tc>
        <w:tc>
          <w:tcPr>
            <w:tcW w:w="920" w:type="dxa"/>
            <w:vAlign w:val="bottom"/>
            <w:gridSpan w:val="2"/>
            <w:shd w:val="clear" w:color="auto" w:fill="CCEEFF"/>
          </w:tcPr>
          <w:p>
            <w:pPr>
              <w:jc w:val="right"/>
              <w:ind w:right="62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653,707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(338,412)</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313,342</w:t>
            </w:r>
          </w:p>
        </w:tc>
        <w:tc>
          <w:tcPr>
            <w:tcW w:w="0" w:type="dxa"/>
            <w:vAlign w:val="bottom"/>
          </w:tcPr>
          <w:p>
            <w:pPr>
              <w:spacing w:after="0"/>
              <w:rPr>
                <w:sz w:val="1"/>
                <w:szCs w:val="1"/>
                <w:color w:val="auto"/>
              </w:rPr>
            </w:pPr>
          </w:p>
        </w:tc>
      </w:tr>
      <w:tr>
        <w:trPr>
          <w:trHeight w:val="178"/>
        </w:trPr>
        <w:tc>
          <w:tcPr>
            <w:tcW w:w="2860" w:type="dxa"/>
            <w:vAlign w:val="bottom"/>
          </w:tcPr>
          <w:p>
            <w:pPr>
              <w:ind w:left="160"/>
              <w:spacing w:after="0" w:line="178" w:lineRule="exact"/>
              <w:rPr>
                <w:sz w:val="20"/>
                <w:szCs w:val="20"/>
                <w:color w:val="auto"/>
              </w:rPr>
            </w:pPr>
            <w:r>
              <w:rPr>
                <w:rFonts w:ascii="Arial" w:cs="Arial" w:eastAsia="Arial" w:hAnsi="Arial"/>
                <w:sz w:val="17"/>
                <w:szCs w:val="17"/>
                <w:color w:val="auto"/>
              </w:rPr>
              <w:t>Common stock issued in a public</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20"/>
              <w:spacing w:after="0"/>
              <w:rPr>
                <w:sz w:val="20"/>
                <w:szCs w:val="20"/>
                <w:color w:val="auto"/>
              </w:rPr>
            </w:pPr>
            <w:r>
              <w:rPr>
                <w:rFonts w:ascii="Arial" w:cs="Arial" w:eastAsia="Arial" w:hAnsi="Arial"/>
                <w:sz w:val="17"/>
                <w:szCs w:val="17"/>
                <w:color w:val="auto"/>
              </w:rPr>
              <w:t>offering, net of offering expenses</w:t>
            </w:r>
          </w:p>
        </w:tc>
        <w:tc>
          <w:tcPr>
            <w:tcW w:w="1040" w:type="dxa"/>
            <w:vAlign w:val="bottom"/>
          </w:tcPr>
          <w:p>
            <w:pPr>
              <w:jc w:val="right"/>
              <w:spacing w:after="0"/>
              <w:rPr>
                <w:sz w:val="20"/>
                <w:szCs w:val="20"/>
                <w:color w:val="auto"/>
              </w:rPr>
            </w:pPr>
            <w:r>
              <w:rPr>
                <w:rFonts w:ascii="Arial" w:cs="Arial" w:eastAsia="Arial" w:hAnsi="Arial"/>
                <w:sz w:val="17"/>
                <w:szCs w:val="17"/>
                <w:color w:val="auto"/>
              </w:rPr>
              <w:t>9,583,334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269,914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269,915</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454,314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3,661</w:t>
            </w:r>
          </w:p>
        </w:tc>
        <w:tc>
          <w:tcPr>
            <w:tcW w:w="0" w:type="dxa"/>
            <w:vAlign w:val="bottom"/>
          </w:tcPr>
          <w:p>
            <w:pPr>
              <w:spacing w:after="0"/>
              <w:rPr>
                <w:sz w:val="1"/>
                <w:szCs w:val="1"/>
                <w:color w:val="auto"/>
              </w:rPr>
            </w:pPr>
          </w:p>
        </w:tc>
      </w:tr>
      <w:tr>
        <w:trPr>
          <w:trHeight w:val="222"/>
        </w:trPr>
        <w:tc>
          <w:tcPr>
            <w:tcW w:w="2860" w:type="dxa"/>
            <w:vAlign w:val="bottom"/>
          </w:tcPr>
          <w:p>
            <w:pPr>
              <w:ind w:left="160"/>
              <w:spacing w:after="0"/>
              <w:rPr>
                <w:sz w:val="20"/>
                <w:szCs w:val="20"/>
                <w:color w:val="auto"/>
              </w:rPr>
            </w:pPr>
            <w:r>
              <w:rPr>
                <w:rFonts w:ascii="Arial" w:cs="Arial" w:eastAsia="Arial" w:hAnsi="Arial"/>
                <w:sz w:val="17"/>
                <w:szCs w:val="17"/>
                <w:color w:val="auto"/>
                <w:w w:val="97"/>
              </w:rPr>
              <w:t>Stock-based compensation expense</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11,923</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60"/>
              <w:spacing w:after="0" w:line="172" w:lineRule="exact"/>
              <w:rPr>
                <w:sz w:val="20"/>
                <w:szCs w:val="20"/>
                <w:color w:val="auto"/>
              </w:rPr>
            </w:pPr>
            <w:r>
              <w:rPr>
                <w:rFonts w:ascii="Arial" w:cs="Arial" w:eastAsia="Arial" w:hAnsi="Arial"/>
                <w:sz w:val="17"/>
                <w:szCs w:val="17"/>
                <w:color w:val="auto"/>
              </w:rPr>
              <w:t>Net unrealized gain on short-term</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(37,548)</w:t>
            </w: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58,978,902</w:t>
            </w:r>
          </w:p>
        </w:tc>
        <w:tc>
          <w:tcPr>
            <w:tcW w:w="920" w:type="dxa"/>
            <w:vAlign w:val="bottom"/>
            <w:gridSpan w:val="2"/>
            <w:shd w:val="clear" w:color="auto" w:fill="CCEEFF"/>
          </w:tcPr>
          <w:p>
            <w:pPr>
              <w:jc w:val="right"/>
              <w:ind w:right="62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939,205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(375,960)</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561,920</w:t>
            </w:r>
          </w:p>
        </w:tc>
        <w:tc>
          <w:tcPr>
            <w:tcW w:w="0" w:type="dxa"/>
            <w:vAlign w:val="bottom"/>
          </w:tcPr>
          <w:p>
            <w:pPr>
              <w:spacing w:after="0"/>
              <w:rPr>
                <w:sz w:val="1"/>
                <w:szCs w:val="1"/>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7"/>
                <w:szCs w:val="17"/>
                <w:color w:val="auto"/>
              </w:rPr>
              <w:t>Public offering expenses</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243,783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22"/>
        </w:trPr>
        <w:tc>
          <w:tcPr>
            <w:tcW w:w="2860" w:type="dxa"/>
            <w:vAlign w:val="bottom"/>
          </w:tcPr>
          <w:p>
            <w:pPr>
              <w:ind w:left="160"/>
              <w:spacing w:after="0"/>
              <w:rPr>
                <w:sz w:val="20"/>
                <w:szCs w:val="20"/>
                <w:color w:val="auto"/>
              </w:rPr>
            </w:pPr>
            <w:r>
              <w:rPr>
                <w:rFonts w:ascii="Arial" w:cs="Arial" w:eastAsia="Arial" w:hAnsi="Arial"/>
                <w:sz w:val="17"/>
                <w:szCs w:val="17"/>
                <w:color w:val="auto"/>
                <w:w w:val="97"/>
              </w:rPr>
              <w:t>Stock-based compensation expense</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13,046</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60"/>
              <w:spacing w:after="0" w:line="172" w:lineRule="exact"/>
              <w:rPr>
                <w:sz w:val="20"/>
                <w:szCs w:val="20"/>
                <w:color w:val="auto"/>
              </w:rPr>
            </w:pPr>
            <w:r>
              <w:rPr>
                <w:rFonts w:ascii="Arial" w:cs="Arial" w:eastAsia="Arial" w:hAnsi="Arial"/>
                <w:sz w:val="17"/>
                <w:szCs w:val="17"/>
                <w:color w:val="auto"/>
              </w:rPr>
              <w:t>Net unrealized loss on short-term</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59,222,685</w:t>
            </w:r>
          </w:p>
        </w:tc>
        <w:tc>
          <w:tcPr>
            <w:tcW w:w="920" w:type="dxa"/>
            <w:vAlign w:val="bottom"/>
            <w:gridSpan w:val="2"/>
            <w:shd w:val="clear" w:color="auto" w:fill="CCEEFF"/>
          </w:tcPr>
          <w:p>
            <w:pPr>
              <w:jc w:val="right"/>
              <w:ind w:right="62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952,452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(417,152)</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533,065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64770</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848" w:right="10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number of shares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1960" w:type="dxa"/>
            <w:vAlign w:val="bottom"/>
            <w:gridSpan w:val="3"/>
            <w:vMerge w:val="restart"/>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7"/>
              <w:spacing w:after="0" w:line="153" w:lineRule="exact"/>
              <w:rPr>
                <w:sz w:val="20"/>
                <w:szCs w:val="20"/>
                <w:color w:val="auto"/>
              </w:rPr>
            </w:pPr>
            <w:r>
              <w:rPr>
                <w:rFonts w:ascii="Arial" w:cs="Arial" w:eastAsia="Arial" w:hAnsi="Arial"/>
                <w:sz w:val="15"/>
                <w:szCs w:val="15"/>
                <w:b w:val="1"/>
                <w:bCs w:val="1"/>
                <w:color w:val="auto"/>
                <w:w w:val="99"/>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97"/>
              <w:spacing w:after="0" w:line="132"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12"/>
                <w:szCs w:val="12"/>
                <w:color w:val="auto"/>
              </w:rPr>
            </w:pPr>
          </w:p>
        </w:tc>
        <w:tc>
          <w:tcPr>
            <w:tcW w:w="112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0"/>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6"/>
              <w:spacing w:after="0" w:line="132" w:lineRule="exact"/>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2"/>
                <w:szCs w:val="12"/>
                <w:color w:val="auto"/>
              </w:rPr>
            </w:pPr>
          </w:p>
        </w:tc>
        <w:tc>
          <w:tcPr>
            <w:tcW w:w="108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85"/>
              </w:rPr>
              <w:t>Loss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Deficit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6"/>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24"/>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36,083,301</w:t>
            </w:r>
          </w:p>
        </w:tc>
        <w:tc>
          <w:tcPr>
            <w:tcW w:w="920" w:type="dxa"/>
            <w:vAlign w:val="bottom"/>
            <w:gridSpan w:val="2"/>
            <w:shd w:val="clear" w:color="auto" w:fill="CCEEFF"/>
          </w:tcPr>
          <w:p>
            <w:pPr>
              <w:jc w:val="right"/>
              <w:ind w:right="62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414,348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(215,091)</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199,059</w:t>
            </w:r>
          </w:p>
        </w:tc>
        <w:tc>
          <w:tcPr>
            <w:tcW w:w="0" w:type="dxa"/>
            <w:vAlign w:val="bottom"/>
          </w:tcPr>
          <w:p>
            <w:pPr>
              <w:spacing w:after="0"/>
              <w:rPr>
                <w:sz w:val="1"/>
                <w:szCs w:val="1"/>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7"/>
                <w:szCs w:val="17"/>
                <w:color w:val="auto"/>
              </w:rPr>
              <w:t>Vesting of restricted stock awards</w:t>
            </w:r>
          </w:p>
        </w:tc>
        <w:tc>
          <w:tcPr>
            <w:tcW w:w="1040" w:type="dxa"/>
            <w:vAlign w:val="bottom"/>
          </w:tcPr>
          <w:p>
            <w:pPr>
              <w:jc w:val="right"/>
              <w:spacing w:after="0"/>
              <w:rPr>
                <w:sz w:val="20"/>
                <w:szCs w:val="20"/>
                <w:color w:val="auto"/>
              </w:rPr>
            </w:pPr>
            <w:r>
              <w:rPr>
                <w:rFonts w:ascii="Arial" w:cs="Arial" w:eastAsia="Arial" w:hAnsi="Arial"/>
                <w:sz w:val="17"/>
                <w:szCs w:val="17"/>
                <w:color w:val="auto"/>
              </w:rPr>
              <w:t>15,606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2"/>
        </w:trPr>
        <w:tc>
          <w:tcPr>
            <w:tcW w:w="2860" w:type="dxa"/>
            <w:vAlign w:val="bottom"/>
          </w:tcPr>
          <w:p>
            <w:pPr>
              <w:ind w:left="160"/>
              <w:spacing w:after="0"/>
              <w:rPr>
                <w:sz w:val="20"/>
                <w:szCs w:val="20"/>
                <w:color w:val="auto"/>
              </w:rPr>
            </w:pPr>
            <w:r>
              <w:rPr>
                <w:rFonts w:ascii="Arial" w:cs="Arial" w:eastAsia="Arial" w:hAnsi="Arial"/>
                <w:sz w:val="17"/>
                <w:szCs w:val="17"/>
                <w:color w:val="auto"/>
                <w:w w:val="97"/>
              </w:rPr>
              <w:t>Stock-based compensation expense</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3,531</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60"/>
              <w:spacing w:after="0" w:line="172" w:lineRule="exact"/>
              <w:rPr>
                <w:sz w:val="20"/>
                <w:szCs w:val="20"/>
                <w:color w:val="auto"/>
              </w:rPr>
            </w:pPr>
            <w:r>
              <w:rPr>
                <w:rFonts w:ascii="Arial" w:cs="Arial" w:eastAsia="Arial" w:hAnsi="Arial"/>
                <w:sz w:val="17"/>
                <w:szCs w:val="17"/>
                <w:color w:val="auto"/>
              </w:rPr>
              <w:t>Net unrealized loss on short-term</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2022</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36,162,459</w:t>
            </w:r>
          </w:p>
        </w:tc>
        <w:tc>
          <w:tcPr>
            <w:tcW w:w="920" w:type="dxa"/>
            <w:vAlign w:val="bottom"/>
            <w:gridSpan w:val="2"/>
            <w:shd w:val="clear" w:color="auto" w:fill="CCEEFF"/>
          </w:tcPr>
          <w:p>
            <w:pPr>
              <w:jc w:val="right"/>
              <w:ind w:right="62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(243,191)</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173,793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7"/>
                <w:szCs w:val="17"/>
                <w:color w:val="auto"/>
              </w:rPr>
              <w:t>Vesting of restricted stock awards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60" w:type="dxa"/>
            <w:vAlign w:val="bottom"/>
            <w:vMerge w:val="continue"/>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6,235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line="187" w:lineRule="exact"/>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Arial" w:cs="Arial" w:eastAsia="Arial" w:hAnsi="Arial"/>
                <w:sz w:val="17"/>
                <w:szCs w:val="17"/>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line="187"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 exercises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16"/>
        </w:trPr>
        <w:tc>
          <w:tcPr>
            <w:tcW w:w="2860" w:type="dxa"/>
            <w:vAlign w:val="bottom"/>
          </w:tcPr>
          <w:p>
            <w:pPr>
              <w:ind w:left="160"/>
              <w:spacing w:after="0"/>
              <w:rPr>
                <w:sz w:val="20"/>
                <w:szCs w:val="20"/>
                <w:color w:val="auto"/>
              </w:rPr>
            </w:pPr>
            <w:r>
              <w:rPr>
                <w:rFonts w:ascii="Arial" w:cs="Arial" w:eastAsia="Arial" w:hAnsi="Arial"/>
                <w:sz w:val="17"/>
                <w:szCs w:val="17"/>
                <w:color w:val="auto"/>
                <w:w w:val="97"/>
              </w:rPr>
              <w:t>Stock-based compensation expense</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166"/>
        </w:trPr>
        <w:tc>
          <w:tcPr>
            <w:tcW w:w="2860" w:type="dxa"/>
            <w:vAlign w:val="bottom"/>
            <w:shd w:val="clear" w:color="auto" w:fill="CCEEFF"/>
          </w:tcPr>
          <w:p>
            <w:pPr>
              <w:ind w:left="160"/>
              <w:spacing w:after="0" w:line="166" w:lineRule="exact"/>
              <w:rPr>
                <w:sz w:val="20"/>
                <w:szCs w:val="20"/>
                <w:color w:val="auto"/>
              </w:rPr>
            </w:pPr>
            <w:r>
              <w:rPr>
                <w:rFonts w:ascii="Arial" w:cs="Arial" w:eastAsia="Arial" w:hAnsi="Arial"/>
                <w:sz w:val="17"/>
                <w:szCs w:val="17"/>
                <w:color w:val="auto"/>
              </w:rPr>
              <w:t>Net unrealized loss on short-term</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investments</w:t>
            </w: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(29,546)</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36,182,297</w:t>
            </w:r>
          </w:p>
        </w:tc>
        <w:tc>
          <w:tcPr>
            <w:tcW w:w="920" w:type="dxa"/>
            <w:vAlign w:val="bottom"/>
            <w:gridSpan w:val="2"/>
            <w:shd w:val="clear" w:color="auto" w:fill="CCEEFF"/>
          </w:tcPr>
          <w:p>
            <w:pPr>
              <w:jc w:val="right"/>
              <w:ind w:right="62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(272,737)</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147,788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64770</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9740"/>
          </w:cols>
          <w:pgMar w:left="1080" w:top="1052" w:right="107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Statements of Cash Flows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4"/>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r>
      <w:tr>
        <w:trPr>
          <w:trHeight w:val="184"/>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09"/>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(78,740)</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(57,646)</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r>
      <w:tr>
        <w:trPr>
          <w:trHeight w:val="216"/>
        </w:trPr>
        <w:tc>
          <w:tcPr>
            <w:tcW w:w="768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24,969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6,934</w:t>
            </w: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operating lease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w:t>
            </w:r>
          </w:p>
        </w:tc>
      </w:tr>
      <w:tr>
        <w:trPr>
          <w:trHeight w:val="216"/>
        </w:trPr>
        <w:tc>
          <w:tcPr>
            <w:tcW w:w="7680" w:type="dxa"/>
            <w:vAlign w:val="bottom"/>
          </w:tcPr>
          <w:p>
            <w:pPr>
              <w:ind w:left="220"/>
              <w:spacing w:after="0"/>
              <w:rPr>
                <w:sz w:val="20"/>
                <w:szCs w:val="20"/>
                <w:color w:val="auto"/>
              </w:rPr>
            </w:pPr>
            <w:r>
              <w:rPr>
                <w:rFonts w:ascii="Arial" w:cs="Arial" w:eastAsia="Arial" w:hAnsi="Arial"/>
                <w:sz w:val="17"/>
                <w:szCs w:val="17"/>
                <w:color w:val="auto"/>
              </w:rPr>
              <w:t>(Accretion) amortization on short-term investments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443</w:t>
            </w:r>
          </w:p>
        </w:tc>
      </w:tr>
      <w:tr>
        <w:trPr>
          <w:trHeight w:val="217"/>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7680" w:type="dxa"/>
            <w:vAlign w:val="bottom"/>
          </w:tcPr>
          <w:p>
            <w:pPr>
              <w:ind w:left="420"/>
              <w:spacing w:after="0"/>
              <w:rPr>
                <w:sz w:val="20"/>
                <w:szCs w:val="20"/>
                <w:color w:val="auto"/>
              </w:rPr>
            </w:pPr>
            <w:r>
              <w:rPr>
                <w:rFonts w:ascii="Arial" w:cs="Arial" w:eastAsia="Arial" w:hAnsi="Arial"/>
                <w:sz w:val="17"/>
                <w:szCs w:val="17"/>
                <w:color w:val="auto"/>
              </w:rPr>
              <w:t>Accounts receivable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(2,991)</w:t>
            </w:r>
          </w:p>
        </w:tc>
      </w:tr>
      <w:tr>
        <w:trPr>
          <w:trHeight w:val="223"/>
        </w:trPr>
        <w:tc>
          <w:tcPr>
            <w:tcW w:w="7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r>
      <w:tr>
        <w:trPr>
          <w:trHeight w:val="216"/>
        </w:trPr>
        <w:tc>
          <w:tcPr>
            <w:tcW w:w="7680" w:type="dxa"/>
            <w:vAlign w:val="bottom"/>
          </w:tcPr>
          <w:p>
            <w:pPr>
              <w:ind w:left="42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29"/>
        </w:trPr>
        <w:tc>
          <w:tcPr>
            <w:tcW w:w="7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Accrued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5,404</w:t>
            </w:r>
          </w:p>
        </w:tc>
      </w:tr>
      <w:tr>
        <w:trPr>
          <w:trHeight w:val="216"/>
        </w:trPr>
        <w:tc>
          <w:tcPr>
            <w:tcW w:w="7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Operating lease liabilities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w:t>
            </w:r>
          </w:p>
        </w:tc>
      </w:tr>
      <w:tr>
        <w:trPr>
          <w:trHeight w:val="209"/>
        </w:trPr>
        <w:tc>
          <w:tcPr>
            <w:tcW w:w="7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Net cash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(55,035)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(44,894)</w:t>
            </w:r>
          </w:p>
        </w:tc>
      </w:tr>
      <w:tr>
        <w:trPr>
          <w:trHeight w:val="209"/>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short-term investments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(78,048)</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Maturity of short-term investments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214,676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86,972</w:t>
            </w: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 of property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w:t>
            </w:r>
          </w:p>
        </w:tc>
      </w:tr>
      <w:tr>
        <w:trPr>
          <w:trHeight w:val="209"/>
        </w:trPr>
        <w:tc>
          <w:tcPr>
            <w:tcW w:w="7680" w:type="dxa"/>
            <w:vAlign w:val="bottom"/>
          </w:tcPr>
          <w:p>
            <w:pPr>
              <w:ind w:left="620"/>
              <w:spacing w:after="0"/>
              <w:rPr>
                <w:sz w:val="20"/>
                <w:szCs w:val="20"/>
                <w:color w:val="auto"/>
              </w:rPr>
            </w:pPr>
            <w:r>
              <w:rPr>
                <w:rFonts w:ascii="Arial" w:cs="Arial" w:eastAsia="Arial" w:hAnsi="Arial"/>
                <w:sz w:val="17"/>
                <w:szCs w:val="17"/>
                <w:color w:val="auto"/>
              </w:rPr>
              <w:t>Net cash (used in) provided by investing activities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(197,186)</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8,026</w:t>
            </w: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Proceeds from issuances of common stock under benefit plans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498</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offering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Payment of debt issuance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term loan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Proceeds from sale of common stock in a public offering</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270,251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Net cash provided by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273,487</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10,273</w:t>
            </w:r>
          </w:p>
        </w:tc>
      </w:tr>
      <w:tr>
        <w:trPr>
          <w:trHeight w:val="209"/>
        </w:trPr>
        <w:tc>
          <w:tcPr>
            <w:tcW w:w="768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21,266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(26,595)</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51,665</w:t>
            </w:r>
          </w:p>
        </w:tc>
      </w:tr>
      <w:tr>
        <w:trPr>
          <w:trHeight w:val="209"/>
        </w:trPr>
        <w:tc>
          <w:tcPr>
            <w:tcW w:w="768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54,951</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25,070</w:t>
            </w: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Cash paid for interest</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570</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Net unrealized loss on short-term investments</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(1,058)</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property and equipment in accounts payable and accrued liabilities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680" w:type="dxa"/>
            <w:vAlign w:val="bottom"/>
          </w:tcPr>
          <w:p>
            <w:pPr>
              <w:ind w:left="20"/>
              <w:spacing w:after="0"/>
              <w:rPr>
                <w:sz w:val="20"/>
                <w:szCs w:val="20"/>
                <w:color w:val="auto"/>
              </w:rPr>
            </w:pPr>
            <w:r>
              <w:rPr>
                <w:rFonts w:ascii="Arial" w:cs="Arial" w:eastAsia="Arial" w:hAnsi="Arial"/>
                <w:sz w:val="17"/>
                <w:szCs w:val="17"/>
                <w:color w:val="auto"/>
              </w:rPr>
              <w:t>Reclassification of restricted stock awards from liabilities to common stock upon vesting</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080"/>
          </w:cols>
          <w:pgMar w:left="320" w:top="848" w:right="49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Pliant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14" w:lineRule="exact"/>
        <w:rPr>
          <w:sz w:val="20"/>
          <w:szCs w:val="20"/>
          <w:color w:val="auto"/>
        </w:rPr>
      </w:pPr>
    </w:p>
    <w:p>
      <w:pPr>
        <w:ind w:firstLine="382"/>
        <w:spacing w:after="0" w:line="275" w:lineRule="auto"/>
        <w:rPr>
          <w:sz w:val="20"/>
          <w:szCs w:val="20"/>
          <w:color w:val="auto"/>
        </w:rPr>
      </w:pPr>
      <w:r>
        <w:rPr>
          <w:rFonts w:ascii="Arial" w:cs="Arial" w:eastAsia="Arial" w:hAnsi="Arial"/>
          <w:sz w:val="16"/>
          <w:szCs w:val="16"/>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w:t>
      </w:r>
    </w:p>
    <w:p>
      <w:pPr>
        <w:spacing w:after="0" w:line="110" w:lineRule="exact"/>
        <w:rPr>
          <w:sz w:val="20"/>
          <w:szCs w:val="20"/>
          <w:color w:val="auto"/>
        </w:rPr>
      </w:pPr>
    </w:p>
    <w:p>
      <w:pPr>
        <w:ind w:right="220" w:firstLine="382"/>
        <w:spacing w:after="0" w:line="261" w:lineRule="auto"/>
        <w:rPr>
          <w:sz w:val="20"/>
          <w:szCs w:val="20"/>
          <w:color w:val="auto"/>
        </w:rPr>
      </w:pPr>
      <w:r>
        <w:rPr>
          <w:rFonts w:ascii="Arial" w:cs="Arial" w:eastAsia="Arial" w:hAnsi="Arial"/>
          <w:sz w:val="17"/>
          <w:szCs w:val="17"/>
          <w:color w:val="auto"/>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$269.5 million, net of underwriting discounts, commissions and offering expenses payable by us.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0" w:lineRule="exact"/>
        <w:rPr>
          <w:sz w:val="20"/>
          <w:szCs w:val="20"/>
          <w:color w:val="auto"/>
        </w:rPr>
      </w:pPr>
    </w:p>
    <w:p>
      <w:pPr>
        <w:ind w:right="20" w:firstLine="382"/>
        <w:spacing w:after="0" w:line="271" w:lineRule="auto"/>
        <w:rPr>
          <w:sz w:val="20"/>
          <w:szCs w:val="20"/>
          <w:color w:val="auto"/>
        </w:rPr>
      </w:pPr>
      <w:r>
        <w:rPr>
          <w:rFonts w:ascii="Arial" w:cs="Arial" w:eastAsia="Arial" w:hAnsi="Arial"/>
          <w:sz w:val="16"/>
          <w:szCs w:val="16"/>
          <w:color w:val="auto"/>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and six months ended June 30, 2023 are not necessarily indicative of the results to be expected for the year ending December 31, 2023 or for any other interim period or for any other future year.</w:t>
      </w:r>
    </w:p>
    <w:p>
      <w:pPr>
        <w:spacing w:after="0" w:line="68" w:lineRule="exact"/>
        <w:rPr>
          <w:sz w:val="20"/>
          <w:szCs w:val="20"/>
          <w:color w:val="auto"/>
        </w:rPr>
      </w:pPr>
    </w:p>
    <w:p>
      <w:pPr>
        <w:ind w:right="40" w:firstLine="382"/>
        <w:spacing w:after="0" w:line="261" w:lineRule="auto"/>
        <w:rPr>
          <w:sz w:val="20"/>
          <w:szCs w:val="20"/>
          <w:color w:val="auto"/>
        </w:rPr>
      </w:pPr>
      <w:r>
        <w:rPr>
          <w:rFonts w:ascii="Arial" w:cs="Arial" w:eastAsia="Arial" w:hAnsi="Arial"/>
          <w:sz w:val="17"/>
          <w:szCs w:val="17"/>
          <w:color w:val="auto"/>
        </w:rPr>
        <w:t>The financial information included herein should be read in conjunction with the audited financial statements and related notes in the Company’s Annual Report on Form 10-K for the year ended December 31, 2022, filed with the SEC on March 9, 2023 (the "2022 10-K"). Certain prior year reported amounts may have been reclassified to conform with the current period presentation.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0" w:lineRule="exact"/>
        <w:rPr>
          <w:sz w:val="20"/>
          <w:szCs w:val="20"/>
          <w:color w:val="auto"/>
        </w:rPr>
      </w:pPr>
    </w:p>
    <w:p>
      <w:pPr>
        <w:ind w:right="20" w:firstLine="382"/>
        <w:spacing w:after="0" w:line="298"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and prepayments for research and development costs. The Company assesses estimates on an ongoing basis, however, actual results could materially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0" w:lineRule="exact"/>
        <w:rPr>
          <w:sz w:val="20"/>
          <w:szCs w:val="20"/>
          <w:color w:val="auto"/>
        </w:rPr>
      </w:pPr>
    </w:p>
    <w:p>
      <w:pPr>
        <w:jc w:val="both"/>
        <w:ind w:right="640" w:firstLine="382"/>
        <w:spacing w:after="0" w:line="342" w:lineRule="auto"/>
        <w:rPr>
          <w:sz w:val="20"/>
          <w:szCs w:val="20"/>
          <w:color w:val="auto"/>
        </w:rPr>
      </w:pPr>
      <w:r>
        <w:rPr>
          <w:rFonts w:ascii="Arial" w:cs="Arial" w:eastAsia="Arial" w:hAnsi="Arial"/>
          <w:sz w:val="15"/>
          <w:szCs w:val="15"/>
          <w:color w:val="auto"/>
        </w:rPr>
        <w:t>There have been no significant changes to the accounting policies during the three and six months ended June 30, 2023, as compared to the significant accounting policies described in Note 2 of the "Notes to the Financial Statements" in the Company's audited financial statements included in the 2022 10-K.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Financial Instruments</w:t>
      </w:r>
    </w:p>
    <w:p>
      <w:pPr>
        <w:spacing w:after="0" w:line="114" w:lineRule="exact"/>
        <w:rPr>
          <w:sz w:val="20"/>
          <w:szCs w:val="20"/>
          <w:color w:val="auto"/>
        </w:rPr>
      </w:pPr>
    </w:p>
    <w:p>
      <w:pPr>
        <w:ind w:right="220" w:firstLine="382"/>
        <w:spacing w:after="0" w:line="254"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gains or losses recognized in the statements of operations and comprehensive loss.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1" w:name="page12"/>
    <w:bookmarkEnd w:id="11"/>
    <w:p>
      <w:pPr>
        <w:ind w:right="60" w:firstLine="382"/>
        <w:spacing w:after="0" w:line="302" w:lineRule="auto"/>
        <w:rPr>
          <w:sz w:val="20"/>
          <w:szCs w:val="20"/>
          <w:color w:val="auto"/>
        </w:rPr>
      </w:pPr>
      <w:r>
        <w:rPr>
          <w:rFonts w:ascii="Arial" w:cs="Arial" w:eastAsia="Arial" w:hAnsi="Arial"/>
          <w:sz w:val="15"/>
          <w:szCs w:val="15"/>
          <w:color w:val="auto"/>
        </w:rPr>
        <w:t>The Company’s cash equivalent Money Market Funds are classified as Level 1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There were no assets or liabilities recorded at fair value to the condensed balance sheets using Level 3 inputs as of June 30, 2023 and as of December 31, 2022.</w:t>
      </w:r>
    </w:p>
    <w:p>
      <w:pPr>
        <w:spacing w:after="0" w:line="133"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The following tables show the Company’s Money Market Funds, U.S. Treasury securities, U.S. government agency securities and corporate debt securities by significant investment category as of June 30, 2023 and December 31, 2022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180"/>
              <w:spacing w:after="0" w:line="131" w:lineRule="exact"/>
              <w:rPr>
                <w:sz w:val="20"/>
                <w:szCs w:val="20"/>
                <w:color w:val="auto"/>
              </w:rPr>
            </w:pPr>
            <w:r>
              <w:rPr>
                <w:rFonts w:ascii="Arial" w:cs="Arial" w:eastAsia="Arial" w:hAnsi="Arial"/>
                <w:sz w:val="14"/>
                <w:szCs w:val="14"/>
                <w:b w:val="1"/>
                <w:bCs w:val="1"/>
                <w:color w:val="auto"/>
                <w:w w:val="86"/>
              </w:rPr>
              <w:t>Adjusted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82"/>
              <w:spacing w:after="0" w:line="131"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80"/>
              <w:spacing w:after="0" w:line="131"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ind w:right="220"/>
              <w:spacing w:after="0" w:line="131"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8"/>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7"/>
                <w:szCs w:val="17"/>
                <w:color w:val="auto"/>
              </w:rPr>
              <w:t>Level 1:</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47,810</w:t>
            </w:r>
          </w:p>
        </w:tc>
        <w:tc>
          <w:tcPr>
            <w:tcW w:w="3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47,810</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7"/>
                <w:szCs w:val="17"/>
                <w:color w:val="auto"/>
              </w:rPr>
              <w:t>Level 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ind w:left="200"/>
              <w:spacing w:after="0" w:line="179" w:lineRule="exact"/>
              <w:rPr>
                <w:sz w:val="20"/>
                <w:szCs w:val="20"/>
                <w:color w:val="auto"/>
              </w:rPr>
            </w:pPr>
            <w:r>
              <w:rPr>
                <w:rFonts w:ascii="Arial" w:cs="Arial" w:eastAsia="Arial" w:hAnsi="Arial"/>
                <w:sz w:val="17"/>
                <w:szCs w:val="17"/>
                <w:color w:val="auto"/>
                <w:w w:val="95"/>
              </w:rPr>
              <w:t>U.S. Treasury securities included in cash and cash equivalents and</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short-term investments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18,105</w:t>
            </w:r>
          </w:p>
        </w:tc>
        <w:tc>
          <w:tcPr>
            <w:tcW w:w="0" w:type="dxa"/>
            <w:vAlign w:val="bottom"/>
          </w:tcPr>
          <w:p>
            <w:pPr>
              <w:spacing w:after="0"/>
              <w:rPr>
                <w:sz w:val="1"/>
                <w:szCs w:val="1"/>
                <w:color w:val="auto"/>
              </w:rPr>
            </w:pPr>
          </w:p>
        </w:tc>
      </w:tr>
      <w:tr>
        <w:trPr>
          <w:trHeight w:val="166"/>
        </w:trPr>
        <w:tc>
          <w:tcPr>
            <w:tcW w:w="5060" w:type="dxa"/>
            <w:vAlign w:val="bottom"/>
          </w:tcPr>
          <w:p>
            <w:pPr>
              <w:ind w:left="200"/>
              <w:spacing w:after="0" w:line="166" w:lineRule="exact"/>
              <w:rPr>
                <w:sz w:val="20"/>
                <w:szCs w:val="20"/>
                <w:color w:val="auto"/>
              </w:rPr>
            </w:pPr>
            <w:r>
              <w:rPr>
                <w:rFonts w:ascii="Arial" w:cs="Arial" w:eastAsia="Arial" w:hAnsi="Arial"/>
                <w:sz w:val="17"/>
                <w:szCs w:val="17"/>
                <w:color w:val="auto"/>
              </w:rPr>
              <w:t>U.S. government agency securities included in cash and cash</w:t>
            </w: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98,749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98,154</w:t>
            </w:r>
          </w:p>
        </w:tc>
        <w:tc>
          <w:tcPr>
            <w:tcW w:w="0" w:type="dxa"/>
            <w:vAlign w:val="bottom"/>
          </w:tcPr>
          <w:p>
            <w:pPr>
              <w:spacing w:after="0"/>
              <w:rPr>
                <w:sz w:val="1"/>
                <w:szCs w:val="1"/>
                <w:color w:val="auto"/>
              </w:rPr>
            </w:pPr>
          </w:p>
        </w:tc>
      </w:tr>
      <w:tr>
        <w:trPr>
          <w:trHeight w:val="222"/>
        </w:trPr>
        <w:tc>
          <w:tcPr>
            <w:tcW w:w="5060" w:type="dxa"/>
            <w:vAlign w:val="bottom"/>
          </w:tcPr>
          <w:p>
            <w:pPr>
              <w:ind w:left="360"/>
              <w:spacing w:after="0"/>
              <w:rPr>
                <w:sz w:val="20"/>
                <w:szCs w:val="20"/>
                <w:color w:val="auto"/>
              </w:rPr>
            </w:pPr>
            <w:r>
              <w:rPr>
                <w:rFonts w:ascii="Arial" w:cs="Arial" w:eastAsia="Arial" w:hAnsi="Arial"/>
                <w:sz w:val="17"/>
                <w:szCs w:val="17"/>
                <w:color w:val="auto"/>
              </w:rPr>
              <w:t>equivalents and short-term investments</w:t>
            </w: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200"/>
              <w:spacing w:after="0" w:line="172" w:lineRule="exact"/>
              <w:rPr>
                <w:sz w:val="20"/>
                <w:szCs w:val="20"/>
                <w:color w:val="auto"/>
              </w:rPr>
            </w:pPr>
            <w:r>
              <w:rPr>
                <w:rFonts w:ascii="Arial" w:cs="Arial" w:eastAsia="Arial" w:hAnsi="Arial"/>
                <w:sz w:val="17"/>
                <w:szCs w:val="17"/>
                <w:color w:val="auto"/>
                <w:w w:val="94"/>
              </w:rPr>
              <w:t>Corporate debt securities included in cash and cash equivalents and</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385,538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383,949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550,259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548,018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jc w:val="center"/>
              <w:ind w:right="180"/>
              <w:spacing w:after="0" w:line="125" w:lineRule="exact"/>
              <w:rPr>
                <w:sz w:val="20"/>
                <w:szCs w:val="20"/>
                <w:color w:val="auto"/>
              </w:rPr>
            </w:pPr>
            <w:r>
              <w:rPr>
                <w:rFonts w:ascii="Arial" w:cs="Arial" w:eastAsia="Arial" w:hAnsi="Arial"/>
                <w:sz w:val="14"/>
                <w:szCs w:val="14"/>
                <w:b w:val="1"/>
                <w:bCs w:val="1"/>
                <w:color w:val="auto"/>
                <w:w w:val="86"/>
              </w:rPr>
              <w:t>Adjusted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center"/>
              <w:ind w:right="182"/>
              <w:spacing w:after="0" w:line="125"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right="180"/>
              <w:spacing w:after="0" w:line="125"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center"/>
              <w:ind w:right="220"/>
              <w:spacing w:after="0" w:line="12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8"/>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22"/>
        </w:trPr>
        <w:tc>
          <w:tcPr>
            <w:tcW w:w="5060" w:type="dxa"/>
            <w:vAlign w:val="bottom"/>
          </w:tcPr>
          <w:p>
            <w:pPr>
              <w:ind w:left="20"/>
              <w:spacing w:after="0"/>
              <w:rPr>
                <w:sz w:val="20"/>
                <w:szCs w:val="20"/>
                <w:color w:val="auto"/>
              </w:rPr>
            </w:pPr>
            <w:r>
              <w:rPr>
                <w:rFonts w:ascii="Arial" w:cs="Arial" w:eastAsia="Arial" w:hAnsi="Arial"/>
                <w:sz w:val="17"/>
                <w:szCs w:val="17"/>
                <w:color w:val="auto"/>
              </w:rPr>
              <w:t>Level 1:</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28,312</w:t>
            </w:r>
          </w:p>
        </w:tc>
        <w:tc>
          <w:tcPr>
            <w:tcW w:w="3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28,312</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7"/>
                <w:szCs w:val="17"/>
                <w:color w:val="auto"/>
              </w:rPr>
              <w:t>Level 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ind w:left="200"/>
              <w:spacing w:after="0" w:line="179" w:lineRule="exact"/>
              <w:rPr>
                <w:sz w:val="20"/>
                <w:szCs w:val="20"/>
                <w:color w:val="auto"/>
              </w:rPr>
            </w:pPr>
            <w:r>
              <w:rPr>
                <w:rFonts w:ascii="Arial" w:cs="Arial" w:eastAsia="Arial" w:hAnsi="Arial"/>
                <w:sz w:val="17"/>
                <w:szCs w:val="17"/>
                <w:color w:val="auto"/>
                <w:w w:val="95"/>
              </w:rPr>
              <w:t>U.S. Treasury securities included in cash and cash equivalents and</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short-term investments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4,441</w:t>
            </w: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7"/>
                <w:szCs w:val="17"/>
                <w:color w:val="auto"/>
                <w:w w:val="91"/>
              </w:rPr>
              <w:t>U.S. government agency securities included in short-term investments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28,746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28,635</w:t>
            </w: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ind w:left="200"/>
              <w:spacing w:after="0" w:line="179" w:lineRule="exact"/>
              <w:rPr>
                <w:sz w:val="20"/>
                <w:szCs w:val="20"/>
                <w:color w:val="auto"/>
              </w:rPr>
            </w:pPr>
            <w:r>
              <w:rPr>
                <w:rFonts w:ascii="Arial" w:cs="Arial" w:eastAsia="Arial" w:hAnsi="Arial"/>
                <w:sz w:val="17"/>
                <w:szCs w:val="17"/>
                <w:color w:val="auto"/>
                <w:w w:val="94"/>
              </w:rPr>
              <w:t>Corporate debt securities included in cash and cash equivalents and</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266,267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264,425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327,771</w:t>
            </w:r>
          </w:p>
        </w:tc>
        <w:tc>
          <w:tcPr>
            <w:tcW w:w="3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45</w:t>
            </w:r>
          </w:p>
        </w:tc>
        <w:tc>
          <w:tcPr>
            <w:tcW w:w="36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(2,003)</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325,813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The Company may sell certain of its short-term securities prior to their stated maturities for reasons including, but not limited to, managing liquidity, credit risk, duration and asset allocation.</w:t>
      </w:r>
    </w:p>
    <w:p>
      <w:pPr>
        <w:spacing w:after="0" w:line="64" w:lineRule="exact"/>
        <w:rPr>
          <w:sz w:val="20"/>
          <w:szCs w:val="20"/>
          <w:color w:val="auto"/>
        </w:rPr>
      </w:pPr>
    </w:p>
    <w:p>
      <w:pPr>
        <w:jc w:val="both"/>
        <w:ind w:right="320" w:firstLine="382"/>
        <w:spacing w:after="0" w:line="285" w:lineRule="auto"/>
        <w:rPr>
          <w:sz w:val="20"/>
          <w:szCs w:val="20"/>
          <w:color w:val="auto"/>
        </w:rPr>
      </w:pPr>
      <w:r>
        <w:rPr>
          <w:rFonts w:ascii="Arial" w:cs="Arial" w:eastAsia="Arial" w:hAnsi="Arial"/>
          <w:sz w:val="16"/>
          <w:szCs w:val="16"/>
          <w:color w:val="auto"/>
        </w:rPr>
        <w:t>There were no liabilities measured at fair value on a recurring basis as of June 30, 2023 and December 31, 2022. The Company evaluates transfers between levels at the end of each reporting period and there have been no transfers between fair value measurement levels during the six months ended June 30, 2023. In addition, there were no assets or liabilities measured at fair value on a non-recurring basis as of June 30, 2023 and December 31, 2022.</w:t>
      </w:r>
    </w:p>
    <w:p>
      <w:pPr>
        <w:spacing w:after="0" w:line="57" w:lineRule="exact"/>
        <w:rPr>
          <w:sz w:val="20"/>
          <w:szCs w:val="20"/>
          <w:color w:val="auto"/>
        </w:rPr>
      </w:pPr>
    </w:p>
    <w:p>
      <w:pPr>
        <w:ind w:right="20" w:firstLine="382"/>
        <w:spacing w:after="0" w:line="255" w:lineRule="auto"/>
        <w:rPr>
          <w:sz w:val="20"/>
          <w:szCs w:val="20"/>
          <w:color w:val="auto"/>
        </w:rPr>
      </w:pPr>
      <w:r>
        <w:rPr>
          <w:rFonts w:ascii="Arial" w:cs="Arial" w:eastAsia="Arial" w:hAnsi="Arial"/>
          <w:sz w:val="17"/>
          <w:szCs w:val="17"/>
          <w:color w:val="auto"/>
        </w:rPr>
        <w:t>As of June 30, 2023,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2" w:name="page13"/>
    <w:bookmarkEnd w:id="12"/>
    <w:p>
      <w:pPr>
        <w:ind w:right="180" w:firstLine="382"/>
        <w:spacing w:after="0" w:line="306" w:lineRule="auto"/>
        <w:rPr>
          <w:sz w:val="20"/>
          <w:szCs w:val="20"/>
          <w:color w:val="auto"/>
        </w:rPr>
      </w:pPr>
      <w:r>
        <w:rPr>
          <w:rFonts w:ascii="Arial" w:cs="Arial" w:eastAsia="Arial" w:hAnsi="Arial"/>
          <w:sz w:val="16"/>
          <w:szCs w:val="16"/>
          <w:color w:val="auto"/>
        </w:rPr>
        <w:t>The Company records interest income, accretion income and amortization expense on Money Market Funds and U.S. Treasury, U.S. government agency and corporate debt securities to interest and other income (expense), net in its condensed statement of operations and comprehensive loss.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0"/>
              </w:rPr>
              <w:t>As of June 30, 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4"/>
              </w:rPr>
              <w:t>As of December 31, 2022</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Laboratory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9,581</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1,650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Construction-in-progress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2"/>
        </w:trPr>
        <w:tc>
          <w:tcPr>
            <w:tcW w:w="7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property and equipment, gross</w:t>
            </w: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12,102</w:t>
            </w: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11,327</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(6,841)</w:t>
            </w:r>
          </w:p>
        </w:tc>
      </w:tr>
      <w:tr>
        <w:trPr>
          <w:trHeight w:val="229"/>
        </w:trPr>
        <w:tc>
          <w:tcPr>
            <w:tcW w:w="7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property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320" w:firstLine="382"/>
        <w:spacing w:after="0" w:line="273" w:lineRule="auto"/>
        <w:rPr>
          <w:sz w:val="20"/>
          <w:szCs w:val="20"/>
          <w:color w:val="auto"/>
        </w:rPr>
      </w:pPr>
      <w:r>
        <w:rPr>
          <w:rFonts w:ascii="Arial" w:cs="Arial" w:eastAsia="Arial" w:hAnsi="Arial"/>
          <w:sz w:val="17"/>
          <w:szCs w:val="17"/>
          <w:color w:val="auto"/>
        </w:rPr>
        <w:t>Depreciation expense for each of the three months ended June 30, 2023 and 2022 was $0.4 million. Depreciation expense for each of the six months ended June 30, 2023 and 2022 was $0.9 million.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Prepaid Expenses and Other Current Assets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Prepaid expenses and other current assets consisted of the following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80"/>
              <w:spacing w:after="0"/>
              <w:rPr>
                <w:sz w:val="20"/>
                <w:szCs w:val="20"/>
                <w:color w:val="auto"/>
              </w:rPr>
            </w:pPr>
            <w:r>
              <w:rPr>
                <w:rFonts w:ascii="Arial" w:cs="Arial" w:eastAsia="Arial" w:hAnsi="Arial"/>
                <w:sz w:val="14"/>
                <w:szCs w:val="14"/>
                <w:b w:val="1"/>
                <w:bCs w:val="1"/>
                <w:color w:val="auto"/>
                <w:w w:val="86"/>
              </w:rPr>
              <w:t>As of 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As of December 31,</w:t>
            </w:r>
          </w:p>
        </w:tc>
        <w:tc>
          <w:tcPr>
            <w:tcW w:w="0" w:type="dxa"/>
            <w:vAlign w:val="bottom"/>
          </w:tcPr>
          <w:p>
            <w:pPr>
              <w:spacing w:after="0"/>
              <w:rPr>
                <w:sz w:val="1"/>
                <w:szCs w:val="1"/>
                <w:color w:val="auto"/>
              </w:rPr>
            </w:pPr>
          </w:p>
        </w:tc>
      </w:tr>
      <w:tr>
        <w:trPr>
          <w:trHeight w:val="184"/>
        </w:trPr>
        <w:tc>
          <w:tcPr>
            <w:tcW w:w="7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research and development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0" w:type="dxa"/>
            <w:vAlign w:val="bottom"/>
          </w:tcPr>
          <w:p>
            <w:pPr>
              <w:spacing w:after="0"/>
              <w:rPr>
                <w:sz w:val="1"/>
                <w:szCs w:val="1"/>
                <w:color w:val="auto"/>
              </w:rPr>
            </w:pPr>
          </w:p>
        </w:tc>
      </w:tr>
      <w:tr>
        <w:trPr>
          <w:trHeight w:val="222"/>
        </w:trPr>
        <w:tc>
          <w:tcPr>
            <w:tcW w:w="7660" w:type="dxa"/>
            <w:vAlign w:val="bottom"/>
          </w:tcPr>
          <w:p>
            <w:pPr>
              <w:ind w:left="20"/>
              <w:spacing w:after="0"/>
              <w:rPr>
                <w:sz w:val="20"/>
                <w:szCs w:val="20"/>
                <w:color w:val="auto"/>
              </w:rPr>
            </w:pPr>
            <w:r>
              <w:rPr>
                <w:rFonts w:ascii="Arial" w:cs="Arial" w:eastAsia="Arial" w:hAnsi="Arial"/>
                <w:sz w:val="17"/>
                <w:szCs w:val="17"/>
                <w:color w:val="auto"/>
              </w:rPr>
              <w:t>Prepaid insurance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licenses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8"/>
        </w:trPr>
        <w:tc>
          <w:tcPr>
            <w:tcW w:w="7660" w:type="dxa"/>
            <w:vAlign w:val="bottom"/>
          </w:tcPr>
          <w:p>
            <w:pPr>
              <w:ind w:left="420"/>
              <w:spacing w:after="0"/>
              <w:rPr>
                <w:sz w:val="20"/>
                <w:szCs w:val="20"/>
                <w:color w:val="auto"/>
              </w:rPr>
            </w:pPr>
            <w:r>
              <w:rPr>
                <w:rFonts w:ascii="Arial" w:cs="Arial" w:eastAsia="Arial" w:hAnsi="Arial"/>
                <w:sz w:val="17"/>
                <w:szCs w:val="17"/>
                <w:color w:val="auto"/>
              </w:rPr>
              <w:t>Total prepaid expenses and other current assets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8,885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7,058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7"/>
                <w:szCs w:val="17"/>
                <w:b w:val="1"/>
                <w:bCs w:val="1"/>
                <w:color w:val="auto"/>
              </w:rPr>
              <w:t>6. Accrued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60" w:type="dxa"/>
            <w:vAlign w:val="bottom"/>
          </w:tcPr>
          <w:p>
            <w:pPr>
              <w:ind w:left="380"/>
              <w:spacing w:after="0"/>
              <w:rPr>
                <w:sz w:val="20"/>
                <w:szCs w:val="20"/>
                <w:color w:val="auto"/>
              </w:rPr>
            </w:pPr>
            <w:r>
              <w:rPr>
                <w:rFonts w:ascii="Arial" w:cs="Arial" w:eastAsia="Arial" w:hAnsi="Arial"/>
                <w:sz w:val="17"/>
                <w:szCs w:val="17"/>
                <w:color w:val="auto"/>
              </w:rPr>
              <w:t>Accrued liabilities consisted of the following (in thousands):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80"/>
              <w:spacing w:after="0"/>
              <w:rPr>
                <w:sz w:val="20"/>
                <w:szCs w:val="20"/>
                <w:color w:val="auto"/>
              </w:rPr>
            </w:pPr>
            <w:r>
              <w:rPr>
                <w:rFonts w:ascii="Arial" w:cs="Arial" w:eastAsia="Arial" w:hAnsi="Arial"/>
                <w:sz w:val="14"/>
                <w:szCs w:val="14"/>
                <w:b w:val="1"/>
                <w:bCs w:val="1"/>
                <w:color w:val="auto"/>
                <w:w w:val="86"/>
              </w:rPr>
              <w:t>As of June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As of December 31,</w:t>
            </w:r>
          </w:p>
        </w:tc>
        <w:tc>
          <w:tcPr>
            <w:tcW w:w="0" w:type="dxa"/>
            <w:vAlign w:val="bottom"/>
          </w:tcPr>
          <w:p>
            <w:pPr>
              <w:spacing w:after="0"/>
              <w:rPr>
                <w:sz w:val="1"/>
                <w:szCs w:val="1"/>
                <w:color w:val="auto"/>
              </w:rPr>
            </w:pPr>
          </w:p>
        </w:tc>
      </w:tr>
      <w:tr>
        <w:trPr>
          <w:trHeight w:val="175"/>
        </w:trPr>
        <w:tc>
          <w:tcPr>
            <w:tcW w:w="7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80"/>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4"/>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 and benefits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35"/>
        </w:trPr>
        <w:tc>
          <w:tcPr>
            <w:tcW w:w="7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accrued liabilities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compensation and benefits consist primarily of accrued bonuses and accrued vacation.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Long-term Debt</w:t>
      </w:r>
    </w:p>
    <w:p>
      <w:pPr>
        <w:spacing w:after="0" w:line="114"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In May 2022, we entered into a term loan facility (the “Oxford Loan Agreement”) with Oxford Finance LLC (the "Lender") for up to $100.0 million. At closing, we entered into a term loan for $10.0 million, and in the first quarter of 2023 we declined our option to draw an additional $40.0 million from the first and second tranche. The Oxford Loan Agreement provides for an additional $50.0 million over two tranches, $25.0 million of which is at our option upon the satisfaction of certain conditions related to the development of bexotegrast and one of our preclinical product candidates, and $25.0 million at the Lender's discretion. In connection with the Oxford Loan Agreement, we granted a security interest in substantially all of our current and future assets. There are no warrants or financial covenants associated with the Oxford Loan Agreement.</w:t>
      </w:r>
    </w:p>
    <w:p>
      <w:pPr>
        <w:spacing w:after="0" w:line="82" w:lineRule="exact"/>
        <w:rPr>
          <w:sz w:val="20"/>
          <w:szCs w:val="20"/>
          <w:color w:val="auto"/>
        </w:rPr>
      </w:pPr>
    </w:p>
    <w:p>
      <w:pPr>
        <w:jc w:val="both"/>
        <w:ind w:right="100" w:firstLine="382"/>
        <w:spacing w:after="0" w:line="285" w:lineRule="auto"/>
        <w:rPr>
          <w:sz w:val="20"/>
          <w:szCs w:val="20"/>
          <w:color w:val="auto"/>
        </w:rPr>
      </w:pPr>
      <w:r>
        <w:rPr>
          <w:rFonts w:ascii="Arial" w:cs="Arial" w:eastAsia="Arial" w:hAnsi="Arial"/>
          <w:sz w:val="16"/>
          <w:szCs w:val="16"/>
          <w:color w:val="auto"/>
        </w:rPr>
        <w:t>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sectPr>
      </w:pPr>
    </w:p>
    <w:bookmarkStart w:id="13" w:name="page14"/>
    <w:bookmarkEnd w:id="13"/>
    <w:p>
      <w:pPr>
        <w:jc w:val="both"/>
        <w:ind w:right="260" w:firstLine="382"/>
        <w:spacing w:after="0" w:line="261" w:lineRule="auto"/>
        <w:rPr>
          <w:sz w:val="20"/>
          <w:szCs w:val="20"/>
          <w:color w:val="auto"/>
        </w:rPr>
      </w:pPr>
      <w:r>
        <w:rPr>
          <w:rFonts w:ascii="Arial" w:cs="Arial" w:eastAsia="Arial" w:hAnsi="Arial"/>
          <w:sz w:val="17"/>
          <w:szCs w:val="17"/>
          <w:color w:val="auto"/>
        </w:rPr>
        <w:t>The estimated fair value of the term loan as of June 30, 2023 was measured using Level 2 and Level 3 inputs and approximates the carrying value recorded to the condensed balance sheet. The effective interest rate for the term loan is 12.69% and interest expense for the three and six months ended June 30, 2023 was $0.3 million and $0.6 million, respectively.</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maturities of debt as of June 30, 2023 are as follows (in thousands):</w:t>
      </w:r>
    </w:p>
    <w:p>
      <w:pPr>
        <w:spacing w:after="0" w:line="38"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8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0"/>
              </w:rPr>
              <w:t>As of June 30, 2023</w:t>
            </w:r>
          </w:p>
        </w:tc>
      </w:tr>
      <w:tr>
        <w:trPr>
          <w:trHeight w:val="24"/>
        </w:trPr>
        <w:tc>
          <w:tcPr>
            <w:tcW w:w="8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6"/>
        </w:trPr>
        <w:tc>
          <w:tcPr>
            <w:tcW w:w="8840" w:type="dxa"/>
            <w:vAlign w:val="bottom"/>
          </w:tcPr>
          <w:p>
            <w:pPr>
              <w:spacing w:after="0"/>
              <w:rPr>
                <w:sz w:val="20"/>
                <w:szCs w:val="20"/>
                <w:color w:val="auto"/>
              </w:rPr>
            </w:pPr>
            <w:r>
              <w:rPr>
                <w:rFonts w:ascii="Arial" w:cs="Arial" w:eastAsia="Arial" w:hAnsi="Arial"/>
                <w:sz w:val="17"/>
                <w:szCs w:val="17"/>
                <w:color w:val="auto"/>
              </w:rPr>
              <w:t>2027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09"/>
        </w:trPr>
        <w:tc>
          <w:tcPr>
            <w:tcW w:w="8840" w:type="dxa"/>
            <w:vAlign w:val="bottom"/>
          </w:tcPr>
          <w:p>
            <w:pPr>
              <w:ind w:left="220"/>
              <w:spacing w:after="0"/>
              <w:rPr>
                <w:sz w:val="20"/>
                <w:szCs w:val="20"/>
                <w:color w:val="auto"/>
              </w:rPr>
            </w:pPr>
            <w:r>
              <w:rPr>
                <w:rFonts w:ascii="Arial" w:cs="Arial" w:eastAsia="Arial" w:hAnsi="Arial"/>
                <w:sz w:val="17"/>
                <w:szCs w:val="17"/>
                <w:color w:val="auto"/>
              </w:rPr>
              <w:t>Total payments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7"/>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debt issuance costs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8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Accretion of final payment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4"/>
        </w:trPr>
        <w:tc>
          <w:tcPr>
            <w:tcW w:w="8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Novartis Collaboration and License Agreement (the "Novartis Agreement")</w:t>
      </w:r>
    </w:p>
    <w:p>
      <w:pPr>
        <w:spacing w:after="0" w:line="13" w:lineRule="exact"/>
        <w:rPr>
          <w:sz w:val="20"/>
          <w:szCs w:val="20"/>
          <w:color w:val="auto"/>
        </w:rPr>
      </w:pPr>
    </w:p>
    <w:p>
      <w:pPr>
        <w:ind w:right="260" w:firstLine="382"/>
        <w:spacing w:after="0" w:line="233" w:lineRule="auto"/>
        <w:rPr>
          <w:sz w:val="20"/>
          <w:szCs w:val="20"/>
          <w:color w:val="auto"/>
        </w:rPr>
      </w:pPr>
      <w:r>
        <w:rPr>
          <w:rFonts w:ascii="Arial" w:cs="Arial" w:eastAsia="Arial" w:hAnsi="Arial"/>
          <w:sz w:val="17"/>
          <w:szCs w:val="17"/>
          <w:color w:val="auto"/>
        </w:rPr>
        <w:t>In 2019, we entered into the Novartis Agreement with Novartis Institutes for BioMedical Research, Inc. (“Novartis”) for the development and commercialization of our preclinical product candidate, PLN-1474 and up to three additional integrin research targets. On February 17, 2023, Novartis exercised their right to terminate the Novartis Agreement as part of their new strategy focusing on a limited number of therapeutic areas. The termination took effect on April 18, 2023, and effective upon the termination, all rights and licenses granted to Novartis under the Novartis Agreement, including PLN-1474, the related investigational new drug (“IND”), and the validated research target, reverted back to us. The payment obligations of Novartis with respect to future milestones, royalties and research and development funding were also terminated.</w:t>
      </w:r>
    </w:p>
    <w:p>
      <w:pPr>
        <w:spacing w:after="0" w:line="94" w:lineRule="exact"/>
        <w:rPr>
          <w:sz w:val="20"/>
          <w:szCs w:val="20"/>
          <w:color w:val="auto"/>
        </w:rPr>
      </w:pPr>
    </w:p>
    <w:p>
      <w:pPr>
        <w:ind w:right="240" w:firstLine="382"/>
        <w:spacing w:after="0" w:line="273" w:lineRule="auto"/>
        <w:rPr>
          <w:sz w:val="20"/>
          <w:szCs w:val="20"/>
          <w:color w:val="auto"/>
        </w:rPr>
      </w:pPr>
      <w:r>
        <w:rPr>
          <w:rFonts w:ascii="Arial" w:cs="Arial" w:eastAsia="Arial" w:hAnsi="Arial"/>
          <w:sz w:val="17"/>
          <w:szCs w:val="17"/>
          <w:color w:val="auto"/>
        </w:rPr>
        <w:t>Revenues associated with the Novartis Agreement for the three and six months ended June 30, 2023 were $0.2 million and $1.6 million, respectively and $5.0 million and $6.2 million for the three and six months ended June 30, 2022,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Preferred Stock</w:t>
      </w:r>
    </w:p>
    <w:p>
      <w:pPr>
        <w:spacing w:after="0" w:line="114" w:lineRule="exact"/>
        <w:rPr>
          <w:sz w:val="20"/>
          <w:szCs w:val="20"/>
          <w:color w:val="auto"/>
        </w:rPr>
      </w:pPr>
    </w:p>
    <w:p>
      <w:pPr>
        <w:ind w:right="340" w:firstLine="382"/>
        <w:spacing w:after="0" w:line="275"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June 30, 2023 and December 31, 2022, the Company was authorized to issue 10,000,000 shares of preferred stock and there was no outstanding preferred stock as of June 30, 2023 and December 31, 2022.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Common Stock</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June 30, 2023 and December 31, 2022, the Company was authorized to issue 300,000,000 shares of common stock at a par value of $0.0001 per share.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has the following rights and privileges: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holders of shares of common stock are entitled to one vote for each share of common stock held at any meeting of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0" w:lineRule="exact"/>
        <w:rPr>
          <w:sz w:val="20"/>
          <w:szCs w:val="20"/>
          <w:color w:val="auto"/>
        </w:rPr>
      </w:pPr>
    </w:p>
    <w:p>
      <w:pPr>
        <w:ind w:right="100" w:firstLine="382"/>
        <w:spacing w:after="0" w:line="312" w:lineRule="auto"/>
        <w:rPr>
          <w:sz w:val="20"/>
          <w:szCs w:val="20"/>
          <w:color w:val="auto"/>
        </w:rPr>
      </w:pPr>
      <w:r>
        <w:rPr>
          <w:rFonts w:ascii="Arial" w:cs="Arial" w:eastAsia="Arial" w:hAnsi="Arial"/>
          <w:sz w:val="15"/>
          <w:szCs w:val="15"/>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110" w:lineRule="exact"/>
        <w:rPr>
          <w:sz w:val="20"/>
          <w:szCs w:val="20"/>
          <w:color w:val="auto"/>
        </w:rPr>
      </w:pPr>
    </w:p>
    <w:p>
      <w:pPr>
        <w:ind w:right="360" w:firstLine="382"/>
        <w:spacing w:after="0" w:line="261" w:lineRule="auto"/>
        <w:rPr>
          <w:sz w:val="20"/>
          <w:szCs w:val="20"/>
          <w:color w:val="auto"/>
        </w:rPr>
      </w:pPr>
      <w:r>
        <w:rPr>
          <w:rFonts w:ascii="Arial" w:cs="Arial" w:eastAsia="Arial" w:hAnsi="Arial"/>
          <w:sz w:val="17"/>
          <w:szCs w:val="17"/>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95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32"/>
        </w:trPr>
        <w:tc>
          <w:tcPr>
            <w:tcW w:w="768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December 31,</w:t>
            </w:r>
          </w:p>
        </w:tc>
      </w:tr>
      <w:tr>
        <w:trPr>
          <w:trHeight w:val="175"/>
        </w:trPr>
        <w:tc>
          <w:tcPr>
            <w:tcW w:w="76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3"/>
              </w:rPr>
              <w:t>2023</w:t>
            </w:r>
          </w:p>
        </w:tc>
        <w:tc>
          <w:tcPr>
            <w:tcW w:w="176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89"/>
              </w:rPr>
              <w:t>2022</w:t>
            </w:r>
          </w:p>
        </w:tc>
      </w:tr>
      <w:tr>
        <w:trPr>
          <w:trHeight w:val="24"/>
        </w:trPr>
        <w:tc>
          <w:tcPr>
            <w:tcW w:w="76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 awards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6,633,160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5,569,567</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Vesting of RSUs</w:t>
            </w:r>
          </w:p>
        </w:tc>
        <w:tc>
          <w:tcPr>
            <w:tcW w:w="1640" w:type="dxa"/>
            <w:vAlign w:val="bottom"/>
          </w:tcPr>
          <w:p>
            <w:pPr>
              <w:jc w:val="right"/>
              <w:spacing w:after="0"/>
              <w:rPr>
                <w:sz w:val="20"/>
                <w:szCs w:val="20"/>
                <w:color w:val="auto"/>
              </w:rPr>
            </w:pPr>
            <w:r>
              <w:rPr>
                <w:rFonts w:ascii="Arial" w:cs="Arial" w:eastAsia="Arial" w:hAnsi="Arial"/>
                <w:sz w:val="17"/>
                <w:szCs w:val="17"/>
                <w:color w:val="auto"/>
              </w:rPr>
              <w:t>1,160,986</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507,925</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Vesting of PSUs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472,711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531,796</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Shares of common stock available for future grants under the 2020 Stock Option and Incentive Plan</w:t>
            </w:r>
          </w:p>
        </w:tc>
        <w:tc>
          <w:tcPr>
            <w:tcW w:w="1640" w:type="dxa"/>
            <w:vAlign w:val="bottom"/>
          </w:tcPr>
          <w:p>
            <w:pPr>
              <w:jc w:val="right"/>
              <w:spacing w:after="0"/>
              <w:rPr>
                <w:sz w:val="20"/>
                <w:szCs w:val="20"/>
                <w:color w:val="auto"/>
              </w:rPr>
            </w:pPr>
            <w:r>
              <w:rPr>
                <w:rFonts w:ascii="Arial" w:cs="Arial" w:eastAsia="Arial" w:hAnsi="Arial"/>
                <w:sz w:val="17"/>
                <w:szCs w:val="17"/>
                <w:color w:val="auto"/>
              </w:rPr>
              <w:t>4,131,558</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2,937,769</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Shares of common stock available for future issuance under the 2020 Employee Stock Purchase Plan</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844,888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888,184</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of common stock available for future issuance under the 2022 Inducement Plan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r>
      <w:tr>
        <w:trPr>
          <w:trHeight w:val="229"/>
        </w:trPr>
        <w:tc>
          <w:tcPr>
            <w:tcW w:w="7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shares reserved for future issuance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14,243,303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11,435,241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Equity Incentive Plans and Stock-Based Compensation</w:t>
      </w:r>
    </w:p>
    <w:p>
      <w:pPr>
        <w:spacing w:after="0" w:line="114"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Options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w:t>
      </w:r>
    </w:p>
    <w:p>
      <w:pPr>
        <w:spacing w:after="0" w:line="81"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w:t>
      </w:r>
    </w:p>
    <w:p>
      <w:pPr>
        <w:spacing w:after="0" w:line="64" w:lineRule="exact"/>
        <w:rPr>
          <w:sz w:val="20"/>
          <w:szCs w:val="20"/>
          <w:color w:val="auto"/>
        </w:rPr>
      </w:pPr>
    </w:p>
    <w:p>
      <w:pPr>
        <w:ind w:right="380" w:firstLine="382"/>
        <w:spacing w:after="0" w:line="273" w:lineRule="auto"/>
        <w:rPr>
          <w:sz w:val="20"/>
          <w:szCs w:val="20"/>
          <w:color w:val="auto"/>
        </w:rPr>
      </w:pPr>
      <w:r>
        <w:rPr>
          <w:rFonts w:ascii="Arial" w:cs="Arial" w:eastAsia="Arial" w:hAnsi="Arial"/>
          <w:sz w:val="17"/>
          <w:szCs w:val="17"/>
          <w:color w:val="auto"/>
        </w:rPr>
        <w:t>In 2022, the Board of Directors adopted the 2022 Inducement Plan (“Inducement Plan”), under which the Company may grant restricted stock units, stock options, stock appreciation rights, and restricted stock awards to new hires.</w:t>
      </w:r>
    </w:p>
    <w:p>
      <w:pPr>
        <w:spacing w:after="0" w:line="64" w:lineRule="exact"/>
        <w:rPr>
          <w:sz w:val="20"/>
          <w:szCs w:val="20"/>
          <w:color w:val="auto"/>
        </w:rPr>
      </w:pPr>
    </w:p>
    <w:p>
      <w:pPr>
        <w:jc w:val="both"/>
        <w:ind w:right="220" w:firstLine="382"/>
        <w:spacing w:after="0" w:line="312" w:lineRule="auto"/>
        <w:rPr>
          <w:sz w:val="20"/>
          <w:szCs w:val="20"/>
          <w:color w:val="auto"/>
        </w:rPr>
      </w:pPr>
      <w:r>
        <w:rPr>
          <w:rFonts w:ascii="Arial" w:cs="Arial" w:eastAsia="Arial" w:hAnsi="Arial"/>
          <w:sz w:val="15"/>
          <w:szCs w:val="15"/>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Stock Options and Nonqualified Stock Options</w:t>
      </w:r>
    </w:p>
    <w:p>
      <w:pPr>
        <w:spacing w:after="0" w:line="110" w:lineRule="exact"/>
        <w:rPr>
          <w:sz w:val="20"/>
          <w:szCs w:val="20"/>
          <w:color w:val="auto"/>
        </w:rPr>
      </w:pPr>
    </w:p>
    <w:p>
      <w:pPr>
        <w:ind w:right="340" w:firstLine="382"/>
        <w:spacing w:after="0" w:line="273" w:lineRule="auto"/>
        <w:rPr>
          <w:sz w:val="20"/>
          <w:szCs w:val="20"/>
          <w:color w:val="auto"/>
        </w:rPr>
      </w:pPr>
      <w:r>
        <w:rPr>
          <w:rFonts w:ascii="Arial" w:cs="Arial" w:eastAsia="Arial" w:hAnsi="Arial"/>
          <w:sz w:val="17"/>
          <w:szCs w:val="17"/>
          <w:color w:val="auto"/>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spacing w:after="0" w:line="64" w:lineRule="exact"/>
        <w:rPr>
          <w:sz w:val="20"/>
          <w:szCs w:val="20"/>
          <w:color w:val="auto"/>
        </w:rPr>
      </w:pPr>
    </w:p>
    <w:p>
      <w:pPr>
        <w:ind w:right="660" w:firstLine="382"/>
        <w:spacing w:after="0" w:line="273" w:lineRule="auto"/>
        <w:rPr>
          <w:sz w:val="20"/>
          <w:szCs w:val="20"/>
          <w:color w:val="auto"/>
        </w:rPr>
      </w:pPr>
      <w:r>
        <w:rPr>
          <w:rFonts w:ascii="Arial" w:cs="Arial" w:eastAsia="Arial" w:hAnsi="Arial"/>
          <w:sz w:val="17"/>
          <w:szCs w:val="17"/>
          <w:color w:val="auto"/>
        </w:rPr>
        <w:t>The Company used the Black-Scholes option pricing model to estimate stock-based compensation expense for stock option awards with the following assumptions: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6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Three months ended June 30,</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3"/>
          </w:tcPr>
          <w:p>
            <w:pPr>
              <w:jc w:val="right"/>
              <w:ind w:right="84"/>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169"/>
        </w:trPr>
        <w:tc>
          <w:tcPr>
            <w:tcW w:w="3460" w:type="dxa"/>
            <w:vAlign w:val="bottom"/>
          </w:tcPr>
          <w:p>
            <w:pPr>
              <w:spacing w:after="0"/>
              <w:rPr>
                <w:sz w:val="14"/>
                <w:szCs w:val="14"/>
                <w:color w:val="auto"/>
              </w:rPr>
            </w:pPr>
          </w:p>
        </w:tc>
        <w:tc>
          <w:tcPr>
            <w:tcW w:w="184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4"/>
                <w:szCs w:val="1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81.16%</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- 81.66%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73.78%</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- 75.17%</w:t>
            </w:r>
          </w:p>
        </w:tc>
        <w:tc>
          <w:tcPr>
            <w:tcW w:w="196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1"/>
              </w:rPr>
              <w:t>80.97% - 81.66%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73.78%</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- 75.17%</w:t>
            </w:r>
          </w:p>
        </w:tc>
      </w:tr>
      <w:tr>
        <w:trPr>
          <w:trHeight w:val="216"/>
        </w:trPr>
        <w:tc>
          <w:tcPr>
            <w:tcW w:w="34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7"/>
                <w:szCs w:val="17"/>
                <w:color w:val="auto"/>
              </w:rPr>
              <w:t>3.44%</w:t>
            </w:r>
          </w:p>
        </w:tc>
        <w:tc>
          <w:tcPr>
            <w:tcW w:w="960" w:type="dxa"/>
            <w:vAlign w:val="bottom"/>
          </w:tcPr>
          <w:p>
            <w:pPr>
              <w:ind w:left="20"/>
              <w:spacing w:after="0"/>
              <w:rPr>
                <w:sz w:val="20"/>
                <w:szCs w:val="20"/>
                <w:color w:val="auto"/>
              </w:rPr>
            </w:pPr>
            <w:r>
              <w:rPr>
                <w:rFonts w:ascii="Arial" w:cs="Arial" w:eastAsia="Arial" w:hAnsi="Arial"/>
                <w:sz w:val="17"/>
                <w:szCs w:val="17"/>
                <w:color w:val="auto"/>
              </w:rPr>
              <w:t>- 3.88%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1.64%</w:t>
            </w:r>
          </w:p>
        </w:tc>
        <w:tc>
          <w:tcPr>
            <w:tcW w:w="960" w:type="dxa"/>
            <w:vAlign w:val="bottom"/>
          </w:tcPr>
          <w:p>
            <w:pPr>
              <w:ind w:left="20"/>
              <w:spacing w:after="0"/>
              <w:rPr>
                <w:sz w:val="20"/>
                <w:szCs w:val="20"/>
                <w:color w:val="auto"/>
              </w:rPr>
            </w:pPr>
            <w:r>
              <w:rPr>
                <w:rFonts w:ascii="Arial" w:cs="Arial" w:eastAsia="Arial" w:hAnsi="Arial"/>
                <w:sz w:val="17"/>
                <w:szCs w:val="17"/>
                <w:color w:val="auto"/>
              </w:rPr>
              <w:t>- 3.39%</w:t>
            </w:r>
          </w:p>
        </w:tc>
        <w:tc>
          <w:tcPr>
            <w:tcW w:w="1960" w:type="dxa"/>
            <w:vAlign w:val="bottom"/>
            <w:gridSpan w:val="2"/>
          </w:tcPr>
          <w:p>
            <w:pPr>
              <w:jc w:val="center"/>
              <w:ind w:left="35"/>
              <w:spacing w:after="0"/>
              <w:rPr>
                <w:sz w:val="20"/>
                <w:szCs w:val="20"/>
                <w:color w:val="auto"/>
              </w:rPr>
            </w:pPr>
            <w:r>
              <w:rPr>
                <w:rFonts w:ascii="Arial" w:cs="Arial" w:eastAsia="Arial" w:hAnsi="Arial"/>
                <w:sz w:val="17"/>
                <w:szCs w:val="17"/>
                <w:color w:val="auto"/>
                <w:w w:val="89"/>
              </w:rPr>
              <w:t>3.42%- 4.18%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1.64%</w:t>
            </w:r>
          </w:p>
        </w:tc>
        <w:tc>
          <w:tcPr>
            <w:tcW w:w="980" w:type="dxa"/>
            <w:vAlign w:val="bottom"/>
          </w:tcPr>
          <w:p>
            <w:pPr>
              <w:ind w:left="20"/>
              <w:spacing w:after="0"/>
              <w:rPr>
                <w:sz w:val="20"/>
                <w:szCs w:val="20"/>
                <w:color w:val="auto"/>
              </w:rPr>
            </w:pPr>
            <w:r>
              <w:rPr>
                <w:rFonts w:ascii="Arial" w:cs="Arial" w:eastAsia="Arial" w:hAnsi="Arial"/>
                <w:sz w:val="17"/>
                <w:szCs w:val="17"/>
                <w:color w:val="auto"/>
              </w:rPr>
              <w:t>- 3.39%</w:t>
            </w:r>
          </w:p>
        </w:tc>
      </w:tr>
      <w:tr>
        <w:trPr>
          <w:trHeight w:val="217"/>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w:t>
            </w: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2"/>
        </w:trPr>
        <w:tc>
          <w:tcPr>
            <w:tcW w:w="346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880" w:type="dxa"/>
            <w:vAlign w:val="bottom"/>
          </w:tcPr>
          <w:p>
            <w:pPr>
              <w:jc w:val="right"/>
              <w:spacing w:after="0"/>
              <w:rPr>
                <w:sz w:val="20"/>
                <w:szCs w:val="20"/>
                <w:color w:val="auto"/>
              </w:rPr>
            </w:pPr>
            <w:r>
              <w:rPr>
                <w:rFonts w:ascii="Arial" w:cs="Arial" w:eastAsia="Arial" w:hAnsi="Arial"/>
                <w:sz w:val="17"/>
                <w:szCs w:val="17"/>
                <w:color w:val="auto"/>
              </w:rPr>
              <w:t>5.31</w:t>
            </w:r>
          </w:p>
        </w:tc>
        <w:tc>
          <w:tcPr>
            <w:tcW w:w="960" w:type="dxa"/>
            <w:vAlign w:val="bottom"/>
          </w:tcPr>
          <w:p>
            <w:pPr>
              <w:ind w:left="20"/>
              <w:spacing w:after="0"/>
              <w:rPr>
                <w:sz w:val="20"/>
                <w:szCs w:val="20"/>
                <w:color w:val="auto"/>
              </w:rPr>
            </w:pPr>
            <w:r>
              <w:rPr>
                <w:rFonts w:ascii="Arial" w:cs="Arial" w:eastAsia="Arial" w:hAnsi="Arial"/>
                <w:sz w:val="17"/>
                <w:szCs w:val="17"/>
                <w:color w:val="auto"/>
              </w:rPr>
              <w:t>- 6.07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5.33</w:t>
            </w:r>
          </w:p>
        </w:tc>
        <w:tc>
          <w:tcPr>
            <w:tcW w:w="960" w:type="dxa"/>
            <w:vAlign w:val="bottom"/>
          </w:tcPr>
          <w:p>
            <w:pPr>
              <w:ind w:left="20"/>
              <w:spacing w:after="0"/>
              <w:rPr>
                <w:sz w:val="20"/>
                <w:szCs w:val="20"/>
                <w:color w:val="auto"/>
              </w:rPr>
            </w:pPr>
            <w:r>
              <w:rPr>
                <w:rFonts w:ascii="Arial" w:cs="Arial" w:eastAsia="Arial" w:hAnsi="Arial"/>
                <w:sz w:val="17"/>
                <w:szCs w:val="17"/>
                <w:color w:val="auto"/>
              </w:rPr>
              <w:t>- 6.08</w:t>
            </w:r>
          </w:p>
        </w:tc>
        <w:tc>
          <w:tcPr>
            <w:tcW w:w="1960" w:type="dxa"/>
            <w:vAlign w:val="bottom"/>
            <w:gridSpan w:val="2"/>
          </w:tcPr>
          <w:p>
            <w:pPr>
              <w:jc w:val="center"/>
              <w:ind w:left="35"/>
              <w:spacing w:after="0"/>
              <w:rPr>
                <w:sz w:val="20"/>
                <w:szCs w:val="20"/>
                <w:color w:val="auto"/>
              </w:rPr>
            </w:pPr>
            <w:r>
              <w:rPr>
                <w:rFonts w:ascii="Arial" w:cs="Arial" w:eastAsia="Arial" w:hAnsi="Arial"/>
                <w:sz w:val="17"/>
                <w:szCs w:val="17"/>
                <w:color w:val="auto"/>
                <w:w w:val="88"/>
              </w:rPr>
              <w:t>5.31- 6.08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5.33</w:t>
            </w:r>
          </w:p>
        </w:tc>
        <w:tc>
          <w:tcPr>
            <w:tcW w:w="980" w:type="dxa"/>
            <w:vAlign w:val="bottom"/>
          </w:tcPr>
          <w:p>
            <w:pPr>
              <w:ind w:left="20"/>
              <w:spacing w:after="0"/>
              <w:rPr>
                <w:sz w:val="20"/>
                <w:szCs w:val="20"/>
                <w:color w:val="auto"/>
              </w:rPr>
            </w:pPr>
            <w:r>
              <w:rPr>
                <w:rFonts w:ascii="Arial" w:cs="Arial" w:eastAsia="Arial" w:hAnsi="Arial"/>
                <w:sz w:val="17"/>
                <w:szCs w:val="17"/>
                <w:color w:val="auto"/>
              </w:rPr>
              <w:t>- 6.08</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Underlying common stock fair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$22.33</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$26.50</w:t>
            </w:r>
          </w:p>
        </w:tc>
        <w:tc>
          <w:tcPr>
            <w:tcW w:w="1960" w:type="dxa"/>
            <w:vAlign w:val="bottom"/>
            <w:gridSpan w:val="3"/>
            <w:shd w:val="clear" w:color="auto" w:fill="CCEEFF"/>
          </w:tcPr>
          <w:p>
            <w:pPr>
              <w:jc w:val="center"/>
              <w:ind w:left="35"/>
              <w:spacing w:after="0"/>
              <w:rPr>
                <w:sz w:val="20"/>
                <w:szCs w:val="20"/>
                <w:color w:val="auto"/>
              </w:rPr>
            </w:pPr>
            <w:r>
              <w:rPr>
                <w:rFonts w:ascii="Arial" w:cs="Arial" w:eastAsia="Arial" w:hAnsi="Arial"/>
                <w:sz w:val="17"/>
                <w:szCs w:val="17"/>
                <w:color w:val="auto"/>
                <w:w w:val="91"/>
              </w:rPr>
              <w:t>$4.92 - $12.68</w:t>
            </w:r>
          </w:p>
        </w:tc>
        <w:tc>
          <w:tcPr>
            <w:tcW w:w="196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0"/>
              </w:rPr>
              <w:t>$21.94 - $34.65</w:t>
            </w:r>
          </w:p>
        </w:tc>
        <w:tc>
          <w:tcPr>
            <w:tcW w:w="1960" w:type="dxa"/>
            <w:vAlign w:val="bottom"/>
            <w:gridSpan w:val="3"/>
            <w:shd w:val="clear" w:color="auto" w:fill="CCEEFF"/>
          </w:tcPr>
          <w:p>
            <w:pPr>
              <w:jc w:val="center"/>
              <w:ind w:left="35"/>
              <w:spacing w:after="0"/>
              <w:rPr>
                <w:sz w:val="20"/>
                <w:szCs w:val="20"/>
                <w:color w:val="auto"/>
              </w:rPr>
            </w:pPr>
            <w:r>
              <w:rPr>
                <w:rFonts w:ascii="Arial" w:cs="Arial" w:eastAsia="Arial" w:hAnsi="Arial"/>
                <w:sz w:val="17"/>
                <w:szCs w:val="17"/>
                <w:color w:val="auto"/>
                <w:w w:val="91"/>
              </w:rPr>
              <w:t>$4.92 - $12.68</w:t>
            </w:r>
          </w:p>
        </w:tc>
      </w:tr>
    </w:tbl>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option activity under the 2015 Plan and the 2020 Plan is as follows: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040" w:type="dxa"/>
            <w:vAlign w:val="bottom"/>
          </w:tcPr>
          <w:p>
            <w:pPr>
              <w:spacing w:after="0"/>
              <w:rPr>
                <w:sz w:val="12"/>
                <w:szCs w:val="12"/>
                <w:color w:val="auto"/>
              </w:rPr>
            </w:pPr>
          </w:p>
        </w:tc>
        <w:tc>
          <w:tcPr>
            <w:tcW w:w="14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0"/>
              <w:spacing w:after="0" w:line="140"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2"/>
                <w:szCs w:val="12"/>
                <w:color w:val="auto"/>
              </w:rPr>
            </w:pPr>
          </w:p>
        </w:tc>
        <w:tc>
          <w:tcPr>
            <w:tcW w:w="14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202"/>
              <w:spacing w:after="0" w:line="140"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Average Exercise</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4"/>
        </w:trPr>
        <w:tc>
          <w:tcPr>
            <w:tcW w:w="504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Price per Share</w:t>
            </w:r>
          </w:p>
        </w:tc>
        <w:tc>
          <w:tcPr>
            <w:tcW w:w="1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(in Years)</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2022</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5,569,567</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13.34</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7.96</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ind w:right="2"/>
              <w:spacing w:after="0"/>
              <w:rPr>
                <w:sz w:val="20"/>
                <w:szCs w:val="20"/>
                <w:color w:val="auto"/>
              </w:rPr>
            </w:pPr>
            <w:r>
              <w:rPr>
                <w:rFonts w:ascii="Arial" w:cs="Arial" w:eastAsia="Arial" w:hAnsi="Arial"/>
                <w:sz w:val="17"/>
                <w:szCs w:val="17"/>
                <w:color w:val="auto"/>
              </w:rPr>
              <w:t>43,696</w:t>
            </w:r>
          </w:p>
        </w:tc>
        <w:tc>
          <w:tcPr>
            <w:tcW w:w="0" w:type="dxa"/>
            <w:vAlign w:val="bottom"/>
          </w:tcPr>
          <w:p>
            <w:pPr>
              <w:spacing w:after="0"/>
              <w:rPr>
                <w:sz w:val="1"/>
                <w:szCs w:val="1"/>
                <w:color w:val="auto"/>
              </w:rPr>
            </w:pPr>
          </w:p>
        </w:tc>
      </w:tr>
      <w:tr>
        <w:trPr>
          <w:trHeight w:val="222"/>
        </w:trPr>
        <w:tc>
          <w:tcPr>
            <w:tcW w:w="5040" w:type="dxa"/>
            <w:vAlign w:val="bottom"/>
          </w:tcPr>
          <w:p>
            <w:pPr>
              <w:ind w:left="20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1,623,184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30.85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(477,539)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Arial" w:cs="Arial" w:eastAsia="Arial" w:hAnsi="Arial"/>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(82,052)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16.07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as of June 30, 2023</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6,633,160</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18.06</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8.18</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17"/>
                <w:szCs w:val="17"/>
                <w:color w:val="auto"/>
              </w:rPr>
              <w:t>32,749</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Exercisable as of June 30, 2023</w:t>
            </w: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gridSpan w:val="2"/>
          </w:tcPr>
          <w:p>
            <w:pPr>
              <w:spacing w:after="0" w:line="20" w:lineRule="exact"/>
              <w:rPr>
                <w:sz w:val="1"/>
                <w:szCs w:val="1"/>
                <w:color w:val="auto"/>
              </w:rPr>
            </w:pPr>
          </w:p>
        </w:tc>
        <w:tc>
          <w:tcPr>
            <w:tcW w:w="380" w:type="dxa"/>
            <w:vAlign w:val="bottom"/>
            <w:tcBorders>
              <w:top w:val="single" w:sz="8" w:color="CFF0FC"/>
            </w:tcBorders>
            <w:gridSpan w:val="2"/>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2,806,127</w:t>
            </w:r>
          </w:p>
        </w:tc>
        <w:tc>
          <w:tcPr>
            <w:tcW w:w="2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1300" w:type="dxa"/>
            <w:vAlign w:val="bottom"/>
          </w:tcPr>
          <w:p>
            <w:pPr>
              <w:jc w:val="right"/>
              <w:spacing w:after="0" w:line="187" w:lineRule="exact"/>
              <w:rPr>
                <w:sz w:val="20"/>
                <w:szCs w:val="20"/>
                <w:color w:val="auto"/>
              </w:rPr>
            </w:pPr>
            <w:r>
              <w:rPr>
                <w:rFonts w:ascii="Arial" w:cs="Arial" w:eastAsia="Arial" w:hAnsi="Arial"/>
                <w:sz w:val="17"/>
                <w:szCs w:val="17"/>
                <w:color w:val="auto"/>
              </w:rPr>
              <w:t>13.98</w:t>
            </w:r>
          </w:p>
        </w:tc>
        <w:tc>
          <w:tcPr>
            <w:tcW w:w="15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7.26</w:t>
            </w:r>
          </w:p>
        </w:tc>
        <w:tc>
          <w:tcPr>
            <w:tcW w:w="380" w:type="dxa"/>
            <w:vAlign w:val="bottom"/>
            <w:gridSpan w:val="2"/>
          </w:tcPr>
          <w:p>
            <w:pPr>
              <w:jc w:val="right"/>
              <w:ind w:right="160"/>
              <w:spacing w:after="0" w:line="187" w:lineRule="exact"/>
              <w:rPr>
                <w:sz w:val="20"/>
                <w:szCs w:val="20"/>
                <w:color w:val="auto"/>
              </w:rPr>
            </w:pPr>
            <w:r>
              <w:rPr>
                <w:rFonts w:ascii="Arial" w:cs="Arial" w:eastAsia="Arial" w:hAnsi="Arial"/>
                <w:sz w:val="17"/>
                <w:szCs w:val="17"/>
                <w:color w:val="auto"/>
              </w:rPr>
              <w:t>$</w:t>
            </w:r>
          </w:p>
        </w:tc>
        <w:tc>
          <w:tcPr>
            <w:tcW w:w="1160" w:type="dxa"/>
            <w:vAlign w:val="bottom"/>
          </w:tcPr>
          <w:p>
            <w:pPr>
              <w:jc w:val="right"/>
              <w:ind w:right="2"/>
              <w:spacing w:after="0" w:line="187" w:lineRule="exact"/>
              <w:rPr>
                <w:sz w:val="20"/>
                <w:szCs w:val="20"/>
                <w:color w:val="auto"/>
              </w:rPr>
            </w:pPr>
            <w:r>
              <w:rPr>
                <w:rFonts w:ascii="Arial" w:cs="Arial" w:eastAsia="Arial" w:hAnsi="Arial"/>
                <w:sz w:val="17"/>
                <w:szCs w:val="17"/>
                <w:color w:val="auto"/>
              </w:rPr>
              <w:t>20,335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Vested and expected to vest as of June 30, 2023</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6,633,160</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18.06</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8.18</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17"/>
                <w:szCs w:val="17"/>
                <w:color w:val="auto"/>
              </w:rPr>
              <w:t>32,749</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60" w:firstLine="382"/>
        <w:spacing w:after="0" w:line="261" w:lineRule="auto"/>
        <w:rPr>
          <w:sz w:val="20"/>
          <w:szCs w:val="20"/>
          <w:color w:val="auto"/>
        </w:rPr>
      </w:pPr>
      <w:r>
        <w:rPr>
          <w:rFonts w:ascii="Arial" w:cs="Arial" w:eastAsia="Arial" w:hAnsi="Arial"/>
          <w:sz w:val="17"/>
          <w:szCs w:val="17"/>
          <w:color w:val="auto"/>
        </w:rPr>
        <w:t>As of June 30, 2023, there were $53.1 million of unrecognized compensation costs that are expected to be recognized over the weighted-average period of 2.7 years related to stock options. Aggregate intrinsic value represents the difference between the fair value of the underlying common stock and the exercise price as of June 30, 2023. .</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0" w:lineRule="exact"/>
        <w:rPr>
          <w:sz w:val="20"/>
          <w:szCs w:val="20"/>
          <w:color w:val="auto"/>
        </w:rPr>
      </w:pPr>
    </w:p>
    <w:p>
      <w:pPr>
        <w:ind w:right="760" w:firstLine="382"/>
        <w:spacing w:after="0" w:line="273" w:lineRule="auto"/>
        <w:rPr>
          <w:sz w:val="20"/>
          <w:szCs w:val="20"/>
          <w:color w:val="auto"/>
        </w:rPr>
      </w:pPr>
      <w:r>
        <w:rPr>
          <w:rFonts w:ascii="Arial" w:cs="Arial" w:eastAsia="Arial" w:hAnsi="Arial"/>
          <w:sz w:val="17"/>
          <w:szCs w:val="17"/>
          <w:color w:val="auto"/>
        </w:rPr>
        <w:t>The service-based condition for restricted stock units ("RSUs") is generally satisfied over two years or three years. The following table sets forth the outstanding RSUs and related activity for the six months ended June 30,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Weighted Average Grant</w:t>
            </w:r>
          </w:p>
        </w:tc>
      </w:tr>
      <w:tr>
        <w:trPr>
          <w:trHeight w:val="180"/>
        </w:trPr>
        <w:tc>
          <w:tcPr>
            <w:tcW w:w="7680" w:type="dxa"/>
            <w:vAlign w:val="bottom"/>
          </w:tcPr>
          <w:p>
            <w:pPr>
              <w:spacing w:after="0"/>
              <w:rPr>
                <w:sz w:val="15"/>
                <w:szCs w:val="15"/>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Restricted Stock Units</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Date Fair Value</w:t>
            </w:r>
          </w:p>
        </w:tc>
      </w:tr>
      <w:tr>
        <w:trPr>
          <w:trHeight w:val="227"/>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and outstanding at December 31, 2022</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507,925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17.43</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Granted</w:t>
            </w:r>
          </w:p>
        </w:tc>
        <w:tc>
          <w:tcPr>
            <w:tcW w:w="1640" w:type="dxa"/>
            <w:vAlign w:val="bottom"/>
          </w:tcPr>
          <w:p>
            <w:pPr>
              <w:jc w:val="right"/>
              <w:spacing w:after="0"/>
              <w:rPr>
                <w:sz w:val="20"/>
                <w:szCs w:val="20"/>
                <w:color w:val="auto"/>
              </w:rPr>
            </w:pPr>
            <w:r>
              <w:rPr>
                <w:rFonts w:ascii="Arial" w:cs="Arial" w:eastAsia="Arial" w:hAnsi="Arial"/>
                <w:sz w:val="17"/>
                <w:szCs w:val="17"/>
                <w:color w:val="auto"/>
              </w:rPr>
              <w:t>671,708</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34.65</w:t>
            </w: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(18,647)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22.60</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Unvested and outstanding at June 30, 2023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1,160,986</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27.31</w:t>
            </w:r>
          </w:p>
        </w:tc>
      </w:tr>
      <w:tr>
        <w:trPr>
          <w:trHeight w:val="20"/>
        </w:trPr>
        <w:tc>
          <w:tcPr>
            <w:tcW w:w="7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66" w:lineRule="exact"/>
        <w:rPr>
          <w:sz w:val="20"/>
          <w:szCs w:val="20"/>
          <w:color w:val="auto"/>
        </w:rPr>
      </w:pPr>
    </w:p>
    <w:p>
      <w:pPr>
        <w:ind w:right="700" w:firstLine="382"/>
        <w:spacing w:after="0" w:line="273" w:lineRule="auto"/>
        <w:rPr>
          <w:sz w:val="20"/>
          <w:szCs w:val="20"/>
          <w:color w:val="auto"/>
        </w:rPr>
      </w:pPr>
      <w:r>
        <w:rPr>
          <w:rFonts w:ascii="Arial" w:cs="Arial" w:eastAsia="Arial" w:hAnsi="Arial"/>
          <w:sz w:val="17"/>
          <w:szCs w:val="17"/>
          <w:color w:val="auto"/>
        </w:rPr>
        <w:t>As of June 30, 2023, the Company had $24.2 million of unrecognized stock-based compensation expense related to outstanding RSUs expected to be recognized over a weighted-average period of 2.30 years.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110"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Performance-based restricted stock units ("PSUs")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bexotegrast. The performance vesting conditions generally must be satisfied within a two-year period and are forfeited if the vesting conditions are not met. Additionally, the number of shares of common stock issued upon vesting will range from 0% to 200% of the PSUs based on achievement of certain targets. The PSUs granted were allocated evenly between the market based, TSR, awards and those with performance conditions associated with clinical development milestones.</w:t>
      </w:r>
    </w:p>
    <w:p>
      <w:pPr>
        <w:spacing w:after="0" w:line="82" w:lineRule="exact"/>
        <w:rPr>
          <w:sz w:val="20"/>
          <w:szCs w:val="20"/>
          <w:color w:val="auto"/>
        </w:rPr>
      </w:pPr>
    </w:p>
    <w:p>
      <w:pPr>
        <w:ind w:right="220" w:firstLine="382"/>
        <w:spacing w:after="0" w:line="342" w:lineRule="auto"/>
        <w:rPr>
          <w:sz w:val="20"/>
          <w:szCs w:val="20"/>
          <w:color w:val="auto"/>
        </w:rPr>
      </w:pPr>
      <w:r>
        <w:rPr>
          <w:rFonts w:ascii="Arial" w:cs="Arial" w:eastAsia="Arial" w:hAnsi="Arial"/>
          <w:sz w:val="15"/>
          <w:szCs w:val="15"/>
          <w:color w:val="auto"/>
        </w:rPr>
        <w:t>The fair value of PSUs associated with clinical development vesting conditions were determined to be equal to the fair market value of the Company's share price on the date of grant. The fair value of the TSR PSUs were derived from a Monte Carlo simulation model that used the following key assumptions: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Valuation date share price</w:t>
            </w:r>
          </w:p>
        </w:tc>
        <w:tc>
          <w:tcPr>
            <w:tcW w:w="76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17.57</w:t>
            </w:r>
          </w:p>
        </w:tc>
      </w:tr>
      <w:tr>
        <w:trPr>
          <w:trHeight w:val="216"/>
        </w:trPr>
        <w:tc>
          <w:tcPr>
            <w:tcW w:w="9200" w:type="dxa"/>
            <w:vAlign w:val="bottom"/>
          </w:tcPr>
          <w:p>
            <w:pPr>
              <w:ind w:left="20"/>
              <w:spacing w:after="0"/>
              <w:rPr>
                <w:sz w:val="20"/>
                <w:szCs w:val="20"/>
                <w:color w:val="auto"/>
              </w:rPr>
            </w:pPr>
            <w:r>
              <w:rPr>
                <w:rFonts w:ascii="Arial" w:cs="Arial" w:eastAsia="Arial" w:hAnsi="Arial"/>
                <w:sz w:val="17"/>
                <w:szCs w:val="17"/>
                <w:color w:val="auto"/>
              </w:rPr>
              <w:t>Award term (years)</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17"/>
        </w:trPr>
        <w:tc>
          <w:tcPr>
            <w:tcW w:w="9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Volatility</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70.62 %</w:t>
            </w:r>
          </w:p>
        </w:tc>
      </w:tr>
      <w:tr>
        <w:trPr>
          <w:trHeight w:val="216"/>
        </w:trPr>
        <w:tc>
          <w:tcPr>
            <w:tcW w:w="9200" w:type="dxa"/>
            <w:vAlign w:val="bottom"/>
          </w:tcPr>
          <w:p>
            <w:pPr>
              <w:ind w:left="20"/>
              <w:spacing w:after="0"/>
              <w:rPr>
                <w:sz w:val="20"/>
                <w:szCs w:val="20"/>
                <w:color w:val="auto"/>
              </w:rPr>
            </w:pPr>
            <w:r>
              <w:rPr>
                <w:rFonts w:ascii="Arial" w:cs="Arial" w:eastAsia="Arial" w:hAnsi="Arial"/>
                <w:sz w:val="17"/>
                <w:szCs w:val="17"/>
                <w:color w:val="auto"/>
              </w:rPr>
              <w:t>Correlation coefficient</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0.3508</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peer group volatility</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79.69 %</w:t>
            </w:r>
          </w:p>
        </w:tc>
      </w:tr>
      <w:tr>
        <w:trPr>
          <w:trHeight w:val="216"/>
        </w:trPr>
        <w:tc>
          <w:tcPr>
            <w:tcW w:w="9200" w:type="dxa"/>
            <w:vAlign w:val="bottom"/>
          </w:tcPr>
          <w:p>
            <w:pPr>
              <w:ind w:left="20"/>
              <w:spacing w:after="0"/>
              <w:rPr>
                <w:sz w:val="20"/>
                <w:szCs w:val="20"/>
                <w:color w:val="auto"/>
              </w:rPr>
            </w:pPr>
            <w:r>
              <w:rPr>
                <w:rFonts w:ascii="Arial" w:cs="Arial" w:eastAsia="Arial" w:hAnsi="Arial"/>
                <w:sz w:val="17"/>
                <w:szCs w:val="17"/>
                <w:color w:val="auto"/>
              </w:rPr>
              <w:t>Average peer group correlation coefficient</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0.4397</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2.84 %</w:t>
            </w:r>
          </w:p>
        </w:tc>
      </w:tr>
    </w:tbl>
    <w:p>
      <w:pPr>
        <w:spacing w:after="0" w:line="178" w:lineRule="exact"/>
        <w:rPr>
          <w:sz w:val="20"/>
          <w:szCs w:val="20"/>
          <w:color w:val="auto"/>
        </w:rPr>
      </w:pPr>
    </w:p>
    <w:p>
      <w:pPr>
        <w:ind w:right="80" w:firstLine="382"/>
        <w:spacing w:after="0" w:line="261" w:lineRule="auto"/>
        <w:rPr>
          <w:sz w:val="20"/>
          <w:szCs w:val="20"/>
          <w:color w:val="auto"/>
        </w:rPr>
      </w:pPr>
      <w:r>
        <w:rPr>
          <w:rFonts w:ascii="Arial" w:cs="Arial" w:eastAsia="Arial" w:hAnsi="Arial"/>
          <w:sz w:val="17"/>
          <w:szCs w:val="17"/>
          <w:color w:val="auto"/>
        </w:rPr>
        <w:t>As of June 30, 2023, there were 354,532 PSUs associated with the TSR goal at target level achievement of 100% and related activity outstanding with a weighted average grant date fair value of $29.15 per share. There were no additional grants, forfeitures or vesting of the PSUs associated with market-based vesting conditions during the six months ended June 30, 2023.</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16" w:name="page17"/>
    <w:bookmarkEnd w:id="16"/>
    <w:p>
      <w:pPr>
        <w:ind w:right="60" w:firstLine="382"/>
        <w:spacing w:after="0" w:line="257" w:lineRule="auto"/>
        <w:rPr>
          <w:sz w:val="20"/>
          <w:szCs w:val="20"/>
          <w:color w:val="auto"/>
        </w:rPr>
      </w:pPr>
      <w:r>
        <w:rPr>
          <w:rFonts w:ascii="Arial" w:cs="Arial" w:eastAsia="Arial" w:hAnsi="Arial"/>
          <w:sz w:val="17"/>
          <w:szCs w:val="17"/>
          <w:color w:val="auto"/>
        </w:rPr>
        <w:t>As of June 30, 2023, there were 354,532 PSUs associated with clinical development milestones at maximum level achievement with a weighted average grant date fair value of $17.57 per share. In March 2023, the second of three milestones applicable to PSUs with clinical development vesting conditions was achieved. In July 2023, the third of the three milestones applicable to these PSUs was achieved. The Company considered the remaining clinical development performance conditions probable of achievement as of June 30, 2023.</w:t>
      </w:r>
    </w:p>
    <w:p>
      <w:pPr>
        <w:spacing w:after="0" w:line="79" w:lineRule="exact"/>
        <w:rPr>
          <w:sz w:val="20"/>
          <w:szCs w:val="20"/>
          <w:color w:val="auto"/>
        </w:rPr>
      </w:pPr>
    </w:p>
    <w:p>
      <w:pPr>
        <w:ind w:right="200" w:firstLine="382"/>
        <w:spacing w:after="0" w:line="273" w:lineRule="auto"/>
        <w:rPr>
          <w:sz w:val="20"/>
          <w:szCs w:val="20"/>
          <w:color w:val="auto"/>
        </w:rPr>
      </w:pPr>
      <w:r>
        <w:rPr>
          <w:rFonts w:ascii="Arial" w:cs="Arial" w:eastAsia="Arial" w:hAnsi="Arial"/>
          <w:sz w:val="17"/>
          <w:szCs w:val="17"/>
          <w:color w:val="auto"/>
        </w:rPr>
        <w:t>As of June 30, 2023, the Company had $6.0 million of unrecognized stock-based compensation expense related to unvested PSUs expected to be recognized over a remaining weighted-average period of 0.99 years.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10" w:lineRule="exact"/>
        <w:rPr>
          <w:sz w:val="20"/>
          <w:szCs w:val="20"/>
          <w:color w:val="auto"/>
        </w:rPr>
      </w:pPr>
    </w:p>
    <w:p>
      <w:pPr>
        <w:ind w:right="80" w:firstLine="382"/>
        <w:spacing w:after="0" w:line="255"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81" w:lineRule="exact"/>
        <w:rPr>
          <w:sz w:val="20"/>
          <w:szCs w:val="20"/>
          <w:color w:val="auto"/>
        </w:rPr>
      </w:pPr>
    </w:p>
    <w:p>
      <w:pPr>
        <w:ind w:firstLine="382"/>
        <w:spacing w:after="0" w:line="291" w:lineRule="auto"/>
        <w:rPr>
          <w:sz w:val="20"/>
          <w:szCs w:val="20"/>
          <w:color w:val="auto"/>
        </w:rPr>
      </w:pPr>
      <w:r>
        <w:rPr>
          <w:rFonts w:ascii="Arial" w:cs="Arial" w:eastAsia="Arial" w:hAnsi="Arial"/>
          <w:sz w:val="15"/>
          <w:szCs w:val="15"/>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$0.3 million in stock-based compensation expense for the three and six months ended June 30, 2023, respectively. There was $0.1 million in stock-based compensation expense attributed to the 2020 ESPP for the three and six months ended June 30, 2022. During the three and six months ended June 30, 2023, 43,296 shares of common stock were issued under the 2020 ESPP with 844,888 shares remaining available for issuance under the 2020 ESPP. The Company used Black-Scholes option pricing model to estimate stock-based compensation expense for the 2020 ESPP with the following assumptions:</w:t>
      </w:r>
    </w:p>
    <w:p>
      <w:pPr>
        <w:spacing w:after="0" w:line="55"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Six Months Ended</w:t>
      </w:r>
    </w:p>
    <w:p>
      <w:pPr>
        <w:jc w:val="center"/>
        <w:ind w:left="7480"/>
        <w:spacing w:after="0"/>
        <w:rPr>
          <w:sz w:val="20"/>
          <w:szCs w:val="20"/>
          <w:color w:val="auto"/>
        </w:rPr>
      </w:pPr>
      <w:r>
        <w:rPr>
          <w:rFonts w:ascii="Arial" w:cs="Arial" w:eastAsia="Arial" w:hAnsi="Arial"/>
          <w:sz w:val="14"/>
          <w:szCs w:val="14"/>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16"/>
        </w:trPr>
        <w:tc>
          <w:tcPr>
            <w:tcW w:w="75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10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5.20 %</w:t>
            </w:r>
          </w:p>
        </w:tc>
        <w:tc>
          <w:tcPr>
            <w:tcW w:w="100" w:type="dxa"/>
            <w:vAlign w:val="bottom"/>
            <w:tcBorders>
              <w:top w:val="single" w:sz="8" w:color="CFF0FC"/>
            </w:tcBorders>
            <w:shd w:val="clear" w:color="auto" w:fill="CFF0FC"/>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0.60 %</w:t>
            </w: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7"/>
                <w:szCs w:val="17"/>
                <w:color w:val="auto"/>
              </w:rPr>
              <w:t>Expected term of options (in years)</w:t>
            </w:r>
          </w:p>
        </w:tc>
        <w:tc>
          <w:tcPr>
            <w:tcW w:w="680" w:type="dxa"/>
            <w:vAlign w:val="bottom"/>
          </w:tcPr>
          <w:p>
            <w:pPr>
              <w:jc w:val="right"/>
              <w:spacing w:after="0"/>
              <w:rPr>
                <w:sz w:val="20"/>
                <w:szCs w:val="20"/>
                <w:color w:val="auto"/>
              </w:rPr>
            </w:pPr>
            <w:r>
              <w:rPr>
                <w:rFonts w:ascii="Arial" w:cs="Arial" w:eastAsia="Arial" w:hAnsi="Arial"/>
                <w:sz w:val="17"/>
                <w:szCs w:val="17"/>
                <w:color w:val="auto"/>
              </w:rPr>
              <w:t>0.50</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0.50</w:t>
            </w: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stock price volatility</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69.15 %</w:t>
            </w:r>
          </w:p>
        </w:tc>
        <w:tc>
          <w:tcPr>
            <w:tcW w:w="100" w:type="dxa"/>
            <w:vAlign w:val="bottom"/>
            <w:shd w:val="clear" w:color="auto" w:fill="CFF0FC"/>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63.17 %</w:t>
            </w:r>
          </w:p>
        </w:tc>
      </w:tr>
      <w:tr>
        <w:trPr>
          <w:trHeight w:val="215"/>
        </w:trPr>
        <w:tc>
          <w:tcPr>
            <w:tcW w:w="8640" w:type="dxa"/>
            <w:vAlign w:val="bottom"/>
            <w:gridSpan w:val="2"/>
          </w:tcPr>
          <w:p>
            <w:pPr>
              <w:ind w:left="20"/>
              <w:spacing w:after="0"/>
              <w:rPr>
                <w:sz w:val="20"/>
                <w:szCs w:val="20"/>
                <w:color w:val="auto"/>
              </w:rPr>
            </w:pPr>
            <w:r>
              <w:rPr>
                <w:rFonts w:ascii="Arial" w:cs="Arial" w:eastAsia="Arial" w:hAnsi="Arial"/>
                <w:sz w:val="17"/>
                <w:szCs w:val="17"/>
                <w:color w:val="auto"/>
              </w:rPr>
              <w:t>Expected dividends</w:t>
            </w:r>
          </w:p>
        </w:tc>
        <w:tc>
          <w:tcPr>
            <w:tcW w:w="6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740" w:type="dxa"/>
            <w:vAlign w:val="bottom"/>
          </w:tcPr>
          <w:p>
            <w:pPr>
              <w:jc w:val="right"/>
              <w:ind w:right="115"/>
              <w:spacing w:after="0"/>
              <w:rPr>
                <w:sz w:val="20"/>
                <w:szCs w:val="20"/>
                <w:color w:val="auto"/>
              </w:rPr>
            </w:pPr>
            <w:r>
              <w:rPr>
                <w:rFonts w:ascii="Arial" w:cs="Arial" w:eastAsia="Arial" w:hAnsi="Arial"/>
                <w:sz w:val="17"/>
                <w:szCs w:val="17"/>
                <w:color w:val="auto"/>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0"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The following table presents the components and classification of stock-based compensation expense for the Company’s stock-based awards for the three and six months ended June 30, 2023 and 2022 (in thousands):</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3"/>
          </w:tcPr>
          <w:p>
            <w:pPr>
              <w:jc w:val="right"/>
              <w:ind w:right="264"/>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awards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7"/>
                <w:szCs w:val="17"/>
                <w:color w:val="auto"/>
              </w:rPr>
              <w:t>Stock options and ESPP</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5,229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6,898</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units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Performance-based restricted stock units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stock-based compensation expense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13,046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24,969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6,934</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7"/>
                <w:szCs w:val="17"/>
                <w:color w:val="auto"/>
              </w:rPr>
              <w:t>Research and development expenses</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860" w:type="dxa"/>
            <w:vAlign w:val="bottom"/>
          </w:tcPr>
          <w:p>
            <w:pPr>
              <w:jc w:val="right"/>
              <w:ind w:right="679"/>
              <w:spacing w:after="0" w:line="194"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5,294</w:t>
            </w:r>
          </w:p>
        </w:tc>
        <w:tc>
          <w:tcPr>
            <w:tcW w:w="1020" w:type="dxa"/>
            <w:vAlign w:val="bottom"/>
            <w:gridSpan w:val="2"/>
          </w:tcPr>
          <w:p>
            <w:pPr>
              <w:jc w:val="right"/>
              <w:ind w:right="724"/>
              <w:spacing w:after="0" w:line="194"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1,761</w:t>
            </w:r>
          </w:p>
        </w:tc>
        <w:tc>
          <w:tcPr>
            <w:tcW w:w="440" w:type="dxa"/>
            <w:vAlign w:val="bottom"/>
            <w:gridSpan w:val="2"/>
          </w:tcPr>
          <w:p>
            <w:pPr>
              <w:jc w:val="right"/>
              <w:ind w:right="155"/>
              <w:spacing w:after="0" w:line="194"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10,142</w:t>
            </w:r>
          </w:p>
        </w:tc>
        <w:tc>
          <w:tcPr>
            <w:tcW w:w="640" w:type="dxa"/>
            <w:vAlign w:val="bottom"/>
            <w:gridSpan w:val="2"/>
          </w:tcPr>
          <w:p>
            <w:pPr>
              <w:jc w:val="right"/>
              <w:ind w:right="355"/>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3,675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7,752</w:t>
            </w:r>
          </w:p>
        </w:tc>
        <w:tc>
          <w:tcPr>
            <w:tcW w:w="1020" w:type="dxa"/>
            <w:vAlign w:val="bottom"/>
            <w:gridSpan w:val="2"/>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4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14,827</w:t>
            </w:r>
          </w:p>
        </w:tc>
        <w:tc>
          <w:tcPr>
            <w:tcW w:w="640" w:type="dxa"/>
            <w:vAlign w:val="bottom"/>
            <w:gridSpan w:val="2"/>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14" w:lineRule="exact"/>
        <w:rPr>
          <w:sz w:val="20"/>
          <w:szCs w:val="20"/>
          <w:color w:val="auto"/>
        </w:rPr>
      </w:pPr>
    </w:p>
    <w:p>
      <w:pPr>
        <w:jc w:val="both"/>
        <w:ind w:right="200" w:firstLine="382"/>
        <w:spacing w:after="0" w:line="312" w:lineRule="auto"/>
        <w:rPr>
          <w:sz w:val="20"/>
          <w:szCs w:val="20"/>
          <w:color w:val="auto"/>
        </w:rPr>
      </w:pPr>
      <w:r>
        <w:rPr>
          <w:rFonts w:ascii="Arial" w:cs="Arial" w:eastAsia="Arial" w:hAnsi="Arial"/>
          <w:sz w:val="15"/>
          <w:szCs w:val="15"/>
          <w:color w:val="auto"/>
        </w:rPr>
        <w:t>For the three and six months ended June 30, 2023 and 2022,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110"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Defined Contribution Plan</w:t>
      </w:r>
    </w:p>
    <w:p>
      <w:pPr>
        <w:spacing w:after="0" w:line="114" w:lineRule="exact"/>
        <w:rPr>
          <w:sz w:val="20"/>
          <w:szCs w:val="20"/>
          <w:color w:val="auto"/>
        </w:rPr>
      </w:pPr>
    </w:p>
    <w:p>
      <w:pPr>
        <w:ind w:right="60" w:firstLine="382"/>
        <w:spacing w:after="0" w:line="257" w:lineRule="auto"/>
        <w:rPr>
          <w:sz w:val="20"/>
          <w:szCs w:val="20"/>
          <w:color w:val="auto"/>
        </w:rPr>
      </w:pPr>
      <w:r>
        <w:rPr>
          <w:rFonts w:ascii="Arial" w:cs="Arial" w:eastAsia="Arial" w:hAnsi="Arial"/>
          <w:sz w:val="17"/>
          <w:szCs w:val="17"/>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$0.3 million and $0.2 million for the three months ended June 30, 2023 and 2022, respectively. The Company made contributions of $0.6 million and $0.4 million for the six months ended June 30, 2023 and 2022,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Loss Per Share Attributable to Common Stockholders</w:t>
      </w:r>
    </w:p>
    <w:p>
      <w:pPr>
        <w:spacing w:after="0" w:line="114" w:lineRule="exact"/>
        <w:rPr>
          <w:sz w:val="20"/>
          <w:szCs w:val="20"/>
          <w:color w:val="auto"/>
        </w:rPr>
      </w:pPr>
    </w:p>
    <w:p>
      <w:pPr>
        <w:ind w:right="220" w:firstLine="382"/>
        <w:spacing w:after="0" w:line="273"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3400" w:type="dxa"/>
            <w:vAlign w:val="bottom"/>
            <w:gridSpan w:val="3"/>
          </w:tcPr>
          <w:p>
            <w:pPr>
              <w:jc w:val="right"/>
              <w:ind w:right="841"/>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76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69"/>
        </w:trPr>
        <w:tc>
          <w:tcPr>
            <w:tcW w:w="7680" w:type="dxa"/>
            <w:vAlign w:val="bottom"/>
          </w:tcPr>
          <w:p>
            <w:pPr>
              <w:spacing w:after="0"/>
              <w:rPr>
                <w:sz w:val="14"/>
                <w:szCs w:val="14"/>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6,633,160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5,420,264</w:t>
            </w: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640" w:type="dxa"/>
            <w:vAlign w:val="bottom"/>
          </w:tcPr>
          <w:p>
            <w:pPr>
              <w:jc w:val="right"/>
              <w:spacing w:after="0"/>
              <w:rPr>
                <w:sz w:val="20"/>
                <w:szCs w:val="20"/>
                <w:color w:val="auto"/>
              </w:rPr>
            </w:pPr>
            <w:r>
              <w:rPr>
                <w:rFonts w:ascii="Arial" w:cs="Arial" w:eastAsia="Arial" w:hAnsi="Arial"/>
                <w:sz w:val="17"/>
                <w:szCs w:val="17"/>
                <w:color w:val="auto"/>
              </w:rPr>
              <w:t>1,160,986</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Performance-based restricted stock units*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680" w:type="dxa"/>
            <w:vAlign w:val="bottom"/>
          </w:tcPr>
          <w:p>
            <w:pPr>
              <w:ind w:left="200"/>
              <w:spacing w:after="0"/>
              <w:rPr>
                <w:sz w:val="20"/>
                <w:szCs w:val="20"/>
                <w:color w:val="auto"/>
              </w:rPr>
            </w:pPr>
            <w:r>
              <w:rPr>
                <w:rFonts w:ascii="Arial" w:cs="Arial" w:eastAsia="Arial" w:hAnsi="Arial"/>
                <w:sz w:val="17"/>
                <w:szCs w:val="17"/>
                <w:color w:val="auto"/>
              </w:rPr>
              <w:t>Total</w:t>
            </w:r>
          </w:p>
        </w:tc>
        <w:tc>
          <w:tcPr>
            <w:tcW w:w="1640" w:type="dxa"/>
            <w:vAlign w:val="bottom"/>
          </w:tcPr>
          <w:p>
            <w:pPr>
              <w:jc w:val="right"/>
              <w:spacing w:after="0"/>
              <w:rPr>
                <w:sz w:val="20"/>
                <w:szCs w:val="20"/>
                <w:color w:val="auto"/>
              </w:rPr>
            </w:pPr>
            <w:r>
              <w:rPr>
                <w:rFonts w:ascii="Arial" w:cs="Arial" w:eastAsia="Arial" w:hAnsi="Arial"/>
                <w:sz w:val="17"/>
                <w:szCs w:val="17"/>
                <w:color w:val="auto"/>
              </w:rPr>
              <w:t>7,794,146</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5,420,264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8890</wp:posOffset>
            </wp:positionV>
            <wp:extent cx="21647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3" w:lineRule="exact"/>
        <w:rPr>
          <w:sz w:val="20"/>
          <w:szCs w:val="20"/>
          <w:color w:val="auto"/>
        </w:rPr>
      </w:pPr>
    </w:p>
    <w:p>
      <w:pPr>
        <w:ind w:left="20" w:right="3840"/>
        <w:spacing w:after="0" w:line="281" w:lineRule="auto"/>
        <w:rPr>
          <w:sz w:val="20"/>
          <w:szCs w:val="20"/>
          <w:color w:val="auto"/>
        </w:rPr>
      </w:pPr>
      <w:r>
        <w:rPr>
          <w:rFonts w:ascii="Arial" w:cs="Arial" w:eastAsia="Arial" w:hAnsi="Arial"/>
          <w:sz w:val="12"/>
          <w:szCs w:val="12"/>
          <w:color w:val="auto"/>
        </w:rPr>
        <w:t>*No unvested performance-based restricted stock units are included above as none of the contingently issuable shares would be issued assuming the end of our reporting period was the end of the relevant PSU award contingency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7035165" cy="201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5165" cy="201930"/>
                    </a:xfrm>
                    <a:prstGeom prst="rect">
                      <a:avLst/>
                    </a:prstGeom>
                    <a:noFill/>
                  </pic:spPr>
                </pic:pic>
              </a:graphicData>
            </a:graphic>
          </wp:anchor>
        </w:drawing>
      </w:r>
    </w:p>
    <w:p>
      <w:pPr>
        <w:spacing w:after="0" w:line="159"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A reconciliation of the numerator and denominator used in the calculation of the basic and diluted net loss per share attributable to common stockholders is as follows (in thousands, except share and per share amounts):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Net loss per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(57,646)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 - basic and diluted</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(41,192)</w:t>
            </w:r>
          </w:p>
        </w:tc>
        <w:tc>
          <w:tcPr>
            <w:tcW w:w="44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(29,546)</w:t>
            </w:r>
          </w:p>
        </w:tc>
        <w:tc>
          <w:tcPr>
            <w:tcW w:w="4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(78,740)</w:t>
            </w:r>
          </w:p>
        </w:tc>
        <w:tc>
          <w:tcPr>
            <w:tcW w:w="4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(57,646)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Denominator</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20"/>
              <w:spacing w:after="0" w:line="178" w:lineRule="exact"/>
              <w:rPr>
                <w:sz w:val="20"/>
                <w:szCs w:val="20"/>
                <w:color w:val="auto"/>
              </w:rPr>
            </w:pPr>
            <w:r>
              <w:rPr>
                <w:rFonts w:ascii="Arial" w:cs="Arial" w:eastAsia="Arial" w:hAnsi="Arial"/>
                <w:sz w:val="17"/>
                <w:szCs w:val="17"/>
                <w:color w:val="auto"/>
                <w:w w:val="90"/>
              </w:rPr>
              <w:t>Weighted-average common shares outstanding used to calculate net loss</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59,172,869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36,173,135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7"/>
                <w:szCs w:val="17"/>
                <w:color w:val="auto"/>
              </w:rPr>
              <w:t>57,623,842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36,144,944</w:t>
            </w:r>
          </w:p>
        </w:tc>
        <w:tc>
          <w:tcPr>
            <w:tcW w:w="0" w:type="dxa"/>
            <w:vAlign w:val="bottom"/>
          </w:tcPr>
          <w:p>
            <w:pPr>
              <w:spacing w:after="0"/>
              <w:rPr>
                <w:sz w:val="1"/>
                <w:szCs w:val="1"/>
                <w:color w:val="auto"/>
              </w:rPr>
            </w:pPr>
          </w:p>
        </w:tc>
      </w:tr>
      <w:tr>
        <w:trPr>
          <w:trHeight w:val="191"/>
        </w:trPr>
        <w:tc>
          <w:tcPr>
            <w:tcW w:w="5040" w:type="dxa"/>
            <w:vAlign w:val="bottom"/>
          </w:tcPr>
          <w:p>
            <w:pPr>
              <w:ind w:left="180"/>
              <w:spacing w:after="0" w:line="190" w:lineRule="exact"/>
              <w:rPr>
                <w:sz w:val="20"/>
                <w:szCs w:val="20"/>
                <w:color w:val="auto"/>
              </w:rPr>
            </w:pPr>
            <w:r>
              <w:rPr>
                <w:rFonts w:ascii="Arial" w:cs="Arial" w:eastAsia="Arial" w:hAnsi="Arial"/>
                <w:sz w:val="17"/>
                <w:szCs w:val="17"/>
                <w:color w:val="auto"/>
                <w:w w:val="98"/>
              </w:rPr>
              <w:t>per share attributable to common stockholders - basic and diluted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040" w:type="dxa"/>
            <w:vAlign w:val="bottom"/>
            <w:shd w:val="clear" w:color="auto" w:fill="CCEEFF"/>
          </w:tcPr>
          <w:p>
            <w:pPr>
              <w:ind w:left="20"/>
              <w:spacing w:after="0" w:line="131" w:lineRule="exact"/>
              <w:rPr>
                <w:sz w:val="20"/>
                <w:szCs w:val="20"/>
                <w:color w:val="auto"/>
              </w:rPr>
            </w:pPr>
            <w:r>
              <w:rPr>
                <w:rFonts w:ascii="Arial" w:cs="Arial" w:eastAsia="Arial" w:hAnsi="Arial"/>
                <w:sz w:val="15"/>
                <w:szCs w:val="15"/>
                <w:color w:val="auto"/>
              </w:rPr>
              <w:t>Net loss per share attributable to common stockholders - basic and</w:t>
            </w:r>
          </w:p>
        </w:tc>
        <w:tc>
          <w:tcPr>
            <w:tcW w:w="34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44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440" w:type="dxa"/>
            <w:vAlign w:val="bottom"/>
            <w:gridSpan w:val="2"/>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40" w:type="dxa"/>
            <w:vAlign w:val="bottom"/>
            <w:gridSpan w:val="2"/>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ind w:right="80" w:firstLine="382"/>
        <w:spacing w:after="0" w:line="253"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2022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2022 10-K. In some cases, you can identify forward-looking statements by terminology such as “anticipate,” “believe,” “continue,” “could,” “estimate,” “expect,” “intend,” “may,” “plan,” “potentially,” “predict,” “should,” “will” or the negative of these terms or other similar expressions.</w:t>
      </w:r>
    </w:p>
    <w:p>
      <w:pPr>
        <w:spacing w:after="0" w:line="81" w:lineRule="exact"/>
        <w:rPr>
          <w:sz w:val="20"/>
          <w:szCs w:val="20"/>
          <w:color w:val="auto"/>
        </w:rPr>
      </w:pPr>
    </w:p>
    <w:p>
      <w:pPr>
        <w:ind w:right="20" w:firstLine="382"/>
        <w:spacing w:after="0" w:line="279" w:lineRule="auto"/>
        <w:rPr>
          <w:sz w:val="20"/>
          <w:szCs w:val="20"/>
          <w:color w:val="auto"/>
        </w:rPr>
      </w:pPr>
      <w:r>
        <w:rPr>
          <w:rFonts w:ascii="Arial" w:cs="Arial" w:eastAsia="Arial" w:hAnsi="Arial"/>
          <w:sz w:val="16"/>
          <w:szCs w:val="16"/>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right="40" w:firstLine="382"/>
        <w:spacing w:after="0" w:line="291" w:lineRule="auto"/>
        <w:rPr>
          <w:sz w:val="20"/>
          <w:szCs w:val="20"/>
          <w:color w:val="auto"/>
        </w:rPr>
      </w:pPr>
      <w:r>
        <w:rPr>
          <w:rFonts w:ascii="Arial" w:cs="Arial" w:eastAsia="Arial" w:hAnsi="Arial"/>
          <w:sz w:val="15"/>
          <w:szCs w:val="15"/>
          <w:color w:val="auto"/>
        </w:rPr>
        <w:t>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announced positive data from our Phase 2a INTEGRIS-IPF trial in January 2023 and May 2023 and have recently initiated BEACON-IPF, a Phase 2b trial of bexotegrast in patients with IPF. BEACON-IPF is a 52-week, multinational, randomized, dose-ranging, double-blind, placebo-controlled trial evaluating bexotegrast at once-daily doses of 160 mg or 320 mg in approximately 270 patients with IPF. We are currently conducting a Phase 2a trial in primary sclerosing cholangitis, or PSC.</w:t>
      </w:r>
    </w:p>
    <w:p>
      <w:pPr>
        <w:spacing w:after="0" w:line="57" w:lineRule="exact"/>
        <w:rPr>
          <w:sz w:val="20"/>
          <w:szCs w:val="20"/>
          <w:color w:val="auto"/>
        </w:rPr>
      </w:pPr>
    </w:p>
    <w:p>
      <w:pPr>
        <w:ind w:right="100" w:firstLine="382"/>
        <w:spacing w:after="0" w:line="279" w:lineRule="auto"/>
        <w:rPr>
          <w:sz w:val="20"/>
          <w:szCs w:val="20"/>
          <w:color w:val="auto"/>
        </w:rPr>
      </w:pPr>
      <w:r>
        <w:rPr>
          <w:rFonts w:ascii="Arial" w:cs="Arial" w:eastAsia="Arial" w:hAnsi="Arial"/>
          <w:sz w:val="16"/>
          <w:szCs w:val="16"/>
          <w:color w:val="auto"/>
        </w:rPr>
        <w:t>We have also developed a second product candidate, PLN-1474, a Phase 2-ready, oral, small molecule selective inhibitor of the αvß1 integrin for the treatment of advanced liver fibrosis associated with nonalcoholic steatohepatitis, or NASH. PLN-1474 was licensed to Novartis in 2019, and, as part of a broad strategic realignment, Novartis determined in early 2023 to discontinue clinical development in NASH and, as a result, discontinue development of PLN-1474. In February 2023, Novartis exercised its right to terminate the Novartis Agreement, and in April 2023, returned global rights to PLN-1474 to Pliant.</w:t>
      </w:r>
    </w:p>
    <w:p>
      <w:pPr>
        <w:spacing w:after="0" w:line="60" w:lineRule="exact"/>
        <w:rPr>
          <w:sz w:val="20"/>
          <w:szCs w:val="20"/>
          <w:color w:val="auto"/>
        </w:rPr>
      </w:pPr>
    </w:p>
    <w:p>
      <w:pPr>
        <w:ind w:firstLine="382"/>
        <w:spacing w:after="0" w:line="261" w:lineRule="auto"/>
        <w:rPr>
          <w:sz w:val="20"/>
          <w:szCs w:val="20"/>
          <w:color w:val="auto"/>
        </w:rPr>
      </w:pPr>
      <w:r>
        <w:rPr>
          <w:rFonts w:ascii="Arial" w:cs="Arial" w:eastAsia="Arial" w:hAnsi="Arial"/>
          <w:sz w:val="17"/>
          <w:szCs w:val="17"/>
          <w:color w:val="auto"/>
        </w:rPr>
        <w:t>In December 2022, we filed an investigational new drug (IND) application for our third clinical program, PLN-101095, a dual inhibitor of αvß8 and αvß1 integrins for the treatment of solid tumors resistant to immune checkpoint inhibitors. In January 2023, we received FDA clearance for our IND and initiated a Phase 1 trial of PLN-101095 in the second quarter of 2023.</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to our clinical programs, we are currently advancing a preclinical integrin-based program targeting muscular dystrophies.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and Recent Highlights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Bexotegrast Highlights</w:t>
      </w:r>
    </w:p>
    <w:p>
      <w:pPr>
        <w:spacing w:after="0" w:line="148" w:lineRule="exact"/>
        <w:rPr>
          <w:sz w:val="20"/>
          <w:szCs w:val="20"/>
          <w:color w:val="auto"/>
        </w:rPr>
      </w:pPr>
    </w:p>
    <w:p>
      <w:pPr>
        <w:ind w:left="620" w:right="180" w:hanging="313"/>
        <w:spacing w:after="0" w:line="242" w:lineRule="auto"/>
        <w:tabs>
          <w:tab w:leader="none" w:pos="620" w:val="left"/>
        </w:tabs>
        <w:numPr>
          <w:ilvl w:val="0"/>
          <w:numId w:val="11"/>
        </w:numPr>
        <w:rPr>
          <w:rFonts w:ascii="Arial" w:cs="Arial" w:eastAsia="Arial" w:hAnsi="Arial"/>
          <w:sz w:val="20"/>
          <w:szCs w:val="20"/>
          <w:color w:val="auto"/>
        </w:rPr>
      </w:pPr>
      <w:r>
        <w:rPr>
          <w:rFonts w:ascii="Arial" w:cs="Arial" w:eastAsia="Arial" w:hAnsi="Arial"/>
          <w:sz w:val="17"/>
          <w:szCs w:val="17"/>
          <w:b w:val="1"/>
          <w:bCs w:val="1"/>
          <w:color w:val="auto"/>
        </w:rPr>
        <w:t xml:space="preserve">BEACON-IPF, a Phase 2b trial of bexotegrast in patients with IPF, has been initiated. </w:t>
      </w:r>
      <w:r>
        <w:rPr>
          <w:rFonts w:ascii="Arial" w:cs="Arial" w:eastAsia="Arial" w:hAnsi="Arial"/>
          <w:sz w:val="17"/>
          <w:szCs w:val="17"/>
          <w:color w:val="auto"/>
        </w:rPr>
        <w:t>BEACON-IPF is a 52-week, multinational, randomized, dose-ranging, double-blind, placebo-controlled trial evaluating bexotegrast at once-daily doses of 160 mg or 320 mg. BEACON-IPF is expected to enroll approximately 270 patients with IPF.</w:t>
      </w:r>
    </w:p>
    <w:p>
      <w:pPr>
        <w:spacing w:after="0" w:line="86" w:lineRule="exact"/>
        <w:rPr>
          <w:rFonts w:ascii="Arial" w:cs="Arial" w:eastAsia="Arial" w:hAnsi="Arial"/>
          <w:sz w:val="20"/>
          <w:szCs w:val="20"/>
          <w:color w:val="auto"/>
        </w:rPr>
      </w:pPr>
    </w:p>
    <w:p>
      <w:pPr>
        <w:ind w:left="620" w:right="220" w:hanging="313"/>
        <w:spacing w:after="0" w:line="280"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INTEGRIS-IPF Phase 2a 24-week 320 mg clinical data showed bexotegrast was well tolerated and demonstrated durable improvements in exploratory efficacy endpoints. </w:t>
      </w:r>
      <w:r>
        <w:rPr>
          <w:rFonts w:ascii="Arial" w:cs="Arial" w:eastAsia="Arial" w:hAnsi="Arial"/>
          <w:sz w:val="16"/>
          <w:szCs w:val="16"/>
          <w:color w:val="auto"/>
        </w:rPr>
        <w:t>Phase 2a 24-week data from the 320 mg dose cohort showed bexotegrast was well tolerated up to 40 weeks, displayed a</w:t>
      </w:r>
      <w:r>
        <w:rPr>
          <w:rFonts w:ascii="Arial" w:cs="Arial" w:eastAsia="Arial" w:hAnsi="Arial"/>
          <w:sz w:val="16"/>
          <w:szCs w:val="16"/>
          <w:b w:val="1"/>
          <w:bCs w:val="1"/>
          <w:color w:val="auto"/>
        </w:rPr>
        <w:t xml:space="preserve"> </w:t>
      </w:r>
      <w:r>
        <w:rPr>
          <w:rFonts w:ascii="Arial" w:cs="Arial" w:eastAsia="Arial" w:hAnsi="Arial"/>
          <w:sz w:val="16"/>
          <w:szCs w:val="16"/>
          <w:color w:val="auto"/>
        </w:rPr>
        <w:t>favorable pharmacokinetic profile and showed durable improvements in forced vital capacity (FVC), Quantitative Lung Fibrosis (QLF) imaging, patient reported cough severity and fibrosis biomarkers in patients with idiopathic pulmonary fibrosis (IPF).</w:t>
      </w:r>
    </w:p>
    <w:p>
      <w:pPr>
        <w:spacing w:after="0" w:line="57" w:lineRule="exact"/>
        <w:rPr>
          <w:rFonts w:ascii="Arial" w:cs="Arial" w:eastAsia="Arial" w:hAnsi="Arial"/>
          <w:sz w:val="16"/>
          <w:szCs w:val="16"/>
          <w:color w:val="auto"/>
        </w:rPr>
      </w:pPr>
    </w:p>
    <w:p>
      <w:pPr>
        <w:ind w:left="620" w:right="180" w:hanging="313"/>
        <w:spacing w:after="0" w:line="315" w:lineRule="auto"/>
        <w:tabs>
          <w:tab w:leader="none" w:pos="62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INTEGRIS-PSC Phase 2a 12-week interim data expected in the third quarter of 2023. </w:t>
      </w:r>
      <w:r>
        <w:rPr>
          <w:rFonts w:ascii="Arial" w:cs="Arial" w:eastAsia="Arial" w:hAnsi="Arial"/>
          <w:sz w:val="15"/>
          <w:szCs w:val="15"/>
          <w:color w:val="auto"/>
        </w:rPr>
        <w:t>INTEGRIS-PSC is a randomized, dose-ranging, double-blind,</w:t>
      </w:r>
      <w:r>
        <w:rPr>
          <w:rFonts w:ascii="Arial" w:cs="Arial" w:eastAsia="Arial" w:hAnsi="Arial"/>
          <w:sz w:val="15"/>
          <w:szCs w:val="15"/>
          <w:b w:val="1"/>
          <w:bCs w:val="1"/>
          <w:color w:val="auto"/>
        </w:rPr>
        <w:t xml:space="preserve"> </w:t>
      </w:r>
      <w:r>
        <w:rPr>
          <w:rFonts w:ascii="Arial" w:cs="Arial" w:eastAsia="Arial" w:hAnsi="Arial"/>
          <w:sz w:val="15"/>
          <w:szCs w:val="15"/>
          <w:color w:val="auto"/>
        </w:rPr>
        <w:t>placebo-controlled trial evaluating the safety, tolerability and pharmacokinetics of bexotegrast in patients with primary sclerosing cholangitis (PSC). Exploratory efficacy endpoints include fibrosis biomarkers such as PRO-C3 and enhanced liver fibrosis (ELF) score, changes in alkaline phosphatase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5"/>
          <w:szCs w:val="15"/>
          <w:color w:val="auto"/>
        </w:rPr>
        <w:t>(ALP), and liver imaging. Interim 12-week data from approximately 84 patients in the 40, 80 and 160 mg cohorts is expected in the third quarter of 2023.</w:t>
      </w:r>
    </w:p>
    <w:p>
      <w:pPr>
        <w:spacing w:after="0" w:line="167" w:lineRule="exact"/>
        <w:rPr>
          <w:sz w:val="20"/>
          <w:szCs w:val="20"/>
          <w:color w:val="auto"/>
        </w:rPr>
      </w:pPr>
    </w:p>
    <w:p>
      <w:pPr>
        <w:ind w:left="620" w:right="20" w:hanging="313"/>
        <w:spacing w:after="0" w:line="245"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17"/>
          <w:szCs w:val="17"/>
          <w:b w:val="1"/>
          <w:bCs w:val="1"/>
          <w:color w:val="auto"/>
        </w:rPr>
        <w:t xml:space="preserve">INTEGRIS-PSC 320 mg dose cohort enrollment complete with interim 12-week data expected in the first quarter of 2024. </w:t>
      </w:r>
      <w:r>
        <w:rPr>
          <w:rFonts w:ascii="Arial" w:cs="Arial" w:eastAsia="Arial" w:hAnsi="Arial"/>
          <w:sz w:val="17"/>
          <w:szCs w:val="17"/>
          <w:color w:val="auto"/>
        </w:rPr>
        <w:t>This trial is evaluating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safety, tolerability and pharmacokinetics of bexotegrast at 320 mg versus placebo at 12 and 24 weeks of treatment in approximately 28 patients with PSC. The trial is also evaluating exploratory efficacy endpoints including fibrosis biomarkers such as serum PRO-C3 and ELF score, changes in ALP and liver imaging. The final 24-week data is expected in mid-2024.</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Pipeline Programs</w:t>
      </w:r>
    </w:p>
    <w:p>
      <w:pPr>
        <w:spacing w:after="0" w:line="148" w:lineRule="exact"/>
        <w:rPr>
          <w:sz w:val="20"/>
          <w:szCs w:val="20"/>
          <w:color w:val="auto"/>
        </w:rPr>
      </w:pPr>
    </w:p>
    <w:p>
      <w:pPr>
        <w:ind w:left="620" w:right="260" w:hanging="313"/>
        <w:spacing w:after="0" w:line="242"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17"/>
          <w:szCs w:val="17"/>
          <w:b w:val="1"/>
          <w:bCs w:val="1"/>
          <w:color w:val="auto"/>
        </w:rPr>
        <w:t xml:space="preserve">Phase 1 trial of PLN-101095 in solid tumors recruiting. </w:t>
      </w:r>
      <w:r>
        <w:rPr>
          <w:rFonts w:ascii="Arial" w:cs="Arial" w:eastAsia="Arial" w:hAnsi="Arial"/>
          <w:sz w:val="17"/>
          <w:szCs w:val="17"/>
          <w:color w:val="auto"/>
        </w:rPr>
        <w:t>A Phase 1 open label trial of PLN-101095, an oral, small-molecule, dual selective inhibitor of</w:t>
      </w:r>
      <w:r>
        <w:rPr>
          <w:rFonts w:ascii="Arial" w:cs="Arial" w:eastAsia="Arial" w:hAnsi="Arial"/>
          <w:sz w:val="17"/>
          <w:szCs w:val="17"/>
          <w:b w:val="1"/>
          <w:bCs w:val="1"/>
          <w:color w:val="auto"/>
        </w:rPr>
        <w:t xml:space="preserve"> </w:t>
      </w:r>
      <w:r>
        <w:rPr>
          <w:rFonts w:ascii="Arial" w:cs="Arial" w:eastAsia="Arial" w:hAnsi="Arial"/>
          <w:sz w:val="17"/>
          <w:szCs w:val="17"/>
          <w:color w:val="auto"/>
        </w:rPr>
        <w:t>αvβ8 and αvβ1 integrins designed to block TGF-β activation in the tumor microenvironment, was initiated in the second quarter. This trial is recruiting patients with solid tumors that are resistant to immune checkpoint inhibitors.</w:t>
      </w:r>
    </w:p>
    <w:p>
      <w:pPr>
        <w:spacing w:after="0" w:line="86" w:lineRule="exact"/>
        <w:rPr>
          <w:rFonts w:ascii="Arial" w:cs="Arial" w:eastAsia="Arial" w:hAnsi="Arial"/>
          <w:sz w:val="20"/>
          <w:szCs w:val="20"/>
          <w:color w:val="auto"/>
        </w:rPr>
      </w:pPr>
    </w:p>
    <w:p>
      <w:pPr>
        <w:ind w:left="620" w:right="420" w:hanging="313"/>
        <w:spacing w:after="0" w:line="348"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Muscular dystrophy program progressing through IND enabling activities. </w:t>
      </w:r>
      <w:r>
        <w:rPr>
          <w:rFonts w:ascii="Arial" w:cs="Arial" w:eastAsia="Arial" w:hAnsi="Arial"/>
          <w:sz w:val="15"/>
          <w:szCs w:val="15"/>
          <w:color w:val="auto"/>
        </w:rPr>
        <w:t>PLN-101325 is a monoclonal antibody designed to act as an allosteric</w:t>
      </w:r>
      <w:r>
        <w:rPr>
          <w:rFonts w:ascii="Arial" w:cs="Arial" w:eastAsia="Arial" w:hAnsi="Arial"/>
          <w:sz w:val="15"/>
          <w:szCs w:val="15"/>
          <w:b w:val="1"/>
          <w:bCs w:val="1"/>
          <w:color w:val="auto"/>
        </w:rPr>
        <w:t xml:space="preserve"> </w:t>
      </w:r>
      <w:r>
        <w:rPr>
          <w:rFonts w:ascii="Arial" w:cs="Arial" w:eastAsia="Arial" w:hAnsi="Arial"/>
          <w:sz w:val="15"/>
          <w:szCs w:val="15"/>
          <w:color w:val="auto"/>
        </w:rPr>
        <w:t>agonist of the α7β1 integrin. An IND submission for PLN-101325 for Duchenne muscular dystrophy (DMD) is expected in the first quarter of 2024.</w:t>
      </w:r>
    </w:p>
    <w:p>
      <w:pPr>
        <w:spacing w:after="0" w:line="13" w:lineRule="exact"/>
        <w:rPr>
          <w:sz w:val="20"/>
          <w:szCs w:val="20"/>
          <w:color w:val="auto"/>
        </w:rPr>
      </w:pPr>
    </w:p>
    <w:p>
      <w:pPr>
        <w:ind w:right="140" w:firstLine="382"/>
        <w:spacing w:after="0" w:line="257" w:lineRule="auto"/>
        <w:rPr>
          <w:sz w:val="20"/>
          <w:szCs w:val="20"/>
          <w:color w:val="auto"/>
        </w:rPr>
      </w:pPr>
      <w:r>
        <w:rPr>
          <w:rFonts w:ascii="Arial" w:cs="Arial" w:eastAsia="Arial" w:hAnsi="Arial"/>
          <w:sz w:val="17"/>
          <w:szCs w:val="17"/>
          <w:color w:val="auto"/>
        </w:rPr>
        <w:t>Since inception, we have had significant operating losses. Our net loss was $41.2 million and $78.7 million for the three and six months ended June 30, 2023. As of June 30, 2023, we had an accumulated deficit of $417.2 million and cash, cash equivalents and short-term investments of $555.2 million. We expect to continue to incur net losses for the foreseeable future, and we expect our research and development expenses, general and administrative expenses, and capital expenditures will increase in connection with our ongoing activities, as we:</w:t>
      </w:r>
    </w:p>
    <w:p>
      <w:pPr>
        <w:spacing w:after="0" w:line="79" w:lineRule="exact"/>
        <w:rPr>
          <w:sz w:val="20"/>
          <w:szCs w:val="20"/>
          <w:color w:val="auto"/>
        </w:rPr>
      </w:pPr>
    </w:p>
    <w:p>
      <w:pPr>
        <w:ind w:left="1220" w:hanging="53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 research and development activities to identify and develop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advance product candidates into and through clinical development;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the manufacture of supplies to support research and development, preclinical studies and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09" w:lineRule="exact"/>
        <w:rPr>
          <w:rFonts w:ascii="Arial" w:cs="Arial" w:eastAsia="Arial" w:hAnsi="Arial"/>
          <w:sz w:val="17"/>
          <w:szCs w:val="17"/>
          <w:color w:val="auto"/>
        </w:rPr>
      </w:pPr>
    </w:p>
    <w:p>
      <w:pPr>
        <w:ind w:left="1220" w:right="580" w:hanging="531"/>
        <w:spacing w:after="0" w:line="273" w:lineRule="auto"/>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to support our clinical development, manufacturing and commercialization efforts and our operations as a public company;</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Components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right="220" w:firstLine="382"/>
        <w:spacing w:after="0" w:line="273" w:lineRule="auto"/>
        <w:rPr>
          <w:sz w:val="20"/>
          <w:szCs w:val="20"/>
          <w:color w:val="auto"/>
        </w:rPr>
      </w:pPr>
      <w:r>
        <w:rPr>
          <w:rFonts w:ascii="Arial" w:cs="Arial" w:eastAsia="Arial" w:hAnsi="Arial"/>
          <w:sz w:val="17"/>
          <w:szCs w:val="17"/>
          <w:color w:val="auto"/>
        </w:rPr>
        <w:t>We have not generated any revenue from product sales and do not expect to do so in the near future. Our revenue to date is derived from a Collaboration and License Agreement with Novartis, or the "Novartis Agreement," that was executed in 2019.</w:t>
      </w:r>
    </w:p>
    <w:p>
      <w:pPr>
        <w:spacing w:after="0" w:line="64" w:lineRule="exact"/>
        <w:rPr>
          <w:sz w:val="20"/>
          <w:szCs w:val="20"/>
          <w:color w:val="auto"/>
        </w:rPr>
      </w:pPr>
    </w:p>
    <w:p>
      <w:pPr>
        <w:ind w:right="20" w:firstLine="382"/>
        <w:spacing w:after="0" w:line="257" w:lineRule="auto"/>
        <w:rPr>
          <w:sz w:val="20"/>
          <w:szCs w:val="20"/>
          <w:color w:val="auto"/>
        </w:rPr>
      </w:pPr>
      <w:r>
        <w:rPr>
          <w:rFonts w:ascii="Arial" w:cs="Arial" w:eastAsia="Arial" w:hAnsi="Arial"/>
          <w:sz w:val="17"/>
          <w:szCs w:val="17"/>
          <w:color w:val="auto"/>
        </w:rPr>
        <w:t>Under the terms of the Novartis Agreement, we received an upfront license fee payment of $50.0 million for the worldwide, exclusive license to PLN-1474 and an additional $29.0 million upon the achievement of specified research and development milestones. 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w:t>
      </w:r>
    </w:p>
    <w:p>
      <w:pPr>
        <w:spacing w:after="0" w:line="79" w:lineRule="exact"/>
        <w:rPr>
          <w:sz w:val="20"/>
          <w:szCs w:val="20"/>
          <w:color w:val="auto"/>
        </w:rPr>
      </w:pPr>
    </w:p>
    <w:p>
      <w:pPr>
        <w:ind w:right="40" w:firstLine="382"/>
        <w:spacing w:after="0" w:line="257" w:lineRule="auto"/>
        <w:rPr>
          <w:sz w:val="20"/>
          <w:szCs w:val="20"/>
          <w:color w:val="auto"/>
        </w:rPr>
      </w:pPr>
      <w:r>
        <w:rPr>
          <w:rFonts w:ascii="Arial" w:cs="Arial" w:eastAsia="Arial" w:hAnsi="Arial"/>
          <w:sz w:val="17"/>
          <w:szCs w:val="17"/>
          <w:color w:val="auto"/>
        </w:rPr>
        <w:t>Following termination of the Novartis Agreement, we are no longer eligible to receive additional milestone or royalty payments under the arrangement; however, we continued to earn research and development services revenues through the effective termination date of April 18, 2023. We recognized $0.2 million and $1.6 million in revenues for performing research and development activities associated with PLN-1474 and integrin research targets in the three and six months ended June 30, 2023,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10"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 Research and development expenses include: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20" w:name="page21"/>
    <w:bookmarkEnd w:id="20"/>
    <w:p>
      <w:pPr>
        <w:ind w:left="1220" w:hanging="531"/>
        <w:spacing w:after="0"/>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employee-related expenses, which include salaries, benefits and stock-based compensation for our research and development personnel;</w:t>
      </w:r>
    </w:p>
    <w:p>
      <w:pPr>
        <w:spacing w:after="0" w:line="121" w:lineRule="exact"/>
        <w:rPr>
          <w:rFonts w:ascii="Arial" w:cs="Arial" w:eastAsia="Arial" w:hAnsi="Arial"/>
          <w:sz w:val="16"/>
          <w:szCs w:val="16"/>
          <w:color w:val="auto"/>
        </w:rPr>
      </w:pPr>
    </w:p>
    <w:p>
      <w:pPr>
        <w:ind w:left="1220" w:right="320" w:hanging="531"/>
        <w:spacing w:after="0" w:line="273" w:lineRule="auto"/>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expenses incurred under agreements with third-party contract organizations for pre-clinical studies, clinical trials and consultants that conduct research and development activities on our behalf;</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associated with the manufacture of supplies to support research and development, preclinical studies and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depreciation of laboratory equipment and costs of equipment and supplies;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associated with technology and intellectual property licenses;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facilities and other allocated expenses, which include expenses for rent and other facility related costs and other supplies.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10" w:lineRule="exact"/>
        <w:rPr>
          <w:sz w:val="20"/>
          <w:szCs w:val="20"/>
          <w:color w:val="auto"/>
        </w:rPr>
      </w:pPr>
    </w:p>
    <w:p>
      <w:pPr>
        <w:ind w:right="260" w:firstLine="382"/>
        <w:spacing w:after="0" w:line="261" w:lineRule="auto"/>
        <w:rPr>
          <w:sz w:val="20"/>
          <w:szCs w:val="20"/>
          <w:color w:val="auto"/>
        </w:rPr>
      </w:pPr>
      <w:r>
        <w:rPr>
          <w:rFonts w:ascii="Arial" w:cs="Arial" w:eastAsia="Arial" w:hAnsi="Arial"/>
          <w:sz w:val="17"/>
          <w:szCs w:val="17"/>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360" w:firstLine="382"/>
        <w:spacing w:after="0" w:line="273" w:lineRule="auto"/>
        <w:rPr>
          <w:sz w:val="20"/>
          <w:szCs w:val="20"/>
          <w:color w:val="auto"/>
        </w:rPr>
      </w:pPr>
      <w:r>
        <w:rPr>
          <w:rFonts w:ascii="Arial" w:cs="Arial" w:eastAsia="Arial" w:hAnsi="Arial"/>
          <w:sz w:val="17"/>
          <w:szCs w:val="17"/>
          <w:color w:val="auto"/>
        </w:rPr>
        <w:t>Our interest and other income (expense), net consists of interest, accretion income and amortization expense on cash and cash equivalents, and short-term investments, and realized gains and losses on investments.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10" w:lineRule="exact"/>
        <w:rPr>
          <w:sz w:val="20"/>
          <w:szCs w:val="20"/>
          <w:color w:val="auto"/>
        </w:rPr>
      </w:pPr>
    </w:p>
    <w:p>
      <w:pPr>
        <w:ind w:right="140" w:firstLine="382"/>
        <w:spacing w:after="0" w:line="342" w:lineRule="auto"/>
        <w:rPr>
          <w:sz w:val="20"/>
          <w:szCs w:val="20"/>
          <w:color w:val="auto"/>
        </w:rPr>
      </w:pPr>
      <w:r>
        <w:rPr>
          <w:rFonts w:ascii="Arial" w:cs="Arial" w:eastAsia="Arial" w:hAnsi="Arial"/>
          <w:sz w:val="15"/>
          <w:szCs w:val="15"/>
          <w:color w:val="auto"/>
        </w:rPr>
        <w:t>Our interest expense is derived from a term loan under the Oxford Loan Agreement that we entered into in May 2022. Borrowings under the Oxford Loan Agreement bear interest at a rate per annum equal to 1-month term Secured Overnight Financing Rate (SOFR) plus 8.5%, subject to an agreed upon floor and cap.</w:t>
      </w:r>
    </w:p>
    <w:p>
      <w:pPr>
        <w:spacing w:after="0" w:line="242"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Financial Operations Overview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2023 and 2022 (in thousands)</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6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65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r>
      <w:tr>
        <w:trPr>
          <w:trHeight w:val="222"/>
        </w:trPr>
        <w:tc>
          <w:tcPr>
            <w:tcW w:w="6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6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(6,667)</w:t>
            </w:r>
          </w:p>
        </w:tc>
      </w:tr>
      <w:tr>
        <w:trPr>
          <w:trHeight w:val="216"/>
        </w:trPr>
        <w:tc>
          <w:tcPr>
            <w:tcW w:w="658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(6,278)</w:t>
            </w:r>
          </w:p>
        </w:tc>
      </w:tr>
      <w:tr>
        <w:trPr>
          <w:trHeight w:val="222"/>
        </w:trPr>
        <w:tc>
          <w:tcPr>
            <w:tcW w:w="6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(12,945)</w:t>
            </w:r>
          </w:p>
        </w:tc>
      </w:tr>
      <w:tr>
        <w:trPr>
          <w:trHeight w:val="209"/>
        </w:trPr>
        <w:tc>
          <w:tcPr>
            <w:tcW w:w="658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(47,328)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(17,686)</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6,186</w:t>
            </w:r>
          </w:p>
        </w:tc>
      </w:tr>
      <w:tr>
        <w:trPr>
          <w:trHeight w:val="22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35"/>
        </w:trPr>
        <w:tc>
          <w:tcPr>
            <w:tcW w:w="6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(41,192)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revenue of $4.7 million is attributable to decreased research and development services associated with termination of the Novartis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June 30, 2023 and 2022 (in thousands):</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54" w:right="419" w:bottom="1440" w:gutter="0" w:footer="0" w:header="0"/>
        </w:sectPr>
      </w:pPr>
    </w:p>
    <w:bookmarkStart w:id="21" w:name="page22"/>
    <w:bookmarkEnd w:id="21"/>
    <w:tbl>
      <w:tblPr>
        <w:tblLayout w:type="fixed"/>
        <w:tblInd w:w="10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Employee-related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12,291</w:t>
            </w:r>
          </w:p>
        </w:tc>
        <w:tc>
          <w:tcPr>
            <w:tcW w:w="100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w:t>
            </w:r>
          </w:p>
        </w:tc>
        <w:tc>
          <w:tcPr>
            <w:tcW w:w="0" w:type="dxa"/>
            <w:vAlign w:val="bottom"/>
          </w:tcPr>
          <w:p>
            <w:pPr>
              <w:spacing w:after="0"/>
              <w:rPr>
                <w:sz w:val="1"/>
                <w:szCs w:val="1"/>
                <w:color w:val="auto"/>
              </w:rPr>
            </w:pPr>
          </w:p>
        </w:tc>
      </w:tr>
      <w:tr>
        <w:trPr>
          <w:trHeight w:val="178"/>
        </w:trPr>
        <w:tc>
          <w:tcPr>
            <w:tcW w:w="6540" w:type="dxa"/>
            <w:vAlign w:val="bottom"/>
          </w:tcPr>
          <w:p>
            <w:pPr>
              <w:spacing w:after="0" w:line="178" w:lineRule="exact"/>
              <w:rPr>
                <w:sz w:val="20"/>
                <w:szCs w:val="20"/>
                <w:color w:val="auto"/>
              </w:rPr>
            </w:pPr>
            <w:r>
              <w:rPr>
                <w:rFonts w:ascii="Arial" w:cs="Arial" w:eastAsia="Arial" w:hAnsi="Arial"/>
                <w:sz w:val="17"/>
                <w:szCs w:val="17"/>
                <w:color w:val="auto"/>
                <w:w w:val="91"/>
              </w:rPr>
              <w:t>Outside and consulting services for preclinical studies and research and development activities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7"/>
                <w:szCs w:val="17"/>
                <w:color w:val="auto"/>
              </w:rPr>
              <w:t>by third-party contract organizations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3,445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(5,752)</w:t>
            </w:r>
          </w:p>
        </w:tc>
        <w:tc>
          <w:tcPr>
            <w:tcW w:w="0" w:type="dxa"/>
            <w:vAlign w:val="bottom"/>
          </w:tcPr>
          <w:p>
            <w:pPr>
              <w:spacing w:after="0"/>
              <w:rPr>
                <w:sz w:val="1"/>
                <w:szCs w:val="1"/>
                <w:color w:val="auto"/>
              </w:rPr>
            </w:pPr>
          </w:p>
        </w:tc>
      </w:tr>
      <w:tr>
        <w:trPr>
          <w:trHeight w:val="217"/>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Clinical trials expenses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12,993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5,958</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1,579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Facilities and other allocated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Technology and intellectual property licenses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5"/>
        </w:trPr>
        <w:tc>
          <w:tcPr>
            <w:tcW w:w="6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33,002</w:t>
            </w:r>
          </w:p>
        </w:tc>
        <w:tc>
          <w:tcPr>
            <w:tcW w:w="100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26,335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60" w:firstLine="382"/>
        <w:spacing w:after="0" w:line="312" w:lineRule="auto"/>
        <w:rPr>
          <w:sz w:val="20"/>
          <w:szCs w:val="20"/>
          <w:color w:val="auto"/>
        </w:rPr>
      </w:pPr>
      <w:r>
        <w:rPr>
          <w:rFonts w:ascii="Arial" w:cs="Arial" w:eastAsia="Arial" w:hAnsi="Arial"/>
          <w:sz w:val="15"/>
          <w:szCs w:val="15"/>
          <w:color w:val="auto"/>
        </w:rPr>
        <w:t>Research and development expenses for the three months ended June 30, 2023 increased $6.7 million, primarily due to employee-related expenses, driven by increased headcount, salaries and stock-based compensation expense, manufacturing expense for clinical drug supply, and facilities and other allocated charges. These costs were partially offset by a decrease in preclinical manufacturing costs associated with activities that were substantially complete in 2022.</w:t>
      </w:r>
    </w:p>
    <w:p>
      <w:pPr>
        <w:spacing w:after="0" w:line="40" w:lineRule="exact"/>
        <w:rPr>
          <w:sz w:val="20"/>
          <w:szCs w:val="20"/>
          <w:color w:val="auto"/>
        </w:rPr>
      </w:pPr>
    </w:p>
    <w:p>
      <w:pPr>
        <w:ind w:firstLine="382"/>
        <w:spacing w:after="0" w:line="302" w:lineRule="auto"/>
        <w:rPr>
          <w:sz w:val="20"/>
          <w:szCs w:val="20"/>
          <w:color w:val="auto"/>
        </w:rPr>
      </w:pPr>
      <w:r>
        <w:rPr>
          <w:rFonts w:ascii="Arial" w:cs="Arial" w:eastAsia="Arial" w:hAnsi="Arial"/>
          <w:sz w:val="15"/>
          <w:szCs w:val="15"/>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ind w:right="100" w:firstLine="382"/>
        <w:spacing w:after="0" w:line="273" w:lineRule="auto"/>
        <w:rPr>
          <w:sz w:val="20"/>
          <w:szCs w:val="20"/>
          <w:color w:val="auto"/>
        </w:rPr>
      </w:pPr>
      <w:r>
        <w:rPr>
          <w:rFonts w:ascii="Arial" w:cs="Arial" w:eastAsia="Arial" w:hAnsi="Arial"/>
          <w:sz w:val="17"/>
          <w:szCs w:val="17"/>
          <w:color w:val="auto"/>
        </w:rPr>
        <w:t>General and administrative expenses for the three months ended June 30, 2023 increased $6.3 million, primarily attributable to employee-related costs, driven by increased headcount, salaries and stock-based compensation expense.</w:t>
      </w:r>
    </w:p>
    <w:p>
      <w:pPr>
        <w:spacing w:after="0" w:line="64" w:lineRule="exact"/>
        <w:rPr>
          <w:sz w:val="20"/>
          <w:szCs w:val="20"/>
          <w:color w:val="auto"/>
        </w:rPr>
      </w:pPr>
    </w:p>
    <w:p>
      <w:pPr>
        <w:ind w:right="320" w:firstLine="382"/>
        <w:spacing w:after="0" w:line="273"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400" w:firstLine="382"/>
        <w:spacing w:after="0" w:line="273" w:lineRule="auto"/>
        <w:rPr>
          <w:sz w:val="20"/>
          <w:szCs w:val="20"/>
          <w:color w:val="auto"/>
        </w:rPr>
      </w:pPr>
      <w:r>
        <w:rPr>
          <w:rFonts w:ascii="Arial" w:cs="Arial" w:eastAsia="Arial" w:hAnsi="Arial"/>
          <w:sz w:val="17"/>
          <w:szCs w:val="17"/>
          <w:color w:val="auto"/>
        </w:rPr>
        <w:t>Interest and other income (expense), net increased $6.2 million,attributable to higher interest income due to increased yields and an increase in short-term investments due to recent financing activities.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Interest expense increased $0.1 million due to the interest incurred from our term loan under the Oxford Loan Agreement, issued in the second quarter of 2022.</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2023 and 2022 (in thousands)</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3"/>
        </w:trPr>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4"/>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w:t>
            </w:r>
          </w:p>
        </w:tc>
      </w:tr>
      <w:tr>
        <w:trPr>
          <w:trHeight w:val="222"/>
        </w:trPr>
        <w:tc>
          <w:tcPr>
            <w:tcW w:w="6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6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(15,059)</w:t>
            </w:r>
          </w:p>
        </w:tc>
      </w:tr>
      <w:tr>
        <w:trPr>
          <w:trHeight w:val="216"/>
        </w:trPr>
        <w:tc>
          <w:tcPr>
            <w:tcW w:w="658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(11,853)</w:t>
            </w:r>
          </w:p>
        </w:tc>
      </w:tr>
      <w:tr>
        <w:trPr>
          <w:trHeight w:val="222"/>
        </w:trPr>
        <w:tc>
          <w:tcPr>
            <w:tcW w:w="6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(26,912)</w:t>
            </w:r>
          </w:p>
        </w:tc>
      </w:tr>
      <w:tr>
        <w:trPr>
          <w:trHeight w:val="209"/>
        </w:trPr>
        <w:tc>
          <w:tcPr>
            <w:tcW w:w="6580" w:type="dxa"/>
            <w:vAlign w:val="bottom"/>
          </w:tcPr>
          <w:p>
            <w:pPr>
              <w:ind w:left="20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(89,423)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(57,853)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(31,570)</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10,933</w:t>
            </w:r>
          </w:p>
        </w:tc>
      </w:tr>
      <w:tr>
        <w:trPr>
          <w:trHeight w:val="22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r>
      <w:tr>
        <w:trPr>
          <w:trHeight w:val="235"/>
        </w:trPr>
        <w:tc>
          <w:tcPr>
            <w:tcW w:w="6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(78,740)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revenue decrease of $4.7 million is attributable to decreased research and development services associated with the termination of the Novartis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46" w:right="379" w:bottom="1440" w:gutter="0" w:footer="0" w:header="0"/>
        </w:sectPr>
      </w:pPr>
    </w:p>
    <w:bookmarkStart w:id="22" w:name="page23"/>
    <w:bookmarkEnd w:id="22"/>
    <w:p>
      <w:pPr>
        <w:ind w:left="380"/>
        <w:spacing w:after="0"/>
        <w:rPr>
          <w:sz w:val="20"/>
          <w:szCs w:val="20"/>
          <w:color w:val="auto"/>
        </w:rPr>
      </w:pPr>
      <w:r>
        <w:rPr>
          <w:rFonts w:ascii="Arial" w:cs="Arial" w:eastAsia="Arial" w:hAnsi="Arial"/>
          <w:sz w:val="17"/>
          <w:szCs w:val="17"/>
          <w:color w:val="auto"/>
        </w:rPr>
        <w:t>The following table summarizes our research and development expenses for the six months ended June 30, 2023 and 2022 (in thousands):</w:t>
      </w:r>
    </w:p>
    <w:p>
      <w:pPr>
        <w:spacing w:after="0" w:line="64"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24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1"/>
        </w:trPr>
        <w:tc>
          <w:tcPr>
            <w:tcW w:w="65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14"/>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Employee-related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23,275</w:t>
            </w:r>
          </w:p>
        </w:tc>
        <w:tc>
          <w:tcPr>
            <w:tcW w:w="100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12,467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10,808</w:t>
            </w:r>
          </w:p>
        </w:tc>
      </w:tr>
      <w:tr>
        <w:trPr>
          <w:trHeight w:val="178"/>
        </w:trPr>
        <w:tc>
          <w:tcPr>
            <w:tcW w:w="6540" w:type="dxa"/>
            <w:vAlign w:val="bottom"/>
          </w:tcPr>
          <w:p>
            <w:pPr>
              <w:spacing w:after="0" w:line="178" w:lineRule="exact"/>
              <w:rPr>
                <w:sz w:val="20"/>
                <w:szCs w:val="20"/>
                <w:color w:val="auto"/>
              </w:rPr>
            </w:pPr>
            <w:r>
              <w:rPr>
                <w:rFonts w:ascii="Arial" w:cs="Arial" w:eastAsia="Arial" w:hAnsi="Arial"/>
                <w:sz w:val="17"/>
                <w:szCs w:val="17"/>
                <w:color w:val="auto"/>
                <w:w w:val="91"/>
              </w:rPr>
              <w:t>Outside and consulting services for preclinical studies and research and development activities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7"/>
                <w:szCs w:val="17"/>
                <w:color w:val="auto"/>
              </w:rPr>
              <w:t>by third-party contract organizations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8,844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16,812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(7,968)</w:t>
            </w:r>
          </w:p>
        </w:tc>
      </w:tr>
      <w:tr>
        <w:trPr>
          <w:trHeight w:val="217"/>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Clinical trials expenses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22,066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11,311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10,755</w:t>
            </w:r>
          </w:p>
        </w:tc>
      </w:tr>
      <w:tr>
        <w:trPr>
          <w:trHeight w:val="222"/>
        </w:trPr>
        <w:tc>
          <w:tcPr>
            <w:tcW w:w="6540" w:type="dxa"/>
            <w:vAlign w:val="bottom"/>
          </w:tcPr>
          <w:p>
            <w:pPr>
              <w:spacing w:after="0"/>
              <w:rPr>
                <w:sz w:val="20"/>
                <w:szCs w:val="20"/>
                <w:color w:val="auto"/>
              </w:rPr>
            </w:pPr>
            <w:r>
              <w:rPr>
                <w:rFonts w:ascii="Arial" w:cs="Arial" w:eastAsia="Arial" w:hAnsi="Arial"/>
                <w:sz w:val="17"/>
                <w:szCs w:val="17"/>
                <w:color w:val="auto"/>
              </w:rPr>
              <w:t>Depreciation of lab equipment and costs of equipment and supplies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23"/>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Facilities and other allocated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Technology and intellectual property licenses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35"/>
        </w:trPr>
        <w:tc>
          <w:tcPr>
            <w:tcW w:w="6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62,275</w:t>
            </w:r>
          </w:p>
        </w:tc>
        <w:tc>
          <w:tcPr>
            <w:tcW w:w="1000" w:type="dxa"/>
            <w:vAlign w:val="bottom"/>
            <w:gridSpan w:val="2"/>
            <w:shd w:val="clear" w:color="auto" w:fill="CCEEFF"/>
          </w:tcPr>
          <w:p>
            <w:pPr>
              <w:jc w:val="right"/>
              <w:ind w:right="712"/>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47,216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60" w:firstLine="382"/>
        <w:spacing w:after="0" w:line="261" w:lineRule="auto"/>
        <w:rPr>
          <w:sz w:val="20"/>
          <w:szCs w:val="20"/>
          <w:color w:val="auto"/>
        </w:rPr>
      </w:pPr>
      <w:r>
        <w:rPr>
          <w:rFonts w:ascii="Arial" w:cs="Arial" w:eastAsia="Arial" w:hAnsi="Arial"/>
          <w:sz w:val="17"/>
          <w:szCs w:val="17"/>
          <w:color w:val="auto"/>
        </w:rPr>
        <w:t>Research and development expenses increased $15.1 million, primarily due to employee-related expenses, driven by increased headcount, salaries and stock-based compensation expense, manufacturing expense for clinical drug supply, and facilities and other allocated charges. These costs were partially offset by a decrease in preclinical manufacturing costs associated with activities that were substantially complete in 2022.</w:t>
      </w:r>
    </w:p>
    <w:p>
      <w:pPr>
        <w:spacing w:after="0" w:line="75" w:lineRule="exact"/>
        <w:rPr>
          <w:sz w:val="20"/>
          <w:szCs w:val="20"/>
          <w:color w:val="auto"/>
        </w:rPr>
      </w:pPr>
    </w:p>
    <w:p>
      <w:pPr>
        <w:ind w:firstLine="382"/>
        <w:spacing w:after="0" w:line="302" w:lineRule="auto"/>
        <w:rPr>
          <w:sz w:val="20"/>
          <w:szCs w:val="20"/>
          <w:color w:val="auto"/>
        </w:rPr>
      </w:pPr>
      <w:r>
        <w:rPr>
          <w:rFonts w:ascii="Arial" w:cs="Arial" w:eastAsia="Arial" w:hAnsi="Arial"/>
          <w:sz w:val="15"/>
          <w:szCs w:val="15"/>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0" w:lineRule="exact"/>
        <w:rPr>
          <w:sz w:val="20"/>
          <w:szCs w:val="20"/>
          <w:color w:val="auto"/>
        </w:rPr>
      </w:pPr>
    </w:p>
    <w:p>
      <w:pPr>
        <w:ind w:right="360" w:firstLine="382"/>
        <w:spacing w:after="0" w:line="285" w:lineRule="auto"/>
        <w:rPr>
          <w:sz w:val="20"/>
          <w:szCs w:val="20"/>
          <w:color w:val="auto"/>
        </w:rPr>
      </w:pPr>
      <w:r>
        <w:rPr>
          <w:rFonts w:ascii="Arial" w:cs="Arial" w:eastAsia="Arial" w:hAnsi="Arial"/>
          <w:sz w:val="16"/>
          <w:szCs w:val="16"/>
          <w:color w:val="auto"/>
        </w:rPr>
        <w:t>General and administrative expenses increased $11.9 million, primarily attributable to employee-related costs, driven by increased headcount, salaries and stock-based compensation expense, consulting and other professional services expense. The increase is primarily driven by the continued progress across the portfolio, including positive long-term data from our INTEGRIS-IPF Phase 2a trial of bexotegrast in IPF.</w:t>
      </w:r>
    </w:p>
    <w:p>
      <w:pPr>
        <w:spacing w:after="0" w:line="57" w:lineRule="exact"/>
        <w:rPr>
          <w:sz w:val="20"/>
          <w:szCs w:val="20"/>
          <w:color w:val="auto"/>
        </w:rPr>
      </w:pPr>
    </w:p>
    <w:p>
      <w:pPr>
        <w:ind w:right="320" w:firstLine="382"/>
        <w:spacing w:after="0" w:line="273" w:lineRule="auto"/>
        <w:rPr>
          <w:sz w:val="20"/>
          <w:szCs w:val="20"/>
          <w:color w:val="auto"/>
        </w:rPr>
      </w:pPr>
      <w:r>
        <w:rPr>
          <w:rFonts w:ascii="Arial" w:cs="Arial" w:eastAsia="Arial" w:hAnsi="Arial"/>
          <w:sz w:val="17"/>
          <w:szCs w:val="17"/>
          <w:color w:val="auto"/>
        </w:rPr>
        <w:t>We expect our general and administrative expenses to increase for the foreseeable future as we continue to build our administrative function to support our growth in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10" w:lineRule="exact"/>
        <w:rPr>
          <w:sz w:val="20"/>
          <w:szCs w:val="20"/>
          <w:color w:val="auto"/>
        </w:rPr>
      </w:pPr>
    </w:p>
    <w:p>
      <w:pPr>
        <w:ind w:right="300" w:firstLine="382"/>
        <w:spacing w:after="0" w:line="273" w:lineRule="auto"/>
        <w:rPr>
          <w:sz w:val="20"/>
          <w:szCs w:val="20"/>
          <w:color w:val="auto"/>
        </w:rPr>
      </w:pPr>
      <w:r>
        <w:rPr>
          <w:rFonts w:ascii="Arial" w:cs="Arial" w:eastAsia="Arial" w:hAnsi="Arial"/>
          <w:sz w:val="17"/>
          <w:szCs w:val="17"/>
          <w:color w:val="auto"/>
        </w:rPr>
        <w:t>Interest and other income (expense), net increased $10.9 million attributable to higher interest income due to increased yields and an increase in short-term investments due to recent financing activities.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Interest expense increased $0.5 million due to the interest incurred from our term loan under the Oxford Loan Agreement, issued in the second quarter of 2022.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10" w:lineRule="exact"/>
        <w:rPr>
          <w:sz w:val="20"/>
          <w:szCs w:val="20"/>
          <w:color w:val="auto"/>
        </w:rPr>
      </w:pPr>
    </w:p>
    <w:p>
      <w:pPr>
        <w:ind w:right="600" w:firstLine="382"/>
        <w:spacing w:after="0" w:line="273" w:lineRule="auto"/>
        <w:rPr>
          <w:sz w:val="20"/>
          <w:szCs w:val="20"/>
          <w:color w:val="auto"/>
        </w:rPr>
      </w:pPr>
      <w:r>
        <w:rPr>
          <w:rFonts w:ascii="Arial" w:cs="Arial" w:eastAsia="Arial" w:hAnsi="Arial"/>
          <w:sz w:val="17"/>
          <w:szCs w:val="17"/>
          <w:color w:val="auto"/>
        </w:rPr>
        <w:t>As of June 30, 2023, we had $555.2 million of cash, cash equivalents and short-term investments. Our short-term investments consist of U.S. Treasury securities, U.S. Government agency securities and highly rated, investment-grade corporate debt securities.</w:t>
      </w:r>
    </w:p>
    <w:p>
      <w:pPr>
        <w:spacing w:after="0" w:line="64" w:lineRule="exact"/>
        <w:rPr>
          <w:sz w:val="20"/>
          <w:szCs w:val="20"/>
          <w:color w:val="auto"/>
        </w:rPr>
      </w:pPr>
    </w:p>
    <w:p>
      <w:pPr>
        <w:ind w:right="40" w:firstLine="382"/>
        <w:spacing w:after="0" w:line="257" w:lineRule="auto"/>
        <w:rPr>
          <w:sz w:val="20"/>
          <w:szCs w:val="20"/>
          <w:color w:val="auto"/>
        </w:rPr>
      </w:pPr>
      <w:r>
        <w:rPr>
          <w:rFonts w:ascii="Arial" w:cs="Arial" w:eastAsia="Arial" w:hAnsi="Arial"/>
          <w:sz w:val="17"/>
          <w:szCs w:val="17"/>
          <w:color w:val="auto"/>
        </w:rPr>
        <w:t>In May 2022 we entered into a Loan and Security Agreement (the “Oxford Loan Agreement”) with Oxford Finance LLC (or "Oxford"). In October 2022, we amended the Oxford Loan Agreement, extending the time period available to draw on the first two tranches to mid-February 2023. Upon closing of the Oxford Loan Agreement, we drew $10.0 million, and a further $50.0 million may become available to us, $25.0 million upon the achievement of pre-determined development milestones and $25.0 million at Oxford's discretion.</w:t>
      </w:r>
    </w:p>
    <w:p>
      <w:pPr>
        <w:spacing w:after="0" w:line="79" w:lineRule="exact"/>
        <w:rPr>
          <w:sz w:val="20"/>
          <w:szCs w:val="20"/>
          <w:color w:val="auto"/>
        </w:rPr>
      </w:pPr>
    </w:p>
    <w:p>
      <w:pPr>
        <w:ind w:right="60" w:firstLine="382"/>
        <w:spacing w:after="0" w:line="261" w:lineRule="auto"/>
        <w:rPr>
          <w:sz w:val="20"/>
          <w:szCs w:val="20"/>
          <w:color w:val="auto"/>
        </w:rPr>
      </w:pPr>
      <w:r>
        <w:rPr>
          <w:rFonts w:ascii="Arial" w:cs="Arial" w:eastAsia="Arial" w:hAnsi="Arial"/>
          <w:sz w:val="17"/>
          <w:szCs w:val="17"/>
          <w:color w:val="auto"/>
        </w:rPr>
        <w:t>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 payable by us.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sectPr>
      </w:pPr>
    </w:p>
    <w:bookmarkStart w:id="23" w:name="page24"/>
    <w:bookmarkEnd w:id="23"/>
    <w:p>
      <w:pPr>
        <w:jc w:val="both"/>
        <w:ind w:right="120" w:firstLine="382"/>
        <w:spacing w:after="0" w:line="261" w:lineRule="auto"/>
        <w:rPr>
          <w:sz w:val="20"/>
          <w:szCs w:val="20"/>
          <w:color w:val="auto"/>
        </w:rPr>
      </w:pPr>
      <w:r>
        <w:rPr>
          <w:rFonts w:ascii="Arial" w:cs="Arial" w:eastAsia="Arial" w:hAnsi="Arial"/>
          <w:sz w:val="17"/>
          <w:szCs w:val="17"/>
          <w:color w:val="auto"/>
        </w:rPr>
        <w:t>In January 2023, we completed an underwritten public offering of 9,583,334 shares of common stock, including the exercise in full of the underwriters' option to purchase 1,250,000 additional shares of common stock. The shares were offered at a price of $30.00 per share, resulting in aggregate proceeds of approximately $269.5 million, net of underwriting discounts, commissions and offering expenses, payable by us.</w:t>
      </w:r>
    </w:p>
    <w:p>
      <w:pPr>
        <w:spacing w:after="0" w:line="75" w:lineRule="exact"/>
        <w:rPr>
          <w:sz w:val="20"/>
          <w:szCs w:val="20"/>
          <w:color w:val="auto"/>
        </w:rPr>
      </w:pPr>
    </w:p>
    <w:p>
      <w:pPr>
        <w:ind w:right="60" w:firstLine="382"/>
        <w:spacing w:after="0" w:line="257" w:lineRule="auto"/>
        <w:rPr>
          <w:sz w:val="20"/>
          <w:szCs w:val="20"/>
          <w:color w:val="auto"/>
        </w:rPr>
      </w:pPr>
      <w:r>
        <w:rPr>
          <w:rFonts w:ascii="Arial" w:cs="Arial" w:eastAsia="Arial" w:hAnsi="Arial"/>
          <w:sz w:val="17"/>
          <w:szCs w:val="17"/>
          <w:color w:val="auto"/>
        </w:rPr>
        <w:t>We believe that our existing capital resources will be sufficient to meet our projected operating requirements to the second half of 2026.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spacing w:after="0" w:line="79" w:lineRule="exact"/>
        <w:rPr>
          <w:sz w:val="20"/>
          <w:szCs w:val="20"/>
          <w:color w:val="auto"/>
        </w:rPr>
      </w:pPr>
    </w:p>
    <w:p>
      <w:pPr>
        <w:ind w:right="20" w:firstLine="382"/>
        <w:spacing w:after="0" w:line="257" w:lineRule="auto"/>
        <w:rPr>
          <w:sz w:val="20"/>
          <w:szCs w:val="20"/>
          <w:color w:val="auto"/>
        </w:rPr>
      </w:pPr>
      <w:r>
        <w:rPr>
          <w:rFonts w:ascii="Arial" w:cs="Arial" w:eastAsia="Arial" w:hAnsi="Arial"/>
          <w:sz w:val="16"/>
          <w:szCs w:val="16"/>
          <w:color w:val="auto"/>
        </w:rPr>
        <w:t>Our operations have been financed primarily through the issuance and sale of convertible preferred stock, issuance of common stock, debt and our collaboration with Novartis. During the third quarter of 2021, we entered into a Controlled Equity Offering</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Sales Agreement (the “Sales Agreement”) with Cantor Fitzgerald &amp; Co., as sales agent, pursuant to which we may issue and sell shares of common stock from time to time. In March 2023, we filed a prospectus registering the offer and sale of up to $150.0 million of shares of common stock from time to time pursuant to the Sales Agreement. The issuance and sale of these shares pursuant to the Sales Agreement are deemed an “at-the-market” offering and are registered under the Securities Act of 1933, as amended. As of June 30, 2023, we had not issued any shares pursuant to any at-the-market offerings.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110" w:lineRule="exact"/>
        <w:rPr>
          <w:sz w:val="20"/>
          <w:szCs w:val="20"/>
          <w:color w:val="auto"/>
        </w:rPr>
      </w:pPr>
    </w:p>
    <w:p>
      <w:pPr>
        <w:ind w:right="80" w:firstLine="382"/>
        <w:spacing w:after="0" w:line="342" w:lineRule="auto"/>
        <w:rPr>
          <w:sz w:val="20"/>
          <w:szCs w:val="20"/>
          <w:color w:val="auto"/>
        </w:rPr>
      </w:pPr>
      <w:r>
        <w:rPr>
          <w:rFonts w:ascii="Arial" w:cs="Arial" w:eastAsia="Arial" w:hAnsi="Arial"/>
          <w:sz w:val="15"/>
          <w:szCs w:val="15"/>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future funding requirements will depend on many factors, including the following:</w:t>
      </w:r>
    </w:p>
    <w:p>
      <w:pPr>
        <w:spacing w:after="0" w:line="110" w:lineRule="exact"/>
        <w:rPr>
          <w:sz w:val="20"/>
          <w:szCs w:val="20"/>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09" w:lineRule="exact"/>
        <w:rPr>
          <w:rFonts w:ascii="Arial" w:cs="Arial" w:eastAsia="Arial" w:hAnsi="Arial"/>
          <w:sz w:val="17"/>
          <w:szCs w:val="17"/>
          <w:color w:val="auto"/>
        </w:rPr>
      </w:pPr>
    </w:p>
    <w:p>
      <w:pPr>
        <w:ind w:left="1220" w:right="320" w:hanging="531"/>
        <w:spacing w:after="0" w:line="273"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timelines of our clinical trials and the overall costs to conduct and complete the clinical trials, which may be impacted by global events and macroeconomic conditions, including lingering effects of the COVID-19 pandemic;</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09" w:lineRule="exact"/>
        <w:rPr>
          <w:rFonts w:ascii="Arial" w:cs="Arial" w:eastAsia="Arial" w:hAnsi="Arial"/>
          <w:sz w:val="17"/>
          <w:szCs w:val="17"/>
          <w:color w:val="auto"/>
        </w:rPr>
      </w:pPr>
    </w:p>
    <w:p>
      <w:pPr>
        <w:ind w:left="1220" w:right="300" w:hanging="531"/>
        <w:spacing w:after="0" w:line="342" w:lineRule="auto"/>
        <w:tabs>
          <w:tab w:leader="none" w:pos="12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outcome, timing and cost of meeting regulatory requirements established by the FDA and other comparable foreign regulatory authorities including but not limited to the European Medicines Agency (EMA), the UK Medicines and Healthcare products Regulatory Agency (MHRA);</w:t>
      </w:r>
    </w:p>
    <w:p>
      <w:pPr>
        <w:spacing w:after="0" w:line="17" w:lineRule="exact"/>
        <w:rPr>
          <w:rFonts w:ascii="Arial" w:cs="Arial" w:eastAsia="Arial" w:hAnsi="Arial"/>
          <w:sz w:val="15"/>
          <w:szCs w:val="15"/>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we enter into any collaboration agreements and the terms of any such agreements;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09" w:lineRule="exact"/>
        <w:rPr>
          <w:rFonts w:ascii="Arial" w:cs="Arial" w:eastAsia="Arial" w:hAnsi="Arial"/>
          <w:sz w:val="17"/>
          <w:szCs w:val="17"/>
          <w:color w:val="auto"/>
        </w:rPr>
      </w:pPr>
    </w:p>
    <w:p>
      <w:pPr>
        <w:ind w:left="1220" w:right="600" w:hanging="531"/>
        <w:spacing w:after="0" w:line="273"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w:t>
      </w:r>
    </w:p>
    <w:p>
      <w:pPr>
        <w:spacing w:after="0" w:line="109" w:lineRule="exact"/>
        <w:rPr>
          <w:rFonts w:ascii="Arial" w:cs="Arial" w:eastAsia="Arial" w:hAnsi="Arial"/>
          <w:sz w:val="17"/>
          <w:szCs w:val="17"/>
          <w:color w:val="auto"/>
        </w:rPr>
      </w:pPr>
    </w:p>
    <w:p>
      <w:pPr>
        <w:ind w:left="1220" w:right="100" w:hanging="531"/>
        <w:spacing w:after="0" w:line="306"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spacing w:after="0" w:line="39" w:lineRule="exact"/>
        <w:rPr>
          <w:rFonts w:ascii="Arial" w:cs="Arial" w:eastAsia="Arial" w:hAnsi="Arial"/>
          <w:sz w:val="16"/>
          <w:szCs w:val="16"/>
          <w:color w:val="auto"/>
        </w:rPr>
      </w:pPr>
    </w:p>
    <w:p>
      <w:pPr>
        <w:ind w:left="1220" w:right="200" w:hanging="531"/>
        <w:spacing w:after="0" w:line="273"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operating as a public company.</w:t>
      </w:r>
    </w:p>
    <w:p>
      <w:pPr>
        <w:spacing w:after="0" w:line="110" w:lineRule="exact"/>
        <w:rPr>
          <w:sz w:val="20"/>
          <w:szCs w:val="20"/>
          <w:color w:val="auto"/>
        </w:rPr>
      </w:pPr>
    </w:p>
    <w:p>
      <w:pPr>
        <w:ind w:firstLine="382"/>
        <w:spacing w:after="0" w:line="275" w:lineRule="auto"/>
        <w:rPr>
          <w:sz w:val="20"/>
          <w:szCs w:val="20"/>
          <w:color w:val="auto"/>
        </w:rPr>
      </w:pPr>
      <w:r>
        <w:rPr>
          <w:rFonts w:ascii="Arial" w:cs="Arial" w:eastAsia="Arial" w:hAnsi="Arial"/>
          <w:sz w:val="16"/>
          <w:szCs w:val="16"/>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4" w:name="page25"/>
    <w:bookmarkEnd w:id="24"/>
    <w:p>
      <w:pPr>
        <w:ind w:right="560"/>
        <w:spacing w:after="0" w:line="279" w:lineRule="auto"/>
        <w:rPr>
          <w:sz w:val="20"/>
          <w:szCs w:val="20"/>
          <w:color w:val="auto"/>
        </w:rPr>
      </w:pPr>
      <w:r>
        <w:rPr>
          <w:rFonts w:ascii="Arial" w:cs="Arial" w:eastAsia="Arial" w:hAnsi="Arial"/>
          <w:sz w:val="16"/>
          <w:szCs w:val="16"/>
          <w:color w:val="auto"/>
        </w:rPr>
        <w:t>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2023 and 2022</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summarizes our cash flows for the periods indicated (in thousands):</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27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5"/>
                <w:szCs w:val="15"/>
                <w:color w:val="auto"/>
              </w:rPr>
            </w:pPr>
          </w:p>
        </w:tc>
      </w:tr>
      <w:tr>
        <w:trPr>
          <w:trHeight w:val="24"/>
        </w:trPr>
        <w:tc>
          <w:tcPr>
            <w:tcW w:w="7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69"/>
        </w:trPr>
        <w:tc>
          <w:tcPr>
            <w:tcW w:w="75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r>
      <w:tr>
        <w:trPr>
          <w:trHeight w:val="223"/>
        </w:trPr>
        <w:tc>
          <w:tcPr>
            <w:tcW w:w="7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cash used in operating activities</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(55,035)</w:t>
            </w:r>
          </w:p>
        </w:tc>
        <w:tc>
          <w:tcPr>
            <w:tcW w:w="1100" w:type="dxa"/>
            <w:vAlign w:val="bottom"/>
            <w:gridSpan w:val="2"/>
            <w:shd w:val="clear" w:color="auto" w:fill="CCEEFF"/>
          </w:tcPr>
          <w:p>
            <w:pPr>
              <w:jc w:val="right"/>
              <w:ind w:right="832"/>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(44,894)</w:t>
            </w:r>
          </w:p>
        </w:tc>
      </w:tr>
      <w:tr>
        <w:trPr>
          <w:trHeight w:val="216"/>
        </w:trPr>
        <w:tc>
          <w:tcPr>
            <w:tcW w:w="7580" w:type="dxa"/>
            <w:vAlign w:val="bottom"/>
          </w:tcPr>
          <w:p>
            <w:pPr>
              <w:ind w:left="40"/>
              <w:spacing w:after="0"/>
              <w:rPr>
                <w:sz w:val="20"/>
                <w:szCs w:val="20"/>
                <w:color w:val="auto"/>
              </w:rPr>
            </w:pPr>
            <w:r>
              <w:rPr>
                <w:rFonts w:ascii="Arial" w:cs="Arial" w:eastAsia="Arial" w:hAnsi="Arial"/>
                <w:sz w:val="17"/>
                <w:szCs w:val="17"/>
                <w:color w:val="auto"/>
              </w:rPr>
              <w:t>Net cash (used in) provided by investing activities</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(197,186)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8,026</w:t>
            </w:r>
          </w:p>
        </w:tc>
      </w:tr>
      <w:tr>
        <w:trPr>
          <w:trHeight w:val="216"/>
        </w:trPr>
        <w:tc>
          <w:tcPr>
            <w:tcW w:w="7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273,487</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10,273</w:t>
            </w:r>
          </w:p>
        </w:tc>
      </w:tr>
      <w:tr>
        <w:trPr>
          <w:trHeight w:val="215"/>
        </w:trPr>
        <w:tc>
          <w:tcPr>
            <w:tcW w:w="7580" w:type="dxa"/>
            <w:vAlign w:val="bottom"/>
          </w:tcPr>
          <w:p>
            <w:pPr>
              <w:ind w:left="220"/>
              <w:spacing w:after="0"/>
              <w:rPr>
                <w:sz w:val="20"/>
                <w:szCs w:val="20"/>
                <w:color w:val="auto"/>
              </w:rPr>
            </w:pPr>
            <w:r>
              <w:rPr>
                <w:rFonts w:ascii="Arial" w:cs="Arial" w:eastAsia="Arial" w:hAnsi="Arial"/>
                <w:sz w:val="17"/>
                <w:szCs w:val="17"/>
                <w:color w:val="auto"/>
              </w:rPr>
              <w:t>Net increase (decrease) in cash and cash equivalents</w:t>
            </w:r>
          </w:p>
        </w:tc>
        <w:tc>
          <w:tcPr>
            <w:tcW w:w="960" w:type="dxa"/>
            <w:vAlign w:val="bottom"/>
          </w:tcPr>
          <w:p>
            <w:pPr>
              <w:jc w:val="right"/>
              <w:ind w:right="78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21,266</w:t>
            </w:r>
          </w:p>
        </w:tc>
        <w:tc>
          <w:tcPr>
            <w:tcW w:w="1100" w:type="dxa"/>
            <w:vAlign w:val="bottom"/>
            <w:gridSpan w:val="2"/>
          </w:tcPr>
          <w:p>
            <w:pPr>
              <w:jc w:val="right"/>
              <w:ind w:right="832"/>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(26,595)</w:t>
            </w:r>
          </w:p>
        </w:tc>
      </w:tr>
      <w:tr>
        <w:trPr>
          <w:trHeight w:val="25"/>
        </w:trPr>
        <w:tc>
          <w:tcPr>
            <w:tcW w:w="758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Operating Activities</w:t>
      </w:r>
    </w:p>
    <w:p>
      <w:pPr>
        <w:spacing w:after="0" w:line="110" w:lineRule="exact"/>
        <w:rPr>
          <w:sz w:val="20"/>
          <w:szCs w:val="20"/>
          <w:color w:val="auto"/>
        </w:rPr>
      </w:pPr>
    </w:p>
    <w:p>
      <w:pPr>
        <w:ind w:right="260" w:firstLine="382"/>
        <w:spacing w:after="0" w:line="273" w:lineRule="auto"/>
        <w:rPr>
          <w:sz w:val="20"/>
          <w:szCs w:val="20"/>
          <w:color w:val="auto"/>
        </w:rPr>
      </w:pPr>
      <w:r>
        <w:rPr>
          <w:rFonts w:ascii="Arial" w:cs="Arial" w:eastAsia="Arial" w:hAnsi="Arial"/>
          <w:sz w:val="17"/>
          <w:szCs w:val="17"/>
          <w:color w:val="auto"/>
        </w:rPr>
        <w:t>Net cash used in operating activities increased $10.1 million over the prior year attributable to an increase in net loss of $21.1 million, the timing of revenue related cash receipts and cash outlay to settle accrued liabilities.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Provided by Investing Activities</w:t>
      </w:r>
    </w:p>
    <w:p>
      <w:pPr>
        <w:spacing w:after="0" w:line="110" w:lineRule="exact"/>
        <w:rPr>
          <w:sz w:val="20"/>
          <w:szCs w:val="20"/>
          <w:color w:val="auto"/>
        </w:rPr>
      </w:pPr>
    </w:p>
    <w:p>
      <w:pPr>
        <w:ind w:right="80" w:firstLine="382"/>
        <w:spacing w:after="0" w:line="273" w:lineRule="auto"/>
        <w:rPr>
          <w:sz w:val="20"/>
          <w:szCs w:val="20"/>
          <w:color w:val="auto"/>
        </w:rPr>
      </w:pPr>
      <w:r>
        <w:rPr>
          <w:rFonts w:ascii="Arial" w:cs="Arial" w:eastAsia="Arial" w:hAnsi="Arial"/>
          <w:sz w:val="17"/>
          <w:szCs w:val="17"/>
          <w:color w:val="auto"/>
        </w:rPr>
        <w:t>Net cash used in investing activities increased by $205.2 million year over year primarily due to a significant purchase of short-term investments following the Company's public offering of shares of common stock in January 2023.</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Provided by Financing Activities</w:t>
      </w:r>
    </w:p>
    <w:p>
      <w:pPr>
        <w:spacing w:after="0" w:line="110" w:lineRule="exact"/>
        <w:rPr>
          <w:sz w:val="20"/>
          <w:szCs w:val="20"/>
          <w:color w:val="auto"/>
        </w:rPr>
      </w:pPr>
    </w:p>
    <w:p>
      <w:pPr>
        <w:ind w:right="580" w:firstLine="382"/>
        <w:spacing w:after="0" w:line="273" w:lineRule="auto"/>
        <w:rPr>
          <w:sz w:val="20"/>
          <w:szCs w:val="20"/>
          <w:color w:val="auto"/>
        </w:rPr>
      </w:pPr>
      <w:r>
        <w:rPr>
          <w:rFonts w:ascii="Arial" w:cs="Arial" w:eastAsia="Arial" w:hAnsi="Arial"/>
          <w:sz w:val="17"/>
          <w:szCs w:val="17"/>
          <w:color w:val="auto"/>
        </w:rPr>
        <w:t>Net cash provided by financing activities increased $263.2 million primarily due to net proceeds from the Company's January 2023 underwritten public offering.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There have been no material changes to our contractual obligations and other commitments as of June 30, 2023, as compared to those disclosed in our 2022 10-</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K.</w:t>
      </w:r>
    </w:p>
    <w:p>
      <w:pPr>
        <w:spacing w:after="0" w:line="98" w:lineRule="exact"/>
        <w:rPr>
          <w:sz w:val="20"/>
          <w:szCs w:val="20"/>
          <w:color w:val="auto"/>
        </w:rPr>
      </w:pPr>
    </w:p>
    <w:p>
      <w:pPr>
        <w:ind w:firstLine="382"/>
        <w:spacing w:after="0" w:line="306" w:lineRule="auto"/>
        <w:rPr>
          <w:sz w:val="20"/>
          <w:szCs w:val="20"/>
          <w:color w:val="auto"/>
        </w:rPr>
      </w:pPr>
      <w:r>
        <w:rPr>
          <w:rFonts w:ascii="Arial" w:cs="Arial" w:eastAsia="Arial" w:hAnsi="Arial"/>
          <w:sz w:val="16"/>
          <w:szCs w:val="16"/>
          <w:color w:val="auto"/>
        </w:rPr>
        <w:t>At June 30, 2023, we had various non-cancelable operating leases for office space and equipment, which expire between December 31,2023 and June 2025. See Note 15 of our financial statements included in our 2022 10-K for additional information regarding our future operating lease payments.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or holdings in any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114" w:lineRule="exact"/>
        <w:rPr>
          <w:sz w:val="20"/>
          <w:szCs w:val="20"/>
          <w:color w:val="auto"/>
        </w:rPr>
      </w:pPr>
    </w:p>
    <w:p>
      <w:pPr>
        <w:ind w:right="80" w:firstLine="382"/>
        <w:spacing w:after="0" w:line="27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7" w:lineRule="exact"/>
        <w:rPr>
          <w:sz w:val="20"/>
          <w:szCs w:val="20"/>
          <w:color w:val="auto"/>
        </w:rPr>
      </w:pPr>
    </w:p>
    <w:p>
      <w:pPr>
        <w:ind w:right="80" w:firstLine="382"/>
        <w:spacing w:after="0" w:line="261" w:lineRule="auto"/>
        <w:rPr>
          <w:sz w:val="20"/>
          <w:szCs w:val="20"/>
          <w:color w:val="auto"/>
        </w:rPr>
      </w:pPr>
      <w:r>
        <w:rPr>
          <w:rFonts w:ascii="Arial" w:cs="Arial" w:eastAsia="Arial" w:hAnsi="Arial"/>
          <w:sz w:val="17"/>
          <w:szCs w:val="17"/>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2022 filed with the SEC.</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2 to our condensed financial statements appearing elsewhere in this Report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Smaller Reporting Company and Non-Accelerated Filer Status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5" w:name="page26"/>
    <w:bookmarkEnd w:id="25"/>
    <w:p>
      <w:pPr>
        <w:ind w:right="20" w:firstLine="382"/>
        <w:spacing w:after="0" w:line="279" w:lineRule="auto"/>
        <w:rPr>
          <w:sz w:val="20"/>
          <w:szCs w:val="20"/>
          <w:color w:val="auto"/>
        </w:rPr>
      </w:pPr>
      <w:r>
        <w:rPr>
          <w:rFonts w:ascii="Arial" w:cs="Arial" w:eastAsia="Arial" w:hAnsi="Arial"/>
          <w:sz w:val="16"/>
          <w:szCs w:val="16"/>
          <w:color w:val="auto"/>
        </w:rPr>
        <w:t>Based on the market value of our common stock held by our non-affiliates as of June 30, 2022, we were considered a “non-accelerated filer” and a “smaller reporting company,” each effective as of December 31, 2022. Based on the market value of our common stock held by our non-affiliates as of June 30, 2023, we will no longer be a smaller reporting company and will be considered a “large accelerated filer” effective as of December 31, 2023, and thus will be subject to accelerated filing deadlines, as well as the requirements of section 404(b) of the Sarbanes-Oxley Act of 2002.</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4" w:lineRule="exact"/>
        <w:rPr>
          <w:sz w:val="20"/>
          <w:szCs w:val="20"/>
          <w:color w:val="auto"/>
        </w:rPr>
      </w:pPr>
    </w:p>
    <w:p>
      <w:pPr>
        <w:ind w:right="100" w:firstLine="382"/>
        <w:spacing w:after="0" w:line="295" w:lineRule="auto"/>
        <w:rPr>
          <w:sz w:val="20"/>
          <w:szCs w:val="20"/>
          <w:color w:val="auto"/>
        </w:rPr>
      </w:pPr>
      <w:r>
        <w:rPr>
          <w:rFonts w:ascii="Arial" w:cs="Arial" w:eastAsia="Arial" w:hAnsi="Arial"/>
          <w:sz w:val="15"/>
          <w:szCs w:val="15"/>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$555.2 million as of June 30, 2023 which consisted of bank deposits, highly liquid money market funds and short-term investments in U.S. treasury securities, U.S. government agency securities and corporate debt securities. Under the Oxford Loan Agreement, we had a $10.0 million term loan outstanding as of June 30, 2023 which is subject to the movement in interest rates, however the exposure is capped at 2.0%. Due to the short-term maturities of our cash equivalents and short-term investments, an immediate 100 basis point change in interest rates would not have a material effect on the fair market value of our cash equivalents or short-term investments.</w:t>
      </w:r>
    </w:p>
    <w:p>
      <w:pPr>
        <w:spacing w:after="0" w:line="51" w:lineRule="exact"/>
        <w:rPr>
          <w:sz w:val="20"/>
          <w:szCs w:val="20"/>
          <w:color w:val="auto"/>
        </w:rPr>
      </w:pPr>
    </w:p>
    <w:p>
      <w:pPr>
        <w:ind w:firstLine="382"/>
        <w:spacing w:after="0" w:line="302" w:lineRule="auto"/>
        <w:rPr>
          <w:sz w:val="20"/>
          <w:szCs w:val="20"/>
          <w:color w:val="auto"/>
        </w:rPr>
      </w:pPr>
      <w:r>
        <w:rPr>
          <w:rFonts w:ascii="Arial" w:cs="Arial" w:eastAsia="Arial" w:hAnsi="Arial"/>
          <w:sz w:val="15"/>
          <w:szCs w:val="15"/>
          <w:color w:val="auto"/>
        </w:rPr>
        <w:t>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4" w:lineRule="exact"/>
        <w:rPr>
          <w:sz w:val="20"/>
          <w:szCs w:val="20"/>
          <w:color w:val="auto"/>
        </w:rPr>
      </w:pPr>
    </w:p>
    <w:p>
      <w:pPr>
        <w:ind w:right="180" w:firstLine="382"/>
        <w:spacing w:after="0" w:line="298" w:lineRule="auto"/>
        <w:rPr>
          <w:sz w:val="20"/>
          <w:szCs w:val="20"/>
          <w:color w:val="auto"/>
        </w:rPr>
      </w:pPr>
      <w:r>
        <w:rPr>
          <w:rFonts w:ascii="Arial" w:cs="Arial" w:eastAsia="Arial" w:hAnsi="Arial"/>
          <w:sz w:val="15"/>
          <w:szCs w:val="15"/>
          <w:color w:val="auto"/>
        </w:rPr>
        <w:t>As of June 30, 2023,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49" w:lineRule="exact"/>
        <w:rPr>
          <w:sz w:val="20"/>
          <w:szCs w:val="20"/>
          <w:color w:val="auto"/>
        </w:rPr>
      </w:pPr>
    </w:p>
    <w:p>
      <w:pPr>
        <w:ind w:right="100" w:firstLine="382"/>
        <w:spacing w:after="0" w:line="257"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2023, the design and operation of our disclosure controls and procedures were effective at a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4" w:lineRule="exact"/>
        <w:rPr>
          <w:sz w:val="20"/>
          <w:szCs w:val="20"/>
          <w:color w:val="auto"/>
        </w:rPr>
      </w:pPr>
    </w:p>
    <w:p>
      <w:pPr>
        <w:jc w:val="both"/>
        <w:ind w:right="300" w:firstLine="382"/>
        <w:spacing w:after="0" w:line="261" w:lineRule="auto"/>
        <w:rPr>
          <w:sz w:val="20"/>
          <w:szCs w:val="20"/>
          <w:color w:val="auto"/>
        </w:rPr>
      </w:pPr>
      <w:r>
        <w:rPr>
          <w:rFonts w:ascii="Arial" w:cs="Arial" w:eastAsia="Arial" w:hAnsi="Arial"/>
          <w:sz w:val="17"/>
          <w:szCs w:val="17"/>
          <w:color w:val="auto"/>
        </w:rPr>
        <w:t>There was no change in our internal controls over financial reporting identified in connection with the evaluation required by Rule 13a-15(d) and 15d-15(d) under the Exchange Act that occurred during the quarter ended June 30, 2023 that has materially affected, or is reasonably likely to materially affect, our internal control over financial reporting.</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98" w:lineRule="exact"/>
        <w:rPr>
          <w:sz w:val="20"/>
          <w:szCs w:val="20"/>
          <w:color w:val="auto"/>
        </w:rPr>
      </w:pPr>
    </w:p>
    <w:p>
      <w:pPr>
        <w:ind w:right="20" w:firstLine="382"/>
        <w:spacing w:after="0" w:line="285"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4" w:lineRule="exact"/>
        <w:rPr>
          <w:sz w:val="20"/>
          <w:szCs w:val="20"/>
          <w:color w:val="auto"/>
        </w:rPr>
      </w:pPr>
    </w:p>
    <w:p>
      <w:pPr>
        <w:ind w:right="80" w:firstLine="382"/>
        <w:spacing w:after="0" w:line="255" w:lineRule="auto"/>
        <w:rPr>
          <w:sz w:val="20"/>
          <w:szCs w:val="20"/>
          <w:color w:val="auto"/>
        </w:rPr>
      </w:pPr>
      <w:r>
        <w:rPr>
          <w:rFonts w:ascii="Arial" w:cs="Arial" w:eastAsia="Arial" w:hAnsi="Arial"/>
          <w:sz w:val="17"/>
          <w:szCs w:val="17"/>
          <w:i w:val="1"/>
          <w:iCs w:val="1"/>
          <w:color w:val="auto"/>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quarterly report on Form 10-Q.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121" w:lineRule="exact"/>
        <w:rPr>
          <w:sz w:val="20"/>
          <w:szCs w:val="20"/>
          <w:color w:val="auto"/>
        </w:rPr>
      </w:pPr>
    </w:p>
    <w:p>
      <w:pPr>
        <w:ind w:right="20" w:firstLine="382"/>
        <w:spacing w:after="0" w:line="253" w:lineRule="auto"/>
        <w:rPr>
          <w:sz w:val="20"/>
          <w:szCs w:val="20"/>
          <w:color w:val="auto"/>
        </w:rPr>
      </w:pPr>
      <w:r>
        <w:rPr>
          <w:rFonts w:ascii="Arial" w:cs="Arial" w:eastAsia="Arial" w:hAnsi="Arial"/>
          <w:sz w:val="17"/>
          <w:szCs w:val="17"/>
          <w:color w:val="auto"/>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$123.3 million and $97.3 million for the years ended December 31, 2022 and 2021, respectively. As of June 30, 2023, we had an accumulated deficit of $417.2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expect to continue to incur significant losses for the foreseeable future, and we anticipate that our expenses will increase substantially if, and as, we:</w:t>
      </w:r>
    </w:p>
    <w:p>
      <w:pPr>
        <w:spacing w:after="0" w:line="121" w:lineRule="exact"/>
        <w:rPr>
          <w:sz w:val="20"/>
          <w:szCs w:val="20"/>
          <w:color w:val="auto"/>
        </w:rPr>
      </w:pPr>
    </w:p>
    <w:p>
      <w:pPr>
        <w:ind w:left="1220" w:right="380" w:hanging="531"/>
        <w:spacing w:after="0" w:line="273" w:lineRule="auto"/>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 our lead product candidate, bexotegrast, and our other product candidates through clinical development, and, if successful, later-stage clinical trials;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discover and develop new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 our preclinical development programs into clinical development;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further develop manufacturing processes and manufacture our product candidates;</w:t>
      </w:r>
    </w:p>
    <w:p>
      <w:pPr>
        <w:spacing w:after="0" w:line="109" w:lineRule="exact"/>
        <w:rPr>
          <w:rFonts w:ascii="Arial" w:cs="Arial" w:eastAsia="Arial" w:hAnsi="Arial"/>
          <w:sz w:val="17"/>
          <w:szCs w:val="17"/>
          <w:color w:val="auto"/>
        </w:rPr>
      </w:pPr>
    </w:p>
    <w:p>
      <w:pPr>
        <w:ind w:left="1220" w:right="180" w:hanging="531"/>
        <w:spacing w:after="0" w:line="273" w:lineRule="auto"/>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experience delays or interruptions to preclinical studies, clinical trials, our receipt of services from our third-party service providers on whom we rely, or our supply chain due to the COVID-19 pandemic;</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commercialize bexotegrast, our other product candidates and any future product candidates, if approved;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the amount of research and development activities to identify and develop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hire additional clinical development, quality control, scientific and management personnel;</w:t>
      </w:r>
    </w:p>
    <w:p>
      <w:pPr>
        <w:spacing w:after="0" w:line="109" w:lineRule="exact"/>
        <w:rPr>
          <w:rFonts w:ascii="Arial" w:cs="Arial" w:eastAsia="Arial" w:hAnsi="Arial"/>
          <w:sz w:val="17"/>
          <w:szCs w:val="17"/>
          <w:color w:val="auto"/>
        </w:rPr>
      </w:pPr>
    </w:p>
    <w:p>
      <w:pPr>
        <w:ind w:left="1220" w:right="240" w:hanging="531"/>
        <w:spacing w:after="0" w:line="273" w:lineRule="auto"/>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and manufacturing efforts;</w:t>
      </w:r>
    </w:p>
    <w:p>
      <w:pPr>
        <w:spacing w:after="0" w:line="64" w:lineRule="exact"/>
        <w:rPr>
          <w:rFonts w:ascii="Arial" w:cs="Arial" w:eastAsia="Arial" w:hAnsi="Arial"/>
          <w:sz w:val="17"/>
          <w:szCs w:val="17"/>
          <w:color w:val="auto"/>
        </w:rPr>
      </w:pPr>
    </w:p>
    <w:p>
      <w:pPr>
        <w:ind w:left="1220" w:right="400" w:hanging="531"/>
        <w:spacing w:after="0" w:line="273" w:lineRule="auto"/>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invest in or in-license other technologies or product candidates;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to build out our organization to engage in such activities.</w:t>
      </w:r>
    </w:p>
    <w:p>
      <w:pPr>
        <w:spacing w:after="0" w:line="110" w:lineRule="exact"/>
        <w:rPr>
          <w:sz w:val="20"/>
          <w:szCs w:val="20"/>
          <w:color w:val="auto"/>
        </w:rPr>
      </w:pPr>
    </w:p>
    <w:p>
      <w:pPr>
        <w:ind w:right="20" w:firstLine="382"/>
        <w:spacing w:after="0" w:line="295" w:lineRule="auto"/>
        <w:rPr>
          <w:sz w:val="20"/>
          <w:szCs w:val="20"/>
          <w:color w:val="auto"/>
        </w:rPr>
      </w:pPr>
      <w:r>
        <w:rPr>
          <w:rFonts w:ascii="Arial" w:cs="Arial" w:eastAsia="Arial" w:hAnsi="Arial"/>
          <w:sz w:val="15"/>
          <w:szCs w:val="15"/>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51" w:lineRule="exact"/>
        <w:rPr>
          <w:sz w:val="20"/>
          <w:szCs w:val="20"/>
          <w:color w:val="auto"/>
        </w:rPr>
      </w:pPr>
    </w:p>
    <w:p>
      <w:pPr>
        <w:ind w:firstLine="382"/>
        <w:spacing w:after="0" w:line="379" w:lineRule="auto"/>
        <w:rPr>
          <w:sz w:val="20"/>
          <w:szCs w:val="20"/>
          <w:color w:val="auto"/>
        </w:rPr>
      </w:pPr>
      <w:r>
        <w:rPr>
          <w:rFonts w:ascii="Arial" w:cs="Arial" w:eastAsia="Arial" w:hAnsi="Arial"/>
          <w:sz w:val="14"/>
          <w:szCs w:val="14"/>
          <w:b w:val="1"/>
          <w:bCs w:val="1"/>
          <w:i w:val="1"/>
          <w:iCs w:val="1"/>
          <w:color w:val="auto"/>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ind w:right="20" w:firstLine="382"/>
        <w:spacing w:after="0" w:line="275"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7" w:name="page28"/>
    <w:bookmarkEnd w:id="27"/>
    <w:p>
      <w:pPr>
        <w:ind w:right="460"/>
        <w:spacing w:after="0" w:line="273" w:lineRule="auto"/>
        <w:rPr>
          <w:sz w:val="20"/>
          <w:szCs w:val="20"/>
          <w:color w:val="auto"/>
        </w:rPr>
      </w:pPr>
      <w:r>
        <w:rPr>
          <w:rFonts w:ascii="Arial" w:cs="Arial" w:eastAsia="Arial" w:hAnsi="Arial"/>
          <w:sz w:val="17"/>
          <w:szCs w:val="17"/>
          <w:color w:val="auto"/>
        </w:rPr>
        <w:t>unable to raise capital when needed or on acceptable terms, we may be forced to delay, reduce, or eliminate one or more of our research and drug development programs or future commercialization efforts.</w:t>
      </w:r>
    </w:p>
    <w:p>
      <w:pPr>
        <w:spacing w:after="0" w:line="64" w:lineRule="exact"/>
        <w:rPr>
          <w:sz w:val="20"/>
          <w:szCs w:val="20"/>
          <w:color w:val="auto"/>
        </w:rPr>
      </w:pPr>
    </w:p>
    <w:p>
      <w:pPr>
        <w:ind w:right="60" w:firstLine="382"/>
        <w:spacing w:after="0" w:line="293" w:lineRule="auto"/>
        <w:rPr>
          <w:sz w:val="20"/>
          <w:szCs w:val="20"/>
          <w:color w:val="auto"/>
        </w:rPr>
      </w:pPr>
      <w:r>
        <w:rPr>
          <w:rFonts w:ascii="Arial" w:cs="Arial" w:eastAsia="Arial" w:hAnsi="Arial"/>
          <w:sz w:val="15"/>
          <w:szCs w:val="15"/>
          <w:color w:val="auto"/>
        </w:rPr>
        <w:t>As of June 30, 2023, we had approximately $555.2 million in cash, cash equivalents and short-term investments. Based on our current operating plan, we believe that our existing cash, cash equivalents and short-term investments will be sufficient to fund our anticipated operating expenses and capital expenditure requirements into the second half of 2026.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52" w:lineRule="exact"/>
        <w:rPr>
          <w:sz w:val="20"/>
          <w:szCs w:val="20"/>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clinical development plans we establish for these product candidates;</w:t>
      </w:r>
    </w:p>
    <w:p>
      <w:pPr>
        <w:spacing w:after="0" w:line="109" w:lineRule="exact"/>
        <w:rPr>
          <w:rFonts w:ascii="Arial" w:cs="Arial" w:eastAsia="Arial" w:hAnsi="Arial"/>
          <w:sz w:val="17"/>
          <w:szCs w:val="17"/>
          <w:color w:val="auto"/>
        </w:rPr>
      </w:pPr>
    </w:p>
    <w:p>
      <w:pPr>
        <w:ind w:left="1220" w:right="140" w:hanging="531"/>
        <w:spacing w:after="0" w:line="306" w:lineRule="auto"/>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timelines of our clinical trials and the overall costs to conduct and complete the clinical trials, including any increased costs due to disruptions caused by marketplace conditions, including lingering effects of the COVID-19 pandemic, or other geopolitical conditions;</w:t>
      </w:r>
    </w:p>
    <w:p>
      <w:pPr>
        <w:spacing w:after="0" w:line="39" w:lineRule="exact"/>
        <w:rPr>
          <w:rFonts w:ascii="Arial" w:cs="Arial" w:eastAsia="Arial" w:hAnsi="Arial"/>
          <w:sz w:val="16"/>
          <w:szCs w:val="16"/>
          <w:color w:val="auto"/>
        </w:rPr>
      </w:pPr>
    </w:p>
    <w:p>
      <w:pPr>
        <w:ind w:left="1220" w:right="400" w:hanging="531"/>
        <w:spacing w:after="0" w:line="273" w:lineRule="auto"/>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capital commitments required for developing manufacturing processes for our product candidates and manufacturing our product candidates at clinical and commercial scales;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develop;</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outcome, timing and cost of meeting regulatory requirements established by the FDA and other comparable foreign regulatory authorities;</w:t>
      </w:r>
    </w:p>
    <w:p>
      <w:pPr>
        <w:spacing w:after="0" w:line="121" w:lineRule="exact"/>
        <w:rPr>
          <w:rFonts w:ascii="Arial" w:cs="Arial" w:eastAsia="Arial" w:hAnsi="Arial"/>
          <w:sz w:val="16"/>
          <w:szCs w:val="16"/>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whether we are able to enter into future collaboration agreements and the terms of any such agreements;</w:t>
      </w:r>
    </w:p>
    <w:p>
      <w:pPr>
        <w:spacing w:after="0" w:line="144" w:lineRule="exact"/>
        <w:rPr>
          <w:rFonts w:ascii="Arial" w:cs="Arial" w:eastAsia="Arial" w:hAnsi="Arial"/>
          <w:sz w:val="17"/>
          <w:szCs w:val="17"/>
          <w:color w:val="auto"/>
        </w:rPr>
      </w:pPr>
    </w:p>
    <w:p>
      <w:pPr>
        <w:ind w:left="1220" w:hanging="531"/>
        <w:spacing w:after="0"/>
        <w:tabs>
          <w:tab w:leader="none" w:pos="1220" w:val="left"/>
        </w:tabs>
        <w:numPr>
          <w:ilvl w:val="0"/>
          <w:numId w:val="18"/>
        </w:numPr>
        <w:rPr>
          <w:rFonts w:ascii="Arial" w:cs="Arial" w:eastAsia="Arial" w:hAnsi="Arial"/>
          <w:sz w:val="19"/>
          <w:szCs w:val="19"/>
          <w:color w:val="auto"/>
        </w:rPr>
      </w:pPr>
      <w:r>
        <w:rPr>
          <w:rFonts w:ascii="Arial" w:cs="Arial" w:eastAsia="Arial" w:hAnsi="Arial"/>
          <w:sz w:val="16"/>
          <w:szCs w:val="16"/>
          <w:color w:val="auto"/>
        </w:rPr>
        <w:t>the ability to and timing of achieving a favorable pricing and reimbursement decision by the pricing authorities in the markets of interest;</w:t>
      </w:r>
    </w:p>
    <w:p>
      <w:pPr>
        <w:spacing w:after="0" w:line="90" w:lineRule="exact"/>
        <w:rPr>
          <w:rFonts w:ascii="Arial" w:cs="Arial" w:eastAsia="Arial" w:hAnsi="Arial"/>
          <w:sz w:val="19"/>
          <w:szCs w:val="19"/>
          <w:color w:val="auto"/>
        </w:rPr>
      </w:pPr>
    </w:p>
    <w:p>
      <w:pPr>
        <w:ind w:left="1220" w:hanging="531"/>
        <w:spacing w:after="0"/>
        <w:tabs>
          <w:tab w:leader="none" w:pos="12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ability to secure a position recommendation following the health technology assessment by the health technology bodies in the relevant market;</w:t>
      </w:r>
    </w:p>
    <w:p>
      <w:pPr>
        <w:spacing w:after="0" w:line="132" w:lineRule="exact"/>
        <w:rPr>
          <w:rFonts w:ascii="Arial" w:cs="Arial" w:eastAsia="Arial" w:hAnsi="Arial"/>
          <w:sz w:val="15"/>
          <w:szCs w:val="15"/>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our patent claims and other intellectual property rights;</w:t>
      </w:r>
    </w:p>
    <w:p>
      <w:pPr>
        <w:spacing w:after="0" w:line="109" w:lineRule="exact"/>
        <w:rPr>
          <w:rFonts w:ascii="Arial" w:cs="Arial" w:eastAsia="Arial" w:hAnsi="Arial"/>
          <w:sz w:val="17"/>
          <w:szCs w:val="17"/>
          <w:color w:val="auto"/>
        </w:rPr>
      </w:pPr>
    </w:p>
    <w:p>
      <w:pPr>
        <w:ind w:left="1220" w:right="600" w:hanging="531"/>
        <w:spacing w:after="0" w:line="273" w:lineRule="auto"/>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defending intellectual property disputes, including patent infringement actions brought by third parties against us or our product candidates;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of completion of commercial-scale outsourced manufacturing activities; and</w:t>
      </w:r>
    </w:p>
    <w:p>
      <w:pPr>
        <w:spacing w:after="0" w:line="109" w:lineRule="exact"/>
        <w:rPr>
          <w:rFonts w:ascii="Arial" w:cs="Arial" w:eastAsia="Arial" w:hAnsi="Arial"/>
          <w:sz w:val="17"/>
          <w:szCs w:val="17"/>
          <w:color w:val="auto"/>
        </w:rPr>
      </w:pPr>
    </w:p>
    <w:p>
      <w:pPr>
        <w:ind w:left="1220" w:right="200" w:hanging="531"/>
        <w:spacing w:after="0" w:line="273" w:lineRule="auto"/>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spacing w:after="0" w:line="64" w:lineRule="exact"/>
        <w:rPr>
          <w:sz w:val="20"/>
          <w:szCs w:val="20"/>
          <w:color w:val="auto"/>
        </w:rPr>
      </w:pPr>
    </w:p>
    <w:p>
      <w:pPr>
        <w:ind w:firstLine="382"/>
        <w:spacing w:after="0" w:line="288" w:lineRule="auto"/>
        <w:rPr>
          <w:sz w:val="20"/>
          <w:szCs w:val="20"/>
          <w:color w:val="auto"/>
        </w:rPr>
      </w:pPr>
      <w:r>
        <w:rPr>
          <w:rFonts w:ascii="Arial" w:cs="Arial" w:eastAsia="Arial" w:hAnsi="Arial"/>
          <w:sz w:val="15"/>
          <w:szCs w:val="15"/>
          <w:color w:val="auto"/>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8" w:name="page29"/>
    <w:bookmarkEnd w:id="28"/>
    <w:p>
      <w:pPr>
        <w:ind w:right="340"/>
        <w:spacing w:after="0" w:line="295" w:lineRule="auto"/>
        <w:rPr>
          <w:sz w:val="20"/>
          <w:szCs w:val="20"/>
          <w:color w:val="auto"/>
        </w:rPr>
      </w:pPr>
      <w:r>
        <w:rPr>
          <w:rFonts w:ascii="Arial" w:cs="Arial" w:eastAsia="Arial" w:hAnsi="Arial"/>
          <w:sz w:val="15"/>
          <w:szCs w:val="15"/>
          <w:color w:val="auto"/>
        </w:rPr>
        <w:t>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lingering effects of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51"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7"/>
          <w:szCs w:val="17"/>
          <w:b w:val="1"/>
          <w:bCs w:val="1"/>
          <w:i w:val="1"/>
          <w:iCs w:val="1"/>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spacing w:after="0" w:line="75"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7"/>
          <w:szCs w:val="17"/>
          <w:color w:val="auto"/>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spacing w:after="0" w:line="79"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7"/>
          <w:szCs w:val="17"/>
          <w:color w:val="auto"/>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spacing w:after="0" w:line="75"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7"/>
          <w:szCs w:val="17"/>
          <w:color w:val="auto"/>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spacing w:after="0" w:line="75" w:lineRule="exact"/>
        <w:rPr>
          <w:sz w:val="20"/>
          <w:szCs w:val="20"/>
          <w:color w:val="auto"/>
        </w:rPr>
      </w:pPr>
    </w:p>
    <w:p>
      <w:pPr>
        <w:jc w:val="both"/>
        <w:ind w:right="440" w:firstLine="382"/>
        <w:spacing w:after="0" w:line="261" w:lineRule="auto"/>
        <w:rPr>
          <w:sz w:val="20"/>
          <w:szCs w:val="20"/>
          <w:color w:val="auto"/>
        </w:rPr>
      </w:pPr>
      <w:r>
        <w:rPr>
          <w:rFonts w:ascii="Arial" w:cs="Arial" w:eastAsia="Arial" w:hAnsi="Arial"/>
          <w:sz w:val="17"/>
          <w:szCs w:val="17"/>
          <w:color w:val="auto"/>
        </w:rPr>
        <w:t>In addition, if we are unable to comply with certain financial and operating restrictions in the Oxford Loan Agreement, we may be limited in our business activities and access to credit or may default under the Oxford Loan Agreement. Provisions in the Oxford Loan Agreement impose restrictions or require prior approval on our ability, and the ability of certain of our subsidiaries to, among other things:</w:t>
      </w:r>
    </w:p>
    <w:p>
      <w:pPr>
        <w:spacing w:after="0" w:line="75" w:lineRule="exact"/>
        <w:rPr>
          <w:sz w:val="20"/>
          <w:szCs w:val="20"/>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certain investments and acquisitions;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Guarantee the indebtedness of others or our subsidiaries;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Create liens or encumbrances;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Engage in new lines of business;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 cash dividends and make distributions;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Redeem or repurchase capital shares;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Sell, lease or transfer certain parts of our business or property, including equity interests of our subsidiaries;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Prepay other indebtedness;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Acquire new companies and merge or consolidate.</w:t>
      </w:r>
    </w:p>
    <w:p>
      <w:pPr>
        <w:spacing w:after="0" w:line="110" w:lineRule="exact"/>
        <w:rPr>
          <w:sz w:val="20"/>
          <w:szCs w:val="20"/>
          <w:color w:val="auto"/>
        </w:rPr>
      </w:pPr>
    </w:p>
    <w:p>
      <w:pPr>
        <w:ind w:right="40" w:firstLine="382"/>
        <w:spacing w:after="0" w:line="273" w:lineRule="auto"/>
        <w:rPr>
          <w:sz w:val="20"/>
          <w:szCs w:val="20"/>
          <w:color w:val="auto"/>
        </w:rPr>
      </w:pPr>
      <w:r>
        <w:rPr>
          <w:rFonts w:ascii="Arial" w:cs="Arial" w:eastAsia="Arial" w:hAnsi="Arial"/>
          <w:sz w:val="16"/>
          <w:szCs w:val="16"/>
          <w:color w:val="auto"/>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spacing w:after="0" w:line="67"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9" w:name="page30"/>
    <w:bookmarkEnd w:id="29"/>
    <w:p>
      <w:pPr>
        <w:ind w:firstLine="382"/>
        <w:spacing w:after="0" w:line="273" w:lineRule="auto"/>
        <w:rPr>
          <w:sz w:val="20"/>
          <w:szCs w:val="20"/>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64" w:lineRule="exact"/>
        <w:rPr>
          <w:sz w:val="20"/>
          <w:szCs w:val="20"/>
          <w:color w:val="auto"/>
        </w:rPr>
      </w:pPr>
    </w:p>
    <w:p>
      <w:pPr>
        <w:ind w:left="1220" w:right="780" w:hanging="531"/>
        <w:spacing w:after="0" w:line="273"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recruit and retain subjects for clinical trials, and any delays caused by difficulties in such efforts;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09" w:lineRule="exact"/>
        <w:rPr>
          <w:rFonts w:ascii="Arial" w:cs="Arial" w:eastAsia="Arial" w:hAnsi="Arial"/>
          <w:sz w:val="17"/>
          <w:szCs w:val="17"/>
          <w:color w:val="auto"/>
        </w:rPr>
      </w:pPr>
    </w:p>
    <w:p>
      <w:pPr>
        <w:ind w:left="1220" w:right="140" w:hanging="531"/>
        <w:spacing w:after="0" w:line="273"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64" w:lineRule="exact"/>
        <w:rPr>
          <w:rFonts w:ascii="Arial" w:cs="Arial" w:eastAsia="Arial" w:hAnsi="Arial"/>
          <w:sz w:val="17"/>
          <w:szCs w:val="17"/>
          <w:color w:val="auto"/>
        </w:rPr>
      </w:pPr>
    </w:p>
    <w:p>
      <w:pPr>
        <w:ind w:left="1220" w:hanging="531"/>
        <w:spacing w:after="0" w:line="273"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the difficulty of manufacture, quantity of production and the terms of our agreements with manufacturers;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09" w:lineRule="exact"/>
        <w:rPr>
          <w:rFonts w:ascii="Arial" w:cs="Arial" w:eastAsia="Arial" w:hAnsi="Arial"/>
          <w:sz w:val="17"/>
          <w:szCs w:val="17"/>
          <w:color w:val="auto"/>
        </w:rPr>
      </w:pPr>
    </w:p>
    <w:p>
      <w:pPr>
        <w:ind w:left="1220" w:right="460" w:hanging="531"/>
        <w:spacing w:after="0" w:line="273"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market conditions or extraordinary external events, such as recessions or the COVID-19 pandemic;</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changing and volatile U.S. and global economic and political environments;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10" w:lineRule="exact"/>
        <w:rPr>
          <w:sz w:val="20"/>
          <w:szCs w:val="20"/>
          <w:color w:val="auto"/>
        </w:rPr>
      </w:pPr>
    </w:p>
    <w:p>
      <w:pPr>
        <w:ind w:right="120" w:firstLine="382"/>
        <w:spacing w:after="0" w:line="298"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Research and Development and the Biopharmaceutical Industry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have a limited operating history, which may make it difficult to evaluate our prospects and likelihood of success.</w:t>
      </w:r>
    </w:p>
    <w:p>
      <w:pPr>
        <w:spacing w:after="0" w:line="110" w:lineRule="exact"/>
        <w:rPr>
          <w:sz w:val="20"/>
          <w:szCs w:val="20"/>
          <w:color w:val="auto"/>
        </w:rPr>
      </w:pPr>
    </w:p>
    <w:p>
      <w:pPr>
        <w:ind w:right="40" w:firstLine="382"/>
        <w:spacing w:after="0" w:line="289" w:lineRule="auto"/>
        <w:rPr>
          <w:sz w:val="20"/>
          <w:szCs w:val="20"/>
          <w:color w:val="auto"/>
        </w:rPr>
      </w:pPr>
      <w:r>
        <w:rPr>
          <w:rFonts w:ascii="Arial" w:cs="Arial" w:eastAsia="Arial" w:hAnsi="Arial"/>
          <w:sz w:val="15"/>
          <w:szCs w:val="15"/>
          <w:color w:val="auto"/>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spacing w:after="0" w:line="5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7"/>
          <w:szCs w:val="17"/>
          <w:b w:val="1"/>
          <w:bCs w:val="1"/>
          <w:i w:val="1"/>
          <w:iCs w:val="1"/>
          <w:color w:val="auto"/>
        </w:rPr>
        <w:t>Our business is highly dependent on the success of our lead product candidate, bexotegrast, as well as PLN-1474 and any other product candidates that we advance into the clinic. Our product candidates will require significant additional development before we may be able to seek regulatory approval for and launch a product commercially.</w:t>
      </w:r>
    </w:p>
    <w:p>
      <w:pPr>
        <w:spacing w:after="0" w:line="75" w:lineRule="exact"/>
        <w:rPr>
          <w:sz w:val="20"/>
          <w:szCs w:val="20"/>
          <w:color w:val="auto"/>
        </w:rPr>
      </w:pPr>
    </w:p>
    <w:p>
      <w:pPr>
        <w:ind w:right="520" w:firstLine="382"/>
        <w:spacing w:after="0" w:line="273"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are early in our clinical development for both bexotegrast and PLN-1474. If bexotegrast or any of our other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0" w:name="page31"/>
    <w:bookmarkEnd w:id="30"/>
    <w:p>
      <w:pPr>
        <w:ind w:right="20"/>
        <w:spacing w:after="0" w:line="271" w:lineRule="auto"/>
        <w:rPr>
          <w:sz w:val="20"/>
          <w:szCs w:val="20"/>
          <w:color w:val="auto"/>
        </w:rPr>
      </w:pPr>
      <w:r>
        <w:rPr>
          <w:rFonts w:ascii="Arial" w:cs="Arial" w:eastAsia="Arial" w:hAnsi="Arial"/>
          <w:sz w:val="16"/>
          <w:szCs w:val="16"/>
          <w:color w:val="auto"/>
        </w:rPr>
        <w:t>product candidates encounter safety or efficacy problems, development delays, regulatory issues or other problems, our development plans and business would be significantly harmed. We have completed several Phase 1 and Phase 2a trials of bexotegrast in IPF and are currently conducting a Phase 2a trial in PSC. We previously collaborated with Novartis to develop PLN-1474 for advanced liver fibrosis associated with NASH and have completed a Phase 1a SAD/MAD study evaluating PLN-1474 in healthy volunteers. As part of a broad strategic realignment, Novartis discontinued clinical development in NASH and, as a result, discontinued development of PLN-1474. In February 2023, Novartis issued a termination notice for the collaboration and license agreement, and effective upon the termination, returned global rights to Pliant for PLN-1474 and we may pursue other collaborations to further clinical development of PLN-1474. All of the risks and uncertainties that apply to bexotegrast or any candidates that we develop independently apply equally to those candidates we may develop in collaboration with third parties. See “Risks Related to Our Reliance on Third Parties.”</w:t>
      </w:r>
    </w:p>
    <w:p>
      <w:pPr>
        <w:spacing w:after="0" w:line="68" w:lineRule="exact"/>
        <w:rPr>
          <w:sz w:val="20"/>
          <w:szCs w:val="20"/>
          <w:color w:val="auto"/>
        </w:rPr>
      </w:pPr>
    </w:p>
    <w:p>
      <w:pPr>
        <w:ind w:firstLine="382"/>
        <w:spacing w:after="0" w:line="302" w:lineRule="auto"/>
        <w:rPr>
          <w:sz w:val="20"/>
          <w:szCs w:val="20"/>
          <w:color w:val="auto"/>
        </w:rPr>
      </w:pPr>
      <w:r>
        <w:rPr>
          <w:rFonts w:ascii="Arial" w:cs="Arial" w:eastAsia="Arial" w:hAnsi="Arial"/>
          <w:sz w:val="15"/>
          <w:szCs w:val="15"/>
          <w:color w:val="auto"/>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48" w:lineRule="exact"/>
        <w:rPr>
          <w:sz w:val="20"/>
          <w:szCs w:val="20"/>
          <w:color w:val="auto"/>
        </w:rPr>
      </w:pPr>
    </w:p>
    <w:p>
      <w:pPr>
        <w:ind w:right="440" w:firstLine="382"/>
        <w:spacing w:after="0" w:line="273" w:lineRule="auto"/>
        <w:rPr>
          <w:sz w:val="20"/>
          <w:szCs w:val="20"/>
          <w:color w:val="auto"/>
        </w:rPr>
      </w:pPr>
      <w:r>
        <w:rPr>
          <w:rFonts w:ascii="Arial" w:cs="Arial" w:eastAsia="Arial" w:hAnsi="Arial"/>
          <w:sz w:val="17"/>
          <w:szCs w:val="17"/>
          <w:color w:val="auto"/>
        </w:rPr>
        <w:t>We may experience setbacks that could delay or prevent regulatory approval of, or the extent of regulatory protection or our ability to commercialize, our product candidates, including:</w:t>
      </w:r>
    </w:p>
    <w:p>
      <w:pPr>
        <w:spacing w:after="0" w:line="64" w:lineRule="exact"/>
        <w:rPr>
          <w:sz w:val="20"/>
          <w:szCs w:val="20"/>
          <w:color w:val="auto"/>
        </w:rPr>
      </w:pPr>
    </w:p>
    <w:p>
      <w:pPr>
        <w:ind w:left="1220" w:right="220" w:hanging="531"/>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64" w:lineRule="exact"/>
        <w:rPr>
          <w:rFonts w:ascii="Arial" w:cs="Arial" w:eastAsia="Arial" w:hAnsi="Arial"/>
          <w:sz w:val="17"/>
          <w:szCs w:val="17"/>
          <w:color w:val="auto"/>
        </w:rPr>
      </w:pPr>
    </w:p>
    <w:p>
      <w:pPr>
        <w:ind w:left="1220" w:right="540" w:hanging="531"/>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product-related side effects experienced by subjects in our clinical trials or by individuals using drugs or therapeutics similar to our product candidates;</w:t>
      </w:r>
    </w:p>
    <w:p>
      <w:pPr>
        <w:spacing w:after="0" w:line="64" w:lineRule="exact"/>
        <w:rPr>
          <w:rFonts w:ascii="Arial" w:cs="Arial" w:eastAsia="Arial" w:hAnsi="Arial"/>
          <w:sz w:val="17"/>
          <w:szCs w:val="17"/>
          <w:color w:val="auto"/>
        </w:rPr>
      </w:pPr>
    </w:p>
    <w:p>
      <w:pPr>
        <w:ind w:left="1220" w:right="40" w:hanging="531"/>
        <w:spacing w:after="0" w:line="306" w:lineRule="auto"/>
        <w:tabs>
          <w:tab w:leader="none" w:pos="1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spacing w:after="0" w:line="39" w:lineRule="exact"/>
        <w:rPr>
          <w:rFonts w:ascii="Arial" w:cs="Arial" w:eastAsia="Arial" w:hAnsi="Arial"/>
          <w:sz w:val="16"/>
          <w:szCs w:val="16"/>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in enrolling subjects in clinical trials, including due to lingering effects of the COVID-19 pandemic;</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 drop-out rates of subjects from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inadequate supply or quality of product candidates or other materials necessary for the conduct of our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challenges manufacturing our product candidates to regulatory requirements in a cost effective manner;</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inability to compete with other therapies;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secure or maintain orphan designation in some jurisdictions;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poor efficacy of our product candidates during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09" w:lineRule="exact"/>
        <w:rPr>
          <w:rFonts w:ascii="Arial" w:cs="Arial" w:eastAsia="Arial" w:hAnsi="Arial"/>
          <w:sz w:val="17"/>
          <w:szCs w:val="17"/>
          <w:color w:val="auto"/>
        </w:rPr>
      </w:pPr>
    </w:p>
    <w:p>
      <w:pPr>
        <w:ind w:left="1220" w:right="220" w:hanging="531"/>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4" w:lineRule="exact"/>
        <w:rPr>
          <w:rFonts w:ascii="Arial" w:cs="Arial" w:eastAsia="Arial" w:hAnsi="Arial"/>
          <w:sz w:val="17"/>
          <w:szCs w:val="17"/>
          <w:color w:val="auto"/>
        </w:rPr>
      </w:pPr>
    </w:p>
    <w:p>
      <w:pPr>
        <w:ind w:left="1220" w:right="200" w:hanging="531"/>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10" w:lineRule="exact"/>
        <w:rPr>
          <w:sz w:val="20"/>
          <w:szCs w:val="20"/>
          <w:color w:val="auto"/>
        </w:rPr>
      </w:pPr>
    </w:p>
    <w:p>
      <w:pPr>
        <w:ind w:right="40" w:firstLine="382"/>
        <w:spacing w:after="0" w:line="306"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40" w:lineRule="exact"/>
        <w:rPr>
          <w:sz w:val="20"/>
          <w:szCs w:val="20"/>
          <w:color w:val="auto"/>
        </w:rPr>
      </w:pPr>
    </w:p>
    <w:p>
      <w:pPr>
        <w:ind w:right="260" w:firstLine="382"/>
        <w:spacing w:after="0" w:line="273" w:lineRule="auto"/>
        <w:rPr>
          <w:sz w:val="20"/>
          <w:szCs w:val="20"/>
          <w:color w:val="auto"/>
        </w:rPr>
      </w:pPr>
      <w:r>
        <w:rPr>
          <w:rFonts w:ascii="Arial" w:cs="Arial" w:eastAsia="Arial" w:hAnsi="Arial"/>
          <w:sz w:val="17"/>
          <w:szCs w:val="17"/>
          <w:b w:val="1"/>
          <w:bCs w:val="1"/>
          <w:i w:val="1"/>
          <w:iCs w:val="1"/>
          <w:color w:val="auto"/>
        </w:rPr>
        <w:t>Our approach to drug discovery and development in the area of fibrotic diseases, with an initial focus on tissue-specific integrin modulation and TGF-β signaling inhibition, is unproven and may not result in marketable products.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31" w:name="page32"/>
    <w:bookmarkEnd w:id="31"/>
    <w:p>
      <w:pPr>
        <w:ind w:right="40" w:firstLine="382"/>
        <w:spacing w:after="0" w:line="272" w:lineRule="auto"/>
        <w:rPr>
          <w:sz w:val="20"/>
          <w:szCs w:val="20"/>
          <w:color w:val="auto"/>
        </w:rPr>
      </w:pPr>
      <w:r>
        <w:rPr>
          <w:rFonts w:ascii="Arial" w:cs="Arial" w:eastAsia="Arial" w:hAnsi="Arial"/>
          <w:sz w:val="16"/>
          <w:szCs w:val="16"/>
          <w:color w:val="auto"/>
        </w:rPr>
        <w:t>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bexotegrast,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67" w:lineRule="exact"/>
        <w:rPr>
          <w:sz w:val="20"/>
          <w:szCs w:val="20"/>
          <w:color w:val="auto"/>
        </w:rPr>
      </w:pPr>
    </w:p>
    <w:p>
      <w:pPr>
        <w:ind w:right="140" w:firstLine="382"/>
        <w:spacing w:after="0" w:line="271"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68" w:lineRule="exact"/>
        <w:rPr>
          <w:sz w:val="20"/>
          <w:szCs w:val="20"/>
          <w:color w:val="auto"/>
        </w:rPr>
      </w:pPr>
    </w:p>
    <w:p>
      <w:pPr>
        <w:ind w:firstLine="382"/>
        <w:spacing w:after="0" w:line="275"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Clinical development involves a lengthy, complex, and expensive process, with an uncertain outcome.</w:t>
      </w:r>
    </w:p>
    <w:p>
      <w:pPr>
        <w:spacing w:after="0" w:line="110" w:lineRule="exact"/>
        <w:rPr>
          <w:sz w:val="20"/>
          <w:szCs w:val="20"/>
          <w:color w:val="auto"/>
        </w:rPr>
      </w:pPr>
    </w:p>
    <w:p>
      <w:pPr>
        <w:ind w:right="20" w:firstLine="382"/>
        <w:spacing w:after="0" w:line="268" w:lineRule="auto"/>
        <w:rPr>
          <w:sz w:val="20"/>
          <w:szCs w:val="20"/>
          <w:color w:val="auto"/>
        </w:rPr>
      </w:pPr>
      <w:r>
        <w:rPr>
          <w:rFonts w:ascii="Arial" w:cs="Arial" w:eastAsia="Arial" w:hAnsi="Arial"/>
          <w:sz w:val="16"/>
          <w:szCs w:val="16"/>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spacing w:after="0" w:line="77" w:lineRule="exact"/>
        <w:rPr>
          <w:sz w:val="20"/>
          <w:szCs w:val="20"/>
          <w:color w:val="auto"/>
        </w:rPr>
      </w:pPr>
    </w:p>
    <w:p>
      <w:pPr>
        <w:ind w:left="1220" w:right="300" w:hanging="531"/>
        <w:spacing w:after="0" w:line="273" w:lineRule="auto"/>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establish clinical endpoints that applicable regulatory authorities would consider clinically meaningful;</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receive the necessary regulatory approvals;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 of competing products in the same disease state;</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121" w:lineRule="exact"/>
        <w:rPr>
          <w:rFonts w:ascii="Arial" w:cs="Arial" w:eastAsia="Arial" w:hAnsi="Arial"/>
          <w:sz w:val="16"/>
          <w:szCs w:val="16"/>
          <w:color w:val="auto"/>
        </w:rPr>
      </w:pPr>
    </w:p>
    <w:p>
      <w:pPr>
        <w:ind w:left="1220" w:right="700" w:hanging="531"/>
        <w:spacing w:after="0" w:line="273" w:lineRule="auto"/>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one of our product candidates from being commercialized.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2" w:name="page33"/>
    <w:bookmarkEnd w:id="32"/>
    <w:p>
      <w:pPr>
        <w:ind w:firstLine="382"/>
        <w:spacing w:after="0" w:line="269"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72" w:lineRule="exact"/>
        <w:rPr>
          <w:sz w:val="20"/>
          <w:szCs w:val="20"/>
          <w:color w:val="auto"/>
        </w:rPr>
      </w:pPr>
    </w:p>
    <w:p>
      <w:pPr>
        <w:ind w:right="20" w:firstLine="382"/>
        <w:spacing w:after="0" w:line="269"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75" w:lineRule="exact"/>
        <w:rPr>
          <w:sz w:val="20"/>
          <w:szCs w:val="20"/>
          <w:color w:val="auto"/>
        </w:rPr>
      </w:pPr>
    </w:p>
    <w:p>
      <w:pPr>
        <w:ind w:right="120" w:firstLine="382"/>
        <w:spacing w:after="0" w:line="275" w:lineRule="auto"/>
        <w:rPr>
          <w:sz w:val="20"/>
          <w:szCs w:val="20"/>
          <w:color w:val="auto"/>
        </w:rPr>
      </w:pPr>
      <w:r>
        <w:rPr>
          <w:rFonts w:ascii="Arial" w:cs="Arial" w:eastAsia="Arial" w:hAnsi="Arial"/>
          <w:sz w:val="16"/>
          <w:szCs w:val="16"/>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65" w:lineRule="exact"/>
        <w:rPr>
          <w:sz w:val="20"/>
          <w:szCs w:val="20"/>
          <w:color w:val="auto"/>
        </w:rPr>
      </w:pPr>
    </w:p>
    <w:p>
      <w:pPr>
        <w:jc w:val="both"/>
        <w:ind w:right="220" w:firstLine="382"/>
        <w:spacing w:after="0" w:line="279" w:lineRule="auto"/>
        <w:rPr>
          <w:sz w:val="20"/>
          <w:szCs w:val="20"/>
          <w:color w:val="auto"/>
        </w:rPr>
      </w:pPr>
      <w:r>
        <w:rPr>
          <w:rFonts w:ascii="Arial" w:cs="Arial" w:eastAsia="Arial" w:hAnsi="Arial"/>
          <w:sz w:val="16"/>
          <w:szCs w:val="16"/>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60" w:lineRule="exact"/>
        <w:rPr>
          <w:sz w:val="20"/>
          <w:szCs w:val="20"/>
          <w:color w:val="auto"/>
        </w:rPr>
      </w:pPr>
    </w:p>
    <w:p>
      <w:pPr>
        <w:ind w:right="720" w:firstLine="382"/>
        <w:spacing w:after="0" w:line="273" w:lineRule="auto"/>
        <w:rPr>
          <w:sz w:val="20"/>
          <w:szCs w:val="20"/>
          <w:color w:val="auto"/>
        </w:rPr>
      </w:pPr>
      <w:r>
        <w:rPr>
          <w:rFonts w:ascii="Arial" w:cs="Arial" w:eastAsia="Arial" w:hAnsi="Arial"/>
          <w:sz w:val="17"/>
          <w:szCs w:val="17"/>
          <w:b w:val="1"/>
          <w:bCs w:val="1"/>
          <w:i w:val="1"/>
          <w:iCs w:val="1"/>
          <w:color w:val="auto"/>
        </w:rPr>
        <w:t>We may incur additional costs or experience delays in completing, or ultimately be unable to complete, the development and commercialization of bexotegrast or any other product candidates.</w:t>
      </w:r>
    </w:p>
    <w:p>
      <w:pPr>
        <w:spacing w:after="0" w:line="64" w:lineRule="exact"/>
        <w:rPr>
          <w:sz w:val="20"/>
          <w:szCs w:val="20"/>
          <w:color w:val="auto"/>
        </w:rPr>
      </w:pPr>
    </w:p>
    <w:p>
      <w:pPr>
        <w:ind w:right="220" w:firstLine="382"/>
        <w:spacing w:after="0" w:line="342" w:lineRule="auto"/>
        <w:rPr>
          <w:sz w:val="20"/>
          <w:szCs w:val="20"/>
          <w:color w:val="auto"/>
        </w:rPr>
      </w:pPr>
      <w:r>
        <w:rPr>
          <w:rFonts w:ascii="Arial" w:cs="Arial" w:eastAsia="Arial" w:hAnsi="Arial"/>
          <w:sz w:val="15"/>
          <w:szCs w:val="15"/>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w:t>
      </w:r>
    </w:p>
    <w:p>
      <w:pPr>
        <w:spacing w:after="0" w:line="17" w:lineRule="exact"/>
        <w:rPr>
          <w:sz w:val="20"/>
          <w:szCs w:val="20"/>
          <w:color w:val="auto"/>
        </w:rPr>
      </w:pPr>
    </w:p>
    <w:p>
      <w:pPr>
        <w:ind w:left="1220" w:right="280" w:hanging="531"/>
        <w:spacing w:after="0" w:line="273"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64" w:lineRule="exact"/>
        <w:rPr>
          <w:rFonts w:ascii="Arial" w:cs="Arial" w:eastAsia="Arial" w:hAnsi="Arial"/>
          <w:sz w:val="17"/>
          <w:szCs w:val="17"/>
          <w:color w:val="auto"/>
        </w:rPr>
      </w:pPr>
    </w:p>
    <w:p>
      <w:pPr>
        <w:ind w:left="1220" w:right="20" w:hanging="531"/>
        <w:spacing w:after="0" w:line="342" w:lineRule="auto"/>
        <w:tabs>
          <w:tab w:leader="none" w:pos="12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17" w:lineRule="exact"/>
        <w:rPr>
          <w:rFonts w:ascii="Arial" w:cs="Arial" w:eastAsia="Arial" w:hAnsi="Arial"/>
          <w:sz w:val="15"/>
          <w:szCs w:val="15"/>
          <w:color w:val="auto"/>
        </w:rPr>
      </w:pPr>
    </w:p>
    <w:p>
      <w:pPr>
        <w:ind w:left="1220" w:right="40" w:hanging="531"/>
        <w:spacing w:after="0" w:line="342" w:lineRule="auto"/>
        <w:tabs>
          <w:tab w:leader="none" w:pos="12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3" w:name="page34"/>
    <w:bookmarkEnd w:id="33"/>
    <w:p>
      <w:pPr>
        <w:ind w:left="1220" w:right="380" w:hanging="531"/>
        <w:spacing w:after="0" w:line="273"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64" w:lineRule="exact"/>
        <w:rPr>
          <w:rFonts w:ascii="Arial" w:cs="Arial" w:eastAsia="Arial" w:hAnsi="Arial"/>
          <w:sz w:val="17"/>
          <w:szCs w:val="17"/>
          <w:color w:val="auto"/>
        </w:rPr>
      </w:pPr>
    </w:p>
    <w:p>
      <w:pPr>
        <w:ind w:left="1220" w:right="60" w:hanging="531"/>
        <w:spacing w:after="0" w:line="306" w:lineRule="auto"/>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39" w:lineRule="exact"/>
        <w:rPr>
          <w:rFonts w:ascii="Arial" w:cs="Arial" w:eastAsia="Arial" w:hAnsi="Arial"/>
          <w:sz w:val="16"/>
          <w:szCs w:val="16"/>
          <w:color w:val="auto"/>
        </w:rPr>
      </w:pPr>
    </w:p>
    <w:p>
      <w:pPr>
        <w:ind w:left="1220" w:right="180" w:hanging="531"/>
        <w:spacing w:after="0" w:line="285" w:lineRule="auto"/>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56" w:lineRule="exact"/>
        <w:rPr>
          <w:rFonts w:ascii="Arial" w:cs="Arial" w:eastAsia="Arial" w:hAnsi="Arial"/>
          <w:sz w:val="16"/>
          <w:szCs w:val="16"/>
          <w:color w:val="auto"/>
        </w:rPr>
      </w:pPr>
    </w:p>
    <w:p>
      <w:pPr>
        <w:ind w:left="1220" w:hanging="531"/>
        <w:spacing w:after="0" w:line="273"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additional delays and interruptions to our clinical trials could extend the duration of the trials and increase the overall costs to finish the trials as our fixed costs are not substantially reduced during delays;</w:t>
      </w:r>
    </w:p>
    <w:p>
      <w:pPr>
        <w:spacing w:after="0" w:line="64" w:lineRule="exact"/>
        <w:rPr>
          <w:rFonts w:ascii="Arial" w:cs="Arial" w:eastAsia="Arial" w:hAnsi="Arial"/>
          <w:sz w:val="17"/>
          <w:szCs w:val="17"/>
          <w:color w:val="auto"/>
        </w:rPr>
      </w:pPr>
    </w:p>
    <w:p>
      <w:pPr>
        <w:ind w:left="1220" w:right="260" w:hanging="531"/>
        <w:spacing w:after="0" w:line="261"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74" w:lineRule="exact"/>
        <w:rPr>
          <w:rFonts w:ascii="Arial" w:cs="Arial" w:eastAsia="Arial" w:hAnsi="Arial"/>
          <w:sz w:val="17"/>
          <w:szCs w:val="17"/>
          <w:color w:val="auto"/>
        </w:rPr>
      </w:pPr>
    </w:p>
    <w:p>
      <w:pPr>
        <w:ind w:left="1220" w:right="200" w:hanging="531"/>
        <w:spacing w:after="0" w:line="273"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have the financial resources available to begin and complete the planned trials, or the cost of clinical trials of any product candidates may be greater than we anticipate;</w:t>
      </w:r>
    </w:p>
    <w:p>
      <w:pPr>
        <w:spacing w:after="0" w:line="64" w:lineRule="exact"/>
        <w:rPr>
          <w:rFonts w:ascii="Arial" w:cs="Arial" w:eastAsia="Arial" w:hAnsi="Arial"/>
          <w:sz w:val="17"/>
          <w:szCs w:val="17"/>
          <w:color w:val="auto"/>
        </w:rPr>
      </w:pPr>
    </w:p>
    <w:p>
      <w:pPr>
        <w:ind w:left="1220" w:right="120" w:hanging="531"/>
        <w:spacing w:after="0" w:line="273"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to initiate or complete a given clinical trial; and</w:t>
      </w:r>
    </w:p>
    <w:p>
      <w:pPr>
        <w:spacing w:after="0" w:line="64" w:lineRule="exact"/>
        <w:rPr>
          <w:rFonts w:ascii="Arial" w:cs="Arial" w:eastAsia="Arial" w:hAnsi="Arial"/>
          <w:sz w:val="17"/>
          <w:szCs w:val="17"/>
          <w:color w:val="auto"/>
        </w:rPr>
      </w:pPr>
    </w:p>
    <w:p>
      <w:pPr>
        <w:ind w:left="1220" w:right="480" w:hanging="531"/>
        <w:spacing w:after="0" w:line="273"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require us to submit additional data such as long-term toxicology studies, or impose other requirements before permitting us to initiate a clinical trial.</w:t>
      </w:r>
    </w:p>
    <w:p>
      <w:pPr>
        <w:spacing w:after="0" w:line="64"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84" w:lineRule="exact"/>
        <w:rPr>
          <w:sz w:val="20"/>
          <w:szCs w:val="20"/>
          <w:color w:val="auto"/>
        </w:rPr>
      </w:pPr>
    </w:p>
    <w:p>
      <w:pPr>
        <w:ind w:right="220" w:firstLine="382"/>
        <w:spacing w:after="0" w:line="342"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17" w:lineRule="exact"/>
        <w:rPr>
          <w:sz w:val="20"/>
          <w:szCs w:val="20"/>
          <w:color w:val="auto"/>
        </w:rPr>
      </w:pPr>
    </w:p>
    <w:p>
      <w:pPr>
        <w:ind w:right="40" w:firstLine="382"/>
        <w:spacing w:after="0" w:line="269" w:lineRule="auto"/>
        <w:rPr>
          <w:sz w:val="20"/>
          <w:szCs w:val="20"/>
          <w:color w:val="auto"/>
        </w:rPr>
      </w:pPr>
      <w:r>
        <w:rPr>
          <w:rFonts w:ascii="Arial" w:cs="Arial" w:eastAsia="Arial" w:hAnsi="Arial"/>
          <w:sz w:val="16"/>
          <w:szCs w:val="16"/>
          <w:color w:val="auto"/>
        </w:rPr>
        <w:t>We completed our Phase 1a clinical trial of our lead product candidate bexotegrast in healthy volunteers, and, with the exception of a number of reported minor adverse events, the product candidate was observed to be generally well-tolerated across all doses in 71 trial participants. In addition, we announced positive interim data from our first Phase 2a INTEGRIS-IPF trial in July 2022, January 2023 and May 2023 in which bexotegrast was observed to be well-tolerated over a treatment period of at least 12 weeks, and up to 40 weeks, in the 89 patients treated with bexotegrast.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w:t>
      </w:r>
    </w:p>
    <w:p>
      <w:pPr>
        <w:spacing w:after="0" w:line="75" w:lineRule="exact"/>
        <w:rPr>
          <w:sz w:val="20"/>
          <w:szCs w:val="20"/>
          <w:color w:val="auto"/>
        </w:rPr>
      </w:pPr>
    </w:p>
    <w:p>
      <w:pPr>
        <w:ind w:right="80" w:firstLine="382"/>
        <w:spacing w:after="0" w:line="285" w:lineRule="auto"/>
        <w:rPr>
          <w:sz w:val="20"/>
          <w:szCs w:val="20"/>
          <w:color w:val="auto"/>
        </w:rPr>
      </w:pPr>
      <w:r>
        <w:rPr>
          <w:rFonts w:ascii="Arial" w:cs="Arial" w:eastAsia="Arial" w:hAnsi="Arial"/>
          <w:sz w:val="16"/>
          <w:szCs w:val="16"/>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4" w:name="page35"/>
    <w:bookmarkEnd w:id="34"/>
    <w:p>
      <w:pPr>
        <w:jc w:val="both"/>
        <w:ind w:right="260" w:firstLine="382"/>
        <w:spacing w:after="0" w:line="261" w:lineRule="auto"/>
        <w:rPr>
          <w:sz w:val="20"/>
          <w:szCs w:val="20"/>
          <w:color w:val="auto"/>
        </w:rPr>
      </w:pPr>
      <w:r>
        <w:rPr>
          <w:rFonts w:ascii="Arial" w:cs="Arial" w:eastAsia="Arial" w:hAnsi="Arial"/>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75" w:lineRule="exact"/>
        <w:rPr>
          <w:sz w:val="20"/>
          <w:szCs w:val="20"/>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patient eligibility and exclusion criteria defined in the protocol;</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size of the patient population required for analysis of the trial’s primary endpoints and the process for identifying patients;</w:t>
      </w:r>
    </w:p>
    <w:p>
      <w:pPr>
        <w:spacing w:after="0" w:line="109" w:lineRule="exact"/>
        <w:rPr>
          <w:rFonts w:ascii="Arial" w:cs="Arial" w:eastAsia="Arial" w:hAnsi="Arial"/>
          <w:sz w:val="17"/>
          <w:szCs w:val="17"/>
          <w:color w:val="auto"/>
        </w:rPr>
      </w:pPr>
    </w:p>
    <w:p>
      <w:pPr>
        <w:ind w:left="1220" w:right="40" w:hanging="531"/>
        <w:spacing w:after="0" w:line="273" w:lineRule="auto"/>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or availability (including legality under any future or reinstated COVID-19 shelter-in-place regulations) of patients to participate in our trials (including due to fears of contracting COVID-19);</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09" w:lineRule="exact"/>
        <w:rPr>
          <w:rFonts w:ascii="Arial" w:cs="Arial" w:eastAsia="Arial" w:hAnsi="Arial"/>
          <w:sz w:val="17"/>
          <w:szCs w:val="17"/>
          <w:color w:val="auto"/>
        </w:rPr>
      </w:pPr>
    </w:p>
    <w:p>
      <w:pPr>
        <w:ind w:left="1220" w:right="300" w:hanging="531"/>
        <w:spacing w:after="0" w:line="273" w:lineRule="auto"/>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competing commercially available therapies and other competing product candidates’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obtain and maintain patient informed consents;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0" w:lineRule="exact"/>
        <w:rPr>
          <w:sz w:val="20"/>
          <w:szCs w:val="20"/>
          <w:color w:val="auto"/>
        </w:rPr>
      </w:pPr>
    </w:p>
    <w:p>
      <w:pPr>
        <w:ind w:firstLine="382"/>
        <w:spacing w:after="0" w:line="272" w:lineRule="auto"/>
        <w:rPr>
          <w:sz w:val="20"/>
          <w:szCs w:val="20"/>
          <w:color w:val="auto"/>
        </w:rPr>
      </w:pPr>
      <w:r>
        <w:rPr>
          <w:rFonts w:ascii="Arial" w:cs="Arial" w:eastAsia="Arial" w:hAnsi="Arial"/>
          <w:sz w:val="16"/>
          <w:szCs w:val="16"/>
          <w:color w:val="auto"/>
        </w:rPr>
        <w:t>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bexotegrast due, in part, to the small size of these patient populations.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67" w:lineRule="exact"/>
        <w:rPr>
          <w:sz w:val="20"/>
          <w:szCs w:val="20"/>
          <w:color w:val="auto"/>
        </w:rPr>
      </w:pPr>
    </w:p>
    <w:p>
      <w:pPr>
        <w:ind w:right="180" w:firstLine="382"/>
        <w:spacing w:after="0" w:line="270" w:lineRule="auto"/>
        <w:rPr>
          <w:sz w:val="20"/>
          <w:szCs w:val="20"/>
          <w:color w:val="auto"/>
        </w:rPr>
      </w:pPr>
      <w:r>
        <w:rPr>
          <w:rFonts w:ascii="Arial" w:cs="Arial" w:eastAsia="Arial" w:hAnsi="Arial"/>
          <w:sz w:val="16"/>
          <w:szCs w:val="16"/>
          <w:color w:val="auto"/>
        </w:rPr>
        <w:t>Further, timely enrollment in clinical trials is reliant on clinical trial sites which may be adversely affected by global health matters, including, among other things, pandemics. For example, our clinical trial sites have been affected by lingering effects of the COVID-19 pandemic. Commencement of enrollment of our clinical trials of bexotegrast in IPF and PSC was delayed. While these trials have resumed patient enrollment, and in some cases completed enrollment, we experienced slower than expected enrollment due to the pandemic. Also, while the Phase 1 trial of PLN-1474 has completed, this trial experienced delays due to COVID-19. In addition, after enrollment in these trials, if patients contract illnesses during participation in our trials or are subject to isolation or shelter-in-place restrictions to combat future pandemics, including a resurgence of the COVID-19 pandemic, this may cause them to drop out of our trials, miss scheduled doses or follow-up visits or otherwise fail to follow trial protocols. If patients are unable to follow the trial protocols or if our trial results are otherwise disputed due to the effects of the a pandemic or actions taken to mitigate its spread, the integrity of data from our trials may be compromised or not accepted by the FDA or other regulatory authorities, which would represent a significant setback for the applicable program.</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design or execution of our ongoing and future clinical trials may not support marketing approval.</w:t>
      </w:r>
    </w:p>
    <w:p>
      <w:pPr>
        <w:spacing w:after="0" w:line="110" w:lineRule="exact"/>
        <w:rPr>
          <w:sz w:val="20"/>
          <w:szCs w:val="20"/>
          <w:color w:val="auto"/>
        </w:rPr>
      </w:pPr>
    </w:p>
    <w:p>
      <w:pPr>
        <w:ind w:right="20" w:firstLine="382"/>
        <w:spacing w:after="0" w:line="293" w:lineRule="auto"/>
        <w:rPr>
          <w:sz w:val="20"/>
          <w:szCs w:val="20"/>
          <w:color w:val="auto"/>
        </w:rPr>
      </w:pPr>
      <w:r>
        <w:rPr>
          <w:rFonts w:ascii="Arial" w:cs="Arial" w:eastAsia="Arial" w:hAnsi="Arial"/>
          <w:sz w:val="15"/>
          <w:szCs w:val="15"/>
          <w:color w:val="auto"/>
        </w:rPr>
        <w:t>The design or execution of a clinical trial can determine whether its results will support marketing approval, and flaws in the design or execution of a clinical trial may not become apparent until the clinical trial is well advanced. We recently completed two Phase 2a trials of bexotegrast in IPF. In the first of these trials, the study was designed to enroll IPF patients and utilize a positron emission tomography, or PET, ligand to measure αvß6 target engagement by bexotegrast in the lungs post-treatment. The second trial was a double-blind placebo-controlled trial designed to evaluate safety, tolerability and pharmacokinetics of bexotegrast in IPF patients for up to 48 weeks at doses of up to 320 mg. It is possible that we may need to amend our clinical trials, which would require us to resubmit our clinical trial protocols to competent authorities and ethics committees for reexamination, and may impact the costs, timing, or successful completion of such clinical trial. In addition, we may desire to test bexotegrast at doses exceeding those evaluated in an ongoing Phase 1a trial and may not be able to do so.</w:t>
      </w:r>
    </w:p>
    <w:p>
      <w:pPr>
        <w:spacing w:after="0" w:line="52" w:lineRule="exact"/>
        <w:rPr>
          <w:sz w:val="20"/>
          <w:szCs w:val="20"/>
          <w:color w:val="auto"/>
        </w:rPr>
      </w:pPr>
    </w:p>
    <w:p>
      <w:pPr>
        <w:ind w:right="120" w:firstLine="382"/>
        <w:spacing w:after="0" w:line="261"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35" w:name="page36"/>
    <w:bookmarkEnd w:id="35"/>
    <w:p>
      <w:pPr>
        <w:ind w:right="100"/>
        <w:spacing w:after="0" w:line="273" w:lineRule="auto"/>
        <w:rPr>
          <w:sz w:val="20"/>
          <w:szCs w:val="20"/>
          <w:color w:val="auto"/>
        </w:rPr>
      </w:pPr>
      <w:r>
        <w:rPr>
          <w:rFonts w:ascii="Arial" w:cs="Arial" w:eastAsia="Arial" w:hAnsi="Arial"/>
          <w:sz w:val="17"/>
          <w:szCs w:val="17"/>
          <w:color w:val="auto"/>
        </w:rPr>
        <w:t>trial participants. We do not know whether any clinical trials we conduct will demonstrate consistent or adequate efficacy and safety to obtain marketing approval to market our product candidates.</w:t>
      </w:r>
    </w:p>
    <w:p>
      <w:pPr>
        <w:spacing w:after="0" w:line="6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68" w:lineRule="exact"/>
        <w:rPr>
          <w:sz w:val="20"/>
          <w:szCs w:val="20"/>
          <w:color w:val="auto"/>
        </w:rPr>
      </w:pPr>
    </w:p>
    <w:p>
      <w:pPr>
        <w:ind w:right="180" w:firstLine="382"/>
        <w:spacing w:after="0" w:line="273" w:lineRule="auto"/>
        <w:rPr>
          <w:sz w:val="20"/>
          <w:szCs w:val="20"/>
          <w:color w:val="auto"/>
        </w:rPr>
      </w:pPr>
      <w:r>
        <w:rPr>
          <w:rFonts w:ascii="Arial" w:cs="Arial" w:eastAsia="Arial" w:hAnsi="Arial"/>
          <w:sz w:val="17"/>
          <w:szCs w:val="17"/>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64" w:lineRule="exact"/>
        <w:rPr>
          <w:sz w:val="20"/>
          <w:szCs w:val="20"/>
          <w:color w:val="auto"/>
        </w:rPr>
      </w:pPr>
    </w:p>
    <w:p>
      <w:pPr>
        <w:ind w:right="180" w:firstLine="382"/>
        <w:spacing w:after="0" w:line="343" w:lineRule="auto"/>
        <w:rPr>
          <w:sz w:val="20"/>
          <w:szCs w:val="20"/>
          <w:color w:val="auto"/>
        </w:rPr>
      </w:pPr>
      <w:r>
        <w:rPr>
          <w:rFonts w:ascii="Arial" w:cs="Arial" w:eastAsia="Arial" w:hAnsi="Arial"/>
          <w:sz w:val="14"/>
          <w:szCs w:val="14"/>
          <w:b w:val="1"/>
          <w:bCs w:val="1"/>
          <w:i w:val="1"/>
          <w:iCs w:val="1"/>
          <w:color w:val="auto"/>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22" w:lineRule="exact"/>
        <w:rPr>
          <w:sz w:val="20"/>
          <w:szCs w:val="20"/>
          <w:color w:val="auto"/>
        </w:rPr>
      </w:pPr>
    </w:p>
    <w:p>
      <w:pPr>
        <w:ind w:right="100" w:firstLine="382"/>
        <w:spacing w:after="0" w:line="289" w:lineRule="auto"/>
        <w:rPr>
          <w:sz w:val="20"/>
          <w:szCs w:val="20"/>
          <w:color w:val="auto"/>
        </w:rPr>
      </w:pPr>
      <w:r>
        <w:rPr>
          <w:rFonts w:ascii="Arial" w:cs="Arial" w:eastAsia="Arial" w:hAnsi="Arial"/>
          <w:sz w:val="15"/>
          <w:szCs w:val="15"/>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Food and Drug Administration, or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or EEA,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56" w:lineRule="exact"/>
        <w:rPr>
          <w:sz w:val="20"/>
          <w:szCs w:val="20"/>
          <w:color w:val="auto"/>
        </w:rPr>
      </w:pPr>
    </w:p>
    <w:p>
      <w:pPr>
        <w:jc w:val="both"/>
        <w:ind w:right="240" w:firstLine="382"/>
        <w:spacing w:after="0" w:line="279" w:lineRule="auto"/>
        <w:rPr>
          <w:sz w:val="20"/>
          <w:szCs w:val="20"/>
          <w:color w:val="auto"/>
        </w:rPr>
      </w:pPr>
      <w:r>
        <w:rPr>
          <w:rFonts w:ascii="Arial" w:cs="Arial" w:eastAsia="Arial" w:hAnsi="Arial"/>
          <w:sz w:val="16"/>
          <w:szCs w:val="16"/>
          <w:color w:val="auto"/>
        </w:rPr>
        <w:t>Although we have received U.S. orphan drug designation for bexotegrast for idiopathic pulmonary fibrosis, or IPF, and primary sclerosing cholangitis,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60"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52" w:lineRule="exact"/>
        <w:rPr>
          <w:sz w:val="20"/>
          <w:szCs w:val="20"/>
          <w:color w:val="auto"/>
        </w:rPr>
      </w:pPr>
    </w:p>
    <w:p>
      <w:pPr>
        <w:ind w:right="20" w:firstLine="382"/>
        <w:spacing w:after="0" w:line="255"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European Medicines Agency,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spacing w:after="0" w:line="81"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In addition, Congress is considering updates to the orphan drug provisions of the Food, Drug, and Cosmetic Act, or FDCA, in response to a recent decision by the U.S. Court of Appeals for the Eleventh Circuit. Any changes to the orphan drug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6" w:name="page37"/>
    <w:bookmarkEnd w:id="36"/>
    <w:p>
      <w:pPr>
        <w:ind w:right="380"/>
        <w:spacing w:after="0" w:line="273" w:lineRule="auto"/>
        <w:rPr>
          <w:sz w:val="20"/>
          <w:szCs w:val="20"/>
          <w:color w:val="auto"/>
        </w:rPr>
      </w:pPr>
      <w:r>
        <w:rPr>
          <w:rFonts w:ascii="Arial" w:cs="Arial" w:eastAsia="Arial" w:hAnsi="Arial"/>
          <w:sz w:val="17"/>
          <w:szCs w:val="17"/>
          <w:color w:val="auto"/>
        </w:rPr>
        <w:t>provisions could change our opportunities for, or likelihood of success in obtaining, orphan drug exclusivity and would materially adversely affect our business, results of operations, financial condition and prospects.</w:t>
      </w:r>
    </w:p>
    <w:p>
      <w:pPr>
        <w:spacing w:after="0" w:line="64" w:lineRule="exact"/>
        <w:rPr>
          <w:sz w:val="20"/>
          <w:szCs w:val="20"/>
          <w:color w:val="auto"/>
        </w:rPr>
      </w:pPr>
    </w:p>
    <w:p>
      <w:pPr>
        <w:ind w:right="260" w:firstLine="382"/>
        <w:spacing w:after="0" w:line="306" w:lineRule="auto"/>
        <w:rPr>
          <w:sz w:val="20"/>
          <w:szCs w:val="20"/>
          <w:color w:val="auto"/>
        </w:rPr>
      </w:pPr>
      <w:r>
        <w:rPr>
          <w:rFonts w:ascii="Arial" w:cs="Arial" w:eastAsia="Arial" w:hAnsi="Arial"/>
          <w:sz w:val="16"/>
          <w:szCs w:val="16"/>
          <w:b w:val="1"/>
          <w:bCs w:val="1"/>
          <w:i w:val="1"/>
          <w:iCs w:val="1"/>
          <w:color w:val="auto"/>
        </w:rPr>
        <w:t>A Fast Track designation by the FDA, even if granted for other current or future product candidates, may not lead to a faster development or regulatory review, licensure process and does not increase the likelihood that our product candidates will receive marketing licensure.</w:t>
      </w:r>
    </w:p>
    <w:p>
      <w:pPr>
        <w:spacing w:after="0" w:line="40" w:lineRule="exact"/>
        <w:rPr>
          <w:sz w:val="20"/>
          <w:szCs w:val="20"/>
          <w:color w:val="auto"/>
        </w:rPr>
      </w:pPr>
    </w:p>
    <w:p>
      <w:pPr>
        <w:ind w:right="20" w:firstLine="382"/>
        <w:spacing w:after="0" w:line="269" w:lineRule="auto"/>
        <w:rPr>
          <w:sz w:val="20"/>
          <w:szCs w:val="20"/>
          <w:color w:val="auto"/>
        </w:rPr>
      </w:pPr>
      <w:r>
        <w:rPr>
          <w:rFonts w:ascii="Arial" w:cs="Arial" w:eastAsia="Arial" w:hAnsi="Arial"/>
          <w:sz w:val="16"/>
          <w:szCs w:val="16"/>
          <w:color w:val="auto"/>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10" w:lineRule="exact"/>
        <w:rPr>
          <w:sz w:val="20"/>
          <w:szCs w:val="20"/>
          <w:color w:val="auto"/>
        </w:rPr>
      </w:pPr>
    </w:p>
    <w:p>
      <w:pPr>
        <w:ind w:right="100" w:firstLine="382"/>
        <w:spacing w:after="0" w:line="295" w:lineRule="auto"/>
        <w:rPr>
          <w:sz w:val="20"/>
          <w:szCs w:val="20"/>
          <w:color w:val="auto"/>
        </w:rPr>
      </w:pPr>
      <w:r>
        <w:rPr>
          <w:rFonts w:ascii="Arial" w:cs="Arial" w:eastAsia="Arial" w:hAnsi="Arial"/>
          <w:sz w:val="15"/>
          <w:szCs w:val="15"/>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51" w:lineRule="exact"/>
        <w:rPr>
          <w:sz w:val="20"/>
          <w:szCs w:val="20"/>
          <w:color w:val="auto"/>
        </w:rPr>
      </w:pPr>
    </w:p>
    <w:p>
      <w:pPr>
        <w:ind w:right="160" w:firstLine="382"/>
        <w:spacing w:after="0" w:line="270"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0"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for a number of reasons, including:</w:t>
      </w:r>
    </w:p>
    <w:p>
      <w:pPr>
        <w:spacing w:after="0" w:line="64" w:lineRule="exact"/>
        <w:rPr>
          <w:sz w:val="20"/>
          <w:szCs w:val="20"/>
          <w:color w:val="auto"/>
        </w:rPr>
      </w:pPr>
    </w:p>
    <w:p>
      <w:pPr>
        <w:ind w:left="1220" w:hanging="531"/>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109" w:lineRule="exact"/>
        <w:rPr>
          <w:rFonts w:ascii="Arial" w:cs="Arial" w:eastAsia="Arial" w:hAnsi="Arial"/>
          <w:sz w:val="17"/>
          <w:szCs w:val="17"/>
          <w:color w:val="auto"/>
        </w:rPr>
      </w:pPr>
    </w:p>
    <w:p>
      <w:pPr>
        <w:ind w:left="1220" w:right="40" w:hanging="531"/>
        <w:spacing w:after="0" w:line="273"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64" w:lineRule="exact"/>
        <w:rPr>
          <w:sz w:val="20"/>
          <w:szCs w:val="20"/>
          <w:color w:val="auto"/>
        </w:rPr>
      </w:pPr>
    </w:p>
    <w:p>
      <w:pPr>
        <w:ind w:right="80" w:firstLine="382"/>
        <w:spacing w:after="0" w:line="261"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75" w:lineRule="exact"/>
        <w:rPr>
          <w:sz w:val="20"/>
          <w:szCs w:val="20"/>
          <w:color w:val="auto"/>
        </w:rPr>
      </w:pPr>
    </w:p>
    <w:p>
      <w:pPr>
        <w:ind w:right="380" w:firstLine="382"/>
        <w:spacing w:after="0" w:line="273"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7" w:name="page38"/>
    <w:bookmarkEnd w:id="37"/>
    <w:p>
      <w:pPr>
        <w:ind w:right="60" w:firstLine="382"/>
        <w:spacing w:after="0" w:line="295" w:lineRule="auto"/>
        <w:rPr>
          <w:sz w:val="20"/>
          <w:szCs w:val="20"/>
          <w:color w:val="auto"/>
        </w:rPr>
      </w:pPr>
      <w:r>
        <w:rPr>
          <w:rFonts w:ascii="Arial" w:cs="Arial" w:eastAsia="Arial" w:hAnsi="Arial"/>
          <w:sz w:val="15"/>
          <w:szCs w:val="15"/>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51" w:lineRule="exact"/>
        <w:rPr>
          <w:sz w:val="20"/>
          <w:szCs w:val="20"/>
          <w:color w:val="auto"/>
        </w:rPr>
      </w:pPr>
    </w:p>
    <w:p>
      <w:pPr>
        <w:ind w:right="200" w:firstLine="382"/>
        <w:spacing w:after="0" w:line="261" w:lineRule="auto"/>
        <w:rPr>
          <w:sz w:val="20"/>
          <w:szCs w:val="20"/>
          <w:color w:val="auto"/>
        </w:rPr>
      </w:pPr>
      <w:r>
        <w:rPr>
          <w:rFonts w:ascii="Arial" w:cs="Arial" w:eastAsia="Arial" w:hAnsi="Arial"/>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75"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64" w:lineRule="exact"/>
        <w:rPr>
          <w:sz w:val="20"/>
          <w:szCs w:val="20"/>
          <w:color w:val="auto"/>
        </w:rPr>
      </w:pPr>
    </w:p>
    <w:p>
      <w:pPr>
        <w:ind w:right="160" w:firstLine="382"/>
        <w:spacing w:after="0" w:line="253" w:lineRule="auto"/>
        <w:rPr>
          <w:sz w:val="20"/>
          <w:szCs w:val="20"/>
          <w:color w:val="auto"/>
        </w:rPr>
      </w:pPr>
      <w:r>
        <w:rPr>
          <w:rFonts w:ascii="Arial" w:cs="Arial" w:eastAsia="Arial" w:hAnsi="Arial"/>
          <w:sz w:val="17"/>
          <w:szCs w:val="17"/>
          <w:color w:val="auto"/>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bring a product candidate to the market;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clinical trial participants and inability to continue clinical trials;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fines, injunctions or criminal penalties;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diversion of management’s time and our resources;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substantial monetary awards to trial participants;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if approved;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decline in our share price.</w:t>
      </w:r>
    </w:p>
    <w:p>
      <w:pPr>
        <w:spacing w:after="0" w:line="110"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8" w:name="page39"/>
    <w:bookmarkEnd w:id="38"/>
    <w:p>
      <w:pPr>
        <w:ind w:right="40" w:firstLine="382"/>
        <w:spacing w:after="0" w:line="279" w:lineRule="auto"/>
        <w:rPr>
          <w:sz w:val="20"/>
          <w:szCs w:val="20"/>
          <w:color w:val="auto"/>
        </w:rPr>
      </w:pPr>
      <w:r>
        <w:rPr>
          <w:rFonts w:ascii="Arial" w:cs="Arial" w:eastAsia="Arial" w:hAnsi="Arial"/>
          <w:sz w:val="16"/>
          <w:szCs w:val="16"/>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0" w:lineRule="exact"/>
        <w:rPr>
          <w:sz w:val="20"/>
          <w:szCs w:val="20"/>
          <w:color w:val="auto"/>
        </w:rPr>
      </w:pPr>
    </w:p>
    <w:p>
      <w:pPr>
        <w:ind w:right="200" w:firstLine="382"/>
        <w:spacing w:after="0" w:line="309" w:lineRule="auto"/>
        <w:rPr>
          <w:sz w:val="20"/>
          <w:szCs w:val="20"/>
          <w:color w:val="auto"/>
        </w:rPr>
      </w:pPr>
      <w:r>
        <w:rPr>
          <w:rFonts w:ascii="Arial" w:cs="Arial" w:eastAsia="Arial" w:hAnsi="Arial"/>
          <w:sz w:val="15"/>
          <w:szCs w:val="15"/>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companies with significant financial resources such as AbbVie Inc., AstraZeneca plc, Bristol Myers Squibb Co., Corbus Pharmaceutical, DiCE Therapeutics, Inc. (pending aquisition by Eli Lilly and Company), Merck &amp; Co., Inc., Gilead Sciences, Inc., Morphic Therapeutics, Inc., Novartis AG, and Takeda Pharmaceutical Company.</w:t>
      </w:r>
    </w:p>
    <w:p>
      <w:pPr>
        <w:spacing w:after="0" w:line="75" w:lineRule="exact"/>
        <w:rPr>
          <w:sz w:val="20"/>
          <w:szCs w:val="20"/>
          <w:color w:val="auto"/>
        </w:rPr>
      </w:pPr>
    </w:p>
    <w:p>
      <w:pPr>
        <w:ind w:firstLine="382"/>
        <w:spacing w:after="0" w:line="342" w:lineRule="auto"/>
        <w:rPr>
          <w:sz w:val="20"/>
          <w:szCs w:val="20"/>
          <w:color w:val="auto"/>
        </w:rPr>
      </w:pPr>
      <w:r>
        <w:rPr>
          <w:rFonts w:ascii="Arial" w:cs="Arial" w:eastAsia="Arial" w:hAnsi="Arial"/>
          <w:sz w:val="15"/>
          <w:szCs w:val="15"/>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7"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Marketing, Reimbursement, Healthcare Regulations and Ongoing Regulatory Compliance</w:t>
      </w:r>
    </w:p>
    <w:p>
      <w:pPr>
        <w:spacing w:after="0" w:line="114" w:lineRule="exact"/>
        <w:rPr>
          <w:sz w:val="20"/>
          <w:szCs w:val="20"/>
          <w:color w:val="auto"/>
        </w:rPr>
      </w:pPr>
    </w:p>
    <w:p>
      <w:pPr>
        <w:ind w:right="180" w:firstLine="382"/>
        <w:spacing w:after="0" w:line="273"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64" w:lineRule="exact"/>
        <w:rPr>
          <w:sz w:val="20"/>
          <w:szCs w:val="20"/>
          <w:color w:val="auto"/>
        </w:rPr>
      </w:pPr>
    </w:p>
    <w:p>
      <w:pPr>
        <w:ind w:right="220" w:firstLine="382"/>
        <w:spacing w:after="0" w:line="257" w:lineRule="auto"/>
        <w:rPr>
          <w:sz w:val="20"/>
          <w:szCs w:val="20"/>
          <w:color w:val="auto"/>
        </w:rPr>
      </w:pPr>
      <w:r>
        <w:rPr>
          <w:rFonts w:ascii="Arial" w:cs="Arial" w:eastAsia="Arial" w:hAnsi="Arial"/>
          <w:sz w:val="17"/>
          <w:szCs w:val="17"/>
          <w:color w:val="auto"/>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33" w:lineRule="exact"/>
        <w:rPr>
          <w:sz w:val="20"/>
          <w:szCs w:val="20"/>
          <w:color w:val="auto"/>
        </w:rPr>
      </w:pPr>
    </w:p>
    <w:p>
      <w:pPr>
        <w:ind w:left="1220" w:hanging="531"/>
        <w:spacing w:after="0"/>
        <w:tabs>
          <w:tab w:leader="none" w:pos="1220" w:val="left"/>
        </w:tabs>
        <w:numPr>
          <w:ilvl w:val="0"/>
          <w:numId w:val="28"/>
        </w:numPr>
        <w:rPr>
          <w:rFonts w:ascii="Arial" w:cs="Arial" w:eastAsia="Arial" w:hAnsi="Arial"/>
          <w:sz w:val="20"/>
          <w:szCs w:val="20"/>
          <w:color w:val="auto"/>
        </w:rPr>
      </w:pPr>
      <w:r>
        <w:rPr>
          <w:rFonts w:ascii="Arial" w:cs="Arial" w:eastAsia="Arial" w:hAnsi="Arial"/>
          <w:sz w:val="17"/>
          <w:szCs w:val="17"/>
          <w:color w:val="auto"/>
        </w:rPr>
        <w:t>efficacy and potential advantages compared to alternative treatments;</w:t>
      </w:r>
    </w:p>
    <w:p>
      <w:pPr>
        <w:spacing w:after="0" w:line="90" w:lineRule="exact"/>
        <w:rPr>
          <w:rFonts w:ascii="Arial" w:cs="Arial" w:eastAsia="Arial" w:hAnsi="Arial"/>
          <w:sz w:val="20"/>
          <w:szCs w:val="20"/>
          <w:color w:val="auto"/>
        </w:rPr>
      </w:pPr>
    </w:p>
    <w:p>
      <w:pPr>
        <w:ind w:left="1220" w:hanging="531"/>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convenience and ease of administration compared to alternative treatments;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09" w:lineRule="exact"/>
        <w:rPr>
          <w:rFonts w:ascii="Arial" w:cs="Arial" w:eastAsia="Arial" w:hAnsi="Arial"/>
          <w:sz w:val="17"/>
          <w:szCs w:val="17"/>
          <w:color w:val="auto"/>
        </w:rPr>
      </w:pPr>
    </w:p>
    <w:p>
      <w:pPr>
        <w:ind w:left="1220" w:right="260" w:hanging="531"/>
        <w:spacing w:after="0" w:line="273"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ability to obtain sufficient third-party coverage and adequate reimbursement and a positive recommendation by health technology bodies;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39" w:name="page40"/>
    <w:bookmarkEnd w:id="39"/>
    <w:p>
      <w:pPr>
        <w:ind w:left="1220" w:hanging="531"/>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0"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64" w:lineRule="exact"/>
        <w:rPr>
          <w:sz w:val="20"/>
          <w:szCs w:val="20"/>
          <w:color w:val="auto"/>
        </w:rPr>
      </w:pPr>
    </w:p>
    <w:p>
      <w:pPr>
        <w:ind w:right="480" w:firstLine="382"/>
        <w:spacing w:after="0" w:line="273" w:lineRule="auto"/>
        <w:rPr>
          <w:sz w:val="20"/>
          <w:szCs w:val="20"/>
          <w:color w:val="auto"/>
        </w:rPr>
      </w:pPr>
      <w:r>
        <w:rPr>
          <w:rFonts w:ascii="Arial" w:cs="Arial" w:eastAsia="Arial" w:hAnsi="Arial"/>
          <w:sz w:val="17"/>
          <w:szCs w:val="17"/>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64" w:lineRule="exact"/>
        <w:rPr>
          <w:sz w:val="20"/>
          <w:szCs w:val="20"/>
          <w:color w:val="auto"/>
        </w:rPr>
      </w:pPr>
    </w:p>
    <w:p>
      <w:pPr>
        <w:ind w:right="100" w:firstLine="382"/>
        <w:spacing w:after="0" w:line="291" w:lineRule="auto"/>
        <w:rPr>
          <w:sz w:val="20"/>
          <w:szCs w:val="20"/>
          <w:color w:val="auto"/>
        </w:rPr>
      </w:pPr>
      <w:r>
        <w:rPr>
          <w:rFonts w:ascii="Arial" w:cs="Arial" w:eastAsia="Arial" w:hAnsi="Arial"/>
          <w:sz w:val="15"/>
          <w:szCs w:val="15"/>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57" w:lineRule="exact"/>
        <w:rPr>
          <w:sz w:val="20"/>
          <w:szCs w:val="20"/>
          <w:color w:val="auto"/>
        </w:rPr>
      </w:pPr>
    </w:p>
    <w:p>
      <w:pPr>
        <w:ind w:right="500" w:firstLine="382"/>
        <w:spacing w:after="0" w:line="342" w:lineRule="auto"/>
        <w:rPr>
          <w:sz w:val="20"/>
          <w:szCs w:val="20"/>
          <w:color w:val="auto"/>
        </w:rPr>
      </w:pPr>
      <w:r>
        <w:rPr>
          <w:rFonts w:ascii="Arial" w:cs="Arial" w:eastAsia="Arial" w:hAnsi="Arial"/>
          <w:sz w:val="15"/>
          <w:szCs w:val="15"/>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40" w:lineRule="exact"/>
        <w:rPr>
          <w:sz w:val="20"/>
          <w:szCs w:val="20"/>
          <w:color w:val="auto"/>
        </w:rPr>
      </w:pPr>
    </w:p>
    <w:p>
      <w:pPr>
        <w:ind w:left="1220" w:hanging="531"/>
        <w:spacing w:after="0"/>
        <w:tabs>
          <w:tab w:leader="none" w:pos="1220" w:val="left"/>
        </w:tabs>
        <w:numPr>
          <w:ilvl w:val="0"/>
          <w:numId w:val="30"/>
        </w:numPr>
        <w:rPr>
          <w:rFonts w:ascii="Arial" w:cs="Arial" w:eastAsia="Arial" w:hAnsi="Arial"/>
          <w:sz w:val="20"/>
          <w:szCs w:val="20"/>
          <w:color w:val="auto"/>
        </w:rPr>
      </w:pPr>
      <w:r>
        <w:rPr>
          <w:rFonts w:ascii="Arial" w:cs="Arial" w:eastAsia="Arial" w:hAnsi="Arial"/>
          <w:sz w:val="17"/>
          <w:szCs w:val="17"/>
          <w:color w:val="auto"/>
        </w:rPr>
        <w:t>a covered benefit under its health plan;</w:t>
      </w:r>
    </w:p>
    <w:p>
      <w:pPr>
        <w:spacing w:after="0" w:line="90" w:lineRule="exact"/>
        <w:rPr>
          <w:rFonts w:ascii="Arial" w:cs="Arial" w:eastAsia="Arial" w:hAnsi="Arial"/>
          <w:sz w:val="20"/>
          <w:szCs w:val="20"/>
          <w:color w:val="auto"/>
        </w:rPr>
      </w:pPr>
    </w:p>
    <w:p>
      <w:pPr>
        <w:ind w:left="1220" w:hanging="531"/>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the United States as well as foreign jurisdictions, no uniform policy of coverage and reimbursement for products exists among third-party payors.</w:t>
      </w:r>
    </w:p>
    <w:p>
      <w:pPr>
        <w:spacing w:after="0" w:line="121" w:lineRule="exact"/>
        <w:rPr>
          <w:sz w:val="20"/>
          <w:szCs w:val="20"/>
          <w:color w:val="auto"/>
        </w:rPr>
      </w:pPr>
    </w:p>
    <w:p>
      <w:pPr>
        <w:ind w:right="100" w:firstLine="382"/>
        <w:spacing w:after="0" w:line="272" w:lineRule="auto"/>
        <w:rPr>
          <w:sz w:val="20"/>
          <w:szCs w:val="20"/>
          <w:color w:val="auto"/>
        </w:rPr>
      </w:pPr>
      <w:r>
        <w:rPr>
          <w:rFonts w:ascii="Arial" w:cs="Arial" w:eastAsia="Arial" w:hAnsi="Arial"/>
          <w:sz w:val="16"/>
          <w:szCs w:val="16"/>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67" w:lineRule="exact"/>
        <w:rPr>
          <w:sz w:val="20"/>
          <w:szCs w:val="20"/>
          <w:color w:val="auto"/>
        </w:rPr>
      </w:pPr>
    </w:p>
    <w:p>
      <w:pPr>
        <w:ind w:firstLine="382"/>
        <w:spacing w:after="0" w:line="292" w:lineRule="auto"/>
        <w:rPr>
          <w:sz w:val="20"/>
          <w:szCs w:val="20"/>
          <w:color w:val="auto"/>
        </w:rPr>
      </w:pPr>
      <w:r>
        <w:rPr>
          <w:rFonts w:ascii="Arial" w:cs="Arial" w:eastAsia="Arial" w:hAnsi="Arial"/>
          <w:sz w:val="15"/>
          <w:szCs w:val="15"/>
          <w:color w:val="auto"/>
        </w:rPr>
        <w:t>A primary trend in the United States and European health care industries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or seek to lower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or by future laws, regulations, or</w:t>
      </w:r>
    </w:p>
    <w:p>
      <w:pPr>
        <w:ind w:right="40"/>
        <w:spacing w:after="0" w:line="285" w:lineRule="auto"/>
        <w:rPr>
          <w:sz w:val="20"/>
          <w:szCs w:val="20"/>
          <w:color w:val="auto"/>
        </w:rPr>
      </w:pPr>
      <w:r>
        <w:rPr>
          <w:rFonts w:ascii="Arial" w:cs="Arial" w:eastAsia="Arial" w:hAnsi="Arial"/>
          <w:sz w:val="16"/>
          <w:szCs w:val="16"/>
          <w:color w:val="auto"/>
        </w:rPr>
        <w:t>guidance seeking to limit prescription drug prices. If we are unable to promptly obtain coverage and adequate reimbursement rates from both government-funded and private payers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spacing w:after="0" w:line="57" w:lineRule="exact"/>
        <w:rPr>
          <w:sz w:val="20"/>
          <w:szCs w:val="20"/>
          <w:color w:val="auto"/>
        </w:rPr>
      </w:pPr>
    </w:p>
    <w:p>
      <w:pPr>
        <w:jc w:val="both"/>
        <w:ind w:right="20" w:firstLine="382"/>
        <w:spacing w:after="0" w:line="312" w:lineRule="auto"/>
        <w:rPr>
          <w:sz w:val="20"/>
          <w:szCs w:val="20"/>
          <w:color w:val="auto"/>
        </w:rPr>
      </w:pPr>
      <w:r>
        <w:rPr>
          <w:rFonts w:ascii="Arial" w:cs="Arial" w:eastAsia="Arial" w:hAnsi="Arial"/>
          <w:sz w:val="15"/>
          <w:szCs w:val="15"/>
          <w:color w:val="auto"/>
        </w:rPr>
        <w:t>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0" w:name="page41"/>
    <w:bookmarkEnd w:id="40"/>
    <w:p>
      <w:pPr>
        <w:ind w:right="340" w:firstLine="382"/>
        <w:spacing w:after="0" w:line="273" w:lineRule="auto"/>
        <w:rPr>
          <w:sz w:val="20"/>
          <w:szCs w:val="20"/>
          <w:color w:val="auto"/>
        </w:rPr>
      </w:pPr>
      <w:r>
        <w:rPr>
          <w:rFonts w:ascii="Arial" w:cs="Arial" w:eastAsia="Arial" w:hAnsi="Arial"/>
          <w:sz w:val="17"/>
          <w:szCs w:val="17"/>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4" w:lineRule="exact"/>
        <w:rPr>
          <w:sz w:val="20"/>
          <w:szCs w:val="20"/>
          <w:color w:val="auto"/>
        </w:rPr>
      </w:pPr>
    </w:p>
    <w:p>
      <w:pPr>
        <w:ind w:right="40" w:firstLine="382"/>
        <w:spacing w:after="0" w:line="289" w:lineRule="auto"/>
        <w:rPr>
          <w:sz w:val="20"/>
          <w:szCs w:val="20"/>
          <w:color w:val="auto"/>
        </w:rPr>
      </w:pPr>
      <w:r>
        <w:rPr>
          <w:rFonts w:ascii="Arial" w:cs="Arial" w:eastAsia="Arial" w:hAnsi="Arial"/>
          <w:sz w:val="15"/>
          <w:szCs w:val="15"/>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60" w:lineRule="exact"/>
        <w:rPr>
          <w:sz w:val="20"/>
          <w:szCs w:val="20"/>
          <w:color w:val="auto"/>
        </w:rPr>
      </w:pPr>
    </w:p>
    <w:p>
      <w:pPr>
        <w:jc w:val="both"/>
        <w:ind w:right="280" w:firstLine="382"/>
        <w:spacing w:after="0" w:line="261"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75" w:lineRule="exact"/>
        <w:rPr>
          <w:sz w:val="20"/>
          <w:szCs w:val="20"/>
          <w:color w:val="auto"/>
        </w:rPr>
      </w:pPr>
    </w:p>
    <w:p>
      <w:pPr>
        <w:ind w:firstLine="382"/>
        <w:spacing w:after="0" w:line="288" w:lineRule="auto"/>
        <w:rPr>
          <w:sz w:val="20"/>
          <w:szCs w:val="20"/>
          <w:color w:val="auto"/>
        </w:rPr>
      </w:pPr>
      <w:r>
        <w:rPr>
          <w:rFonts w:ascii="Arial" w:cs="Arial" w:eastAsia="Arial" w:hAnsi="Arial"/>
          <w:sz w:val="15"/>
          <w:szCs w:val="15"/>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57" w:lineRule="exact"/>
        <w:rPr>
          <w:sz w:val="20"/>
          <w:szCs w:val="20"/>
          <w:color w:val="auto"/>
        </w:rPr>
      </w:pPr>
    </w:p>
    <w:p>
      <w:pPr>
        <w:jc w:val="both"/>
        <w:ind w:right="200" w:firstLine="382"/>
        <w:spacing w:after="0" w:line="261"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5" w:lineRule="exact"/>
        <w:rPr>
          <w:sz w:val="20"/>
          <w:szCs w:val="20"/>
          <w:color w:val="auto"/>
        </w:rPr>
      </w:pPr>
    </w:p>
    <w:p>
      <w:pPr>
        <w:ind w:firstLine="382"/>
        <w:spacing w:after="0" w:line="252"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our Annual Report on Form 10-K for the year ended December 31, 2022, or 2022 10-K.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spacing w:after="0" w:line="86"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64"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Ensuring business arrangements comply with applicable healthcare laws can be time- and resource-consuming.</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41" w:name="page42"/>
    <w:bookmarkEnd w:id="41"/>
    <w:p>
      <w:pPr>
        <w:ind w:right="40" w:firstLine="382"/>
        <w:spacing w:after="0" w:line="289" w:lineRule="auto"/>
        <w:rPr>
          <w:sz w:val="20"/>
          <w:szCs w:val="20"/>
          <w:color w:val="auto"/>
        </w:rPr>
      </w:pPr>
      <w:r>
        <w:rPr>
          <w:rFonts w:ascii="Arial" w:cs="Arial" w:eastAsia="Arial" w:hAnsi="Arial"/>
          <w:sz w:val="15"/>
          <w:szCs w:val="15"/>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60" w:lineRule="exact"/>
        <w:rPr>
          <w:sz w:val="20"/>
          <w:szCs w:val="20"/>
          <w:color w:val="auto"/>
        </w:rPr>
      </w:pPr>
    </w:p>
    <w:p>
      <w:pPr>
        <w:ind w:right="300" w:firstLine="382"/>
        <w:spacing w:after="0" w:line="261" w:lineRule="auto"/>
        <w:rPr>
          <w:sz w:val="20"/>
          <w:szCs w:val="20"/>
          <w:color w:val="auto"/>
        </w:rPr>
      </w:pPr>
      <w:r>
        <w:rPr>
          <w:rFonts w:ascii="Arial" w:cs="Arial" w:eastAsia="Arial" w:hAnsi="Arial"/>
          <w:sz w:val="17"/>
          <w:szCs w:val="17"/>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5" w:lineRule="exact"/>
        <w:rPr>
          <w:sz w:val="20"/>
          <w:szCs w:val="20"/>
          <w:color w:val="auto"/>
        </w:rPr>
      </w:pPr>
    </w:p>
    <w:p>
      <w:pPr>
        <w:ind w:right="40" w:firstLine="382"/>
        <w:spacing w:after="0" w:line="255"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81" w:lineRule="exact"/>
        <w:rPr>
          <w:sz w:val="20"/>
          <w:szCs w:val="20"/>
          <w:color w:val="auto"/>
        </w:rPr>
      </w:pPr>
    </w:p>
    <w:p>
      <w:pPr>
        <w:ind w:firstLine="382"/>
        <w:spacing w:after="0" w:line="255"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1" w:lineRule="exact"/>
        <w:rPr>
          <w:sz w:val="20"/>
          <w:szCs w:val="20"/>
          <w:color w:val="auto"/>
        </w:rPr>
      </w:pPr>
    </w:p>
    <w:p>
      <w:pPr>
        <w:ind w:right="60" w:firstLine="382"/>
        <w:spacing w:after="0" w:line="253"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84" w:lineRule="exact"/>
        <w:rPr>
          <w:sz w:val="20"/>
          <w:szCs w:val="20"/>
          <w:color w:val="auto"/>
        </w:rPr>
      </w:pPr>
    </w:p>
    <w:p>
      <w:pPr>
        <w:ind w:firstLine="382"/>
        <w:spacing w:after="0" w:line="298" w:lineRule="auto"/>
        <w:rPr>
          <w:sz w:val="20"/>
          <w:szCs w:val="20"/>
          <w:color w:val="auto"/>
        </w:rPr>
      </w:pPr>
      <w:r>
        <w:rPr>
          <w:rFonts w:ascii="Arial" w:cs="Arial" w:eastAsia="Arial" w:hAnsi="Arial"/>
          <w:sz w:val="15"/>
          <w:szCs w:val="15"/>
          <w:color w:val="auto"/>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7" w:lineRule="exact"/>
        <w:rPr>
          <w:sz w:val="20"/>
          <w:szCs w:val="20"/>
          <w:color w:val="auto"/>
        </w:rPr>
      </w:pPr>
    </w:p>
    <w:p>
      <w:pPr>
        <w:ind w:left="1220" w:right="420" w:hanging="531"/>
        <w:spacing w:after="0" w:line="236" w:lineRule="auto"/>
        <w:tabs>
          <w:tab w:leader="none" w:pos="1220" w:val="left"/>
        </w:tabs>
        <w:numPr>
          <w:ilvl w:val="0"/>
          <w:numId w:val="31"/>
        </w:numPr>
        <w:rPr>
          <w:rFonts w:ascii="Arial" w:cs="Arial" w:eastAsia="Arial" w:hAnsi="Arial"/>
          <w:sz w:val="20"/>
          <w:szCs w:val="20"/>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90" w:lineRule="exact"/>
        <w:rPr>
          <w:rFonts w:ascii="Arial" w:cs="Arial" w:eastAsia="Arial" w:hAnsi="Arial"/>
          <w:sz w:val="20"/>
          <w:szCs w:val="20"/>
          <w:color w:val="auto"/>
        </w:rPr>
      </w:pPr>
    </w:p>
    <w:p>
      <w:pPr>
        <w:ind w:left="1220" w:hanging="531"/>
        <w:spacing w:after="0"/>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09" w:lineRule="exact"/>
        <w:rPr>
          <w:rFonts w:ascii="Arial" w:cs="Arial" w:eastAsia="Arial" w:hAnsi="Arial"/>
          <w:sz w:val="17"/>
          <w:szCs w:val="17"/>
          <w:color w:val="auto"/>
        </w:rPr>
      </w:pPr>
    </w:p>
    <w:p>
      <w:pPr>
        <w:ind w:left="1220" w:right="360" w:hanging="531"/>
        <w:spacing w:after="0" w:line="273"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voluntary or mandatory product recalls and related publicity requirements;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2" w:name="page43"/>
    <w:bookmarkEnd w:id="42"/>
    <w:p>
      <w:pPr>
        <w:ind w:left="1220" w:hanging="531"/>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0" w:lineRule="exact"/>
        <w:rPr>
          <w:sz w:val="20"/>
          <w:szCs w:val="20"/>
          <w:color w:val="auto"/>
        </w:rPr>
      </w:pPr>
    </w:p>
    <w:p>
      <w:pPr>
        <w:ind w:right="60" w:firstLine="382"/>
        <w:spacing w:after="0" w:line="27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firstLine="382"/>
        <w:spacing w:after="0" w:line="272" w:lineRule="auto"/>
        <w:rPr>
          <w:sz w:val="20"/>
          <w:szCs w:val="20"/>
          <w:color w:val="auto"/>
        </w:rPr>
      </w:pPr>
      <w:r>
        <w:rPr>
          <w:rFonts w:ascii="Arial" w:cs="Arial" w:eastAsia="Arial" w:hAnsi="Arial"/>
          <w:sz w:val="16"/>
          <w:szCs w:val="16"/>
          <w:color w:val="auto"/>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clearance or approval,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spacing w:after="0" w:line="67" w:lineRule="exact"/>
        <w:rPr>
          <w:sz w:val="20"/>
          <w:szCs w:val="20"/>
          <w:color w:val="auto"/>
        </w:rPr>
      </w:pPr>
    </w:p>
    <w:p>
      <w:pPr>
        <w:ind w:right="120" w:firstLine="382"/>
        <w:spacing w:after="0" w:line="309" w:lineRule="auto"/>
        <w:rPr>
          <w:sz w:val="20"/>
          <w:szCs w:val="20"/>
          <w:color w:val="auto"/>
        </w:rPr>
      </w:pPr>
      <w:r>
        <w:rPr>
          <w:rFonts w:ascii="Arial" w:cs="Arial" w:eastAsia="Arial" w:hAnsi="Arial"/>
          <w:sz w:val="15"/>
          <w:szCs w:val="15"/>
          <w:color w:val="auto"/>
        </w:rPr>
        <w:t>In the United States, there have been and continue to be a number of legislative initiatives to contain healthcare costs, as detailed in Part I, Item 1 – Business – Government Regulation – Current and Future Healthcare Reform Legislation of our 2022 10-K. For example, in August 2022, President Biden signed into law the</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IRA, which implements substantial changes to the Medicare program, including drug pricing reforms and changes to the Medicare Part D benefit design. Among other reforms, the Inflation Reduction Act, or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covered under Medicare Parts B and D following a price negotiation process with the Centers for Medicare and Medicaid Services.</w:t>
      </w:r>
    </w:p>
    <w:p>
      <w:pPr>
        <w:spacing w:after="0" w:line="67" w:lineRule="exact"/>
        <w:rPr>
          <w:sz w:val="20"/>
          <w:szCs w:val="20"/>
          <w:color w:val="auto"/>
        </w:rPr>
      </w:pPr>
    </w:p>
    <w:p>
      <w:pPr>
        <w:ind w:right="420" w:firstLine="382"/>
        <w:spacing w:after="0" w:line="342" w:lineRule="auto"/>
        <w:rPr>
          <w:sz w:val="20"/>
          <w:szCs w:val="20"/>
          <w:color w:val="auto"/>
        </w:rPr>
      </w:pPr>
      <w:r>
        <w:rPr>
          <w:rFonts w:ascii="Arial" w:cs="Arial" w:eastAsia="Arial" w:hAnsi="Arial"/>
          <w:sz w:val="15"/>
          <w:szCs w:val="15"/>
          <w:color w:val="auto"/>
        </w:rPr>
        <w:t>The IRA explicitly excludes from price negotiation orphan drugs designated for only one rare disease or condition and for which the only active approved indication is for such disease or condition. Those drugs with multiple orphan designations are not explicitly excluded from drug price negotiation.</w:t>
      </w:r>
    </w:p>
    <w:p>
      <w:pPr>
        <w:spacing w:after="0" w:line="17" w:lineRule="exact"/>
        <w:rPr>
          <w:sz w:val="20"/>
          <w:szCs w:val="20"/>
          <w:color w:val="auto"/>
        </w:rPr>
      </w:pPr>
    </w:p>
    <w:p>
      <w:pPr>
        <w:ind w:right="100" w:firstLine="382"/>
        <w:spacing w:after="0" w:line="289" w:lineRule="auto"/>
        <w:rPr>
          <w:sz w:val="20"/>
          <w:szCs w:val="20"/>
          <w:color w:val="auto"/>
        </w:rPr>
      </w:pPr>
      <w:r>
        <w:rPr>
          <w:rFonts w:ascii="Arial" w:cs="Arial" w:eastAsia="Arial" w:hAnsi="Arial"/>
          <w:sz w:val="15"/>
          <w:szCs w:val="15"/>
          <w:color w:val="auto"/>
        </w:rPr>
        <w:t>Since its enactment, the Centers for Medicare and Medicaid Services, or CMS, has released numerous guidelines and regulations implementing various drug pricing provisions of the IRA. While it remains to be seen how the drug pricing provisions imposed by the IRA will affect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0" w:lineRule="exact"/>
        <w:rPr>
          <w:sz w:val="20"/>
          <w:szCs w:val="20"/>
          <w:color w:val="auto"/>
        </w:rPr>
      </w:pPr>
    </w:p>
    <w:p>
      <w:pPr>
        <w:ind w:right="100" w:firstLine="382"/>
        <w:spacing w:after="0" w:line="285"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3" w:name="page44"/>
    <w:bookmarkEnd w:id="43"/>
    <w:p>
      <w:pPr>
        <w:jc w:val="both"/>
        <w:ind w:right="140" w:firstLine="382"/>
        <w:spacing w:after="0" w:line="27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0" w:lineRule="exact"/>
        <w:rPr>
          <w:sz w:val="20"/>
          <w:szCs w:val="20"/>
          <w:color w:val="auto"/>
        </w:rPr>
      </w:pPr>
    </w:p>
    <w:p>
      <w:pPr>
        <w:ind w:right="60" w:firstLine="382"/>
        <w:spacing w:after="0" w:line="257"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between March 2020 and February 2022, foreign and domestic inspections were largely placed on hold due to the COVID-19 pandemic.</w:t>
      </w:r>
    </w:p>
    <w:p>
      <w:pPr>
        <w:spacing w:after="0" w:line="79" w:lineRule="exact"/>
        <w:rPr>
          <w:sz w:val="20"/>
          <w:szCs w:val="20"/>
          <w:color w:val="auto"/>
        </w:rPr>
      </w:pPr>
    </w:p>
    <w:p>
      <w:pPr>
        <w:ind w:right="60" w:firstLine="382"/>
        <w:spacing w:after="0" w:line="275"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or other future pandemics.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Drug marketing and reimbursement regulations may materially affect our ability to market and secure reimbursement for our products.</w:t>
      </w:r>
    </w:p>
    <w:p>
      <w:pPr>
        <w:spacing w:after="0" w:line="121"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81" w:lineRule="exact"/>
        <w:rPr>
          <w:sz w:val="20"/>
          <w:szCs w:val="20"/>
          <w:color w:val="auto"/>
        </w:rPr>
      </w:pPr>
    </w:p>
    <w:p>
      <w:pPr>
        <w:ind w:right="20" w:firstLine="382"/>
        <w:spacing w:after="0" w:line="271" w:lineRule="auto"/>
        <w:rPr>
          <w:sz w:val="20"/>
          <w:szCs w:val="20"/>
          <w:color w:val="auto"/>
        </w:rPr>
      </w:pPr>
      <w:r>
        <w:rPr>
          <w:rFonts w:ascii="Arial" w:cs="Arial" w:eastAsia="Arial" w:hAnsi="Arial"/>
          <w:sz w:val="16"/>
          <w:szCs w:val="16"/>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68" w:lineRule="exact"/>
        <w:rPr>
          <w:sz w:val="20"/>
          <w:szCs w:val="20"/>
          <w:color w:val="auto"/>
        </w:rPr>
      </w:pPr>
    </w:p>
    <w:p>
      <w:pPr>
        <w:ind w:right="40" w:firstLine="382"/>
        <w:spacing w:after="0" w:line="275" w:lineRule="auto"/>
        <w:rPr>
          <w:sz w:val="20"/>
          <w:szCs w:val="20"/>
          <w:color w:val="auto"/>
        </w:rPr>
      </w:pPr>
      <w:r>
        <w:rPr>
          <w:rFonts w:ascii="Arial" w:cs="Arial" w:eastAsia="Arial" w:hAnsi="Arial"/>
          <w:sz w:val="16"/>
          <w:szCs w:val="16"/>
          <w:color w:val="auto"/>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5" w:lineRule="exact"/>
        <w:rPr>
          <w:sz w:val="20"/>
          <w:szCs w:val="20"/>
          <w:color w:val="auto"/>
        </w:rPr>
      </w:pPr>
    </w:p>
    <w:p>
      <w:pPr>
        <w:ind w:firstLine="382"/>
        <w:spacing w:after="0" w:line="271" w:lineRule="auto"/>
        <w:rPr>
          <w:sz w:val="20"/>
          <w:szCs w:val="20"/>
          <w:color w:val="auto"/>
        </w:rPr>
      </w:pPr>
      <w:r>
        <w:rPr>
          <w:rFonts w:ascii="Arial" w:cs="Arial" w:eastAsia="Arial" w:hAnsi="Arial"/>
          <w:sz w:val="16"/>
          <w:szCs w:val="16"/>
          <w:color w:val="auto"/>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4" w:name="page45"/>
    <w:bookmarkEnd w:id="44"/>
    <w:p>
      <w:pPr>
        <w:ind w:right="160"/>
        <w:spacing w:after="0" w:line="275" w:lineRule="auto"/>
        <w:rPr>
          <w:sz w:val="20"/>
          <w:szCs w:val="20"/>
          <w:color w:val="auto"/>
        </w:rPr>
      </w:pPr>
      <w:r>
        <w:rPr>
          <w:rFonts w:ascii="Arial" w:cs="Arial" w:eastAsia="Arial" w:hAnsi="Arial"/>
          <w:sz w:val="16"/>
          <w:szCs w:val="16"/>
          <w:color w:val="auto"/>
        </w:rPr>
        <w:t>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10" w:lineRule="exact"/>
        <w:rPr>
          <w:sz w:val="20"/>
          <w:szCs w:val="20"/>
          <w:color w:val="auto"/>
        </w:rPr>
      </w:pPr>
    </w:p>
    <w:p>
      <w:pPr>
        <w:ind w:right="20" w:firstLine="382"/>
        <w:spacing w:after="0" w:line="253"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4" w:lineRule="exact"/>
        <w:rPr>
          <w:sz w:val="20"/>
          <w:szCs w:val="20"/>
          <w:color w:val="auto"/>
        </w:rPr>
      </w:pPr>
    </w:p>
    <w:p>
      <w:pPr>
        <w:ind w:right="320" w:firstLine="382"/>
        <w:spacing w:after="0" w:line="279"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60" w:lineRule="exact"/>
        <w:rPr>
          <w:sz w:val="20"/>
          <w:szCs w:val="20"/>
          <w:color w:val="auto"/>
        </w:rPr>
      </w:pPr>
    </w:p>
    <w:p>
      <w:pPr>
        <w:ind w:firstLine="382"/>
        <w:spacing w:after="0" w:line="255"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1" w:lineRule="exact"/>
        <w:rPr>
          <w:sz w:val="20"/>
          <w:szCs w:val="20"/>
          <w:color w:val="auto"/>
        </w:rPr>
      </w:pPr>
    </w:p>
    <w:p>
      <w:pPr>
        <w:ind w:right="180" w:firstLine="382"/>
        <w:spacing w:after="0" w:line="261"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75"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4" w:lineRule="exact"/>
        <w:rPr>
          <w:sz w:val="20"/>
          <w:szCs w:val="20"/>
          <w:color w:val="auto"/>
        </w:rPr>
      </w:pPr>
    </w:p>
    <w:p>
      <w:pPr>
        <w:ind w:right="20" w:firstLine="382"/>
        <w:spacing w:after="0" w:line="27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14"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4"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45" w:name="page46"/>
    <w:bookmarkEnd w:id="45"/>
    <w:p>
      <w:pPr>
        <w:ind w:right="420"/>
        <w:spacing w:after="0" w:line="273" w:lineRule="auto"/>
        <w:rPr>
          <w:sz w:val="20"/>
          <w:szCs w:val="20"/>
          <w:color w:val="auto"/>
        </w:rPr>
      </w:pPr>
      <w:r>
        <w:rPr>
          <w:rFonts w:ascii="Arial" w:cs="Arial" w:eastAsia="Arial" w:hAnsi="Arial"/>
          <w:sz w:val="17"/>
          <w:szCs w:val="17"/>
          <w:color w:val="auto"/>
        </w:rPr>
        <w:t>commercialize products and technology similar or identical to ours, and our ability to commercialize any product candidates we may develop may be adversely affected.</w:t>
      </w:r>
    </w:p>
    <w:p>
      <w:pPr>
        <w:spacing w:after="0" w:line="64" w:lineRule="exact"/>
        <w:rPr>
          <w:sz w:val="20"/>
          <w:szCs w:val="20"/>
          <w:color w:val="auto"/>
        </w:rPr>
      </w:pPr>
    </w:p>
    <w:p>
      <w:pPr>
        <w:ind w:right="40" w:firstLine="382"/>
        <w:spacing w:after="0" w:line="25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81" w:lineRule="exact"/>
        <w:rPr>
          <w:sz w:val="20"/>
          <w:szCs w:val="20"/>
          <w:color w:val="auto"/>
        </w:rPr>
      </w:pPr>
    </w:p>
    <w:p>
      <w:pPr>
        <w:ind w:firstLine="382"/>
        <w:spacing w:after="0" w:line="271"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68" w:lineRule="exact"/>
        <w:rPr>
          <w:sz w:val="20"/>
          <w:szCs w:val="20"/>
          <w:color w:val="auto"/>
        </w:rPr>
      </w:pPr>
    </w:p>
    <w:p>
      <w:pPr>
        <w:ind w:right="260" w:firstLine="382"/>
        <w:spacing w:after="0" w:line="273"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64" w:lineRule="exact"/>
        <w:rPr>
          <w:sz w:val="20"/>
          <w:szCs w:val="20"/>
          <w:color w:val="auto"/>
        </w:rPr>
      </w:pPr>
    </w:p>
    <w:p>
      <w:pPr>
        <w:ind w:right="240" w:firstLine="382"/>
        <w:spacing w:after="0" w:line="298" w:lineRule="auto"/>
        <w:rPr>
          <w:sz w:val="20"/>
          <w:szCs w:val="20"/>
          <w:color w:val="auto"/>
        </w:rPr>
      </w:pPr>
      <w:r>
        <w:rPr>
          <w:rFonts w:ascii="Arial" w:cs="Arial" w:eastAsia="Arial" w:hAnsi="Arial"/>
          <w:sz w:val="15"/>
          <w:szCs w:val="15"/>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49" w:lineRule="exact"/>
        <w:rPr>
          <w:sz w:val="20"/>
          <w:szCs w:val="20"/>
          <w:color w:val="auto"/>
        </w:rPr>
      </w:pPr>
    </w:p>
    <w:p>
      <w:pPr>
        <w:ind w:right="40" w:firstLine="382"/>
        <w:spacing w:after="0" w:line="290" w:lineRule="auto"/>
        <w:rPr>
          <w:sz w:val="20"/>
          <w:szCs w:val="20"/>
          <w:color w:val="auto"/>
        </w:rPr>
      </w:pPr>
      <w:r>
        <w:rPr>
          <w:rFonts w:ascii="Arial" w:cs="Arial" w:eastAsia="Arial" w:hAnsi="Arial"/>
          <w:sz w:val="15"/>
          <w:szCs w:val="15"/>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58" w:lineRule="exact"/>
        <w:rPr>
          <w:sz w:val="20"/>
          <w:szCs w:val="20"/>
          <w:color w:val="auto"/>
        </w:rPr>
      </w:pPr>
    </w:p>
    <w:p>
      <w:pPr>
        <w:ind w:right="60" w:firstLine="382"/>
        <w:spacing w:after="0" w:line="269"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America Invents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6" w:name="page47"/>
    <w:bookmarkEnd w:id="46"/>
    <w:p>
      <w:pPr>
        <w:ind w:right="160" w:firstLine="382"/>
        <w:spacing w:after="0" w:line="273"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02" w:lineRule="exact"/>
        <w:rPr>
          <w:sz w:val="20"/>
          <w:szCs w:val="20"/>
          <w:color w:val="auto"/>
        </w:rPr>
      </w:pPr>
    </w:p>
    <w:p>
      <w:pPr>
        <w:ind w:left="1220" w:hanging="531"/>
        <w:spacing w:after="0" w:line="236" w:lineRule="auto"/>
        <w:tabs>
          <w:tab w:leader="none" w:pos="1220" w:val="left"/>
        </w:tabs>
        <w:numPr>
          <w:ilvl w:val="0"/>
          <w:numId w:val="33"/>
        </w:numPr>
        <w:rPr>
          <w:rFonts w:ascii="Arial" w:cs="Arial" w:eastAsia="Arial" w:hAnsi="Arial"/>
          <w:sz w:val="20"/>
          <w:szCs w:val="20"/>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90" w:lineRule="exact"/>
        <w:rPr>
          <w:rFonts w:ascii="Arial" w:cs="Arial" w:eastAsia="Arial" w:hAnsi="Arial"/>
          <w:sz w:val="20"/>
          <w:szCs w:val="20"/>
          <w:color w:val="auto"/>
        </w:rPr>
      </w:pPr>
    </w:p>
    <w:p>
      <w:pPr>
        <w:ind w:left="1220" w:right="18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not be able to extend the patent term in some jurisdictions;</w:t>
      </w:r>
    </w:p>
    <w:p>
      <w:pPr>
        <w:spacing w:after="0" w:line="109" w:lineRule="exact"/>
        <w:rPr>
          <w:rFonts w:ascii="Arial" w:cs="Arial" w:eastAsia="Arial" w:hAnsi="Arial"/>
          <w:sz w:val="17"/>
          <w:szCs w:val="17"/>
          <w:color w:val="auto"/>
        </w:rPr>
      </w:pPr>
    </w:p>
    <w:p>
      <w:pPr>
        <w:ind w:left="1220" w:right="22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64" w:lineRule="exact"/>
        <w:rPr>
          <w:rFonts w:ascii="Arial" w:cs="Arial" w:eastAsia="Arial" w:hAnsi="Arial"/>
          <w:sz w:val="17"/>
          <w:szCs w:val="17"/>
          <w:color w:val="auto"/>
        </w:rPr>
      </w:pPr>
    </w:p>
    <w:p>
      <w:pPr>
        <w:ind w:left="1220" w:right="26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 or regulatory intellectual property rights such as our data protection, orphan market exclusivity and others;</w:t>
      </w:r>
    </w:p>
    <w:p>
      <w:pPr>
        <w:spacing w:after="0" w:line="64" w:lineRule="exact"/>
        <w:rPr>
          <w:rFonts w:ascii="Arial" w:cs="Arial" w:eastAsia="Arial" w:hAnsi="Arial"/>
          <w:sz w:val="17"/>
          <w:szCs w:val="17"/>
          <w:color w:val="auto"/>
        </w:rPr>
      </w:pPr>
    </w:p>
    <w:p>
      <w:pPr>
        <w:ind w:left="1220" w:right="30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64" w:lineRule="exact"/>
        <w:rPr>
          <w:rFonts w:ascii="Arial" w:cs="Arial" w:eastAsia="Arial" w:hAnsi="Arial"/>
          <w:sz w:val="17"/>
          <w:szCs w:val="17"/>
          <w:color w:val="auto"/>
        </w:rPr>
      </w:pPr>
    </w:p>
    <w:p>
      <w:pPr>
        <w:ind w:left="1220" w:right="34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claims of our owned or in-licensed issued patents or patent applications, if and when issued, may not cover our product candidates;</w:t>
      </w:r>
    </w:p>
    <w:p>
      <w:pPr>
        <w:spacing w:after="0" w:line="121" w:lineRule="exact"/>
        <w:rPr>
          <w:rFonts w:ascii="Arial" w:cs="Arial" w:eastAsia="Arial" w:hAnsi="Arial"/>
          <w:sz w:val="16"/>
          <w:szCs w:val="16"/>
          <w:color w:val="auto"/>
        </w:rPr>
      </w:pPr>
    </w:p>
    <w:p>
      <w:pPr>
        <w:ind w:left="1220" w:right="30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64" w:lineRule="exact"/>
        <w:rPr>
          <w:rFonts w:ascii="Arial" w:cs="Arial" w:eastAsia="Arial" w:hAnsi="Arial"/>
          <w:sz w:val="17"/>
          <w:szCs w:val="17"/>
          <w:color w:val="auto"/>
        </w:rPr>
      </w:pPr>
    </w:p>
    <w:p>
      <w:pPr>
        <w:ind w:left="1220" w:right="240" w:hanging="531"/>
        <w:spacing w:after="0" w:line="342" w:lineRule="auto"/>
        <w:tabs>
          <w:tab w:leader="none" w:pos="1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 w:lineRule="exact"/>
        <w:rPr>
          <w:rFonts w:ascii="Arial" w:cs="Arial" w:eastAsia="Arial" w:hAnsi="Arial"/>
          <w:sz w:val="15"/>
          <w:szCs w:val="15"/>
          <w:color w:val="auto"/>
        </w:rPr>
      </w:pPr>
    </w:p>
    <w:p>
      <w:pPr>
        <w:ind w:left="1220" w:right="240" w:hanging="531"/>
        <w:spacing w:after="0" w:line="261"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4" w:lineRule="exact"/>
        <w:rPr>
          <w:rFonts w:ascii="Arial" w:cs="Arial" w:eastAsia="Arial" w:hAnsi="Arial"/>
          <w:sz w:val="17"/>
          <w:szCs w:val="17"/>
          <w:color w:val="auto"/>
        </w:rPr>
      </w:pPr>
    </w:p>
    <w:p>
      <w:pPr>
        <w:ind w:left="1220" w:right="440" w:hanging="531"/>
        <w:spacing w:after="0" w:line="273"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121" w:lineRule="exact"/>
        <w:rPr>
          <w:rFonts w:ascii="Arial" w:cs="Arial" w:eastAsia="Arial" w:hAnsi="Arial"/>
          <w:sz w:val="16"/>
          <w:szCs w:val="16"/>
          <w:color w:val="auto"/>
        </w:rPr>
      </w:pPr>
    </w:p>
    <w:p>
      <w:pPr>
        <w:ind w:left="1220" w:hanging="531"/>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0" w:lineRule="exact"/>
        <w:rPr>
          <w:sz w:val="20"/>
          <w:szCs w:val="20"/>
          <w:color w:val="auto"/>
        </w:rPr>
      </w:pPr>
    </w:p>
    <w:p>
      <w:pPr>
        <w:ind w:right="620" w:firstLine="382"/>
        <w:spacing w:after="0" w:line="342" w:lineRule="auto"/>
        <w:rPr>
          <w:sz w:val="20"/>
          <w:szCs w:val="20"/>
          <w:color w:val="auto"/>
        </w:rPr>
      </w:pPr>
      <w:r>
        <w:rPr>
          <w:rFonts w:ascii="Arial" w:cs="Arial" w:eastAsia="Arial" w:hAnsi="Arial"/>
          <w:sz w:val="15"/>
          <w:szCs w:val="15"/>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7" w:lineRule="exact"/>
        <w:rPr>
          <w:sz w:val="20"/>
          <w:szCs w:val="20"/>
          <w:color w:val="auto"/>
        </w:rPr>
      </w:pPr>
    </w:p>
    <w:p>
      <w:pPr>
        <w:ind w:right="80" w:firstLine="382"/>
        <w:spacing w:after="0" w:line="302" w:lineRule="auto"/>
        <w:rPr>
          <w:sz w:val="20"/>
          <w:szCs w:val="20"/>
          <w:color w:val="auto"/>
        </w:rPr>
      </w:pPr>
      <w:r>
        <w:rPr>
          <w:rFonts w:ascii="Arial" w:cs="Arial" w:eastAsia="Arial" w:hAnsi="Arial"/>
          <w:sz w:val="15"/>
          <w:szCs w:val="15"/>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48" w:lineRule="exact"/>
        <w:rPr>
          <w:sz w:val="20"/>
          <w:szCs w:val="20"/>
          <w:color w:val="auto"/>
        </w:rPr>
      </w:pPr>
    </w:p>
    <w:p>
      <w:pPr>
        <w:ind w:left="5540" w:right="3540" w:hanging="4851"/>
        <w:spacing w:after="0" w:line="871" w:lineRule="auto"/>
        <w:tabs>
          <w:tab w:leader="none" w:pos="1224" w:val="left"/>
        </w:tabs>
        <w:numPr>
          <w:ilvl w:val="0"/>
          <w:numId w:val="34"/>
        </w:numPr>
        <w:rPr>
          <w:rFonts w:ascii="Arial" w:cs="Arial" w:eastAsia="Arial" w:hAnsi="Arial"/>
          <w:sz w:val="20"/>
          <w:szCs w:val="20"/>
          <w:color w:val="auto"/>
        </w:rPr>
      </w:pPr>
      <w:r>
        <w:rPr>
          <w:rFonts w:ascii="Arial" w:cs="Arial" w:eastAsia="Arial" w:hAnsi="Arial"/>
          <w:sz w:val="17"/>
          <w:szCs w:val="17"/>
          <w:color w:val="auto"/>
        </w:rPr>
        <w:t>the scope of rights granted under the license agreement and other interpretation-related issues;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-330200</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sectPr>
      </w:pPr>
    </w:p>
    <w:bookmarkStart w:id="47" w:name="page48"/>
    <w:bookmarkEnd w:id="47"/>
    <w:p>
      <w:pPr>
        <w:ind w:left="1220" w:right="440" w:hanging="531"/>
        <w:spacing w:after="0" w:line="273" w:lineRule="auto"/>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09" w:lineRule="exact"/>
        <w:rPr>
          <w:rFonts w:ascii="Arial" w:cs="Arial" w:eastAsia="Arial" w:hAnsi="Arial"/>
          <w:sz w:val="17"/>
          <w:szCs w:val="17"/>
          <w:color w:val="auto"/>
        </w:rPr>
      </w:pPr>
    </w:p>
    <w:p>
      <w:pPr>
        <w:ind w:left="1220" w:right="40" w:hanging="531"/>
        <w:spacing w:after="0" w:line="273" w:lineRule="auto"/>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0" w:lineRule="exact"/>
        <w:rPr>
          <w:sz w:val="20"/>
          <w:szCs w:val="20"/>
          <w:color w:val="auto"/>
        </w:rPr>
      </w:pPr>
    </w:p>
    <w:p>
      <w:pPr>
        <w:ind w:right="20" w:firstLine="382"/>
        <w:spacing w:after="0" w:line="253"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4"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right="20" w:firstLine="382"/>
        <w:spacing w:after="0" w:line="288" w:lineRule="auto"/>
        <w:rPr>
          <w:sz w:val="20"/>
          <w:szCs w:val="20"/>
          <w:color w:val="auto"/>
        </w:rPr>
      </w:pPr>
      <w:r>
        <w:rPr>
          <w:rFonts w:ascii="Arial" w:cs="Arial" w:eastAsia="Arial" w:hAnsi="Arial"/>
          <w:sz w:val="15"/>
          <w:szCs w:val="15"/>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60" w:lineRule="exact"/>
        <w:rPr>
          <w:sz w:val="20"/>
          <w:szCs w:val="20"/>
          <w:color w:val="auto"/>
        </w:rPr>
      </w:pPr>
    </w:p>
    <w:p>
      <w:pPr>
        <w:ind w:right="140" w:firstLine="382"/>
        <w:spacing w:after="0" w:line="302" w:lineRule="auto"/>
        <w:rPr>
          <w:sz w:val="20"/>
          <w:szCs w:val="20"/>
          <w:color w:val="auto"/>
        </w:rPr>
      </w:pPr>
      <w:r>
        <w:rPr>
          <w:rFonts w:ascii="Arial" w:cs="Arial" w:eastAsia="Arial" w:hAnsi="Arial"/>
          <w:sz w:val="15"/>
          <w:szCs w:val="15"/>
          <w:color w:val="auto"/>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48" w:lineRule="exact"/>
        <w:rPr>
          <w:sz w:val="20"/>
          <w:szCs w:val="20"/>
          <w:color w:val="auto"/>
        </w:rPr>
      </w:pPr>
    </w:p>
    <w:p>
      <w:pPr>
        <w:ind w:right="160" w:firstLine="382"/>
        <w:spacing w:after="0" w:line="253"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8" w:name="page49"/>
    <w:bookmarkEnd w:id="48"/>
    <w:p>
      <w:pPr>
        <w:ind w:right="280"/>
        <w:spacing w:after="0" w:line="306" w:lineRule="auto"/>
        <w:rPr>
          <w:sz w:val="20"/>
          <w:szCs w:val="20"/>
          <w:color w:val="auto"/>
        </w:rPr>
      </w:pPr>
      <w:r>
        <w:rPr>
          <w:rFonts w:ascii="Arial" w:cs="Arial" w:eastAsia="Arial" w:hAnsi="Arial"/>
          <w:sz w:val="16"/>
          <w:szCs w:val="16"/>
          <w:color w:val="auto"/>
        </w:rPr>
        <w:t>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0" w:lineRule="exact"/>
        <w:rPr>
          <w:sz w:val="20"/>
          <w:szCs w:val="20"/>
          <w:color w:val="auto"/>
        </w:rPr>
      </w:pPr>
    </w:p>
    <w:p>
      <w:pPr>
        <w:ind w:right="20" w:firstLine="382"/>
        <w:spacing w:after="0" w:line="269"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If a third party claims that we infringe its intellectual property rights, we may face a number of issues, including, but not limited to:</w:t>
      </w:r>
    </w:p>
    <w:p>
      <w:pPr>
        <w:spacing w:after="0" w:line="148" w:lineRule="exact"/>
        <w:rPr>
          <w:sz w:val="20"/>
          <w:szCs w:val="20"/>
          <w:color w:val="auto"/>
        </w:rPr>
      </w:pPr>
    </w:p>
    <w:p>
      <w:pPr>
        <w:ind w:left="1220" w:hanging="531"/>
        <w:spacing w:after="0" w:line="236" w:lineRule="auto"/>
        <w:tabs>
          <w:tab w:leader="none" w:pos="1220" w:val="left"/>
        </w:tabs>
        <w:numPr>
          <w:ilvl w:val="0"/>
          <w:numId w:val="36"/>
        </w:numPr>
        <w:rPr>
          <w:rFonts w:ascii="Arial" w:cs="Arial" w:eastAsia="Arial" w:hAnsi="Arial"/>
          <w:sz w:val="20"/>
          <w:szCs w:val="20"/>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90" w:lineRule="exact"/>
        <w:rPr>
          <w:rFonts w:ascii="Arial" w:cs="Arial" w:eastAsia="Arial" w:hAnsi="Arial"/>
          <w:sz w:val="20"/>
          <w:szCs w:val="20"/>
          <w:color w:val="auto"/>
        </w:rPr>
      </w:pPr>
    </w:p>
    <w:p>
      <w:pPr>
        <w:ind w:left="1220" w:right="40" w:hanging="531"/>
        <w:spacing w:after="0" w:line="261" w:lineRule="auto"/>
        <w:tabs>
          <w:tab w:leader="none" w:pos="1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74" w:lineRule="exact"/>
        <w:rPr>
          <w:rFonts w:ascii="Arial" w:cs="Arial" w:eastAsia="Arial" w:hAnsi="Arial"/>
          <w:sz w:val="17"/>
          <w:szCs w:val="17"/>
          <w:color w:val="auto"/>
        </w:rPr>
      </w:pPr>
    </w:p>
    <w:p>
      <w:pPr>
        <w:ind w:left="1220" w:right="280" w:hanging="531"/>
        <w:spacing w:after="0" w:line="273" w:lineRule="auto"/>
        <w:tabs>
          <w:tab w:leader="none" w:pos="1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4" w:lineRule="exact"/>
        <w:rPr>
          <w:rFonts w:ascii="Arial" w:cs="Arial" w:eastAsia="Arial" w:hAnsi="Arial"/>
          <w:sz w:val="17"/>
          <w:szCs w:val="17"/>
          <w:color w:val="auto"/>
        </w:rPr>
      </w:pPr>
    </w:p>
    <w:p>
      <w:pPr>
        <w:jc w:val="both"/>
        <w:ind w:left="1220" w:right="140" w:hanging="531"/>
        <w:spacing w:after="0" w:line="261" w:lineRule="auto"/>
        <w:tabs>
          <w:tab w:leader="none" w:pos="1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4" w:lineRule="exact"/>
        <w:rPr>
          <w:rFonts w:ascii="Arial" w:cs="Arial" w:eastAsia="Arial" w:hAnsi="Arial"/>
          <w:sz w:val="17"/>
          <w:szCs w:val="17"/>
          <w:color w:val="auto"/>
        </w:rPr>
      </w:pPr>
    </w:p>
    <w:p>
      <w:pPr>
        <w:ind w:left="1220" w:right="800" w:hanging="531"/>
        <w:spacing w:after="0" w:line="273" w:lineRule="auto"/>
        <w:tabs>
          <w:tab w:leader="none" w:pos="1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64" w:lineRule="exact"/>
        <w:rPr>
          <w:sz w:val="20"/>
          <w:szCs w:val="20"/>
          <w:color w:val="auto"/>
        </w:rPr>
      </w:pPr>
    </w:p>
    <w:p>
      <w:pPr>
        <w:ind w:firstLine="382"/>
        <w:spacing w:after="0" w:line="275"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5" w:lineRule="exact"/>
        <w:rPr>
          <w:sz w:val="20"/>
          <w:szCs w:val="20"/>
          <w:color w:val="auto"/>
        </w:rPr>
      </w:pPr>
    </w:p>
    <w:p>
      <w:pPr>
        <w:ind w:right="180" w:firstLine="382"/>
        <w:spacing w:after="0" w:line="306" w:lineRule="auto"/>
        <w:rPr>
          <w:sz w:val="20"/>
          <w:szCs w:val="20"/>
          <w:color w:val="auto"/>
        </w:rPr>
      </w:pPr>
      <w:r>
        <w:rPr>
          <w:rFonts w:ascii="Arial" w:cs="Arial" w:eastAsia="Arial" w:hAnsi="Arial"/>
          <w:sz w:val="16"/>
          <w:szCs w:val="16"/>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40" w:lineRule="exact"/>
        <w:rPr>
          <w:sz w:val="20"/>
          <w:szCs w:val="20"/>
          <w:color w:val="auto"/>
        </w:rPr>
      </w:pPr>
    </w:p>
    <w:p>
      <w:pPr>
        <w:ind w:right="160" w:firstLine="382"/>
        <w:spacing w:after="0" w:line="295" w:lineRule="auto"/>
        <w:rPr>
          <w:sz w:val="20"/>
          <w:szCs w:val="20"/>
          <w:color w:val="auto"/>
        </w:rPr>
      </w:pPr>
      <w:r>
        <w:rPr>
          <w:rFonts w:ascii="Arial" w:cs="Arial" w:eastAsia="Arial" w:hAnsi="Arial"/>
          <w:sz w:val="15"/>
          <w:szCs w:val="15"/>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9" w:name="page50"/>
    <w:bookmarkEnd w:id="49"/>
    <w:p>
      <w:pPr>
        <w:ind w:right="60" w:firstLine="382"/>
        <w:spacing w:after="0" w:line="269"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9" w:lineRule="exact"/>
        <w:rPr>
          <w:sz w:val="20"/>
          <w:szCs w:val="20"/>
          <w:color w:val="auto"/>
        </w:rPr>
      </w:pPr>
    </w:p>
    <w:p>
      <w:pPr>
        <w:ind w:firstLine="382"/>
        <w:spacing w:after="0" w:line="291" w:lineRule="auto"/>
        <w:rPr>
          <w:sz w:val="20"/>
          <w:szCs w:val="20"/>
          <w:color w:val="auto"/>
        </w:rPr>
      </w:pPr>
      <w:r>
        <w:rPr>
          <w:rFonts w:ascii="Arial" w:cs="Arial" w:eastAsia="Arial" w:hAnsi="Arial"/>
          <w:sz w:val="15"/>
          <w:szCs w:val="15"/>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Third parties may assert that our employees or consultants have wrongfully used or disclosed confidential information or misappropriated trade secrets.</w:t>
      </w:r>
    </w:p>
    <w:p>
      <w:pPr>
        <w:spacing w:after="0" w:line="144" w:lineRule="exact"/>
        <w:rPr>
          <w:sz w:val="20"/>
          <w:szCs w:val="20"/>
          <w:color w:val="auto"/>
        </w:rPr>
      </w:pPr>
    </w:p>
    <w:p>
      <w:pPr>
        <w:ind w:firstLine="382"/>
        <w:spacing w:after="0" w:line="268"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64" w:lineRule="exact"/>
        <w:rPr>
          <w:sz w:val="20"/>
          <w:szCs w:val="20"/>
          <w:color w:val="auto"/>
        </w:rPr>
      </w:pPr>
    </w:p>
    <w:p>
      <w:pPr>
        <w:ind w:right="200" w:firstLine="382"/>
        <w:spacing w:after="0" w:line="275"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0" w:name="page51"/>
    <w:bookmarkEnd w:id="50"/>
    <w:p>
      <w:pPr>
        <w:ind w:right="140"/>
        <w:spacing w:after="0" w:line="312" w:lineRule="auto"/>
        <w:rPr>
          <w:sz w:val="20"/>
          <w:szCs w:val="20"/>
          <w:color w:val="auto"/>
        </w:rPr>
      </w:pPr>
      <w:r>
        <w:rPr>
          <w:rFonts w:ascii="Arial" w:cs="Arial" w:eastAsia="Arial" w:hAnsi="Arial"/>
          <w:sz w:val="15"/>
          <w:szCs w:val="15"/>
          <w:color w:val="auto"/>
        </w:rPr>
        <w:t>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40" w:lineRule="exact"/>
        <w:rPr>
          <w:sz w:val="20"/>
          <w:szCs w:val="20"/>
          <w:color w:val="auto"/>
        </w:rPr>
      </w:pPr>
    </w:p>
    <w:p>
      <w:pPr>
        <w:ind w:right="220" w:firstLine="382"/>
        <w:spacing w:after="0" w:line="27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7" w:lineRule="exact"/>
        <w:rPr>
          <w:sz w:val="20"/>
          <w:szCs w:val="20"/>
          <w:color w:val="auto"/>
        </w:rPr>
      </w:pPr>
    </w:p>
    <w:p>
      <w:pPr>
        <w:ind w:right="160" w:firstLine="382"/>
        <w:spacing w:after="0" w:line="275"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5" w:lineRule="exact"/>
        <w:rPr>
          <w:sz w:val="20"/>
          <w:szCs w:val="20"/>
          <w:color w:val="auto"/>
        </w:rPr>
      </w:pPr>
    </w:p>
    <w:p>
      <w:pPr>
        <w:ind w:right="880" w:firstLine="382"/>
        <w:spacing w:after="0" w:line="273"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64" w:lineRule="exact"/>
        <w:rPr>
          <w:sz w:val="20"/>
          <w:szCs w:val="20"/>
          <w:color w:val="auto"/>
        </w:rPr>
      </w:pPr>
    </w:p>
    <w:p>
      <w:pPr>
        <w:ind w:right="140" w:firstLine="382"/>
        <w:spacing w:after="0" w:line="273" w:lineRule="auto"/>
        <w:rPr>
          <w:sz w:val="20"/>
          <w:szCs w:val="20"/>
          <w:color w:val="auto"/>
        </w:rPr>
      </w:pPr>
      <w:r>
        <w:rPr>
          <w:rFonts w:ascii="Arial" w:cs="Arial" w:eastAsia="Arial" w:hAnsi="Arial"/>
          <w:sz w:val="16"/>
          <w:szCs w:val="16"/>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7"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spacing w:after="0" w:line="57" w:lineRule="exact"/>
        <w:rPr>
          <w:sz w:val="20"/>
          <w:szCs w:val="20"/>
          <w:color w:val="auto"/>
        </w:rPr>
      </w:pPr>
    </w:p>
    <w:p>
      <w:pPr>
        <w:jc w:val="both"/>
        <w:ind w:right="440" w:firstLine="382"/>
        <w:spacing w:after="0" w:line="261" w:lineRule="auto"/>
        <w:rPr>
          <w:sz w:val="20"/>
          <w:szCs w:val="20"/>
          <w:color w:val="auto"/>
        </w:rPr>
      </w:pPr>
      <w:r>
        <w:rPr>
          <w:rFonts w:ascii="Arial" w:cs="Arial" w:eastAsia="Arial" w:hAnsi="Arial"/>
          <w:sz w:val="17"/>
          <w:szCs w:val="17"/>
          <w:color w:val="auto"/>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75" w:lineRule="exact"/>
        <w:rPr>
          <w:sz w:val="20"/>
          <w:szCs w:val="20"/>
          <w:color w:val="auto"/>
        </w:rPr>
      </w:pPr>
    </w:p>
    <w:p>
      <w:pPr>
        <w:ind w:right="160" w:firstLine="382"/>
        <w:spacing w:after="0" w:line="269"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5" w:lineRule="exact"/>
        <w:rPr>
          <w:sz w:val="20"/>
          <w:szCs w:val="20"/>
          <w:color w:val="auto"/>
        </w:rPr>
      </w:pPr>
    </w:p>
    <w:p>
      <w:pPr>
        <w:ind w:right="120" w:firstLine="382"/>
        <w:spacing w:after="0" w:line="254"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1" w:name="page52"/>
    <w:bookmarkEnd w:id="51"/>
    <w:p>
      <w:pPr>
        <w:ind w:right="100"/>
        <w:spacing w:after="0" w:line="273" w:lineRule="auto"/>
        <w:rPr>
          <w:sz w:val="20"/>
          <w:szCs w:val="20"/>
          <w:color w:val="auto"/>
        </w:rPr>
      </w:pPr>
      <w:r>
        <w:rPr>
          <w:rFonts w:ascii="Arial" w:cs="Arial" w:eastAsia="Arial" w:hAnsi="Arial"/>
          <w:sz w:val="17"/>
          <w:szCs w:val="17"/>
          <w:color w:val="auto"/>
        </w:rPr>
        <w:t>prevent, alone or with our licensors, misappropriation of our trade secrets or confidential information, particularly in countries where the laws may not protect those rights as fully as in the United States.</w:t>
      </w:r>
    </w:p>
    <w:p>
      <w:pPr>
        <w:spacing w:after="0" w:line="64" w:lineRule="exact"/>
        <w:rPr>
          <w:sz w:val="20"/>
          <w:szCs w:val="20"/>
          <w:color w:val="auto"/>
        </w:rPr>
      </w:pPr>
    </w:p>
    <w:p>
      <w:pPr>
        <w:ind w:right="260" w:firstLine="382"/>
        <w:spacing w:after="0" w:line="257"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9" w:lineRule="exact"/>
        <w:rPr>
          <w:sz w:val="20"/>
          <w:szCs w:val="20"/>
          <w:color w:val="auto"/>
        </w:rPr>
      </w:pPr>
    </w:p>
    <w:p>
      <w:pPr>
        <w:ind w:right="140" w:firstLine="382"/>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ind w:firstLine="382"/>
        <w:spacing w:after="0" w:line="291"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Any patents covering our product candidates could be found invalid or unenforceable if challenged in court or the USPTO (or foreign patent offices).</w:t>
      </w:r>
    </w:p>
    <w:p>
      <w:pPr>
        <w:spacing w:after="0" w:line="133"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2" w:lineRule="exact"/>
        <w:rPr>
          <w:sz w:val="20"/>
          <w:szCs w:val="20"/>
          <w:color w:val="auto"/>
        </w:rPr>
      </w:pPr>
    </w:p>
    <w:p>
      <w:pPr>
        <w:ind w:right="120" w:firstLine="382"/>
        <w:spacing w:after="0" w:line="298" w:lineRule="auto"/>
        <w:rPr>
          <w:sz w:val="20"/>
          <w:szCs w:val="20"/>
          <w:color w:val="auto"/>
        </w:rPr>
      </w:pPr>
      <w:r>
        <w:rPr>
          <w:rFonts w:ascii="Arial" w:cs="Arial" w:eastAsia="Arial" w:hAnsi="Arial"/>
          <w:sz w:val="15"/>
          <w:szCs w:val="15"/>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possible patent term adjustments or extensions. However, we cannot be assured that the USPTO, EPO or other relevant foreign patent offices will grant any of these patent applications.</w:t>
      </w:r>
    </w:p>
    <w:p>
      <w:pPr>
        <w:spacing w:after="0" w:line="49" w:lineRule="exact"/>
        <w:rPr>
          <w:sz w:val="20"/>
          <w:szCs w:val="20"/>
          <w:color w:val="auto"/>
        </w:rPr>
      </w:pPr>
    </w:p>
    <w:p>
      <w:pPr>
        <w:ind w:right="240" w:firstLine="382"/>
        <w:spacing w:after="0" w:line="273" w:lineRule="auto"/>
        <w:rPr>
          <w:sz w:val="20"/>
          <w:szCs w:val="20"/>
          <w:color w:val="auto"/>
        </w:rPr>
      </w:pPr>
      <w:r>
        <w:rPr>
          <w:rFonts w:ascii="Arial" w:cs="Arial" w:eastAsia="Arial" w:hAnsi="Arial"/>
          <w:sz w:val="17"/>
          <w:szCs w:val="17"/>
          <w:b w:val="1"/>
          <w:bCs w:val="1"/>
          <w:i w:val="1"/>
          <w:iCs w:val="1"/>
          <w:color w:val="auto"/>
        </w:rPr>
        <w:t>Changes in patent law in the U.S. and in foreign jurisdictions could diminish the value of patents in general, thereby impairing our ability to protect our products.</w:t>
      </w:r>
    </w:p>
    <w:p>
      <w:pPr>
        <w:spacing w:after="0" w:line="64" w:lineRule="exact"/>
        <w:rPr>
          <w:sz w:val="20"/>
          <w:szCs w:val="20"/>
          <w:color w:val="auto"/>
        </w:rPr>
      </w:pPr>
    </w:p>
    <w:p>
      <w:pPr>
        <w:ind w:right="40" w:firstLine="382"/>
        <w:spacing w:after="0" w:line="293" w:lineRule="auto"/>
        <w:rPr>
          <w:sz w:val="20"/>
          <w:szCs w:val="20"/>
          <w:color w:val="auto"/>
        </w:rPr>
      </w:pPr>
      <w:r>
        <w:rPr>
          <w:rFonts w:ascii="Arial" w:cs="Arial" w:eastAsia="Arial" w:hAnsi="Arial"/>
          <w:sz w:val="15"/>
          <w:szCs w:val="15"/>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2" w:name="page53"/>
    <w:bookmarkEnd w:id="52"/>
    <w:p>
      <w:pPr>
        <w:ind w:right="260"/>
        <w:spacing w:after="0" w:line="273" w:lineRule="auto"/>
        <w:rPr>
          <w:sz w:val="20"/>
          <w:szCs w:val="20"/>
          <w:color w:val="auto"/>
        </w:rPr>
      </w:pPr>
      <w:r>
        <w:rPr>
          <w:rFonts w:ascii="Arial" w:cs="Arial" w:eastAsia="Arial" w:hAnsi="Arial"/>
          <w:sz w:val="17"/>
          <w:szCs w:val="17"/>
          <w:color w:val="auto"/>
        </w:rPr>
        <w:t>cannot be certain that we or our licensors were the first to either (i) file any patent application related to our product candidates or (ii) invent any of the inventions claimed in our or our licensor’s patents or patent applications.</w:t>
      </w:r>
    </w:p>
    <w:p>
      <w:pPr>
        <w:spacing w:after="0" w:line="64" w:lineRule="exact"/>
        <w:rPr>
          <w:sz w:val="20"/>
          <w:szCs w:val="20"/>
          <w:color w:val="auto"/>
        </w:rPr>
      </w:pPr>
    </w:p>
    <w:p>
      <w:pPr>
        <w:ind w:right="120" w:firstLine="382"/>
        <w:spacing w:after="0" w:line="252"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84"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right="40" w:firstLine="382"/>
        <w:spacing w:after="0" w:line="291" w:lineRule="auto"/>
        <w:rPr>
          <w:sz w:val="20"/>
          <w:szCs w:val="20"/>
          <w:color w:val="auto"/>
        </w:rPr>
      </w:pPr>
      <w:r>
        <w:rPr>
          <w:rFonts w:ascii="Arial" w:cs="Arial" w:eastAsia="Arial" w:hAnsi="Arial"/>
          <w:sz w:val="15"/>
          <w:szCs w:val="15"/>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57" w:lineRule="exact"/>
        <w:rPr>
          <w:sz w:val="20"/>
          <w:szCs w:val="20"/>
          <w:color w:val="auto"/>
        </w:rPr>
      </w:pPr>
    </w:p>
    <w:p>
      <w:pPr>
        <w:ind w:right="40" w:firstLine="382"/>
        <w:spacing w:after="0" w:line="26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right="180" w:firstLine="382"/>
        <w:spacing w:after="0" w:line="275"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owned and licensed patent portfolio may not provide us with sufficient rights to exclude others from commercializing products similar or identical to ours.</w:t>
      </w:r>
    </w:p>
    <w:p>
      <w:pPr>
        <w:spacing w:after="0" w:line="121" w:lineRule="exact"/>
        <w:rPr>
          <w:sz w:val="20"/>
          <w:szCs w:val="20"/>
          <w:color w:val="auto"/>
        </w:rPr>
      </w:pPr>
    </w:p>
    <w:p>
      <w:pPr>
        <w:ind w:right="180" w:firstLine="382"/>
        <w:spacing w:after="0" w:line="273" w:lineRule="auto"/>
        <w:rPr>
          <w:sz w:val="20"/>
          <w:szCs w:val="20"/>
          <w:color w:val="auto"/>
        </w:rPr>
      </w:pPr>
      <w:r>
        <w:rPr>
          <w:rFonts w:ascii="Arial" w:cs="Arial" w:eastAsia="Arial" w:hAnsi="Arial"/>
          <w:sz w:val="17"/>
          <w:szCs w:val="17"/>
          <w:color w:val="auto"/>
        </w:rPr>
        <w:t>At the EU level, the Court of Justice of the European Union, or CJEU, has recently narrowed the availability of patent term extension for second medical use therefore affecting the scope of patent protection available.</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133" w:lineRule="exact"/>
        <w:rPr>
          <w:sz w:val="20"/>
          <w:szCs w:val="20"/>
          <w:color w:val="auto"/>
        </w:rPr>
      </w:pPr>
    </w:p>
    <w:p>
      <w:pPr>
        <w:ind w:firstLine="382"/>
        <w:spacing w:after="0" w:line="268" w:lineRule="auto"/>
        <w:rPr>
          <w:sz w:val="20"/>
          <w:szCs w:val="20"/>
          <w:color w:val="auto"/>
        </w:rPr>
      </w:pPr>
      <w:r>
        <w:rPr>
          <w:rFonts w:ascii="Arial" w:cs="Arial" w:eastAsia="Arial" w:hAnsi="Arial"/>
          <w:sz w:val="16"/>
          <w:szCs w:val="16"/>
          <w:color w:val="auto"/>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Directive and a new Regulation. If made into law, this proposal will revise and replace the existing general pharmaceutical legislation and will affect the existing period of regulatory protection afforded to medicinal products.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w:t>
      </w:r>
    </w:p>
    <w:p>
      <w:pPr>
        <w:spacing w:after="0" w:line="73" w:lineRule="exact"/>
        <w:rPr>
          <w:sz w:val="20"/>
          <w:szCs w:val="20"/>
          <w:color w:val="auto"/>
        </w:rPr>
      </w:pPr>
    </w:p>
    <w:p>
      <w:pPr>
        <w:ind w:right="360" w:firstLine="382"/>
        <w:spacing w:after="0" w:line="273"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right="80" w:firstLine="382"/>
        <w:spacing w:after="0" w:line="257"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110" w:lineRule="exact"/>
        <w:rPr>
          <w:sz w:val="20"/>
          <w:szCs w:val="20"/>
          <w:color w:val="auto"/>
        </w:rPr>
      </w:pPr>
    </w:p>
    <w:p>
      <w:pPr>
        <w:ind w:right="520" w:firstLine="382"/>
        <w:spacing w:after="0" w:line="27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2" w:lineRule="exact"/>
        <w:rPr>
          <w:sz w:val="20"/>
          <w:szCs w:val="20"/>
          <w:color w:val="auto"/>
        </w:rPr>
      </w:pPr>
    </w:p>
    <w:p>
      <w:pPr>
        <w:ind w:left="1220" w:right="500" w:hanging="531"/>
        <w:spacing w:after="0" w:line="236" w:lineRule="auto"/>
        <w:tabs>
          <w:tab w:leader="none" w:pos="1220" w:val="left"/>
        </w:tabs>
        <w:numPr>
          <w:ilvl w:val="0"/>
          <w:numId w:val="37"/>
        </w:numPr>
        <w:rPr>
          <w:rFonts w:ascii="Arial" w:cs="Arial" w:eastAsia="Arial" w:hAnsi="Arial"/>
          <w:sz w:val="20"/>
          <w:szCs w:val="20"/>
          <w:color w:val="auto"/>
        </w:rPr>
      </w:pPr>
      <w:r>
        <w:rPr>
          <w:rFonts w:ascii="Arial" w:cs="Arial" w:eastAsia="Arial" w:hAnsi="Arial"/>
          <w:sz w:val="17"/>
          <w:szCs w:val="17"/>
          <w:color w:val="auto"/>
        </w:rPr>
        <w:t>others may be able to make drug candidates that are similar to ours but that are not covered by the claims of the patents that we own or have exclusively licensed;</w:t>
      </w:r>
    </w:p>
    <w:p>
      <w:pPr>
        <w:spacing w:after="0" w:line="90" w:lineRule="exact"/>
        <w:rPr>
          <w:rFonts w:ascii="Arial" w:cs="Arial" w:eastAsia="Arial" w:hAnsi="Arial"/>
          <w:sz w:val="20"/>
          <w:szCs w:val="20"/>
          <w:color w:val="auto"/>
        </w:rPr>
      </w:pPr>
    </w:p>
    <w:p>
      <w:pPr>
        <w:ind w:left="1220" w:right="380" w:hanging="531"/>
        <w:spacing w:after="0" w:line="273"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make the inventions covered by the issued patent or pending patent application that we own or have exclusively licensed;</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09" w:lineRule="exact"/>
        <w:rPr>
          <w:rFonts w:ascii="Arial" w:cs="Arial" w:eastAsia="Arial" w:hAnsi="Arial"/>
          <w:sz w:val="17"/>
          <w:szCs w:val="17"/>
          <w:color w:val="auto"/>
        </w:rPr>
      </w:pPr>
    </w:p>
    <w:p>
      <w:pPr>
        <w:ind w:left="1220" w:right="480" w:hanging="531"/>
        <w:spacing w:after="0" w:line="273"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issued patents that we own or have exclusively licensed may be held invalid or unenforceable, as a result of legal challenges by our competitors;</w:t>
      </w:r>
    </w:p>
    <w:p>
      <w:pPr>
        <w:spacing w:after="0" w:line="132" w:lineRule="exact"/>
        <w:rPr>
          <w:rFonts w:ascii="Arial" w:cs="Arial" w:eastAsia="Arial" w:hAnsi="Arial"/>
          <w:sz w:val="15"/>
          <w:szCs w:val="15"/>
          <w:color w:val="auto"/>
        </w:rPr>
      </w:pPr>
    </w:p>
    <w:p>
      <w:pPr>
        <w:ind w:left="1220" w:right="200" w:hanging="531"/>
        <w:spacing w:after="0" w:line="273" w:lineRule="auto"/>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54" w:name="page55"/>
    <w:bookmarkEnd w:id="54"/>
    <w:p>
      <w:pPr>
        <w:ind w:left="1220" w:right="120" w:hanging="531"/>
        <w:spacing w:after="0" w:line="261" w:lineRule="auto"/>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74" w:lineRule="exact"/>
        <w:rPr>
          <w:rFonts w:ascii="Arial" w:cs="Arial" w:eastAsia="Arial" w:hAnsi="Arial"/>
          <w:sz w:val="17"/>
          <w:szCs w:val="17"/>
          <w:color w:val="auto"/>
        </w:rPr>
      </w:pPr>
    </w:p>
    <w:p>
      <w:pPr>
        <w:ind w:left="1220" w:right="60" w:hanging="531"/>
        <w:spacing w:after="0" w:line="273" w:lineRule="auto"/>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claims of any patent issuing based on our patent applications may not provide protection against competitors or any competitive advantages, or may be challenged by third parties;</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enforced, a court may not hold that our patents are valid, enforceable and/or infringed;</w:t>
      </w:r>
    </w:p>
    <w:p>
      <w:pPr>
        <w:spacing w:after="0" w:line="109" w:lineRule="exact"/>
        <w:rPr>
          <w:rFonts w:ascii="Arial" w:cs="Arial" w:eastAsia="Arial" w:hAnsi="Arial"/>
          <w:sz w:val="17"/>
          <w:szCs w:val="17"/>
          <w:color w:val="auto"/>
        </w:rPr>
      </w:pPr>
    </w:p>
    <w:p>
      <w:pPr>
        <w:ind w:left="1220" w:right="140" w:hanging="531"/>
        <w:spacing w:after="0" w:line="273" w:lineRule="auto"/>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need to initiate litigation or administrative proceedings to enforce and/or defend our patent rights which will be costly whether we win or lose;</w:t>
      </w:r>
    </w:p>
    <w:p>
      <w:pPr>
        <w:spacing w:after="0" w:line="64" w:lineRule="exact"/>
        <w:rPr>
          <w:rFonts w:ascii="Arial" w:cs="Arial" w:eastAsia="Arial" w:hAnsi="Arial"/>
          <w:sz w:val="17"/>
          <w:szCs w:val="17"/>
          <w:color w:val="auto"/>
        </w:rPr>
      </w:pPr>
    </w:p>
    <w:p>
      <w:pPr>
        <w:ind w:left="1220" w:right="340" w:hanging="531"/>
        <w:spacing w:after="0" w:line="273" w:lineRule="auto"/>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 party may subsequently file a patent application covering such intellectual property;</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fail to adequately protect and police our trademarks and trade secrets;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parties may independently develop the technology covered by our trade secrets; and</w:t>
      </w:r>
    </w:p>
    <w:p>
      <w:pPr>
        <w:spacing w:after="0" w:line="109" w:lineRule="exact"/>
        <w:rPr>
          <w:rFonts w:ascii="Arial" w:cs="Arial" w:eastAsia="Arial" w:hAnsi="Arial"/>
          <w:sz w:val="17"/>
          <w:szCs w:val="17"/>
          <w:color w:val="auto"/>
        </w:rPr>
      </w:pPr>
    </w:p>
    <w:p>
      <w:pPr>
        <w:ind w:left="1220" w:right="100" w:hanging="531"/>
        <w:spacing w:after="0" w:line="273" w:lineRule="auto"/>
        <w:tabs>
          <w:tab w:leader="none" w:pos="1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64" w:lineRule="exact"/>
        <w:rPr>
          <w:sz w:val="20"/>
          <w:szCs w:val="20"/>
          <w:color w:val="auto"/>
        </w:rPr>
      </w:pPr>
    </w:p>
    <w:p>
      <w:pPr>
        <w:ind w:right="1800" w:firstLine="382"/>
        <w:spacing w:after="0" w:line="374" w:lineRule="auto"/>
        <w:rPr>
          <w:sz w:val="20"/>
          <w:szCs w:val="20"/>
          <w:color w:val="auto"/>
        </w:rPr>
      </w:pPr>
      <w:r>
        <w:rPr>
          <w:rFonts w:ascii="Arial" w:cs="Arial" w:eastAsia="Arial" w:hAnsi="Arial"/>
          <w:sz w:val="17"/>
          <w:szCs w:val="17"/>
          <w:color w:val="auto"/>
        </w:rPr>
        <w:t xml:space="preserve">Should any of these events occur, they could significantly harm our business, financial condition, results of operations, and prospects. </w:t>
      </w:r>
      <w:r>
        <w:rPr>
          <w:rFonts w:ascii="Arial" w:cs="Arial" w:eastAsia="Arial" w:hAnsi="Arial"/>
          <w:sz w:val="17"/>
          <w:szCs w:val="17"/>
          <w:b w:val="1"/>
          <w:bCs w:val="1"/>
          <w:color w:val="auto"/>
        </w:rPr>
        <w:t>Risks Related to Our Reliance on Third Parties</w:t>
      </w:r>
    </w:p>
    <w:p>
      <w:pPr>
        <w:spacing w:after="0" w:line="1" w:lineRule="exact"/>
        <w:rPr>
          <w:sz w:val="20"/>
          <w:szCs w:val="20"/>
          <w:color w:val="auto"/>
        </w:rPr>
      </w:pPr>
    </w:p>
    <w:p>
      <w:pPr>
        <w:ind w:firstLine="382"/>
        <w:spacing w:after="0" w:line="302" w:lineRule="auto"/>
        <w:rPr>
          <w:sz w:val="20"/>
          <w:szCs w:val="20"/>
          <w:color w:val="auto"/>
        </w:rPr>
      </w:pPr>
      <w:r>
        <w:rPr>
          <w:rFonts w:ascii="Arial" w:cs="Arial" w:eastAsia="Arial" w:hAnsi="Arial"/>
          <w:sz w:val="15"/>
          <w:szCs w:val="15"/>
          <w:b w:val="1"/>
          <w:bCs w:val="1"/>
          <w:i w:val="1"/>
          <w:iCs w:val="1"/>
          <w:color w:val="auto"/>
        </w:rPr>
        <w:t>We previously entered into a collaboration agreement with Novartis for the development of PLN-1474, which was terminated by Novartis in April 2023,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48" w:lineRule="exact"/>
        <w:rPr>
          <w:sz w:val="20"/>
          <w:szCs w:val="20"/>
          <w:color w:val="auto"/>
        </w:rPr>
      </w:pPr>
    </w:p>
    <w:p>
      <w:pPr>
        <w:ind w:right="60" w:firstLine="382"/>
        <w:spacing w:after="0" w:line="255" w:lineRule="auto"/>
        <w:rPr>
          <w:sz w:val="20"/>
          <w:szCs w:val="20"/>
          <w:color w:val="auto"/>
        </w:rPr>
      </w:pPr>
      <w:r>
        <w:rPr>
          <w:rFonts w:ascii="Arial" w:cs="Arial" w:eastAsia="Arial" w:hAnsi="Arial"/>
          <w:sz w:val="17"/>
          <w:szCs w:val="17"/>
          <w:color w:val="auto"/>
        </w:rPr>
        <w:t>In October 2019, we entered into a license and collaboration agreement with Novartis for the development and commercialization of our then preclinical product candidate, PLN-1474, and up to three integrin research targets. On February 17, 2023, Novartis exercised their right to terminate the Novartis Agreement as part of their new strategy focusing on a limited number of therapeutic areas. The termination took effect on April 18, 2023, whereupon all rights and licenses granted thereunder, including PLN-1474, the related IND, and the validated research target, reverted back to us. The payment obligations of Novartis with respect to future milestones, royalties and research and development funding also terminated.</w:t>
      </w:r>
    </w:p>
    <w:p>
      <w:pPr>
        <w:spacing w:after="0" w:line="81" w:lineRule="exact"/>
        <w:rPr>
          <w:sz w:val="20"/>
          <w:szCs w:val="20"/>
          <w:color w:val="auto"/>
        </w:rPr>
      </w:pPr>
    </w:p>
    <w:p>
      <w:pPr>
        <w:ind w:right="40" w:firstLine="382"/>
        <w:spacing w:after="0" w:line="257" w:lineRule="auto"/>
        <w:rPr>
          <w:sz w:val="20"/>
          <w:szCs w:val="20"/>
          <w:color w:val="auto"/>
        </w:rPr>
      </w:pPr>
      <w:r>
        <w:rPr>
          <w:rFonts w:ascii="Arial" w:cs="Arial" w:eastAsia="Arial" w:hAnsi="Arial"/>
          <w:sz w:val="17"/>
          <w:szCs w:val="17"/>
          <w:color w:val="auto"/>
        </w:rPr>
        <w:t>To the extent that we are unable to attract future collaborators,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79" w:lineRule="exact"/>
        <w:rPr>
          <w:sz w:val="20"/>
          <w:szCs w:val="20"/>
          <w:color w:val="auto"/>
        </w:rPr>
      </w:pPr>
    </w:p>
    <w:p>
      <w:pPr>
        <w:ind w:right="200" w:firstLine="382"/>
        <w:spacing w:after="0" w:line="261" w:lineRule="auto"/>
        <w:rPr>
          <w:sz w:val="20"/>
          <w:szCs w:val="20"/>
          <w:color w:val="auto"/>
        </w:rPr>
      </w:pPr>
      <w:r>
        <w:rPr>
          <w:rFonts w:ascii="Arial" w:cs="Arial" w:eastAsia="Arial" w:hAnsi="Arial"/>
          <w:sz w:val="17"/>
          <w:szCs w:val="17"/>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75" w:lineRule="exact"/>
        <w:rPr>
          <w:sz w:val="20"/>
          <w:szCs w:val="20"/>
          <w:color w:val="auto"/>
        </w:rPr>
      </w:pPr>
    </w:p>
    <w:p>
      <w:pPr>
        <w:ind w:firstLine="382"/>
        <w:spacing w:after="0" w:line="261" w:lineRule="auto"/>
        <w:rPr>
          <w:sz w:val="20"/>
          <w:szCs w:val="20"/>
          <w:color w:val="auto"/>
        </w:rPr>
      </w:pPr>
      <w:r>
        <w:rPr>
          <w:rFonts w:ascii="Arial" w:cs="Arial" w:eastAsia="Arial" w:hAnsi="Arial"/>
          <w:sz w:val="17"/>
          <w:szCs w:val="17"/>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75" w:lineRule="exact"/>
        <w:rPr>
          <w:sz w:val="20"/>
          <w:szCs w:val="20"/>
          <w:color w:val="auto"/>
        </w:rPr>
      </w:pPr>
    </w:p>
    <w:p>
      <w:pPr>
        <w:ind w:right="40" w:firstLine="382"/>
        <w:spacing w:after="0" w:line="290" w:lineRule="auto"/>
        <w:rPr>
          <w:sz w:val="20"/>
          <w:szCs w:val="20"/>
          <w:color w:val="auto"/>
        </w:rPr>
      </w:pPr>
      <w:r>
        <w:rPr>
          <w:rFonts w:ascii="Arial" w:cs="Arial" w:eastAsia="Arial" w:hAnsi="Arial"/>
          <w:sz w:val="15"/>
          <w:szCs w:val="15"/>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5" w:name="page56"/>
    <w:bookmarkEnd w:id="55"/>
    <w:p>
      <w:pPr>
        <w:jc w:val="both"/>
        <w:ind w:right="200" w:firstLine="382"/>
        <w:spacing w:after="0" w:line="261" w:lineRule="auto"/>
        <w:rPr>
          <w:sz w:val="20"/>
          <w:szCs w:val="20"/>
          <w:color w:val="auto"/>
        </w:rPr>
      </w:pPr>
      <w:r>
        <w:rPr>
          <w:rFonts w:ascii="Arial" w:cs="Arial" w:eastAsia="Arial" w:hAnsi="Arial"/>
          <w:sz w:val="17"/>
          <w:szCs w:val="17"/>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5"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75" w:lineRule="exact"/>
        <w:rPr>
          <w:sz w:val="20"/>
          <w:szCs w:val="20"/>
          <w:color w:val="auto"/>
        </w:rPr>
      </w:pPr>
    </w:p>
    <w:p>
      <w:pPr>
        <w:ind w:right="100" w:firstLine="382"/>
        <w:spacing w:after="0" w:line="273" w:lineRule="auto"/>
        <w:rPr>
          <w:sz w:val="20"/>
          <w:szCs w:val="20"/>
          <w:color w:val="auto"/>
        </w:rPr>
      </w:pPr>
      <w:r>
        <w:rPr>
          <w:rFonts w:ascii="Arial" w:cs="Arial" w:eastAsia="Arial" w:hAnsi="Arial"/>
          <w:sz w:val="17"/>
          <w:szCs w:val="17"/>
          <w:color w:val="auto"/>
        </w:rPr>
        <w:t>If any of our relationships with these third-party CROs or others terminate, we may not be able to enter into arrangements with alternative CROs or other third parties or to do so on commercially reasonable terms.</w:t>
      </w:r>
    </w:p>
    <w:p>
      <w:pPr>
        <w:spacing w:after="0" w:line="64" w:lineRule="exact"/>
        <w:rPr>
          <w:sz w:val="20"/>
          <w:szCs w:val="20"/>
          <w:color w:val="auto"/>
        </w:rPr>
      </w:pPr>
    </w:p>
    <w:p>
      <w:pPr>
        <w:ind w:right="100" w:firstLine="382"/>
        <w:spacing w:after="0" w:line="257"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79" w:lineRule="exact"/>
        <w:rPr>
          <w:sz w:val="20"/>
          <w:szCs w:val="20"/>
          <w:color w:val="auto"/>
        </w:rPr>
      </w:pPr>
    </w:p>
    <w:p>
      <w:pPr>
        <w:ind w:right="700" w:firstLine="382"/>
        <w:spacing w:after="0" w:line="273" w:lineRule="auto"/>
        <w:rPr>
          <w:sz w:val="20"/>
          <w:szCs w:val="20"/>
          <w:color w:val="auto"/>
        </w:rPr>
      </w:pPr>
      <w:r>
        <w:rPr>
          <w:rFonts w:ascii="Arial" w:cs="Arial" w:eastAsia="Arial" w:hAnsi="Arial"/>
          <w:sz w:val="17"/>
          <w:szCs w:val="17"/>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64"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52" w:lineRule="exact"/>
        <w:rPr>
          <w:sz w:val="20"/>
          <w:szCs w:val="20"/>
          <w:color w:val="auto"/>
        </w:rPr>
      </w:pPr>
    </w:p>
    <w:p>
      <w:pPr>
        <w:jc w:val="both"/>
        <w:ind w:right="60" w:firstLine="382"/>
        <w:spacing w:after="0" w:line="261" w:lineRule="auto"/>
        <w:rPr>
          <w:sz w:val="20"/>
          <w:szCs w:val="20"/>
          <w:color w:val="auto"/>
        </w:rPr>
      </w:pPr>
      <w:r>
        <w:rPr>
          <w:rFonts w:ascii="Arial" w:cs="Arial" w:eastAsia="Arial" w:hAnsi="Arial"/>
          <w:sz w:val="17"/>
          <w:szCs w:val="17"/>
          <w:b w:val="1"/>
          <w:bCs w:val="1"/>
          <w:i w:val="1"/>
          <w:iCs w:val="1"/>
          <w:color w:val="auto"/>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spacing w:after="0" w:line="75" w:lineRule="exact"/>
        <w:rPr>
          <w:sz w:val="20"/>
          <w:szCs w:val="20"/>
          <w:color w:val="auto"/>
        </w:rPr>
      </w:pPr>
    </w:p>
    <w:p>
      <w:pPr>
        <w:ind w:right="80" w:firstLine="382"/>
        <w:spacing w:after="0" w:line="272"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challenging macroeconomic conditions, including lingering effects of the COVID-19 pandemic.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w:t>
      </w:r>
    </w:p>
    <w:p>
      <w:pPr>
        <w:spacing w:after="0" w:line="67" w:lineRule="exact"/>
        <w:rPr>
          <w:sz w:val="20"/>
          <w:szCs w:val="20"/>
          <w:color w:val="auto"/>
        </w:rPr>
      </w:pPr>
    </w:p>
    <w:p>
      <w:pPr>
        <w:ind w:right="60" w:firstLine="382"/>
        <w:spacing w:after="0" w:line="273"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7"/>
          <w:szCs w:val="17"/>
          <w:color w:val="auto"/>
        </w:rPr>
        <w:t>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82" w:lineRule="exact"/>
        <w:rPr>
          <w:sz w:val="20"/>
          <w:szCs w:val="20"/>
          <w:color w:val="auto"/>
        </w:rPr>
      </w:pPr>
    </w:p>
    <w:p>
      <w:pPr>
        <w:ind w:right="20" w:firstLine="382"/>
        <w:spacing w:after="0" w:line="254" w:lineRule="auto"/>
        <w:rPr>
          <w:sz w:val="20"/>
          <w:szCs w:val="20"/>
          <w:color w:val="auto"/>
        </w:rPr>
      </w:pPr>
      <w:r>
        <w:rPr>
          <w:rFonts w:ascii="Arial" w:cs="Arial" w:eastAsia="Arial" w:hAnsi="Arial"/>
          <w:sz w:val="17"/>
          <w:szCs w:val="17"/>
          <w:color w:val="auto"/>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spacing w:after="0" w:line="105" w:lineRule="exact"/>
        <w:rPr>
          <w:sz w:val="20"/>
          <w:szCs w:val="20"/>
          <w:color w:val="auto"/>
        </w:rPr>
      </w:pPr>
    </w:p>
    <w:p>
      <w:pPr>
        <w:ind w:left="1220" w:hanging="531"/>
        <w:spacing w:after="0"/>
        <w:tabs>
          <w:tab w:leader="none" w:pos="1220" w:val="left"/>
        </w:tabs>
        <w:numPr>
          <w:ilvl w:val="0"/>
          <w:numId w:val="39"/>
        </w:numPr>
        <w:rPr>
          <w:rFonts w:ascii="Arial" w:cs="Arial" w:eastAsia="Arial" w:hAnsi="Arial"/>
          <w:sz w:val="20"/>
          <w:szCs w:val="20"/>
          <w:color w:val="auto"/>
        </w:rPr>
      </w:pPr>
      <w:r>
        <w:rPr>
          <w:rFonts w:ascii="Arial" w:cs="Arial" w:eastAsia="Arial" w:hAnsi="Arial"/>
          <w:sz w:val="17"/>
          <w:szCs w:val="17"/>
          <w:color w:val="auto"/>
        </w:rPr>
        <w:t>an inability to initiate or continue clinical trials of product candidates under development;</w:t>
      </w:r>
    </w:p>
    <w:p>
      <w:pPr>
        <w:spacing w:after="0" w:line="90" w:lineRule="exact"/>
        <w:rPr>
          <w:rFonts w:ascii="Arial" w:cs="Arial" w:eastAsia="Arial" w:hAnsi="Arial"/>
          <w:sz w:val="20"/>
          <w:szCs w:val="20"/>
          <w:color w:val="auto"/>
        </w:rPr>
      </w:pPr>
    </w:p>
    <w:p>
      <w:pPr>
        <w:ind w:left="1220" w:hanging="5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loss of the cooperation of an existing or future collaborator;</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09" w:lineRule="exact"/>
        <w:rPr>
          <w:rFonts w:ascii="Arial" w:cs="Arial" w:eastAsia="Arial" w:hAnsi="Arial"/>
          <w:sz w:val="17"/>
          <w:szCs w:val="17"/>
          <w:color w:val="auto"/>
        </w:rPr>
      </w:pPr>
    </w:p>
    <w:p>
      <w:pPr>
        <w:ind w:left="1220" w:hanging="531"/>
        <w:spacing w:after="0"/>
        <w:tabs>
          <w:tab w:leader="none" w:pos="1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10" w:lineRule="exact"/>
        <w:rPr>
          <w:sz w:val="20"/>
          <w:szCs w:val="20"/>
          <w:color w:val="auto"/>
        </w:rPr>
      </w:pPr>
    </w:p>
    <w:p>
      <w:pPr>
        <w:ind w:right="160" w:firstLine="382"/>
        <w:spacing w:after="0" w:line="298" w:lineRule="auto"/>
        <w:rPr>
          <w:sz w:val="20"/>
          <w:szCs w:val="20"/>
          <w:color w:val="auto"/>
        </w:rPr>
      </w:pPr>
      <w:r>
        <w:rPr>
          <w:rFonts w:ascii="Arial" w:cs="Arial" w:eastAsia="Arial" w:hAnsi="Arial"/>
          <w:sz w:val="15"/>
          <w:szCs w:val="15"/>
          <w:color w:val="auto"/>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49" w:lineRule="exact"/>
        <w:rPr>
          <w:sz w:val="20"/>
          <w:szCs w:val="20"/>
          <w:color w:val="auto"/>
        </w:rPr>
      </w:pPr>
    </w:p>
    <w:p>
      <w:pPr>
        <w:ind w:right="140" w:firstLine="382"/>
        <w:spacing w:after="0" w:line="253"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84" w:lineRule="exact"/>
        <w:rPr>
          <w:sz w:val="20"/>
          <w:szCs w:val="20"/>
          <w:color w:val="auto"/>
        </w:rPr>
      </w:pPr>
    </w:p>
    <w:p>
      <w:pPr>
        <w:ind w:right="360" w:firstLine="382"/>
        <w:spacing w:after="0" w:line="273" w:lineRule="auto"/>
        <w:rPr>
          <w:sz w:val="20"/>
          <w:szCs w:val="20"/>
          <w:color w:val="auto"/>
        </w:rPr>
      </w:pPr>
      <w:r>
        <w:rPr>
          <w:rFonts w:ascii="Arial" w:cs="Arial" w:eastAsia="Arial" w:hAnsi="Arial"/>
          <w:sz w:val="17"/>
          <w:szCs w:val="17"/>
          <w:b w:val="1"/>
          <w:bCs w:val="1"/>
          <w:i w:val="1"/>
          <w:iCs w:val="1"/>
          <w:color w:val="auto"/>
        </w:rPr>
        <w:t>Future collaborations are expected to be important to our business. If we are unable to enter into new collaborations, or if these collaborations are not successful, our business could be adversely affected.</w:t>
      </w:r>
    </w:p>
    <w:p>
      <w:pPr>
        <w:spacing w:after="0" w:line="64" w:lineRule="exact"/>
        <w:rPr>
          <w:sz w:val="20"/>
          <w:szCs w:val="20"/>
          <w:color w:val="auto"/>
        </w:rPr>
      </w:pPr>
    </w:p>
    <w:p>
      <w:pPr>
        <w:ind w:right="160" w:firstLine="382"/>
        <w:spacing w:after="0" w:line="257" w:lineRule="auto"/>
        <w:rPr>
          <w:sz w:val="20"/>
          <w:szCs w:val="20"/>
          <w:color w:val="auto"/>
        </w:rPr>
      </w:pPr>
      <w:r>
        <w:rPr>
          <w:rFonts w:ascii="Arial" w:cs="Arial" w:eastAsia="Arial" w:hAnsi="Arial"/>
          <w:sz w:val="17"/>
          <w:szCs w:val="17"/>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Any future collaborations we enter into may pose a number of risks, including the following:</w:t>
      </w:r>
    </w:p>
    <w:p>
      <w:pPr>
        <w:spacing w:after="0" w:line="133" w:lineRule="exact"/>
        <w:rPr>
          <w:sz w:val="20"/>
          <w:szCs w:val="20"/>
          <w:color w:val="auto"/>
        </w:rPr>
      </w:pPr>
    </w:p>
    <w:p>
      <w:pPr>
        <w:ind w:left="1220" w:hanging="531"/>
        <w:spacing w:after="0"/>
        <w:tabs>
          <w:tab w:leader="none" w:pos="1220" w:val="left"/>
        </w:tabs>
        <w:numPr>
          <w:ilvl w:val="0"/>
          <w:numId w:val="40"/>
        </w:numPr>
        <w:rPr>
          <w:rFonts w:ascii="Arial" w:cs="Arial" w:eastAsia="Arial" w:hAnsi="Arial"/>
          <w:sz w:val="20"/>
          <w:szCs w:val="20"/>
          <w:color w:val="auto"/>
        </w:rPr>
      </w:pPr>
      <w:r>
        <w:rPr>
          <w:rFonts w:ascii="Arial" w:cs="Arial" w:eastAsia="Arial" w:hAnsi="Arial"/>
          <w:sz w:val="17"/>
          <w:szCs w:val="17"/>
          <w:color w:val="auto"/>
        </w:rPr>
        <w:t>collaborators may have significant discretion in determining the efforts and resources that they will apply;</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0"/>
        </w:numPr>
        <w:rPr>
          <w:rFonts w:ascii="Arial" w:cs="Arial" w:eastAsia="Arial" w:hAnsi="Arial"/>
          <w:sz w:val="20"/>
          <w:szCs w:val="20"/>
          <w:color w:val="auto"/>
        </w:rPr>
      </w:pPr>
      <w:r>
        <w:rPr>
          <w:rFonts w:ascii="Arial" w:cs="Arial" w:eastAsia="Arial" w:hAnsi="Arial"/>
          <w:sz w:val="17"/>
          <w:szCs w:val="17"/>
          <w:color w:val="auto"/>
        </w:rPr>
        <w:t>collaborators may not perform their obligations as expected;</w:t>
      </w:r>
    </w:p>
    <w:p>
      <w:pPr>
        <w:spacing w:after="0" w:line="141" w:lineRule="exact"/>
        <w:rPr>
          <w:rFonts w:ascii="Arial" w:cs="Arial" w:eastAsia="Arial" w:hAnsi="Arial"/>
          <w:sz w:val="20"/>
          <w:szCs w:val="20"/>
          <w:color w:val="auto"/>
        </w:rPr>
      </w:pPr>
    </w:p>
    <w:p>
      <w:pPr>
        <w:ind w:left="1220" w:right="40" w:hanging="531"/>
        <w:spacing w:after="0"/>
        <w:tabs>
          <w:tab w:leader="none" w:pos="1220" w:val="left"/>
        </w:tabs>
        <w:numPr>
          <w:ilvl w:val="0"/>
          <w:numId w:val="40"/>
        </w:numPr>
        <w:rPr>
          <w:rFonts w:ascii="Arial" w:cs="Arial" w:eastAsia="Arial" w:hAnsi="Arial"/>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7" w:name="page58"/>
    <w:bookmarkEnd w:id="57"/>
    <w:p>
      <w:pPr>
        <w:ind w:left="1220"/>
        <w:spacing w:after="0"/>
        <w:rPr>
          <w:sz w:val="20"/>
          <w:szCs w:val="20"/>
          <w:color w:val="auto"/>
        </w:rPr>
      </w:pPr>
      <w:r>
        <w:rPr>
          <w:rFonts w:ascii="Arial" w:cs="Arial" w:eastAsia="Arial" w:hAnsi="Arial"/>
          <w:sz w:val="17"/>
          <w:szCs w:val="17"/>
          <w:color w:val="auto"/>
        </w:rPr>
        <w:t>funding, or external factors, such as a strategic transaction that may divert resources or create competing priorities;</w:t>
      </w:r>
    </w:p>
    <w:p>
      <w:pPr>
        <w:spacing w:after="0" w:line="148" w:lineRule="exact"/>
        <w:rPr>
          <w:sz w:val="20"/>
          <w:szCs w:val="20"/>
          <w:color w:val="auto"/>
        </w:rPr>
      </w:pPr>
    </w:p>
    <w:p>
      <w:pPr>
        <w:ind w:left="1220" w:right="80" w:hanging="531"/>
        <w:spacing w:after="0" w:line="236" w:lineRule="auto"/>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28" w:lineRule="exact"/>
        <w:rPr>
          <w:rFonts w:ascii="Arial" w:cs="Arial" w:eastAsia="Arial" w:hAnsi="Arial"/>
          <w:sz w:val="20"/>
          <w:szCs w:val="20"/>
          <w:color w:val="auto"/>
        </w:rPr>
      </w:pPr>
    </w:p>
    <w:p>
      <w:pPr>
        <w:ind w:left="1220" w:hanging="531"/>
        <w:spacing w:after="0"/>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29" w:lineRule="exact"/>
        <w:rPr>
          <w:rFonts w:ascii="Arial" w:cs="Arial" w:eastAsia="Arial" w:hAnsi="Arial"/>
          <w:sz w:val="20"/>
          <w:szCs w:val="20"/>
          <w:color w:val="auto"/>
        </w:rPr>
      </w:pPr>
    </w:p>
    <w:p>
      <w:pPr>
        <w:ind w:left="1220" w:right="260" w:hanging="531"/>
        <w:spacing w:after="0" w:line="277" w:lineRule="auto"/>
        <w:tabs>
          <w:tab w:leader="none" w:pos="1220" w:val="left"/>
        </w:tabs>
        <w:numPr>
          <w:ilvl w:val="0"/>
          <w:numId w:val="41"/>
        </w:numPr>
        <w:rPr>
          <w:rFonts w:ascii="Arial" w:cs="Arial" w:eastAsia="Arial" w:hAnsi="Arial"/>
          <w:sz w:val="19"/>
          <w:szCs w:val="19"/>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95" w:lineRule="exact"/>
        <w:rPr>
          <w:rFonts w:ascii="Arial" w:cs="Arial" w:eastAsia="Arial" w:hAnsi="Arial"/>
          <w:sz w:val="19"/>
          <w:szCs w:val="19"/>
          <w:color w:val="auto"/>
        </w:rPr>
      </w:pPr>
    </w:p>
    <w:p>
      <w:pPr>
        <w:ind w:left="1220" w:right="160" w:hanging="531"/>
        <w:spacing w:after="0" w:line="236" w:lineRule="auto"/>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collaborators may fail to comply with applicable regulatory requirements regarding the development, manufacture, distribution or marketing of a product candidate or product;</w:t>
      </w:r>
    </w:p>
    <w:p>
      <w:pPr>
        <w:spacing w:after="0" w:line="128" w:lineRule="exact"/>
        <w:rPr>
          <w:rFonts w:ascii="Arial" w:cs="Arial" w:eastAsia="Arial" w:hAnsi="Arial"/>
          <w:sz w:val="20"/>
          <w:szCs w:val="20"/>
          <w:color w:val="auto"/>
        </w:rPr>
      </w:pPr>
    </w:p>
    <w:p>
      <w:pPr>
        <w:ind w:left="1220" w:right="300" w:hanging="531"/>
        <w:spacing w:after="0" w:line="236" w:lineRule="auto"/>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8" w:lineRule="exact"/>
        <w:rPr>
          <w:rFonts w:ascii="Arial" w:cs="Arial" w:eastAsia="Arial" w:hAnsi="Arial"/>
          <w:sz w:val="20"/>
          <w:szCs w:val="20"/>
          <w:color w:val="auto"/>
        </w:rPr>
      </w:pPr>
    </w:p>
    <w:p>
      <w:pPr>
        <w:ind w:left="1220" w:right="40" w:hanging="531"/>
        <w:spacing w:after="0" w:line="294"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5"/>
          <w:szCs w:val="15"/>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82" w:lineRule="exact"/>
        <w:rPr>
          <w:rFonts w:ascii="Arial" w:cs="Arial" w:eastAsia="Arial" w:hAnsi="Arial"/>
          <w:sz w:val="18"/>
          <w:szCs w:val="18"/>
          <w:color w:val="auto"/>
        </w:rPr>
      </w:pPr>
    </w:p>
    <w:p>
      <w:pPr>
        <w:ind w:left="1220" w:right="140" w:hanging="531"/>
        <w:spacing w:after="0" w:line="243" w:lineRule="auto"/>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27" w:lineRule="exact"/>
        <w:rPr>
          <w:rFonts w:ascii="Arial" w:cs="Arial" w:eastAsia="Arial" w:hAnsi="Arial"/>
          <w:sz w:val="20"/>
          <w:szCs w:val="20"/>
          <w:color w:val="auto"/>
        </w:rPr>
      </w:pPr>
    </w:p>
    <w:p>
      <w:pPr>
        <w:ind w:left="1220" w:right="20" w:hanging="531"/>
        <w:spacing w:after="0" w:line="277" w:lineRule="auto"/>
        <w:tabs>
          <w:tab w:leader="none" w:pos="1220" w:val="left"/>
        </w:tabs>
        <w:numPr>
          <w:ilvl w:val="0"/>
          <w:numId w:val="41"/>
        </w:numPr>
        <w:rPr>
          <w:rFonts w:ascii="Arial" w:cs="Arial" w:eastAsia="Arial" w:hAnsi="Arial"/>
          <w:sz w:val="19"/>
          <w:szCs w:val="19"/>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0" w:lineRule="exact"/>
        <w:rPr>
          <w:rFonts w:ascii="Arial" w:cs="Arial" w:eastAsia="Arial" w:hAnsi="Arial"/>
          <w:sz w:val="19"/>
          <w:szCs w:val="19"/>
          <w:color w:val="auto"/>
        </w:rPr>
      </w:pPr>
    </w:p>
    <w:p>
      <w:pPr>
        <w:ind w:left="1220" w:hanging="531"/>
        <w:spacing w:after="0"/>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128" w:lineRule="exact"/>
        <w:rPr>
          <w:rFonts w:ascii="Arial" w:cs="Arial" w:eastAsia="Arial" w:hAnsi="Arial"/>
          <w:sz w:val="20"/>
          <w:szCs w:val="20"/>
          <w:color w:val="auto"/>
        </w:rPr>
      </w:pPr>
    </w:p>
    <w:p>
      <w:pPr>
        <w:ind w:left="1220" w:right="1080" w:hanging="531"/>
        <w:spacing w:after="0" w:line="236" w:lineRule="auto"/>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if a collaborator of ours is involved in a business combination, the collaborator might deemphasize or terminate the development or commercialization of any product candidate licensed to it by us; and</w:t>
      </w:r>
    </w:p>
    <w:p>
      <w:pPr>
        <w:spacing w:after="0" w:line="128" w:lineRule="exact"/>
        <w:rPr>
          <w:rFonts w:ascii="Arial" w:cs="Arial" w:eastAsia="Arial" w:hAnsi="Arial"/>
          <w:sz w:val="20"/>
          <w:szCs w:val="20"/>
          <w:color w:val="auto"/>
        </w:rPr>
      </w:pPr>
    </w:p>
    <w:p>
      <w:pPr>
        <w:ind w:left="1220" w:right="700" w:hanging="531"/>
        <w:spacing w:after="0" w:line="236" w:lineRule="auto"/>
        <w:tabs>
          <w:tab w:leader="none" w:pos="1220" w:val="left"/>
        </w:tabs>
        <w:numPr>
          <w:ilvl w:val="0"/>
          <w:numId w:val="41"/>
        </w:numPr>
        <w:rPr>
          <w:rFonts w:ascii="Arial" w:cs="Arial" w:eastAsia="Arial" w:hAnsi="Arial"/>
          <w:sz w:val="20"/>
          <w:szCs w:val="20"/>
          <w:color w:val="auto"/>
        </w:rPr>
      </w:pPr>
      <w:r>
        <w:rPr>
          <w:rFonts w:ascii="Arial" w:cs="Arial" w:eastAsia="Arial" w:hAnsi="Arial"/>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90" w:lineRule="exact"/>
        <w:rPr>
          <w:sz w:val="20"/>
          <w:szCs w:val="20"/>
          <w:color w:val="auto"/>
        </w:rPr>
      </w:pPr>
    </w:p>
    <w:p>
      <w:pPr>
        <w:jc w:val="both"/>
        <w:ind w:right="240" w:firstLine="382"/>
        <w:spacing w:after="0" w:line="312" w:lineRule="auto"/>
        <w:rPr>
          <w:sz w:val="20"/>
          <w:szCs w:val="20"/>
          <w:color w:val="auto"/>
        </w:rPr>
      </w:pPr>
      <w:r>
        <w:rPr>
          <w:rFonts w:ascii="Arial" w:cs="Arial" w:eastAsia="Arial" w:hAnsi="Arial"/>
          <w:sz w:val="15"/>
          <w:szCs w:val="15"/>
          <w:color w:val="auto"/>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40"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58" w:name="page59"/>
    <w:bookmarkEnd w:id="58"/>
    <w:p>
      <w:pPr>
        <w:ind w:right="100"/>
        <w:spacing w:after="0" w:line="288" w:lineRule="auto"/>
        <w:rPr>
          <w:sz w:val="20"/>
          <w:szCs w:val="20"/>
          <w:color w:val="auto"/>
        </w:rPr>
      </w:pPr>
      <w:r>
        <w:rPr>
          <w:rFonts w:ascii="Arial" w:cs="Arial" w:eastAsia="Arial" w:hAnsi="Arial"/>
          <w:sz w:val="15"/>
          <w:szCs w:val="15"/>
          <w:color w:val="auto"/>
        </w:rPr>
        <w:t>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60" w:lineRule="exact"/>
        <w:rPr>
          <w:sz w:val="20"/>
          <w:szCs w:val="20"/>
          <w:color w:val="auto"/>
        </w:rPr>
      </w:pPr>
    </w:p>
    <w:p>
      <w:pPr>
        <w:ind w:right="220" w:firstLine="382"/>
        <w:spacing w:after="0" w:line="273" w:lineRule="auto"/>
        <w:rPr>
          <w:sz w:val="20"/>
          <w:szCs w:val="20"/>
          <w:color w:val="auto"/>
        </w:rPr>
      </w:pPr>
      <w:r>
        <w:rPr>
          <w:rFonts w:ascii="Arial" w:cs="Arial" w:eastAsia="Arial" w:hAnsi="Arial"/>
          <w:sz w:val="17"/>
          <w:szCs w:val="17"/>
          <w:b w:val="1"/>
          <w:bCs w:val="1"/>
          <w:i w:val="1"/>
          <w:iCs w:val="1"/>
          <w:color w:val="auto"/>
        </w:rPr>
        <w:t>Our suppliers and any future collaborators may need assurances that our financial resources and stability on a stand-alone basis are sufficient to satisfy their requirements for doing or continuing to do business with us.</w:t>
      </w:r>
    </w:p>
    <w:p>
      <w:pPr>
        <w:spacing w:after="0" w:line="64" w:lineRule="exact"/>
        <w:rPr>
          <w:sz w:val="20"/>
          <w:szCs w:val="20"/>
          <w:color w:val="auto"/>
        </w:rPr>
      </w:pPr>
    </w:p>
    <w:p>
      <w:pPr>
        <w:ind w:right="120" w:firstLine="382"/>
        <w:spacing w:after="0" w:line="312" w:lineRule="auto"/>
        <w:rPr>
          <w:sz w:val="20"/>
          <w:szCs w:val="20"/>
          <w:color w:val="auto"/>
        </w:rPr>
      </w:pPr>
      <w:r>
        <w:rPr>
          <w:rFonts w:ascii="Arial" w:cs="Arial" w:eastAsia="Arial" w:hAnsi="Arial"/>
          <w:sz w:val="15"/>
          <w:szCs w:val="15"/>
          <w:color w:val="auto"/>
        </w:rPr>
        <w:t>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Managing Our Business and Operations</w:t>
      </w:r>
    </w:p>
    <w:p>
      <w:pPr>
        <w:spacing w:after="0" w:line="114" w:lineRule="exact"/>
        <w:rPr>
          <w:sz w:val="20"/>
          <w:szCs w:val="20"/>
          <w:color w:val="auto"/>
        </w:rPr>
      </w:pPr>
    </w:p>
    <w:p>
      <w:pPr>
        <w:ind w:right="260" w:firstLine="382"/>
        <w:spacing w:after="0" w:line="273" w:lineRule="auto"/>
        <w:rPr>
          <w:sz w:val="20"/>
          <w:szCs w:val="20"/>
          <w:color w:val="auto"/>
        </w:rPr>
      </w:pPr>
      <w:r>
        <w:rPr>
          <w:rFonts w:ascii="Arial" w:cs="Arial" w:eastAsia="Arial" w:hAnsi="Arial"/>
          <w:sz w:val="17"/>
          <w:szCs w:val="17"/>
          <w:b w:val="1"/>
          <w:bCs w:val="1"/>
          <w:i w:val="1"/>
          <w:iCs w:val="1"/>
          <w:color w:val="auto"/>
        </w:rPr>
        <w:t>Global health pandemics, including lingering effects of the COVID-19 pandemic, could adversely impact our business, including our preclinical studies and clinical trials.</w:t>
      </w:r>
    </w:p>
    <w:p>
      <w:pPr>
        <w:spacing w:after="0" w:line="64" w:lineRule="exact"/>
        <w:rPr>
          <w:sz w:val="20"/>
          <w:szCs w:val="20"/>
          <w:color w:val="auto"/>
        </w:rPr>
      </w:pPr>
    </w:p>
    <w:p>
      <w:pPr>
        <w:ind w:right="80" w:firstLine="382"/>
        <w:spacing w:after="0" w:line="253" w:lineRule="auto"/>
        <w:rPr>
          <w:sz w:val="20"/>
          <w:szCs w:val="20"/>
          <w:color w:val="auto"/>
        </w:rPr>
      </w:pPr>
      <w:r>
        <w:rPr>
          <w:rFonts w:ascii="Arial" w:cs="Arial" w:eastAsia="Arial" w:hAnsi="Arial"/>
          <w:sz w:val="17"/>
          <w:szCs w:val="17"/>
          <w:color w:val="auto"/>
        </w:rPr>
        <w:t>The outbreak of COVID-19 and government measures taken in response thereto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initial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107" w:lineRule="exact"/>
        <w:rPr>
          <w:sz w:val="20"/>
          <w:szCs w:val="20"/>
          <w:color w:val="auto"/>
        </w:rPr>
      </w:pPr>
    </w:p>
    <w:p>
      <w:pPr>
        <w:ind w:left="1220" w:hanging="531"/>
        <w:spacing w:after="0"/>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delays or difficulties in commencing enrollment of patients in our clinical trials</w:t>
      </w:r>
    </w:p>
    <w:p>
      <w:pPr>
        <w:spacing w:after="0" w:line="128" w:lineRule="exact"/>
        <w:rPr>
          <w:rFonts w:ascii="Arial" w:cs="Arial" w:eastAsia="Arial" w:hAnsi="Arial"/>
          <w:sz w:val="20"/>
          <w:szCs w:val="20"/>
          <w:color w:val="auto"/>
        </w:rPr>
      </w:pPr>
    </w:p>
    <w:p>
      <w:pPr>
        <w:ind w:left="1220" w:right="320" w:hanging="531"/>
        <w:spacing w:after="0" w:line="236" w:lineRule="auto"/>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the impact from potential delays, including potential difficulties in clinical site initiation and related processes such as in recruiting clinical site investigators and clinical site staff;</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diversion of healthcare resources, including employee resources, away from the conduct of preclinical studies and clinical trials;</w:t>
      </w:r>
    </w:p>
    <w:p>
      <w:pPr>
        <w:spacing w:after="0" w:line="141" w:lineRule="exact"/>
        <w:rPr>
          <w:rFonts w:ascii="Arial" w:cs="Arial" w:eastAsia="Arial" w:hAnsi="Arial"/>
          <w:sz w:val="20"/>
          <w:szCs w:val="20"/>
          <w:color w:val="auto"/>
        </w:rPr>
      </w:pPr>
    </w:p>
    <w:p>
      <w:pPr>
        <w:ind w:left="1220" w:hanging="531"/>
        <w:spacing w:after="0" w:line="294"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5"/>
          <w:szCs w:val="15"/>
          <w:color w:val="auto"/>
        </w:rPr>
        <w:t>interruption of key clinical trial activities, such as clinical trial site data monitoring, due to any future limitations on travel or interruption of clinical trial subject visits and study procedures that are deemed non-essential, which may impact the integrity of subject data and clinical study endpoints;</w:t>
      </w:r>
    </w:p>
    <w:p>
      <w:pPr>
        <w:spacing w:after="0" w:line="67" w:lineRule="exact"/>
        <w:rPr>
          <w:rFonts w:ascii="Arial" w:cs="Arial" w:eastAsia="Arial" w:hAnsi="Arial"/>
          <w:sz w:val="18"/>
          <w:szCs w:val="18"/>
          <w:color w:val="auto"/>
        </w:rPr>
      </w:pPr>
    </w:p>
    <w:p>
      <w:pPr>
        <w:ind w:left="1220" w:hanging="531"/>
        <w:spacing w:after="0"/>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28" w:lineRule="exact"/>
        <w:rPr>
          <w:rFonts w:ascii="Arial" w:cs="Arial" w:eastAsia="Arial" w:hAnsi="Arial"/>
          <w:sz w:val="20"/>
          <w:szCs w:val="20"/>
          <w:color w:val="auto"/>
        </w:rPr>
      </w:pPr>
    </w:p>
    <w:p>
      <w:pPr>
        <w:ind w:left="1220" w:right="120" w:hanging="531"/>
        <w:spacing w:after="0" w:line="236" w:lineRule="auto"/>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interruptions in preclinical studies due to restricted or limited operations at our laboratory facility; and</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2"/>
        </w:numPr>
        <w:rPr>
          <w:rFonts w:ascii="Arial" w:cs="Arial" w:eastAsia="Arial" w:hAnsi="Arial"/>
          <w:sz w:val="20"/>
          <w:szCs w:val="20"/>
          <w:color w:val="auto"/>
        </w:rPr>
      </w:pPr>
      <w:r>
        <w:rPr>
          <w:rFonts w:ascii="Arial" w:cs="Arial" w:eastAsia="Arial" w:hAnsi="Arial"/>
          <w:sz w:val="17"/>
          <w:szCs w:val="17"/>
          <w:color w:val="auto"/>
        </w:rPr>
        <w:t>interruption or delays to our sourced discovery and clinical activities.</w:t>
      </w:r>
    </w:p>
    <w:p>
      <w:pPr>
        <w:spacing w:after="0" w:line="103"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The extent to which the COVID-19 pandemic impacts our business, preclinical studies and clinical trials will depend on future developments, which are highly uncertain and cannot be predicted with confidence, such as the ultimate duration of the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9" w:name="page60"/>
    <w:bookmarkEnd w:id="59"/>
    <w:p>
      <w:pPr>
        <w:ind w:right="380"/>
        <w:spacing w:after="0" w:line="302" w:lineRule="auto"/>
        <w:rPr>
          <w:sz w:val="20"/>
          <w:szCs w:val="20"/>
          <w:color w:val="auto"/>
        </w:rPr>
      </w:pPr>
      <w:r>
        <w:rPr>
          <w:rFonts w:ascii="Arial" w:cs="Arial" w:eastAsia="Arial" w:hAnsi="Arial"/>
          <w:sz w:val="15"/>
          <w:szCs w:val="15"/>
          <w:color w:val="auto"/>
        </w:rPr>
        <w:t>pandemic and any resurgences, renewed travel restrictions and social distancing in the United States and other countries, further business closures or business disruptions and the effectiveness of actions taken in the United States and other countries to contain and treat the disease. The foregoing disruptions, and other continued disruptions to our business in connection with the COVID-19 pandemic, could have a material adverse impact on our business, financial condition or results of operations. In addition, the COVID-19 pandemic heightens many of the other risks and uncertainties discussed herein.</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adversely affect our operations.</w:t>
      </w:r>
    </w:p>
    <w:p>
      <w:pPr>
        <w:spacing w:after="0" w:line="110" w:lineRule="exact"/>
        <w:rPr>
          <w:sz w:val="20"/>
          <w:szCs w:val="20"/>
          <w:color w:val="auto"/>
        </w:rPr>
      </w:pPr>
    </w:p>
    <w:p>
      <w:pPr>
        <w:ind w:right="20" w:firstLine="382"/>
        <w:spacing w:after="0" w:line="279" w:lineRule="auto"/>
        <w:rPr>
          <w:sz w:val="20"/>
          <w:szCs w:val="20"/>
          <w:color w:val="auto"/>
        </w:rPr>
      </w:pPr>
      <w:r>
        <w:rPr>
          <w:rFonts w:ascii="Arial" w:cs="Arial" w:eastAsia="Arial" w:hAnsi="Arial"/>
          <w:sz w:val="16"/>
          <w:szCs w:val="16"/>
          <w:color w:val="auto"/>
        </w:rPr>
        <w:t>As of June 30, 2023, we had 155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60" w:lineRule="exact"/>
        <w:rPr>
          <w:sz w:val="20"/>
          <w:szCs w:val="20"/>
          <w:color w:val="auto"/>
        </w:rPr>
      </w:pPr>
    </w:p>
    <w:p>
      <w:pPr>
        <w:ind w:left="1220" w:hanging="531"/>
        <w:spacing w:after="0"/>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identifying, recruiting, integrating, retaining and motivating additional employees;</w:t>
      </w:r>
    </w:p>
    <w:p>
      <w:pPr>
        <w:spacing w:after="0" w:line="109" w:lineRule="exact"/>
        <w:rPr>
          <w:rFonts w:ascii="Arial" w:cs="Arial" w:eastAsia="Arial" w:hAnsi="Arial"/>
          <w:sz w:val="17"/>
          <w:szCs w:val="17"/>
          <w:color w:val="auto"/>
        </w:rPr>
      </w:pPr>
    </w:p>
    <w:p>
      <w:pPr>
        <w:ind w:left="1220" w:right="60" w:hanging="531"/>
        <w:spacing w:after="0" w:line="273" w:lineRule="auto"/>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bexotegrast and any other product candidates, while complying with our contractual obligations to contractors and other third parties; and</w:t>
      </w:r>
    </w:p>
    <w:p>
      <w:pPr>
        <w:spacing w:after="0" w:line="64" w:lineRule="exact"/>
        <w:rPr>
          <w:rFonts w:ascii="Arial" w:cs="Arial" w:eastAsia="Arial" w:hAnsi="Arial"/>
          <w:sz w:val="17"/>
          <w:szCs w:val="17"/>
          <w:color w:val="auto"/>
        </w:rPr>
      </w:pPr>
    </w:p>
    <w:p>
      <w:pPr>
        <w:ind w:left="1220" w:hanging="531"/>
        <w:spacing w:after="0"/>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improving our operational, financial and management controls, reporting systems and procedures.</w:t>
      </w:r>
    </w:p>
    <w:p>
      <w:pPr>
        <w:spacing w:after="0" w:line="110" w:lineRule="exact"/>
        <w:rPr>
          <w:sz w:val="20"/>
          <w:szCs w:val="20"/>
          <w:color w:val="auto"/>
        </w:rPr>
      </w:pPr>
    </w:p>
    <w:p>
      <w:pPr>
        <w:jc w:val="both"/>
        <w:ind w:right="120" w:firstLine="382"/>
        <w:spacing w:after="0" w:line="261" w:lineRule="auto"/>
        <w:rPr>
          <w:sz w:val="20"/>
          <w:szCs w:val="20"/>
          <w:color w:val="auto"/>
        </w:rPr>
      </w:pPr>
      <w:r>
        <w:rPr>
          <w:rFonts w:ascii="Arial" w:cs="Arial" w:eastAsia="Arial" w:hAnsi="Arial"/>
          <w:sz w:val="17"/>
          <w:szCs w:val="17"/>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75" w:lineRule="exact"/>
        <w:rPr>
          <w:sz w:val="20"/>
          <w:szCs w:val="20"/>
          <w:color w:val="auto"/>
        </w:rPr>
      </w:pPr>
    </w:p>
    <w:p>
      <w:pPr>
        <w:ind w:right="100" w:firstLine="382"/>
        <w:spacing w:after="0" w:line="272"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67" w:lineRule="exact"/>
        <w:rPr>
          <w:sz w:val="20"/>
          <w:szCs w:val="20"/>
          <w:color w:val="auto"/>
        </w:rPr>
      </w:pPr>
    </w:p>
    <w:p>
      <w:pPr>
        <w:ind w:firstLine="382"/>
        <w:spacing w:after="0" w:line="261"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spacing w:after="0" w:line="75" w:lineRule="exact"/>
        <w:rPr>
          <w:sz w:val="20"/>
          <w:szCs w:val="20"/>
          <w:color w:val="auto"/>
        </w:rPr>
      </w:pPr>
    </w:p>
    <w:p>
      <w:pPr>
        <w:jc w:val="both"/>
        <w:ind w:right="120" w:firstLine="382"/>
        <w:spacing w:after="0" w:line="312" w:lineRule="auto"/>
        <w:rPr>
          <w:sz w:val="20"/>
          <w:szCs w:val="20"/>
          <w:color w:val="auto"/>
        </w:rPr>
      </w:pPr>
      <w:r>
        <w:rPr>
          <w:rFonts w:ascii="Arial" w:cs="Arial" w:eastAsia="Arial" w:hAnsi="Arial"/>
          <w:sz w:val="15"/>
          <w:szCs w:val="15"/>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40" w:lineRule="exact"/>
        <w:rPr>
          <w:sz w:val="20"/>
          <w:szCs w:val="20"/>
          <w:color w:val="auto"/>
        </w:rPr>
      </w:pPr>
    </w:p>
    <w:p>
      <w:pPr>
        <w:ind w:right="500" w:firstLine="382"/>
        <w:spacing w:after="0" w:line="342" w:lineRule="auto"/>
        <w:rPr>
          <w:sz w:val="20"/>
          <w:szCs w:val="20"/>
          <w:color w:val="auto"/>
        </w:rPr>
      </w:pPr>
      <w:r>
        <w:rPr>
          <w:rFonts w:ascii="Arial" w:cs="Arial" w:eastAsia="Arial" w:hAnsi="Arial"/>
          <w:sz w:val="15"/>
          <w:szCs w:val="15"/>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7" w:lineRule="exact"/>
        <w:rPr>
          <w:sz w:val="20"/>
          <w:szCs w:val="20"/>
          <w:color w:val="auto"/>
        </w:rPr>
      </w:pPr>
    </w:p>
    <w:p>
      <w:pPr>
        <w:ind w:right="60" w:firstLine="382"/>
        <w:spacing w:after="0" w:line="275" w:lineRule="auto"/>
        <w:rPr>
          <w:sz w:val="20"/>
          <w:szCs w:val="20"/>
          <w:color w:val="auto"/>
        </w:rPr>
      </w:pPr>
      <w:r>
        <w:rPr>
          <w:rFonts w:ascii="Arial" w:cs="Arial" w:eastAsia="Arial" w:hAnsi="Arial"/>
          <w:sz w:val="16"/>
          <w:szCs w:val="16"/>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65" w:lineRule="exact"/>
        <w:rPr>
          <w:sz w:val="20"/>
          <w:szCs w:val="20"/>
          <w:color w:val="auto"/>
        </w:rPr>
      </w:pPr>
    </w:p>
    <w:p>
      <w:pPr>
        <w:ind w:right="380" w:firstLine="382"/>
        <w:spacing w:after="0" w:line="261" w:lineRule="auto"/>
        <w:rPr>
          <w:sz w:val="20"/>
          <w:szCs w:val="20"/>
          <w:color w:val="auto"/>
        </w:rPr>
      </w:pPr>
      <w:r>
        <w:rPr>
          <w:rFonts w:ascii="Arial" w:cs="Arial" w:eastAsia="Arial" w:hAnsi="Arial"/>
          <w:sz w:val="17"/>
          <w:szCs w:val="17"/>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75" w:lineRule="exact"/>
        <w:rPr>
          <w:sz w:val="20"/>
          <w:szCs w:val="20"/>
          <w:color w:val="auto"/>
        </w:rPr>
      </w:pPr>
    </w:p>
    <w:p>
      <w:pPr>
        <w:jc w:val="both"/>
        <w:ind w:right="220" w:firstLine="382"/>
        <w:spacing w:after="0" w:line="26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60" w:name="page61"/>
    <w:bookmarkEnd w:id="60"/>
    <w:p>
      <w:pPr>
        <w:ind w:right="140"/>
        <w:spacing w:after="0" w:line="302" w:lineRule="auto"/>
        <w:rPr>
          <w:sz w:val="20"/>
          <w:szCs w:val="20"/>
          <w:color w:val="auto"/>
        </w:rPr>
      </w:pPr>
      <w:r>
        <w:rPr>
          <w:rFonts w:ascii="Arial" w:cs="Arial" w:eastAsia="Arial" w:hAnsi="Arial"/>
          <w:sz w:val="15"/>
          <w:szCs w:val="15"/>
          <w:color w:val="auto"/>
        </w:rPr>
        <w:t>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48" w:lineRule="exact"/>
        <w:rPr>
          <w:sz w:val="20"/>
          <w:szCs w:val="20"/>
          <w:color w:val="auto"/>
        </w:rPr>
      </w:pPr>
    </w:p>
    <w:p>
      <w:pPr>
        <w:jc w:val="both"/>
        <w:ind w:right="220" w:firstLine="382"/>
        <w:spacing w:after="0" w:line="261" w:lineRule="auto"/>
        <w:rPr>
          <w:sz w:val="20"/>
          <w:szCs w:val="20"/>
          <w:color w:val="auto"/>
        </w:rPr>
      </w:pPr>
      <w:r>
        <w:rPr>
          <w:rFonts w:ascii="Arial" w:cs="Arial" w:eastAsia="Arial" w:hAnsi="Arial"/>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75"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75" w:lineRule="exact"/>
        <w:rPr>
          <w:sz w:val="20"/>
          <w:szCs w:val="20"/>
          <w:color w:val="auto"/>
        </w:rPr>
      </w:pPr>
    </w:p>
    <w:p>
      <w:pPr>
        <w:ind w:right="80" w:firstLine="382"/>
        <w:spacing w:after="0" w:line="27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67" w:lineRule="exact"/>
        <w:rPr>
          <w:sz w:val="20"/>
          <w:szCs w:val="20"/>
          <w:color w:val="auto"/>
        </w:rPr>
      </w:pPr>
    </w:p>
    <w:p>
      <w:pPr>
        <w:ind w:right="520" w:firstLine="382"/>
        <w:spacing w:after="0" w:line="273"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64" w:lineRule="exact"/>
        <w:rPr>
          <w:sz w:val="20"/>
          <w:szCs w:val="20"/>
          <w:color w:val="auto"/>
        </w:rPr>
      </w:pPr>
    </w:p>
    <w:p>
      <w:pPr>
        <w:ind w:firstLine="382"/>
        <w:spacing w:after="0" w:line="268"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use and generate materials that may expose us to material liability.</w:t>
      </w:r>
    </w:p>
    <w:p>
      <w:pPr>
        <w:spacing w:after="0" w:line="110" w:lineRule="exact"/>
        <w:rPr>
          <w:sz w:val="20"/>
          <w:szCs w:val="20"/>
          <w:color w:val="auto"/>
        </w:rPr>
      </w:pPr>
    </w:p>
    <w:p>
      <w:pPr>
        <w:jc w:val="both"/>
        <w:ind w:right="180" w:firstLine="382"/>
        <w:spacing w:after="0" w:line="261" w:lineRule="auto"/>
        <w:rPr>
          <w:sz w:val="20"/>
          <w:szCs w:val="20"/>
          <w:color w:val="auto"/>
        </w:rPr>
      </w:pPr>
      <w:r>
        <w:rPr>
          <w:rFonts w:ascii="Arial" w:cs="Arial" w:eastAsia="Arial" w:hAnsi="Arial"/>
          <w:sz w:val="17"/>
          <w:szCs w:val="17"/>
          <w:color w:val="auto"/>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61" w:name="page62"/>
    <w:bookmarkEnd w:id="61"/>
    <w:p>
      <w:pPr>
        <w:spacing w:after="0" w:line="275" w:lineRule="auto"/>
        <w:rPr>
          <w:sz w:val="20"/>
          <w:szCs w:val="20"/>
          <w:color w:val="auto"/>
        </w:rPr>
      </w:pPr>
      <w:r>
        <w:rPr>
          <w:rFonts w:ascii="Arial" w:cs="Arial" w:eastAsia="Arial" w:hAnsi="Arial"/>
          <w:sz w:val="16"/>
          <w:szCs w:val="16"/>
          <w:color w:val="auto"/>
        </w:rPr>
        <w:t>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65"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4" w:lineRule="exact"/>
        <w:rPr>
          <w:sz w:val="20"/>
          <w:szCs w:val="20"/>
          <w:color w:val="auto"/>
        </w:rPr>
      </w:pPr>
    </w:p>
    <w:p>
      <w:pPr>
        <w:ind w:firstLine="382"/>
        <w:spacing w:after="0" w:line="268"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7" w:lineRule="exact"/>
        <w:rPr>
          <w:sz w:val="20"/>
          <w:szCs w:val="20"/>
          <w:color w:val="auto"/>
        </w:rPr>
      </w:pPr>
    </w:p>
    <w:p>
      <w:pPr>
        <w:ind w:right="240" w:firstLine="382"/>
        <w:spacing w:after="0" w:line="27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0"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4" w:lineRule="exact"/>
        <w:rPr>
          <w:sz w:val="20"/>
          <w:szCs w:val="20"/>
          <w:color w:val="auto"/>
        </w:rPr>
      </w:pPr>
    </w:p>
    <w:p>
      <w:pPr>
        <w:ind w:right="20" w:firstLine="382"/>
        <w:spacing w:after="0" w:line="253"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tax credit carryforwards may be subject to limitation.</w:t>
      </w:r>
    </w:p>
    <w:p>
      <w:pPr>
        <w:spacing w:after="0" w:line="110" w:lineRule="exact"/>
        <w:rPr>
          <w:sz w:val="20"/>
          <w:szCs w:val="20"/>
          <w:color w:val="auto"/>
        </w:rPr>
      </w:pPr>
    </w:p>
    <w:p>
      <w:pPr>
        <w:ind w:right="60" w:firstLine="382"/>
        <w:spacing w:after="0" w:line="270" w:lineRule="auto"/>
        <w:rPr>
          <w:sz w:val="20"/>
          <w:szCs w:val="20"/>
          <w:color w:val="auto"/>
        </w:rPr>
      </w:pPr>
      <w:r>
        <w:rPr>
          <w:rFonts w:ascii="Arial" w:cs="Arial" w:eastAsia="Arial" w:hAnsi="Arial"/>
          <w:sz w:val="16"/>
          <w:szCs w:val="16"/>
          <w:color w:val="auto"/>
        </w:rPr>
        <w:t>As of December 31, 2022, we had net operating loss carryforwards for U.S. federal and state income tax purposes of $220.2 million and $278.9 million, respectively, some of which will begin to expire in 2035. As of December 31, 2022, we also had available tax credit carryforwards for U.S. federal income tax purposes of $20.2 million, which begin to expire in 2036, and state income tax purposes of $5.6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2" w:name="page63"/>
    <w:bookmarkEnd w:id="62"/>
    <w:p>
      <w:pPr>
        <w:spacing w:after="0" w:line="272" w:lineRule="auto"/>
        <w:rPr>
          <w:sz w:val="20"/>
          <w:szCs w:val="20"/>
          <w:color w:val="auto"/>
        </w:rPr>
      </w:pPr>
      <w:r>
        <w:rPr>
          <w:rFonts w:ascii="Arial" w:cs="Arial" w:eastAsia="Arial" w:hAnsi="Arial"/>
          <w:sz w:val="16"/>
          <w:szCs w:val="16"/>
          <w:color w:val="auto"/>
        </w:rPr>
        <w:t>December 31, 2022,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10" w:lineRule="exact"/>
        <w:rPr>
          <w:sz w:val="20"/>
          <w:szCs w:val="20"/>
          <w:color w:val="auto"/>
        </w:rPr>
      </w:pPr>
    </w:p>
    <w:p>
      <w:pPr>
        <w:ind w:right="40" w:firstLine="382"/>
        <w:spacing w:after="0" w:line="261" w:lineRule="auto"/>
        <w:rPr>
          <w:sz w:val="20"/>
          <w:szCs w:val="20"/>
          <w:color w:val="auto"/>
        </w:rPr>
      </w:pPr>
      <w:r>
        <w:rPr>
          <w:rFonts w:ascii="Arial" w:cs="Arial" w:eastAsia="Arial" w:hAnsi="Arial"/>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75" w:lineRule="exact"/>
        <w:rPr>
          <w:sz w:val="20"/>
          <w:szCs w:val="20"/>
          <w:color w:val="auto"/>
        </w:rPr>
      </w:pPr>
    </w:p>
    <w:p>
      <w:pPr>
        <w:ind w:left="1220" w:right="700" w:hanging="531"/>
        <w:spacing w:after="0" w:line="273" w:lineRule="auto"/>
        <w:tabs>
          <w:tab w:leader="none" w:pos="1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Phase 2a clinical trials of bexotegrast and any other clinical trials for our product candidates conducted by us or our collaborators;</w:t>
      </w:r>
    </w:p>
    <w:p>
      <w:pPr>
        <w:spacing w:after="0" w:line="87" w:lineRule="exact"/>
        <w:rPr>
          <w:rFonts w:ascii="Arial" w:cs="Arial" w:eastAsia="Arial" w:hAnsi="Arial"/>
          <w:sz w:val="17"/>
          <w:szCs w:val="17"/>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any delay in identifying and advancing a clinical candidate for our other development programs;</w:t>
      </w:r>
    </w:p>
    <w:p>
      <w:pPr>
        <w:spacing w:after="0" w:line="90" w:lineRule="exact"/>
        <w:rPr>
          <w:rFonts w:ascii="Arial" w:cs="Arial" w:eastAsia="Arial" w:hAnsi="Arial"/>
          <w:sz w:val="20"/>
          <w:szCs w:val="20"/>
          <w:color w:val="auto"/>
        </w:rPr>
      </w:pPr>
    </w:p>
    <w:p>
      <w:pPr>
        <w:ind w:left="1220" w:right="60" w:hanging="531"/>
        <w:spacing w:after="0" w:line="261" w:lineRule="auto"/>
        <w:tabs>
          <w:tab w:leader="none" w:pos="1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97" w:lineRule="exact"/>
        <w:rPr>
          <w:rFonts w:ascii="Arial" w:cs="Arial" w:eastAsia="Arial" w:hAnsi="Arial"/>
          <w:sz w:val="17"/>
          <w:szCs w:val="17"/>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adverse results or delays in future clinical trials;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26"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adverse regulatory decisions, including failure to receive regulatory approval of bexotegrast or any other product candidate;</w:t>
      </w:r>
    </w:p>
    <w:p>
      <w:pPr>
        <w:spacing w:after="0" w:line="90" w:lineRule="exact"/>
        <w:rPr>
          <w:rFonts w:ascii="Arial" w:cs="Arial" w:eastAsia="Arial" w:hAnsi="Arial"/>
          <w:sz w:val="20"/>
          <w:szCs w:val="20"/>
          <w:color w:val="auto"/>
        </w:rPr>
      </w:pPr>
    </w:p>
    <w:p>
      <w:pPr>
        <w:ind w:left="1220" w:right="140" w:hanging="531"/>
        <w:spacing w:after="0" w:line="273" w:lineRule="auto"/>
        <w:tabs>
          <w:tab w:leader="none" w:pos="1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laws or regulations applicable to bexotegrast or any other product candidate, including but not limited to clinical trial requirements for approvals;</w:t>
      </w:r>
    </w:p>
    <w:p>
      <w:pPr>
        <w:spacing w:after="0" w:line="87" w:lineRule="exact"/>
        <w:rPr>
          <w:rFonts w:ascii="Arial" w:cs="Arial" w:eastAsia="Arial" w:hAnsi="Arial"/>
          <w:sz w:val="17"/>
          <w:szCs w:val="17"/>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adverse developments concerning our manufacturers;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inability to establish collaborations, if needed;</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failure to commercialize our product candidates, if approved;</w:t>
      </w:r>
    </w:p>
    <w:p>
      <w:pPr>
        <w:spacing w:after="0" w:line="126"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additions or departures of key scientific or management personnel;</w:t>
      </w:r>
    </w:p>
    <w:p>
      <w:pPr>
        <w:spacing w:after="0" w:line="90"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bexotegrast or any other product candidate;</w:t>
      </w:r>
    </w:p>
    <w:p>
      <w:pPr>
        <w:spacing w:after="0" w:line="133" w:lineRule="exact"/>
        <w:rPr>
          <w:rFonts w:ascii="Arial" w:cs="Arial" w:eastAsia="Arial" w:hAnsi="Arial"/>
          <w:sz w:val="17"/>
          <w:szCs w:val="17"/>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introduction of new products or services offered by us or our competitors;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ability to effectively manage our growth;</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actual or anticipated variations in quarterly operating results;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cash position;</w:t>
      </w:r>
    </w:p>
    <w:p>
      <w:pPr>
        <w:spacing w:after="0" w:line="126" w:lineRule="exact"/>
        <w:rPr>
          <w:rFonts w:ascii="Arial" w:cs="Arial" w:eastAsia="Arial" w:hAnsi="Arial"/>
          <w:sz w:val="20"/>
          <w:szCs w:val="20"/>
          <w:color w:val="auto"/>
        </w:rPr>
      </w:pPr>
    </w:p>
    <w:p>
      <w:pPr>
        <w:ind w:left="1220" w:hanging="531"/>
        <w:spacing w:after="0"/>
        <w:tabs>
          <w:tab w:leader="none" w:pos="1220" w:val="left"/>
        </w:tabs>
        <w:numPr>
          <w:ilvl w:val="0"/>
          <w:numId w:val="44"/>
        </w:numPr>
        <w:rPr>
          <w:rFonts w:ascii="Arial" w:cs="Arial" w:eastAsia="Arial" w:hAnsi="Arial"/>
          <w:sz w:val="20"/>
          <w:szCs w:val="20"/>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3" w:name="page64"/>
    <w:bookmarkEnd w:id="63"/>
    <w:p>
      <w:pPr>
        <w:ind w:left="1220" w:right="40" w:hanging="531"/>
        <w:spacing w:after="0" w:line="236" w:lineRule="auto"/>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changes in the market valuations of similar companies;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changes in the structure of the healthcare payment systems;</w:t>
      </w:r>
    </w:p>
    <w:p>
      <w:pPr>
        <w:spacing w:after="0" w:line="126"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overall performance of the equity markets;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sales of our common stock by us or our stockholders in the future;</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trading volume of our common stock;</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changes in accounting practices;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ineffectiveness of our internal controls;</w:t>
      </w:r>
    </w:p>
    <w:p>
      <w:pPr>
        <w:spacing w:after="0" w:line="141" w:lineRule="exact"/>
        <w:rPr>
          <w:rFonts w:ascii="Arial" w:cs="Arial" w:eastAsia="Arial" w:hAnsi="Arial"/>
          <w:sz w:val="20"/>
          <w:szCs w:val="20"/>
          <w:color w:val="auto"/>
        </w:rPr>
      </w:pPr>
    </w:p>
    <w:p>
      <w:pPr>
        <w:ind w:left="1220" w:right="80" w:hanging="531"/>
        <w:spacing w:after="0" w:line="236" w:lineRule="auto"/>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significant lawsuits, including patent or stockholder litigation;</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general political and economic conditions; and</w:t>
      </w:r>
    </w:p>
    <w:p>
      <w:pPr>
        <w:spacing w:after="0" w:line="113" w:lineRule="exact"/>
        <w:rPr>
          <w:rFonts w:ascii="Arial" w:cs="Arial" w:eastAsia="Arial" w:hAnsi="Arial"/>
          <w:sz w:val="20"/>
          <w:szCs w:val="20"/>
          <w:color w:val="auto"/>
        </w:rPr>
      </w:pPr>
    </w:p>
    <w:p>
      <w:pPr>
        <w:ind w:left="1220" w:hanging="531"/>
        <w:spacing w:after="0"/>
        <w:tabs>
          <w:tab w:leader="none" w:pos="1220" w:val="left"/>
        </w:tabs>
        <w:numPr>
          <w:ilvl w:val="0"/>
          <w:numId w:val="45"/>
        </w:numPr>
        <w:rPr>
          <w:rFonts w:ascii="Arial" w:cs="Arial" w:eastAsia="Arial" w:hAnsi="Arial"/>
          <w:sz w:val="20"/>
          <w:szCs w:val="20"/>
          <w:color w:val="auto"/>
        </w:rPr>
      </w:pPr>
      <w:r>
        <w:rPr>
          <w:rFonts w:ascii="Arial" w:cs="Arial" w:eastAsia="Arial" w:hAnsi="Arial"/>
          <w:sz w:val="17"/>
          <w:szCs w:val="17"/>
          <w:color w:val="auto"/>
        </w:rPr>
        <w:t>other events or factors, many of which are beyond our control.</w:t>
      </w:r>
    </w:p>
    <w:p>
      <w:pPr>
        <w:spacing w:after="0" w:line="90"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lingering effects of the COVID-19 pandemic, the Russian invasion of Ukraine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0" w:lineRule="exact"/>
        <w:rPr>
          <w:sz w:val="20"/>
          <w:szCs w:val="20"/>
          <w:color w:val="auto"/>
        </w:rPr>
      </w:pPr>
    </w:p>
    <w:p>
      <w:pPr>
        <w:ind w:right="40" w:firstLine="382"/>
        <w:spacing w:after="0" w:line="257"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79" w:lineRule="exact"/>
        <w:rPr>
          <w:sz w:val="20"/>
          <w:szCs w:val="20"/>
          <w:color w:val="auto"/>
        </w:rPr>
      </w:pPr>
    </w:p>
    <w:p>
      <w:pPr>
        <w:ind w:right="460" w:firstLine="382"/>
        <w:spacing w:after="0" w:line="273"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64" w:lineRule="exact"/>
        <w:rPr>
          <w:sz w:val="20"/>
          <w:szCs w:val="20"/>
          <w:color w:val="auto"/>
        </w:rPr>
      </w:pPr>
    </w:p>
    <w:p>
      <w:pPr>
        <w:ind w:right="100" w:firstLine="382"/>
        <w:spacing w:after="0" w:line="302" w:lineRule="auto"/>
        <w:rPr>
          <w:sz w:val="20"/>
          <w:szCs w:val="20"/>
          <w:color w:val="auto"/>
        </w:rPr>
      </w:pPr>
      <w:r>
        <w:rPr>
          <w:rFonts w:ascii="Arial" w:cs="Arial" w:eastAsia="Arial" w:hAnsi="Arial"/>
          <w:sz w:val="15"/>
          <w:szCs w:val="15"/>
          <w:color w:val="auto"/>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If there are substantial sales of shares of our common stock, the price of our common stock could decline.</w:t>
      </w:r>
    </w:p>
    <w:p>
      <w:pPr>
        <w:spacing w:after="0" w:line="110" w:lineRule="exact"/>
        <w:rPr>
          <w:sz w:val="20"/>
          <w:szCs w:val="20"/>
          <w:color w:val="auto"/>
        </w:rPr>
      </w:pPr>
    </w:p>
    <w:p>
      <w:pPr>
        <w:ind w:firstLine="382"/>
        <w:spacing w:after="0" w:line="270" w:lineRule="auto"/>
        <w:rPr>
          <w:sz w:val="20"/>
          <w:szCs w:val="20"/>
          <w:color w:val="auto"/>
        </w:rPr>
      </w:pPr>
      <w:r>
        <w:rPr>
          <w:rFonts w:ascii="Arial" w:cs="Arial" w:eastAsia="Arial" w:hAnsi="Arial"/>
          <w:sz w:val="16"/>
          <w:szCs w:val="16"/>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92" w:right="359" w:bottom="1440" w:gutter="0" w:footer="0" w:header="0"/>
        </w:sectPr>
      </w:pPr>
    </w:p>
    <w:bookmarkStart w:id="64" w:name="page65"/>
    <w:bookmarkEnd w:id="64"/>
    <w:p>
      <w:pPr>
        <w:ind w:right="180" w:firstLine="382"/>
        <w:spacing w:after="0" w:line="273" w:lineRule="auto"/>
        <w:rPr>
          <w:sz w:val="20"/>
          <w:szCs w:val="20"/>
          <w:color w:val="auto"/>
        </w:rPr>
      </w:pPr>
      <w:r>
        <w:rPr>
          <w:rFonts w:ascii="Arial" w:cs="Arial" w:eastAsia="Arial" w:hAnsi="Arial"/>
          <w:sz w:val="17"/>
          <w:szCs w:val="17"/>
          <w:b w:val="1"/>
          <w:bCs w:val="1"/>
          <w:i w:val="1"/>
          <w:iCs w:val="1"/>
          <w:color w:val="auto"/>
        </w:rPr>
        <w:t>Effective December 31, 2023, we will be a large accelerated filer and no longer qualify as a smaller reporting company, which will increase our costs and demands on management.</w:t>
      </w:r>
    </w:p>
    <w:p>
      <w:pPr>
        <w:spacing w:after="0" w:line="64" w:lineRule="exact"/>
        <w:rPr>
          <w:sz w:val="20"/>
          <w:szCs w:val="20"/>
          <w:color w:val="auto"/>
        </w:rPr>
      </w:pPr>
    </w:p>
    <w:p>
      <w:pPr>
        <w:ind w:right="20" w:firstLine="382"/>
        <w:spacing w:after="0" w:line="298" w:lineRule="auto"/>
        <w:rPr>
          <w:sz w:val="20"/>
          <w:szCs w:val="20"/>
          <w:color w:val="auto"/>
        </w:rPr>
      </w:pPr>
      <w:r>
        <w:rPr>
          <w:rFonts w:ascii="Arial" w:cs="Arial" w:eastAsia="Arial" w:hAnsi="Arial"/>
          <w:sz w:val="15"/>
          <w:szCs w:val="15"/>
          <w:color w:val="auto"/>
        </w:rPr>
        <w:t>Based on the market value of our common stock held by our non-affiliates as of June 30, 2023, we will no longer be a smaller reporting company and will be considered a “large accelerated filer” effective as of December 31, 2023, and thus will be subject to accelerated filing deadlines, as well as the requirements of section 404(b) of the Sarbanes-Oxley Act of 2002. Due to this upcoming transition, we expect to devote significant time and effort to implement and comply with the additional standards, rules and regulations that will apply to us upon becoming a large accelerated filer and losing our smaller reporting company status. Compliance with the additional requirements of being a large accelerated filer will also increase our legal, accounting and financial compliance costs.</w:t>
      </w:r>
    </w:p>
    <w:p>
      <w:pPr>
        <w:spacing w:after="0" w:line="49" w:lineRule="exact"/>
        <w:rPr>
          <w:sz w:val="20"/>
          <w:szCs w:val="20"/>
          <w:color w:val="auto"/>
        </w:rPr>
      </w:pPr>
    </w:p>
    <w:p>
      <w:pPr>
        <w:ind w:right="20" w:firstLine="382"/>
        <w:spacing w:after="0" w:line="291" w:lineRule="auto"/>
        <w:rPr>
          <w:sz w:val="20"/>
          <w:szCs w:val="20"/>
          <w:color w:val="auto"/>
        </w:rPr>
      </w:pPr>
      <w:r>
        <w:rPr>
          <w:rFonts w:ascii="Arial" w:cs="Arial" w:eastAsia="Arial" w:hAnsi="Arial"/>
          <w:sz w:val="15"/>
          <w:szCs w:val="15"/>
          <w:color w:val="auto"/>
        </w:rPr>
        <w:t>As a smaller reporting company, we have availed ourselves of the exemption from the requirement that our independent registered public accounting firm attest to the effectiveness of our internal control over financial reporting under Section 404 of the Sarbanes-Oxley Act of 2002. However, we may no longer avail ourselves of this exemption when we become a large accelerated filer and our independent registered public accounting firm will be required to formally attest to the effectiveness of our internal control over financial reporting for our Annual Report on Form 10-K for the year ending December 31, 2024. Due to the complexity and logistical difficulty of implementing the standards, rules and regulations that apply to non-smaller reporting companies on an accelerated timeframe,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57" w:lineRule="exact"/>
        <w:rPr>
          <w:sz w:val="20"/>
          <w:szCs w:val="20"/>
          <w:color w:val="auto"/>
        </w:rPr>
      </w:pPr>
    </w:p>
    <w:p>
      <w:pPr>
        <w:ind w:right="140" w:firstLine="382"/>
        <w:spacing w:after="0" w:line="306"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0" w:lineRule="exact"/>
        <w:rPr>
          <w:sz w:val="20"/>
          <w:szCs w:val="20"/>
          <w:color w:val="auto"/>
        </w:rPr>
      </w:pPr>
    </w:p>
    <w:p>
      <w:pPr>
        <w:ind w:right="480" w:firstLine="382"/>
        <w:spacing w:after="0" w:line="273" w:lineRule="auto"/>
        <w:rPr>
          <w:sz w:val="20"/>
          <w:szCs w:val="20"/>
          <w:color w:val="auto"/>
        </w:rPr>
      </w:pPr>
      <w:r>
        <w:rPr>
          <w:rFonts w:ascii="Arial" w:cs="Arial" w:eastAsia="Arial" w:hAnsi="Arial"/>
          <w:sz w:val="17"/>
          <w:szCs w:val="17"/>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102" w:lineRule="exact"/>
        <w:rPr>
          <w:sz w:val="20"/>
          <w:szCs w:val="20"/>
          <w:color w:val="auto"/>
        </w:rPr>
      </w:pPr>
    </w:p>
    <w:p>
      <w:pPr>
        <w:ind w:left="1220" w:hanging="531"/>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5"/>
          <w:szCs w:val="15"/>
          <w:color w:val="auto"/>
        </w:rPr>
        <w:t>a board of directors divided into three classes serving staggered three-year terms, such that not all members of the board will be elected at one time;</w:t>
      </w:r>
    </w:p>
    <w:p>
      <w:pPr>
        <w:spacing w:after="0" w:line="136" w:lineRule="exact"/>
        <w:rPr>
          <w:rFonts w:ascii="Arial" w:cs="Arial" w:eastAsia="Arial" w:hAnsi="Arial"/>
          <w:sz w:val="18"/>
          <w:szCs w:val="18"/>
          <w:color w:val="auto"/>
        </w:rPr>
      </w:pPr>
    </w:p>
    <w:p>
      <w:pPr>
        <w:ind w:left="1220" w:hanging="531"/>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5"/>
          <w:szCs w:val="15"/>
          <w:color w:val="auto"/>
        </w:rPr>
        <w:t>a prohibition on stockholder action through written consent, which requires that all stockholder actions be taken at a meeting of our stockholders;</w:t>
      </w:r>
    </w:p>
    <w:p>
      <w:pPr>
        <w:spacing w:after="0" w:line="136" w:lineRule="exact"/>
        <w:rPr>
          <w:rFonts w:ascii="Arial" w:cs="Arial" w:eastAsia="Arial" w:hAnsi="Arial"/>
          <w:sz w:val="18"/>
          <w:szCs w:val="18"/>
          <w:color w:val="auto"/>
        </w:rPr>
      </w:pPr>
    </w:p>
    <w:p>
      <w:pPr>
        <w:ind w:left="1220" w:right="600" w:hanging="531"/>
        <w:spacing w:after="0" w:line="247" w:lineRule="auto"/>
        <w:tabs>
          <w:tab w:leader="none" w:pos="1220" w:val="left"/>
        </w:tabs>
        <w:numPr>
          <w:ilvl w:val="0"/>
          <w:numId w:val="46"/>
        </w:numPr>
        <w:rPr>
          <w:rFonts w:ascii="Arial" w:cs="Arial" w:eastAsia="Arial" w:hAnsi="Arial"/>
          <w:sz w:val="20"/>
          <w:szCs w:val="20"/>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106" w:lineRule="exact"/>
        <w:rPr>
          <w:rFonts w:ascii="Arial" w:cs="Arial" w:eastAsia="Arial" w:hAnsi="Arial"/>
          <w:sz w:val="20"/>
          <w:szCs w:val="20"/>
          <w:color w:val="auto"/>
        </w:rPr>
      </w:pPr>
    </w:p>
    <w:p>
      <w:pPr>
        <w:ind w:left="1220" w:hanging="531"/>
        <w:spacing w:after="0"/>
        <w:tabs>
          <w:tab w:leader="none" w:pos="1220" w:val="left"/>
        </w:tabs>
        <w:numPr>
          <w:ilvl w:val="0"/>
          <w:numId w:val="46"/>
        </w:numPr>
        <w:rPr>
          <w:rFonts w:ascii="Arial" w:cs="Arial" w:eastAsia="Arial" w:hAnsi="Arial"/>
          <w:sz w:val="20"/>
          <w:szCs w:val="20"/>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28" w:lineRule="exact"/>
        <w:rPr>
          <w:rFonts w:ascii="Arial" w:cs="Arial" w:eastAsia="Arial" w:hAnsi="Arial"/>
          <w:sz w:val="20"/>
          <w:szCs w:val="20"/>
          <w:color w:val="auto"/>
        </w:rPr>
      </w:pPr>
    </w:p>
    <w:p>
      <w:pPr>
        <w:ind w:left="1220" w:right="200" w:hanging="531"/>
        <w:spacing w:after="0"/>
        <w:tabs>
          <w:tab w:leader="none" w:pos="1220" w:val="left"/>
        </w:tabs>
        <w:numPr>
          <w:ilvl w:val="0"/>
          <w:numId w:val="46"/>
        </w:numPr>
        <w:rPr>
          <w:rFonts w:ascii="Arial" w:cs="Arial" w:eastAsia="Arial" w:hAnsi="Arial"/>
          <w:sz w:val="20"/>
          <w:szCs w:val="20"/>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29" w:lineRule="exact"/>
        <w:rPr>
          <w:rFonts w:ascii="Arial" w:cs="Arial" w:eastAsia="Arial" w:hAnsi="Arial"/>
          <w:sz w:val="20"/>
          <w:szCs w:val="20"/>
          <w:color w:val="auto"/>
        </w:rPr>
      </w:pPr>
    </w:p>
    <w:p>
      <w:pPr>
        <w:ind w:left="1220" w:right="80" w:hanging="531"/>
        <w:spacing w:after="0" w:line="236" w:lineRule="auto"/>
        <w:tabs>
          <w:tab w:leader="none" w:pos="1220" w:val="left"/>
        </w:tabs>
        <w:numPr>
          <w:ilvl w:val="0"/>
          <w:numId w:val="46"/>
        </w:numPr>
        <w:rPr>
          <w:rFonts w:ascii="Arial" w:cs="Arial" w:eastAsia="Arial" w:hAnsi="Arial"/>
          <w:sz w:val="20"/>
          <w:szCs w:val="20"/>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128" w:lineRule="exact"/>
        <w:rPr>
          <w:rFonts w:ascii="Arial" w:cs="Arial" w:eastAsia="Arial" w:hAnsi="Arial"/>
          <w:sz w:val="20"/>
          <w:szCs w:val="20"/>
          <w:color w:val="auto"/>
        </w:rPr>
      </w:pPr>
    </w:p>
    <w:p>
      <w:pPr>
        <w:ind w:left="1220" w:right="400" w:hanging="531"/>
        <w:spacing w:after="0" w:line="236" w:lineRule="auto"/>
        <w:tabs>
          <w:tab w:leader="none" w:pos="1220" w:val="left"/>
        </w:tabs>
        <w:numPr>
          <w:ilvl w:val="0"/>
          <w:numId w:val="46"/>
        </w:numPr>
        <w:rPr>
          <w:rFonts w:ascii="Arial" w:cs="Arial" w:eastAsia="Arial" w:hAnsi="Arial"/>
          <w:sz w:val="20"/>
          <w:szCs w:val="20"/>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90" w:lineRule="exact"/>
        <w:rPr>
          <w:sz w:val="20"/>
          <w:szCs w:val="20"/>
          <w:color w:val="auto"/>
        </w:rPr>
      </w:pPr>
    </w:p>
    <w:p>
      <w:pPr>
        <w:ind w:right="160" w:firstLine="382"/>
        <w:spacing w:after="0" w:line="273"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ind w:right="740" w:firstLine="382"/>
        <w:spacing w:after="0" w:line="273" w:lineRule="auto"/>
        <w:rPr>
          <w:sz w:val="20"/>
          <w:szCs w:val="20"/>
          <w:color w:val="auto"/>
        </w:rPr>
      </w:pPr>
      <w:r>
        <w:rPr>
          <w:rFonts w:ascii="Arial" w:cs="Arial" w:eastAsia="Arial" w:hAnsi="Arial"/>
          <w:sz w:val="17"/>
          <w:szCs w:val="17"/>
          <w:b w:val="1"/>
          <w:bCs w:val="1"/>
          <w:i w:val="1"/>
          <w:iCs w:val="1"/>
          <w:color w:val="auto"/>
        </w:rPr>
        <w:t>Our bylaws designate certain courts as the exclusive forum for certain litigation that may be initiated by our stockholders, which could limit our stockholders’ ability to litigate disputes with us in a different judicial forum.</w:t>
      </w:r>
    </w:p>
    <w:p>
      <w:pPr>
        <w:spacing w:after="0" w:line="64"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231F20"/>
        </w:rPr>
        <w:t>P</w:t>
      </w:r>
      <w:r>
        <w:rPr>
          <w:rFonts w:ascii="Arial" w:cs="Arial" w:eastAsia="Arial" w:hAnsi="Arial"/>
          <w:sz w:val="16"/>
          <w:szCs w:val="16"/>
          <w:color w:val="000000"/>
        </w:rPr>
        <w:t>ursuant to our bylaws, unless we consent in writing to the selection of an alternative forum, the Court of Chancery of the State of Delaware will be the sole</w:t>
      </w:r>
      <w:r>
        <w:rPr>
          <w:rFonts w:ascii="Arial" w:cs="Arial" w:eastAsia="Arial" w:hAnsi="Arial"/>
          <w:sz w:val="16"/>
          <w:szCs w:val="16"/>
          <w:color w:val="231F20"/>
        </w:rPr>
        <w:t xml:space="preserve"> </w:t>
      </w:r>
      <w:r>
        <w:rPr>
          <w:rFonts w:ascii="Arial" w:cs="Arial" w:eastAsia="Arial" w:hAnsi="Arial"/>
          <w:sz w:val="16"/>
          <w:szCs w:val="16"/>
          <w:color w:val="000000"/>
        </w:rPr>
        <w:t>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69"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General Risk Factors</w:t>
      </w:r>
    </w:p>
    <w:p>
      <w:pPr>
        <w:spacing w:after="0" w:line="114" w:lineRule="exact"/>
        <w:rPr>
          <w:sz w:val="20"/>
          <w:szCs w:val="20"/>
          <w:color w:val="auto"/>
        </w:rPr>
      </w:pPr>
    </w:p>
    <w:p>
      <w:pPr>
        <w:ind w:right="20" w:firstLine="382"/>
        <w:spacing w:after="0" w:line="261"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5" w:lineRule="exact"/>
        <w:rPr>
          <w:sz w:val="20"/>
          <w:szCs w:val="20"/>
          <w:color w:val="auto"/>
        </w:rPr>
      </w:pPr>
    </w:p>
    <w:p>
      <w:pPr>
        <w:ind w:firstLine="382"/>
        <w:spacing w:after="0" w:line="295"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51" w:lineRule="exact"/>
        <w:rPr>
          <w:sz w:val="20"/>
          <w:szCs w:val="20"/>
          <w:color w:val="auto"/>
        </w:rPr>
      </w:pPr>
    </w:p>
    <w:p>
      <w:pPr>
        <w:ind w:firstLine="382"/>
        <w:spacing w:after="0" w:line="255"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“non-accelerated filer,” as defined by the SEC, our independent registered public accounting firm is not required to attest to the effectiveness of our internal controls over financial reporting pursuant to Section 404 for the fiscal year ending December 31, 2023. An independent assessment of the effectiveness of our internal controls over financial reporting could detect problems that our management’s assessment might not.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231F20"/>
        </w:rPr>
        <w:t>Our disclosure controls and procedures may not prevent or detect all errors or acts of fraud.</w:t>
      </w:r>
    </w:p>
    <w:p>
      <w:pPr>
        <w:spacing w:after="0" w:line="110"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As a public reporting company, we are subject to certain reporting requirements of the Exchange Act. Our disclosure controls and procedures are designed to reasonably assure that information required to be disclosed by us in reports we file or</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20" w:top="954" w:right="419" w:bottom="1440" w:gutter="0" w:footer="0" w:header="0"/>
        </w:sectPr>
      </w:pPr>
    </w:p>
    <w:bookmarkStart w:id="66" w:name="page67"/>
    <w:bookmarkEnd w:id="66"/>
    <w:p>
      <w:pPr>
        <w:ind w:right="140"/>
        <w:spacing w:after="0" w:line="295" w:lineRule="auto"/>
        <w:rPr>
          <w:sz w:val="20"/>
          <w:szCs w:val="20"/>
          <w:color w:val="auto"/>
        </w:rPr>
      </w:pPr>
      <w:r>
        <w:rPr>
          <w:rFonts w:ascii="Arial" w:cs="Arial" w:eastAsia="Arial" w:hAnsi="Arial"/>
          <w:sz w:val="15"/>
          <w:szCs w:val="15"/>
          <w:color w:val="auto"/>
        </w:rPr>
        <w:t>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51"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r>
        <w:rPr>
          <w:rFonts w:ascii="Arial" w:cs="Arial" w:eastAsia="Arial" w:hAnsi="Arial"/>
          <w:sz w:val="17"/>
          <w:szCs w:val="17"/>
          <w:b w:val="1"/>
          <w:bCs w:val="1"/>
          <w:i w:val="1"/>
          <w:iCs w:val="1"/>
          <w:color w:val="231F20"/>
        </w:rPr>
        <w:t>.</w:t>
      </w:r>
    </w:p>
    <w:p>
      <w:pPr>
        <w:spacing w:after="0" w:line="64" w:lineRule="exact"/>
        <w:rPr>
          <w:sz w:val="20"/>
          <w:szCs w:val="20"/>
          <w:color w:val="auto"/>
        </w:rPr>
      </w:pPr>
    </w:p>
    <w:p>
      <w:pPr>
        <w:ind w:right="120" w:firstLine="382"/>
        <w:spacing w:after="0" w:line="271"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 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68" w:lineRule="exact"/>
        <w:rPr>
          <w:sz w:val="20"/>
          <w:szCs w:val="20"/>
          <w:color w:val="auto"/>
        </w:rPr>
      </w:pPr>
    </w:p>
    <w:p>
      <w:pPr>
        <w:ind w:right="320" w:firstLine="382"/>
        <w:spacing w:after="0" w:line="27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4" w:lineRule="exact"/>
        <w:rPr>
          <w:sz w:val="20"/>
          <w:szCs w:val="20"/>
          <w:color w:val="auto"/>
        </w:rPr>
      </w:pPr>
    </w:p>
    <w:p>
      <w:pPr>
        <w:ind w:firstLine="382"/>
        <w:spacing w:after="0" w:line="257"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9" w:lineRule="exact"/>
        <w:rPr>
          <w:sz w:val="20"/>
          <w:szCs w:val="20"/>
          <w:color w:val="auto"/>
        </w:rPr>
      </w:pPr>
    </w:p>
    <w:p>
      <w:pPr>
        <w:ind w:right="540" w:firstLine="382"/>
        <w:spacing w:after="0" w:line="273" w:lineRule="auto"/>
        <w:rPr>
          <w:sz w:val="20"/>
          <w:szCs w:val="20"/>
          <w:color w:val="auto"/>
        </w:rPr>
      </w:pPr>
      <w:r>
        <w:rPr>
          <w:rFonts w:ascii="Arial" w:cs="Arial" w:eastAsia="Arial" w:hAnsi="Arial"/>
          <w:sz w:val="17"/>
          <w:szCs w:val="17"/>
          <w:b w:val="1"/>
          <w:bCs w:val="1"/>
          <w:i w:val="1"/>
          <w:iCs w:val="1"/>
          <w:color w:val="auto"/>
        </w:rPr>
        <w:t>We incur significant increased costs as a result of operating as a public company, and our management is required to devote substantial time to new compliance initiatives.</w:t>
      </w:r>
    </w:p>
    <w:p>
      <w:pPr>
        <w:spacing w:after="0" w:line="64" w:lineRule="exact"/>
        <w:rPr>
          <w:sz w:val="20"/>
          <w:szCs w:val="20"/>
          <w:color w:val="auto"/>
        </w:rPr>
      </w:pPr>
    </w:p>
    <w:p>
      <w:pPr>
        <w:ind w:firstLine="382"/>
        <w:spacing w:after="0" w:line="291" w:lineRule="auto"/>
        <w:rPr>
          <w:sz w:val="20"/>
          <w:szCs w:val="20"/>
          <w:color w:val="auto"/>
        </w:rPr>
      </w:pPr>
      <w:r>
        <w:rPr>
          <w:rFonts w:ascii="Arial" w:cs="Arial" w:eastAsia="Arial" w:hAnsi="Arial"/>
          <w:sz w:val="15"/>
          <w:szCs w:val="15"/>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57"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52"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64" w:lineRule="exact"/>
        <w:rPr>
          <w:sz w:val="20"/>
          <w:szCs w:val="20"/>
          <w:color w:val="auto"/>
        </w:rPr>
      </w:pPr>
    </w:p>
    <w:p>
      <w:pPr>
        <w:ind w:right="180" w:firstLine="382"/>
        <w:spacing w:after="0" w:line="261" w:lineRule="auto"/>
        <w:rPr>
          <w:sz w:val="20"/>
          <w:szCs w:val="20"/>
          <w:color w:val="auto"/>
        </w:rPr>
      </w:pPr>
      <w:r>
        <w:rPr>
          <w:rFonts w:ascii="Arial" w:cs="Arial" w:eastAsia="Arial" w:hAnsi="Arial"/>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7" w:name="page68"/>
    <w:bookmarkEnd w:id="67"/>
    <w:p>
      <w:pPr>
        <w:ind w:right="60"/>
        <w:spacing w:after="0" w:line="302" w:lineRule="auto"/>
        <w:rPr>
          <w:sz w:val="20"/>
          <w:szCs w:val="20"/>
          <w:color w:val="auto"/>
        </w:rPr>
      </w:pPr>
      <w:r>
        <w:rPr>
          <w:rFonts w:ascii="Arial" w:cs="Arial" w:eastAsia="Arial" w:hAnsi="Arial"/>
          <w:sz w:val="15"/>
          <w:szCs w:val="15"/>
          <w:color w:val="auto"/>
        </w:rPr>
        <w:t>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48" w:lineRule="exact"/>
        <w:rPr>
          <w:sz w:val="20"/>
          <w:szCs w:val="20"/>
          <w:color w:val="auto"/>
        </w:rPr>
      </w:pPr>
    </w:p>
    <w:p>
      <w:pPr>
        <w:ind w:firstLine="382"/>
        <w:spacing w:after="0" w:line="286" w:lineRule="auto"/>
        <w:rPr>
          <w:sz w:val="20"/>
          <w:szCs w:val="20"/>
          <w:color w:val="auto"/>
        </w:rPr>
      </w:pPr>
      <w:r>
        <w:rPr>
          <w:rFonts w:ascii="Arial" w:cs="Arial" w:eastAsia="Arial" w:hAnsi="Arial"/>
          <w:sz w:val="15"/>
          <w:szCs w:val="15"/>
          <w:color w:val="auto"/>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will regulate “consumer health data” which is defined as “personal information that is linked or reasonably linkable to a</w:t>
      </w:r>
    </w:p>
    <w:p>
      <w:pPr>
        <w:spacing w:after="0" w:line="6"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color w:val="auto"/>
        </w:rPr>
        <w:t>consumer and that identifies a consumer’s past, present, or future physical or mental health.” The “My Health My Data Act” provides exemptions for personal data used or shared in research, including data subject to 45 C.F.R. Parts 46, 50, and 56. Nevada also recently enacted a consumer health data privacy bill, and additional states may adopt health-specific privacy laws that could impact our business activities depending on how they are interpreted.</w:t>
      </w:r>
    </w:p>
    <w:p>
      <w:pPr>
        <w:spacing w:after="0" w:line="57" w:lineRule="exact"/>
        <w:rPr>
          <w:sz w:val="20"/>
          <w:szCs w:val="20"/>
          <w:color w:val="auto"/>
        </w:rPr>
      </w:pPr>
    </w:p>
    <w:p>
      <w:pPr>
        <w:ind w:right="20" w:firstLine="382"/>
        <w:spacing w:after="0" w:line="252" w:lineRule="auto"/>
        <w:rPr>
          <w:sz w:val="20"/>
          <w:szCs w:val="20"/>
          <w:color w:val="auto"/>
        </w:rPr>
      </w:pPr>
      <w:r>
        <w:rPr>
          <w:rFonts w:ascii="Arial" w:cs="Arial" w:eastAsia="Arial" w:hAnsi="Arial"/>
          <w:sz w:val="17"/>
          <w:szCs w:val="17"/>
          <w:color w:val="auto"/>
        </w:rPr>
        <w:t>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spacing w:after="0" w:line="86" w:lineRule="exact"/>
        <w:rPr>
          <w:sz w:val="20"/>
          <w:szCs w:val="20"/>
          <w:color w:val="auto"/>
        </w:rPr>
      </w:pPr>
    </w:p>
    <w:p>
      <w:pPr>
        <w:ind w:right="60" w:firstLine="382"/>
        <w:spacing w:after="0" w:line="253" w:lineRule="auto"/>
        <w:rPr>
          <w:sz w:val="20"/>
          <w:szCs w:val="20"/>
          <w:color w:val="auto"/>
        </w:rPr>
      </w:pPr>
      <w:r>
        <w:rPr>
          <w:rFonts w:ascii="Arial" w:cs="Arial" w:eastAsia="Arial" w:hAnsi="Arial"/>
          <w:sz w:val="17"/>
          <w:szCs w:val="17"/>
          <w:color w:val="auto"/>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spacing w:after="0" w:line="84" w:lineRule="exact"/>
        <w:rPr>
          <w:sz w:val="20"/>
          <w:szCs w:val="20"/>
          <w:color w:val="auto"/>
        </w:rPr>
      </w:pPr>
    </w:p>
    <w:p>
      <w:pPr>
        <w:ind w:right="140" w:firstLine="382"/>
        <w:spacing w:after="0" w:line="279" w:lineRule="auto"/>
        <w:rPr>
          <w:sz w:val="20"/>
          <w:szCs w:val="20"/>
          <w:color w:val="auto"/>
        </w:rPr>
      </w:pPr>
      <w:r>
        <w:rPr>
          <w:rFonts w:ascii="Arial" w:cs="Arial" w:eastAsia="Arial" w:hAnsi="Arial"/>
          <w:sz w:val="16"/>
          <w:szCs w:val="16"/>
          <w:color w:val="auto"/>
        </w:rPr>
        <w:t>Multiple states have followed California to legislate comprehensive privacy laws with data privacy rights. For example, on March 2, 2021, the Virginia Consumer Data Protection Act was signed into law, which went into effect on January 1, 2023, on May 10 2022, the Connecticut Data Privacy Act, was signed into law, which went into effect on July 1, 2023, and on July 8, 2021, the Colorado Privacy Act, was signed into law, which went into effect on July 1, 2023. Multiple states have enacted similar legislation which will go into effect in the coming years. While these new laws generally include exemptions for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68" w:name="page69"/>
    <w:bookmarkEnd w:id="68"/>
    <w:p>
      <w:pPr>
        <w:ind w:right="80"/>
        <w:spacing w:after="0" w:line="273" w:lineRule="auto"/>
        <w:rPr>
          <w:sz w:val="20"/>
          <w:szCs w:val="20"/>
          <w:color w:val="auto"/>
        </w:rPr>
      </w:pPr>
      <w:r>
        <w:rPr>
          <w:rFonts w:ascii="Arial" w:cs="Arial" w:eastAsia="Arial" w:hAnsi="Arial"/>
          <w:sz w:val="17"/>
          <w:szCs w:val="17"/>
          <w:color w:val="auto"/>
        </w:rPr>
        <w:t>HIPAA-covered and clinical trial data, they add layers of complexity to compliance in the U.S. market, and could increase our compliance costs and adversely affect our business.</w:t>
      </w:r>
    </w:p>
    <w:p>
      <w:pPr>
        <w:spacing w:after="0" w:line="64"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recently published an advance notice of proposed rulemaking on commercial surveillance and data security, and is seeking comment on whether it should implement new trade regulation rules or other regulatory alternatives concerning the ways in which companies (1) collect, aggregate, protect, use, analyze, and retain consumer data, as well as (2) transfer, share, sell, or otherwise monetize that data in ways that are unfair or deceptive.</w:t>
      </w:r>
    </w:p>
    <w:p>
      <w:pPr>
        <w:spacing w:after="0" w:line="75" w:lineRule="exact"/>
        <w:rPr>
          <w:sz w:val="20"/>
          <w:szCs w:val="20"/>
          <w:color w:val="auto"/>
        </w:rPr>
      </w:pPr>
    </w:p>
    <w:p>
      <w:pPr>
        <w:ind w:right="160" w:firstLine="382"/>
        <w:spacing w:after="0" w:line="296" w:lineRule="auto"/>
        <w:rPr>
          <w:sz w:val="20"/>
          <w:szCs w:val="20"/>
          <w:color w:val="auto"/>
        </w:rPr>
      </w:pPr>
      <w:r>
        <w:rPr>
          <w:rFonts w:ascii="Arial" w:cs="Arial" w:eastAsia="Arial" w:hAnsi="Arial"/>
          <w:sz w:val="15"/>
          <w:szCs w:val="15"/>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with a wide range of motives and expertise. OCR, pursuant to legislation passed in 2021, recently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spacing w:after="0" w:line="79" w:lineRule="exact"/>
        <w:rPr>
          <w:sz w:val="20"/>
          <w:szCs w:val="20"/>
          <w:color w:val="auto"/>
        </w:rPr>
      </w:pPr>
    </w:p>
    <w:p>
      <w:pPr>
        <w:ind w:right="100" w:firstLine="382"/>
        <w:spacing w:after="0" w:line="293" w:lineRule="auto"/>
        <w:rPr>
          <w:sz w:val="20"/>
          <w:szCs w:val="20"/>
          <w:color w:val="auto"/>
        </w:rPr>
      </w:pPr>
      <w:r>
        <w:rPr>
          <w:rFonts w:ascii="Arial" w:cs="Arial" w:eastAsia="Arial" w:hAnsi="Arial"/>
          <w:sz w:val="15"/>
          <w:szCs w:val="15"/>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52" w:lineRule="exact"/>
        <w:rPr>
          <w:sz w:val="20"/>
          <w:szCs w:val="20"/>
          <w:color w:val="auto"/>
        </w:rPr>
      </w:pPr>
    </w:p>
    <w:p>
      <w:pPr>
        <w:ind w:firstLine="382"/>
        <w:spacing w:after="0" w:line="268"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certain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w:t>
      </w:r>
    </w:p>
    <w:p>
      <w:pPr>
        <w:spacing w:after="0" w:line="77" w:lineRule="exact"/>
        <w:rPr>
          <w:sz w:val="20"/>
          <w:szCs w:val="20"/>
          <w:color w:val="auto"/>
        </w:rPr>
      </w:pPr>
    </w:p>
    <w:p>
      <w:pPr>
        <w:jc w:val="both"/>
        <w:ind w:right="100" w:firstLine="382"/>
        <w:spacing w:after="0" w:line="302" w:lineRule="auto"/>
        <w:rPr>
          <w:sz w:val="20"/>
          <w:szCs w:val="20"/>
          <w:color w:val="auto"/>
        </w:rPr>
      </w:pPr>
      <w:r>
        <w:rPr>
          <w:rFonts w:ascii="Arial" w:cs="Arial" w:eastAsia="Arial" w:hAnsi="Arial"/>
          <w:sz w:val="15"/>
          <w:szCs w:val="15"/>
          <w:color w:val="auto"/>
        </w:rPr>
        <w:t>The EU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EU GDPR also confers a private right of action on data subjects and consumer associations to lodge complaints with supervisory authorities, seek judicial remedies, and obtain compensation for damages resulting from violations of the EU</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9" w:name="page70"/>
    <w:bookmarkEnd w:id="69"/>
    <w:p>
      <w:pPr>
        <w:ind w:right="680"/>
        <w:spacing w:after="0" w:line="273" w:lineRule="auto"/>
        <w:rPr>
          <w:sz w:val="20"/>
          <w:szCs w:val="20"/>
          <w:color w:val="auto"/>
        </w:rPr>
      </w:pPr>
      <w:r>
        <w:rPr>
          <w:rFonts w:ascii="Arial" w:cs="Arial" w:eastAsia="Arial" w:hAnsi="Arial"/>
          <w:sz w:val="17"/>
          <w:szCs w:val="17"/>
          <w:color w:val="auto"/>
        </w:rPr>
        <w:t>GDPR. If our efforts to comply with EU GDPR or other applicable EU laws and regulations are not successful, or are perceived to be unsuccessful, it could adversely affect our business in the EU.</w:t>
      </w:r>
    </w:p>
    <w:p>
      <w:pPr>
        <w:spacing w:after="0" w:line="64" w:lineRule="exact"/>
        <w:rPr>
          <w:sz w:val="20"/>
          <w:szCs w:val="20"/>
          <w:color w:val="auto"/>
        </w:rPr>
      </w:pPr>
    </w:p>
    <w:p>
      <w:pPr>
        <w:ind w:right="160" w:firstLine="382"/>
        <w:spacing w:after="0" w:line="300" w:lineRule="auto"/>
        <w:rPr>
          <w:sz w:val="20"/>
          <w:szCs w:val="20"/>
          <w:color w:val="auto"/>
        </w:rPr>
      </w:pPr>
      <w:r>
        <w:rPr>
          <w:rFonts w:ascii="Arial" w:cs="Arial" w:eastAsia="Arial" w:hAnsi="Arial"/>
          <w:sz w:val="15"/>
          <w:szCs w:val="15"/>
          <w:color w:val="auto"/>
        </w:rPr>
        <w:t>The EU GDPR also prohibits the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has been certification to the EU-U.S. Privacy Shield framework</w:t>
      </w:r>
    </w:p>
    <w:p>
      <w:pPr>
        <w:spacing w:after="0" w:line="2"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administered by the U.S. Department of Commerce. However, the European Court of Justice, or the ECJ, issued a decision in July 2020 which invalidated the EU-U.S. Privacy Shield framework for international transfers (Schrems II) and imposed further restrictions on the use of standard contractual clauses (SCCs). The SCCs were subsequently updated by the European Commission and these now place a contractual obligation on the parties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w:t>
      </w:r>
    </w:p>
    <w:p>
      <w:pPr>
        <w:spacing w:after="0" w:line="67"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On October 7, 2022, President Biden introduced an Executive Order to facilitate a new Trans-Atlantic Data Privacy Framework (DPF) and on July 10, 2023, the European Commission adopted its adequacy decision to reflect its view that the new Executive Order and DPF is able to meet the concerns raised in Schrems II. In turn, entities relying on SCCs for transfers to the U.S. are able to rely on the analysis in the European Commission’s adequacy decision as support for their transfer impact assessments. Importantly, the U.S. Department of Commerce has also announced that companies will also immediately be able to self-certify to the UK and Swiss extensions of the DPF, but that the UK component will not be live until the finalization of the separate and ongoing UK-U.S. adequacy process. Given the above, the current legal position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spacing w:after="0" w:line="52" w:lineRule="exact"/>
        <w:rPr>
          <w:sz w:val="20"/>
          <w:szCs w:val="20"/>
          <w:color w:val="auto"/>
        </w:rPr>
      </w:pPr>
    </w:p>
    <w:p>
      <w:pPr>
        <w:ind w:right="40" w:firstLine="382"/>
        <w:spacing w:after="0" w:line="309" w:lineRule="auto"/>
        <w:rPr>
          <w:sz w:val="20"/>
          <w:szCs w:val="20"/>
          <w:color w:val="auto"/>
        </w:rPr>
      </w:pPr>
      <w:r>
        <w:rPr>
          <w:rFonts w:ascii="Arial" w:cs="Arial" w:eastAsia="Arial" w:hAnsi="Arial"/>
          <w:sz w:val="15"/>
          <w:szCs w:val="15"/>
          <w:color w:val="auto"/>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 into UK</w:t>
      </w:r>
    </w:p>
    <w:p>
      <w:pPr>
        <w:spacing w:after="0" w:line="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 It should be noted that the UK GDPR also prohibits the transfer of personal data from the UK to other countries that are not recognized as having “adequate” data protection laws, including the U.S., in a similar manner to the EU. In addition, the UK Government has published its own form of SCCs, known as the International Data Transfer Agreement and International Data Transfer Addendum to the new EU SCCs. The UK Information Commissioner’s Office has also published its version of the transfer impact assessment and revised guidance on international transfers, although companies may choose to either use the EU style or UK style transfer impact assessment. In terms of international data transfers between the UK and U.S., as stated above, there is an ongoing UK-U.S. adequacy process which once finalized will extend the DPF to apply also to transfers from the UK.</w:t>
      </w:r>
    </w:p>
    <w:p>
      <w:pPr>
        <w:spacing w:after="0" w:line="75" w:lineRule="exact"/>
        <w:rPr>
          <w:sz w:val="20"/>
          <w:szCs w:val="20"/>
          <w:color w:val="auto"/>
        </w:rPr>
      </w:pPr>
    </w:p>
    <w:p>
      <w:pPr>
        <w:ind w:right="60" w:firstLine="382"/>
        <w:spacing w:after="0" w:line="288" w:lineRule="auto"/>
        <w:rPr>
          <w:sz w:val="20"/>
          <w:szCs w:val="20"/>
          <w:color w:val="auto"/>
        </w:rPr>
      </w:pPr>
      <w:r>
        <w:rPr>
          <w:rFonts w:ascii="Arial" w:cs="Arial" w:eastAsia="Arial" w:hAnsi="Arial"/>
          <w:sz w:val="15"/>
          <w:szCs w:val="15"/>
          <w:color w:val="auto"/>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0" w:name="page71"/>
    <w:bookmarkEnd w:id="70"/>
    <w:p>
      <w:pPr>
        <w:ind w:right="320" w:firstLine="382"/>
        <w:spacing w:after="0" w:line="261" w:lineRule="auto"/>
        <w:rPr>
          <w:sz w:val="20"/>
          <w:szCs w:val="20"/>
          <w:color w:val="auto"/>
        </w:rPr>
      </w:pPr>
      <w:r>
        <w:rPr>
          <w:rFonts w:ascii="Arial" w:cs="Arial" w:eastAsia="Arial" w:hAnsi="Arial"/>
          <w:sz w:val="17"/>
          <w:szCs w:val="17"/>
          <w:b w:val="1"/>
          <w:bCs w:val="1"/>
          <w:i w:val="1"/>
          <w:iCs w:val="1"/>
          <w:color w:val="auto"/>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75" w:lineRule="exact"/>
        <w:rPr>
          <w:sz w:val="20"/>
          <w:szCs w:val="20"/>
          <w:color w:val="auto"/>
        </w:rPr>
      </w:pPr>
    </w:p>
    <w:p>
      <w:pPr>
        <w:ind w:right="20" w:firstLine="382"/>
        <w:spacing w:after="0" w:line="302" w:lineRule="auto"/>
        <w:rPr>
          <w:sz w:val="20"/>
          <w:szCs w:val="20"/>
          <w:color w:val="auto"/>
        </w:rPr>
      </w:pPr>
      <w:r>
        <w:rPr>
          <w:rFonts w:ascii="Arial" w:cs="Arial" w:eastAsia="Arial" w:hAnsi="Arial"/>
          <w:sz w:val="15"/>
          <w:szCs w:val="15"/>
          <w:color w:val="auto"/>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48" w:lineRule="exact"/>
        <w:rPr>
          <w:sz w:val="20"/>
          <w:szCs w:val="20"/>
          <w:color w:val="auto"/>
        </w:rPr>
      </w:pPr>
    </w:p>
    <w:p>
      <w:pPr>
        <w:ind w:firstLine="382"/>
        <w:spacing w:after="0" w:line="270"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spacing w:after="0" w:line="71" w:lineRule="exact"/>
        <w:rPr>
          <w:sz w:val="20"/>
          <w:szCs w:val="20"/>
          <w:color w:val="auto"/>
        </w:rPr>
      </w:pPr>
    </w:p>
    <w:p>
      <w:pPr>
        <w:ind w:right="160" w:firstLine="382"/>
        <w:spacing w:after="0" w:line="257" w:lineRule="auto"/>
        <w:rPr>
          <w:sz w:val="20"/>
          <w:szCs w:val="20"/>
          <w:color w:val="auto"/>
        </w:rPr>
      </w:pPr>
      <w:r>
        <w:rPr>
          <w:rFonts w:ascii="Arial" w:cs="Arial" w:eastAsia="Arial" w:hAnsi="Arial"/>
          <w:sz w:val="17"/>
          <w:szCs w:val="17"/>
          <w:color w:val="auto"/>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will replace the Northern Ireland Protocol. Once the Windsor Framework becomes law, the MHRA rather than the EMA will approve all medicines placed on the market in Northern Ireland.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231F20"/>
        </w:rPr>
        <w:t>Changes in U.S. tax law could adversely affect our financial condition and results of operations.</w:t>
      </w:r>
    </w:p>
    <w:p>
      <w:pPr>
        <w:spacing w:after="0" w:line="110" w:lineRule="exact"/>
        <w:rPr>
          <w:sz w:val="20"/>
          <w:szCs w:val="20"/>
          <w:color w:val="auto"/>
        </w:rPr>
      </w:pPr>
    </w:p>
    <w:p>
      <w:pPr>
        <w:ind w:right="40" w:firstLine="382"/>
        <w:spacing w:after="0" w:line="275"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65"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4" w:lineRule="exact"/>
        <w:rPr>
          <w:sz w:val="20"/>
          <w:szCs w:val="20"/>
          <w:color w:val="auto"/>
        </w:rPr>
      </w:pPr>
    </w:p>
    <w:p>
      <w:pPr>
        <w:ind w:right="40" w:firstLine="382"/>
        <w:spacing w:after="0" w:line="270" w:lineRule="auto"/>
        <w:rPr>
          <w:sz w:val="20"/>
          <w:szCs w:val="20"/>
          <w:color w:val="auto"/>
        </w:rPr>
      </w:pPr>
      <w:r>
        <w:rPr>
          <w:rFonts w:ascii="Arial" w:cs="Arial" w:eastAsia="Arial" w:hAnsi="Arial"/>
          <w:sz w:val="16"/>
          <w:szCs w:val="16"/>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71" w:lineRule="exact"/>
        <w:rPr>
          <w:sz w:val="20"/>
          <w:szCs w:val="20"/>
          <w:color w:val="auto"/>
        </w:rPr>
      </w:pPr>
    </w:p>
    <w:p>
      <w:pPr>
        <w:ind w:right="40" w:firstLine="382"/>
        <w:spacing w:after="0" w:line="273"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1" w:name="page72"/>
    <w:bookmarkEnd w:id="71"/>
    <w:p>
      <w:pPr>
        <w:jc w:val="both"/>
        <w:ind w:right="120"/>
        <w:spacing w:after="0" w:line="261" w:lineRule="auto"/>
        <w:rPr>
          <w:sz w:val="20"/>
          <w:szCs w:val="20"/>
          <w:color w:val="auto"/>
        </w:rPr>
      </w:pPr>
      <w:r>
        <w:rPr>
          <w:rFonts w:ascii="Arial" w:cs="Arial" w:eastAsia="Arial" w:hAnsi="Arial"/>
          <w:sz w:val="17"/>
          <w:szCs w:val="17"/>
          <w:color w:val="auto"/>
        </w:rPr>
        <w:t>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75" w:lineRule="exact"/>
        <w:rPr>
          <w:sz w:val="20"/>
          <w:szCs w:val="20"/>
          <w:color w:val="auto"/>
        </w:rPr>
      </w:pPr>
    </w:p>
    <w:p>
      <w:pPr>
        <w:ind w:right="40" w:firstLine="382"/>
        <w:spacing w:after="0" w:line="253" w:lineRule="auto"/>
        <w:rPr>
          <w:sz w:val="20"/>
          <w:szCs w:val="20"/>
          <w:color w:val="auto"/>
        </w:rPr>
      </w:pPr>
      <w:r>
        <w:rPr>
          <w:rFonts w:ascii="Arial" w:cs="Arial" w:eastAsia="Arial" w:hAnsi="Arial"/>
          <w:sz w:val="17"/>
          <w:szCs w:val="17"/>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81" w:lineRule="exact"/>
        <w:rPr>
          <w:sz w:val="20"/>
          <w:szCs w:val="20"/>
          <w:color w:val="auto"/>
        </w:rPr>
      </w:pPr>
    </w:p>
    <w:p>
      <w:pPr>
        <w:ind w:firstLine="382"/>
        <w:spacing w:after="0" w:line="257" w:lineRule="auto"/>
        <w:rPr>
          <w:sz w:val="20"/>
          <w:szCs w:val="20"/>
          <w:color w:val="auto"/>
        </w:rPr>
      </w:pPr>
      <w:r>
        <w:rPr>
          <w:rFonts w:ascii="Arial" w:cs="Arial" w:eastAsia="Arial" w:hAnsi="Arial"/>
          <w:sz w:val="17"/>
          <w:szCs w:val="17"/>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79" w:lineRule="exact"/>
        <w:rPr>
          <w:sz w:val="20"/>
          <w:szCs w:val="20"/>
          <w:color w:val="auto"/>
        </w:rPr>
      </w:pPr>
    </w:p>
    <w:p>
      <w:pPr>
        <w:ind w:right="100" w:firstLine="382"/>
        <w:spacing w:after="0" w:line="275"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110" w:lineRule="exact"/>
        <w:rPr>
          <w:sz w:val="20"/>
          <w:szCs w:val="20"/>
          <w:color w:val="auto"/>
        </w:rPr>
      </w:pPr>
    </w:p>
    <w:p>
      <w:pPr>
        <w:ind w:right="80" w:firstLine="382"/>
        <w:spacing w:after="0" w:line="271"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lingering effects of the COVID-19 pandemic, Russian invasion of Ukraine,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231F20"/>
        </w:rPr>
        <w:t>The increasing use of social media platforms presents new risks and challenges.</w:t>
      </w:r>
    </w:p>
    <w:p>
      <w:pPr>
        <w:spacing w:after="0" w:line="110" w:lineRule="exact"/>
        <w:rPr>
          <w:sz w:val="20"/>
          <w:szCs w:val="20"/>
          <w:color w:val="auto"/>
        </w:rPr>
      </w:pPr>
    </w:p>
    <w:p>
      <w:pPr>
        <w:ind w:right="40" w:firstLine="382"/>
        <w:spacing w:after="0" w:line="269"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72"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716534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72" w:name="page73"/>
    <w:bookmarkEnd w:id="72"/>
    <w:p>
      <w:pPr>
        <w:ind w:right="220" w:firstLine="382"/>
        <w:spacing w:after="0" w:line="279"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w:t>
      </w:r>
    </w:p>
    <w:p>
      <w:pPr>
        <w:spacing w:after="0" w:line="110" w:lineRule="exact"/>
        <w:rPr>
          <w:sz w:val="20"/>
          <w:szCs w:val="20"/>
          <w:color w:val="auto"/>
        </w:rPr>
      </w:pPr>
    </w:p>
    <w:p>
      <w:pPr>
        <w:ind w:left="380" w:right="8280" w:hanging="378"/>
        <w:spacing w:after="0" w:line="374" w:lineRule="auto"/>
        <w:tabs>
          <w:tab w:leader="none" w:pos="23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Unregistered Sales of Equity Securities </w:t>
      </w:r>
      <w:r>
        <w:rPr>
          <w:rFonts w:ascii="Arial" w:cs="Arial" w:eastAsia="Arial" w:hAnsi="Arial"/>
          <w:sz w:val="17"/>
          <w:szCs w:val="17"/>
          <w:color w:val="auto"/>
        </w:rPr>
        <w:t>None.</w:t>
      </w:r>
    </w:p>
    <w:p>
      <w:pPr>
        <w:spacing w:after="0" w:line="1" w:lineRule="exact"/>
        <w:rPr>
          <w:rFonts w:ascii="Arial" w:cs="Arial" w:eastAsia="Arial" w:hAnsi="Arial"/>
          <w:sz w:val="17"/>
          <w:szCs w:val="17"/>
          <w:b w:val="1"/>
          <w:bCs w:val="1"/>
          <w:color w:val="auto"/>
        </w:rPr>
      </w:pPr>
    </w:p>
    <w:p>
      <w:pPr>
        <w:ind w:left="380" w:right="7300" w:hanging="378"/>
        <w:spacing w:after="0" w:line="374" w:lineRule="auto"/>
        <w:tabs>
          <w:tab w:leader="none" w:pos="24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Repurchase of Shares of Company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3" w:lineRule="exact"/>
        <w:rPr>
          <w:sz w:val="20"/>
          <w:szCs w:val="20"/>
          <w:color w:val="auto"/>
        </w:rPr>
      </w:pPr>
    </w:p>
    <w:p>
      <w:pPr>
        <w:jc w:val="center"/>
        <w:ind w:right="10160"/>
        <w:spacing w:after="0"/>
        <w:rPr>
          <w:sz w:val="20"/>
          <w:szCs w:val="20"/>
          <w:color w:val="auto"/>
        </w:rPr>
      </w:pPr>
      <w:r>
        <w:rPr>
          <w:rFonts w:ascii="Arial" w:cs="Arial" w:eastAsia="Arial" w:hAnsi="Arial"/>
          <w:sz w:val="17"/>
          <w:szCs w:val="17"/>
          <w:color w:val="auto"/>
        </w:rPr>
        <w:t>None.</w:t>
      </w:r>
    </w:p>
    <w:p>
      <w:pPr>
        <w:spacing w:after="0" w:line="92" w:lineRule="exact"/>
        <w:rPr>
          <w:sz w:val="20"/>
          <w:szCs w:val="20"/>
          <w:color w:val="auto"/>
        </w:rPr>
      </w:pPr>
    </w:p>
    <w:p>
      <w:pPr>
        <w:jc w:val="center"/>
        <w:ind w:right="10140"/>
        <w:spacing w:after="0"/>
        <w:rPr>
          <w:sz w:val="20"/>
          <w:szCs w:val="20"/>
          <w:color w:val="auto"/>
        </w:rPr>
      </w:pPr>
      <w:r>
        <w:rPr>
          <w:rFonts w:ascii="Arial" w:cs="Arial" w:eastAsia="Arial" w:hAnsi="Arial"/>
          <w:sz w:val="15"/>
          <w:szCs w:val="15"/>
          <w:b w:val="1"/>
          <w:bCs w:val="1"/>
          <w:color w:val="auto"/>
        </w:rPr>
        <w:t>Item 6.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80" w:type="dxa"/>
            <w:vAlign w:val="bottom"/>
            <w:gridSpan w:val="8"/>
          </w:tcPr>
          <w:p>
            <w:pPr>
              <w:spacing w:after="0"/>
              <w:rPr>
                <w:rFonts w:ascii="Arial" w:cs="Arial" w:eastAsia="Arial" w:hAnsi="Arial"/>
                <w:sz w:val="17"/>
                <w:szCs w:val="17"/>
                <w:color w:val="0000FF"/>
                <w:w w:val="91"/>
              </w:rPr>
            </w:pPr>
            <w:hyperlink r:id="rId90">
              <w:r>
                <w:rPr>
                  <w:rFonts w:ascii="Arial" w:cs="Arial" w:eastAsia="Arial" w:hAnsi="Arial"/>
                  <w:sz w:val="17"/>
                  <w:szCs w:val="17"/>
                  <w:color w:val="0000FF"/>
                  <w:w w:val="91"/>
                </w:rPr>
                <w:t>Amended and Restated Certificate of Incorporation of the Registrant, as currently in effect (incorporated by reference to Exhibit</w:t>
              </w:r>
            </w:hyperlink>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tcBorders>
              <w:top w:val="single" w:sz="8" w:color="0000FF"/>
            </w:tcBorders>
            <w:gridSpan w:val="7"/>
          </w:tcPr>
          <w:p>
            <w:pPr>
              <w:spacing w:after="0" w:line="145" w:lineRule="exact"/>
              <w:rPr>
                <w:rFonts w:ascii="Arial" w:cs="Arial" w:eastAsia="Arial" w:hAnsi="Arial"/>
                <w:sz w:val="16"/>
                <w:szCs w:val="16"/>
                <w:color w:val="0000FF"/>
              </w:rPr>
            </w:pPr>
            <w:hyperlink r:id="rId90">
              <w:r>
                <w:rPr>
                  <w:rFonts w:ascii="Arial" w:cs="Arial" w:eastAsia="Arial" w:hAnsi="Arial"/>
                  <w:sz w:val="16"/>
                  <w:szCs w:val="16"/>
                  <w:color w:val="0000FF"/>
                </w:rPr>
                <w:t>Registrant’s quarterly report on Form 10-Q (File No. 001-39303) filed on August 11,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8"/>
          </w:tcPr>
          <w:p>
            <w:pPr>
              <w:spacing w:after="0"/>
              <w:rPr>
                <w:rFonts w:ascii="Arial" w:cs="Arial" w:eastAsia="Arial" w:hAnsi="Arial"/>
                <w:sz w:val="17"/>
                <w:szCs w:val="17"/>
                <w:color w:val="0000FF"/>
                <w:w w:val="90"/>
              </w:rPr>
            </w:pPr>
            <w:hyperlink r:id="rId91">
              <w:r>
                <w:rPr>
                  <w:rFonts w:ascii="Arial" w:cs="Arial" w:eastAsia="Arial" w:hAnsi="Arial"/>
                  <w:sz w:val="17"/>
                  <w:szCs w:val="17"/>
                  <w:color w:val="0000FF"/>
                  <w:w w:val="90"/>
                </w:rPr>
                <w:t>Amended and Restated Bylaws of the Registrant, as currently in effect (incorporated by reference to Exhibit 3.1 of the Registrant</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7"/>
          </w:tcPr>
          <w:p>
            <w:pPr>
              <w:spacing w:after="0" w:line="159" w:lineRule="exact"/>
              <w:rPr>
                <w:rFonts w:ascii="Arial" w:cs="Arial" w:eastAsia="Arial" w:hAnsi="Arial"/>
                <w:sz w:val="17"/>
                <w:szCs w:val="17"/>
                <w:color w:val="0000FF"/>
              </w:rPr>
            </w:pPr>
            <w:hyperlink r:id="rId91">
              <w:r>
                <w:rPr>
                  <w:rFonts w:ascii="Arial" w:cs="Arial" w:eastAsia="Arial" w:hAnsi="Arial"/>
                  <w:sz w:val="17"/>
                  <w:szCs w:val="17"/>
                  <w:color w:val="0000FF"/>
                </w:rPr>
                <w:t>Current Report on Form 8-K (File No. 001-39303) filed on September 16,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8"/>
          </w:tcPr>
          <w:p>
            <w:pPr>
              <w:spacing w:after="0"/>
              <w:rPr>
                <w:rFonts w:ascii="Arial" w:cs="Arial" w:eastAsia="Arial" w:hAnsi="Arial"/>
                <w:sz w:val="17"/>
                <w:szCs w:val="17"/>
                <w:color w:val="0000FF"/>
                <w:w w:val="91"/>
              </w:rPr>
            </w:pPr>
            <w:hyperlink r:id="rId92">
              <w:r>
                <w:rPr>
                  <w:rFonts w:ascii="Arial" w:cs="Arial" w:eastAsia="Arial" w:hAnsi="Arial"/>
                  <w:sz w:val="17"/>
                  <w:szCs w:val="17"/>
                  <w:color w:val="0000FF"/>
                  <w:w w:val="91"/>
                </w:rPr>
                <w:t>Specimen Common Stock Certificate (incorporated by reference to Exhibit 4.1 of the Registrant’s Registration Statement on For</w:t>
              </w:r>
            </w:hyperlink>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
          </w:tcPr>
          <w:p>
            <w:pPr>
              <w:spacing w:after="0" w:line="145" w:lineRule="exact"/>
              <w:rPr>
                <w:rFonts w:ascii="Arial" w:cs="Arial" w:eastAsia="Arial" w:hAnsi="Arial"/>
                <w:sz w:val="16"/>
                <w:szCs w:val="16"/>
                <w:color w:val="0000FF"/>
                <w:w w:val="96"/>
              </w:rPr>
            </w:pPr>
            <w:hyperlink r:id="rId92">
              <w:r>
                <w:rPr>
                  <w:rFonts w:ascii="Arial" w:cs="Arial" w:eastAsia="Arial" w:hAnsi="Arial"/>
                  <w:sz w:val="16"/>
                  <w:szCs w:val="16"/>
                  <w:color w:val="0000FF"/>
                  <w:w w:val="96"/>
                </w:rPr>
                <w:t>amended (File No. 333-238146) filed on May 26, 2020).</w:t>
              </w:r>
            </w:hyperlink>
          </w:p>
        </w:tc>
        <w:tc>
          <w:tcPr>
            <w:tcW w:w="49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0000FF"/>
                <w:w w:val="91"/>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tcBorders>
              <w:top w:val="single" w:sz="8" w:color="0000FF"/>
            </w:tcBorders>
            <w:gridSpan w:val="7"/>
          </w:tcPr>
          <w:p>
            <w:pPr>
              <w:spacing w:after="0" w:line="145" w:lineRule="exact"/>
              <w:rPr>
                <w:sz w:val="20"/>
                <w:szCs w:val="20"/>
                <w:color w:val="auto"/>
              </w:rPr>
            </w:pPr>
            <w:r>
              <w:rPr>
                <w:rFonts w:ascii="Arial" w:cs="Arial" w:eastAsia="Arial" w:hAnsi="Arial"/>
                <w:sz w:val="16"/>
                <w:szCs w:val="16"/>
                <w:color w:val="0000FF"/>
              </w:rPr>
              <w:t>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0000FF"/>
                <w:w w:val="92"/>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7"/>
          </w:tcPr>
          <w:p>
            <w:pPr>
              <w:spacing w:after="0" w:line="159" w:lineRule="exact"/>
              <w:rPr>
                <w:sz w:val="20"/>
                <w:szCs w:val="20"/>
                <w:color w:val="auto"/>
              </w:rPr>
            </w:pPr>
            <w:r>
              <w:rPr>
                <w:rFonts w:ascii="Arial" w:cs="Arial" w:eastAsia="Arial" w:hAnsi="Arial"/>
                <w:sz w:val="17"/>
                <w:szCs w:val="17"/>
                <w:color w:val="0000FF"/>
              </w:rPr>
              <w:t>pursuant to Section 302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32.1*(1)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0000FF"/>
                <w:w w:val="90"/>
              </w:rPr>
              <w:t>Certification of Chief Executive Officer and Chief Financial Officer pursuant to 18 U.S.C. Section 1350, as adopted pursuant to S</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000FF"/>
              <w:bottom w:val="single" w:sz="8" w:color="0000FF"/>
            </w:tcBorders>
          </w:tcPr>
          <w:p>
            <w:pPr>
              <w:spacing w:after="0" w:line="145" w:lineRule="exact"/>
              <w:rPr>
                <w:sz w:val="20"/>
                <w:szCs w:val="20"/>
                <w:color w:val="auto"/>
              </w:rPr>
            </w:pPr>
            <w:r>
              <w:rPr>
                <w:rFonts w:ascii="Arial" w:cs="Arial" w:eastAsia="Arial" w:hAnsi="Arial"/>
                <w:sz w:val="16"/>
                <w:szCs w:val="16"/>
                <w:color w:val="0000FF"/>
                <w:w w:val="95"/>
              </w:rPr>
              <w:t>906 of the Sarbanes-Oxley Act of 2002.</w:t>
            </w:r>
          </w:p>
        </w:tc>
        <w:tc>
          <w:tcPr>
            <w:tcW w:w="60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0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w w:val="89"/>
              </w:rPr>
              <w:t>XBRL Instance Document - the Instance Document does not appear in the Interactive Data File because its XBRL tags are embed</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305"/>
        </w:trPr>
        <w:tc>
          <w:tcPr>
            <w:tcW w:w="2460" w:type="dxa"/>
            <w:vAlign w:val="bottom"/>
            <w:gridSpan w:val="2"/>
          </w:tcPr>
          <w:p>
            <w:pPr>
              <w:ind w:left="108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81"/>
        </w:trPr>
        <w:tc>
          <w:tcPr>
            <w:tcW w:w="2560" w:type="dxa"/>
            <w:vAlign w:val="bottom"/>
            <w:gridSpan w:val="3"/>
          </w:tcPr>
          <w:p>
            <w:pPr>
              <w:spacing w:after="0"/>
              <w:rPr>
                <w:sz w:val="20"/>
                <w:szCs w:val="20"/>
                <w:color w:val="auto"/>
              </w:rPr>
            </w:pPr>
            <w:r>
              <w:rPr>
                <w:rFonts w:ascii="Arial" w:cs="Arial" w:eastAsia="Arial" w:hAnsi="Arial"/>
                <w:sz w:val="17"/>
                <w:szCs w:val="17"/>
                <w:color w:val="auto"/>
                <w:w w:val="89"/>
              </w:rPr>
              <w:t>______________________________</w:t>
            </w: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60" w:type="dxa"/>
            <w:vAlign w:val="bottom"/>
            <w:gridSpan w:val="3"/>
          </w:tcPr>
          <w:p>
            <w:pPr>
              <w:spacing w:after="0"/>
              <w:rPr>
                <w:sz w:val="20"/>
                <w:szCs w:val="20"/>
                <w:color w:val="auto"/>
              </w:rPr>
            </w:pPr>
            <w:r>
              <w:rPr>
                <w:rFonts w:ascii="Arial" w:cs="Arial" w:eastAsia="Arial" w:hAnsi="Arial"/>
                <w:sz w:val="17"/>
                <w:szCs w:val="17"/>
                <w:color w:val="auto"/>
              </w:rPr>
              <w:t>*  Filed herewith</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5"/>
        </w:trPr>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3"/>
          </w:tcPr>
          <w:p>
            <w:pPr>
              <w:jc w:val="right"/>
              <w:ind w:right="720"/>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954" w:right="239" w:bottom="1440" w:gutter="0" w:footer="0" w:header="0"/>
        </w:sectPr>
      </w:pPr>
    </w:p>
    <w:bookmarkStart w:id="73" w:name="page74"/>
    <w:bookmarkEnd w:id="73"/>
    <w:p>
      <w:pPr>
        <w:ind w:left="918" w:hanging="918"/>
        <w:spacing w:after="0" w:line="261" w:lineRule="auto"/>
        <w:tabs>
          <w:tab w:leader="none" w:pos="37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534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18"/>
          </w:cols>
          <w:pgMar w:left="322" w:top="852"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right="160" w:firstLine="458"/>
        <w:spacing w:after="0" w:line="273"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August 9, 2023</w:t>
      </w:r>
    </w:p>
    <w:p>
      <w:pPr>
        <w:spacing w:after="0" w:line="135" w:lineRule="exact"/>
        <w:rPr>
          <w:sz w:val="20"/>
          <w:szCs w:val="20"/>
          <w:color w:val="auto"/>
        </w:rPr>
      </w:pPr>
    </w:p>
    <w:tbl>
      <w:tblPr>
        <w:tblLayout w:type="fixed"/>
        <w:tblInd w:w="492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5600" w:type="dxa"/>
            <w:vAlign w:val="bottom"/>
            <w:gridSpan w:val="2"/>
          </w:tcPr>
          <w:p>
            <w:pPr>
              <w:ind w:left="480"/>
              <w:spacing w:after="0"/>
              <w:rPr>
                <w:sz w:val="20"/>
                <w:szCs w:val="20"/>
                <w:color w:val="auto"/>
              </w:rPr>
            </w:pPr>
            <w:r>
              <w:rPr>
                <w:rFonts w:ascii="Arial" w:cs="Arial" w:eastAsia="Arial" w:hAnsi="Arial"/>
                <w:sz w:val="17"/>
                <w:szCs w:val="17"/>
                <w:color w:val="auto"/>
              </w:rPr>
              <w:t>PLIANT THERAPEUTICS, INC.</w:t>
            </w:r>
          </w:p>
        </w:tc>
      </w:tr>
      <w:tr>
        <w:trPr>
          <w:trHeight w:val="306"/>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8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Bernard Coulie</w:t>
            </w:r>
          </w:p>
        </w:tc>
      </w:tr>
      <w:tr>
        <w:trPr>
          <w:trHeight w:val="209"/>
        </w:trPr>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Bernard Coulie, M.D., Ph.D.</w:t>
            </w:r>
          </w:p>
        </w:tc>
      </w:tr>
      <w:tr>
        <w:trPr>
          <w:trHeight w:val="216"/>
        </w:trPr>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President and Chief Executive Officer</w:t>
            </w:r>
          </w:p>
        </w:tc>
      </w:tr>
      <w:tr>
        <w:trPr>
          <w:trHeight w:val="465"/>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680" w:type="dxa"/>
            <w:vAlign w:val="bottom"/>
          </w:tcPr>
          <w:p>
            <w:pPr>
              <w:spacing w:after="0"/>
              <w:rPr>
                <w:sz w:val="24"/>
                <w:szCs w:val="2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Keith Cummings</w:t>
            </w:r>
          </w:p>
        </w:tc>
      </w:tr>
      <w:tr>
        <w:trPr>
          <w:trHeight w:val="215"/>
        </w:trPr>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Keith Cummings, M.D., M.B.A.</w:t>
            </w:r>
          </w:p>
        </w:tc>
      </w:tr>
      <w:tr>
        <w:trPr>
          <w:trHeight w:val="216"/>
        </w:trPr>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84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 Bernard Coulie, certify that:</w:t>
      </w:r>
    </w:p>
    <w:p>
      <w:pPr>
        <w:spacing w:after="0" w:line="173" w:lineRule="exact"/>
        <w:rPr>
          <w:sz w:val="20"/>
          <w:szCs w:val="20"/>
          <w:color w:val="auto"/>
        </w:rPr>
      </w:pPr>
    </w:p>
    <w:p>
      <w:pPr>
        <w:ind w:left="1080" w:hanging="1078"/>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080" w:right="300" w:hanging="1078"/>
        <w:spacing w:after="0" w:line="261"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7"/>
          <w:szCs w:val="17"/>
          <w:color w:val="auto"/>
        </w:rPr>
      </w:pPr>
    </w:p>
    <w:p>
      <w:pPr>
        <w:ind w:left="1080" w:right="280" w:hanging="1078"/>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080" w:right="320" w:hanging="1078"/>
        <w:spacing w:after="0" w:line="261"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2300" w:right="100" w:hanging="1230"/>
        <w:spacing w:after="0" w:line="285" w:lineRule="auto"/>
        <w:tabs>
          <w:tab w:leader="none" w:pos="2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6"/>
          <w:szCs w:val="16"/>
          <w:color w:val="auto"/>
        </w:rPr>
      </w:pPr>
    </w:p>
    <w:p>
      <w:pPr>
        <w:ind w:left="2300" w:right="400" w:hanging="1230"/>
        <w:spacing w:after="0" w:line="285" w:lineRule="auto"/>
        <w:tabs>
          <w:tab w:leader="none" w:pos="2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6"/>
          <w:szCs w:val="16"/>
          <w:color w:val="auto"/>
        </w:rPr>
      </w:pPr>
    </w:p>
    <w:p>
      <w:pPr>
        <w:ind w:left="2300" w:right="60" w:hanging="1230"/>
        <w:spacing w:after="0" w:line="261" w:lineRule="auto"/>
        <w:tabs>
          <w:tab w:leader="none" w:pos="2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2300" w:right="160" w:hanging="1230"/>
        <w:spacing w:after="0" w:line="285" w:lineRule="auto"/>
        <w:tabs>
          <w:tab w:leader="none" w:pos="2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6"/>
          <w:szCs w:val="16"/>
          <w:color w:val="auto"/>
        </w:rPr>
      </w:pPr>
    </w:p>
    <w:p>
      <w:pPr>
        <w:ind w:left="1080" w:right="200" w:hanging="1078"/>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right="20" w:hanging="1230"/>
        <w:spacing w:after="0" w:line="342" w:lineRule="auto"/>
        <w:tabs>
          <w:tab w:leader="none" w:pos="2300" w:val="left"/>
        </w:tabs>
        <w:numPr>
          <w:ilvl w:val="1"/>
          <w:numId w:val="4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5"/>
          <w:szCs w:val="15"/>
          <w:color w:val="auto"/>
        </w:rPr>
      </w:pPr>
    </w:p>
    <w:p>
      <w:pPr>
        <w:ind w:left="2300" w:right="280" w:hanging="1230"/>
        <w:spacing w:after="0" w:line="273" w:lineRule="auto"/>
        <w:tabs>
          <w:tab w:leader="none" w:pos="2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4038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03860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5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 Keith Cummings, certify that:</w:t>
      </w:r>
    </w:p>
    <w:p>
      <w:pPr>
        <w:spacing w:after="0" w:line="173" w:lineRule="exact"/>
        <w:rPr>
          <w:sz w:val="20"/>
          <w:szCs w:val="20"/>
          <w:color w:val="auto"/>
        </w:rPr>
      </w:pPr>
    </w:p>
    <w:p>
      <w:pPr>
        <w:ind w:left="1220" w:hanging="1218"/>
        <w:spacing w:after="0"/>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Pliant Therapeutics, Inc.;</w:t>
      </w:r>
    </w:p>
    <w:p>
      <w:pPr>
        <w:spacing w:after="0" w:line="186" w:lineRule="exact"/>
        <w:rPr>
          <w:rFonts w:ascii="Arial" w:cs="Arial" w:eastAsia="Arial" w:hAnsi="Arial"/>
          <w:sz w:val="17"/>
          <w:szCs w:val="17"/>
          <w:color w:val="auto"/>
        </w:rPr>
      </w:pPr>
    </w:p>
    <w:p>
      <w:pPr>
        <w:jc w:val="both"/>
        <w:ind w:left="1220" w:right="160" w:hanging="1218"/>
        <w:spacing w:after="0" w:line="261"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7"/>
          <w:szCs w:val="17"/>
          <w:color w:val="auto"/>
        </w:rPr>
      </w:pPr>
    </w:p>
    <w:p>
      <w:pPr>
        <w:ind w:left="1220" w:right="120" w:hanging="1218"/>
        <w:spacing w:after="0" w:line="306" w:lineRule="auto"/>
        <w:tabs>
          <w:tab w:leader="none" w:pos="1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ind w:left="1220" w:right="160" w:hanging="1218"/>
        <w:spacing w:after="0" w:line="261"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2300" w:right="100" w:hanging="1077"/>
        <w:spacing w:after="0" w:line="285" w:lineRule="auto"/>
        <w:tabs>
          <w:tab w:leader="none" w:pos="2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6"/>
          <w:szCs w:val="16"/>
          <w:color w:val="auto"/>
        </w:rPr>
      </w:pPr>
    </w:p>
    <w:p>
      <w:pPr>
        <w:ind w:left="2300" w:right="400" w:hanging="1077"/>
        <w:spacing w:after="0" w:line="277" w:lineRule="auto"/>
        <w:tabs>
          <w:tab w:leader="none" w:pos="2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ind w:left="2300" w:right="60" w:hanging="1077"/>
        <w:spacing w:after="0" w:line="246" w:lineRule="auto"/>
        <w:tabs>
          <w:tab w:leader="none" w:pos="2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2300" w:right="160" w:hanging="1077"/>
        <w:spacing w:after="0" w:line="285" w:lineRule="auto"/>
        <w:tabs>
          <w:tab w:leader="none" w:pos="2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1220" w:right="40" w:hanging="1218"/>
        <w:spacing w:after="0" w:line="306" w:lineRule="auto"/>
        <w:tabs>
          <w:tab w:leader="none" w:pos="1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2300" w:right="20" w:hanging="1077"/>
        <w:spacing w:after="0" w:line="342" w:lineRule="auto"/>
        <w:tabs>
          <w:tab w:leader="none" w:pos="2300" w:val="left"/>
        </w:tabs>
        <w:numPr>
          <w:ilvl w:val="1"/>
          <w:numId w:val="5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5"/>
          <w:szCs w:val="15"/>
          <w:color w:val="auto"/>
        </w:rPr>
      </w:pPr>
    </w:p>
    <w:p>
      <w:pPr>
        <w:ind w:left="2300" w:right="280" w:hanging="1077"/>
        <w:spacing w:after="0" w:line="273" w:lineRule="auto"/>
        <w:tabs>
          <w:tab w:leader="none" w:pos="2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40386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03860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5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76" w:lineRule="exact"/>
        <w:rPr>
          <w:sz w:val="20"/>
          <w:szCs w:val="20"/>
          <w:color w:val="auto"/>
        </w:rPr>
      </w:pPr>
    </w:p>
    <w:p>
      <w:pPr>
        <w:ind w:left="920" w:right="640" w:hanging="918"/>
        <w:spacing w:after="0" w:line="306" w:lineRule="auto"/>
        <w:tabs>
          <w:tab w:leader="none" w:pos="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June 30, 2023, to which this Certification is attached as Exhibit 32.1 (the “Periodic Report”), fully complies with the requirements of Section 13(a) or Section 15(d) of the Exchange Act; and</w:t>
      </w:r>
    </w:p>
    <w:p>
      <w:pPr>
        <w:spacing w:after="0" w:line="141" w:lineRule="exact"/>
        <w:rPr>
          <w:rFonts w:ascii="Arial" w:cs="Arial" w:eastAsia="Arial" w:hAnsi="Arial"/>
          <w:sz w:val="16"/>
          <w:szCs w:val="16"/>
          <w:color w:val="auto"/>
        </w:rPr>
      </w:pPr>
    </w:p>
    <w:p>
      <w:pPr>
        <w:ind w:left="920" w:right="600" w:hanging="918"/>
        <w:spacing w:after="0" w:line="273"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Dated: August 9, 2023</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40386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03860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Bernard Coulie, M.D., Ph.D.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40386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403860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Keith Cummings, M.D., MBA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01" w:lineRule="exact"/>
        <w:rPr>
          <w:sz w:val="20"/>
          <w:szCs w:val="20"/>
          <w:color w:val="auto"/>
        </w:rPr>
      </w:pPr>
    </w:p>
    <w:p>
      <w:pPr>
        <w:ind w:right="60" w:firstLine="611"/>
        <w:spacing w:after="0" w:line="261"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90" Type="http://schemas.openxmlformats.org/officeDocument/2006/relationships/hyperlink" Target="https://www.sec.gov/Archives/edgar/data/0001746473/000156459020039327/plrx-ex31_301.htm" TargetMode="External"/><Relationship Id="rId91" Type="http://schemas.openxmlformats.org/officeDocument/2006/relationships/hyperlink" Target="https://www.sec.gov/Archives/edgar/data/0001746473/000119312520322128/d61993dex31.htm" TargetMode="External"/><Relationship Id="rId92" Type="http://schemas.openxmlformats.org/officeDocument/2006/relationships/hyperlink" Target="https://www.sec.gov/Archives/edgar/data/000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2023-08-09T15:24:57Z</dcterms:created>
  <dcterms:modified xsi:type="dcterms:W3CDTF">2023-08-09T15:24:57Z</dcterms:modified>
</cp:coreProperties>
</file>