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FORM 10-Q</w:t>
      </w:r>
    </w:p>
    <w:p>
      <w:pPr>
        <w:pStyle w:val="TextBody"/>
        <w:spacing w:before="120" w:after="283"/>
        <w:rPr/>
      </w:pPr>
      <w:r>
        <w:rPr/>
      </w:r>
    </w:p>
    <w:tbl>
      <w:tblPr>
        <w:tblW w:w="10205" w:type="dxa"/>
        <w:jc w:val="left"/>
        <w:tblInd w:w="0" w:type="dxa"/>
        <w:tblCellMar>
          <w:top w:w="28" w:type="dxa"/>
          <w:left w:w="28" w:type="dxa"/>
          <w:bottom w:w="28" w:type="dxa"/>
          <w:right w:w="28" w:type="dxa"/>
        </w:tblCellMar>
      </w:tblPr>
      <w:tblGrid>
        <w:gridCol w:w="124"/>
        <w:gridCol w:w="109"/>
        <w:gridCol w:w="109"/>
        <w:gridCol w:w="2885"/>
        <w:gridCol w:w="2885"/>
        <w:gridCol w:w="409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409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12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March 31, 2023 </w:t>
      </w:r>
    </w:p>
    <w:tbl>
      <w:tblPr>
        <w:tblW w:w="10205" w:type="dxa"/>
        <w:jc w:val="left"/>
        <w:tblInd w:w="0" w:type="dxa"/>
        <w:tblCellMar>
          <w:top w:w="28" w:type="dxa"/>
          <w:left w:w="28" w:type="dxa"/>
          <w:bottom w:w="28" w:type="dxa"/>
          <w:right w:w="28" w:type="dxa"/>
        </w:tblCellMar>
      </w:tblPr>
      <w:tblGrid>
        <w:gridCol w:w="124"/>
        <w:gridCol w:w="109"/>
        <w:gridCol w:w="109"/>
        <w:gridCol w:w="2888"/>
        <w:gridCol w:w="2888"/>
        <w:gridCol w:w="408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408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spacing w:lineRule="auto" w:line="288" w:before="120" w:after="283"/>
        <w:jc w:val="center"/>
        <w:rPr/>
      </w:pPr>
      <w:r>
        <w:rPr>
          <w:rFonts w:ascii="Times New Roman;sans-serif" w:hAnsi="Times New Roman;sans-serif"/>
          <w:b/>
          <w:color w:val="000000"/>
          <w:sz w:val="20"/>
        </w:rPr>
        <w:t>For the transition period from</w:t>
      </w:r>
      <w:r>
        <w:rPr>
          <w:color w:val="000000"/>
          <w:u w:val="single"/>
        </w:rPr>
        <w:t>           </w:t>
      </w:r>
      <w:r>
        <w:rPr>
          <w:rFonts w:ascii="Times New Roman;sans-serif" w:hAnsi="Times New Roman;sans-serif"/>
          <w:b/>
          <w:color w:val="000000"/>
          <w:sz w:val="20"/>
        </w:rPr>
        <w:t>to</w:t>
      </w:r>
      <w:r>
        <w:rPr>
          <w:color w:val="000000"/>
          <w:u w:val="single"/>
        </w:rPr>
        <w:t>           </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001-39303</w:t>
      </w:r>
    </w:p>
    <w:p>
      <w:pPr>
        <w:pStyle w:val="TextBody"/>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PLIANT THERAPEUTICS,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4736" w:type="dxa"/>
        <w:jc w:val="left"/>
        <w:tblInd w:w="0" w:type="dxa"/>
        <w:tblCellMar>
          <w:top w:w="28" w:type="dxa"/>
          <w:left w:w="28" w:type="dxa"/>
          <w:bottom w:w="28" w:type="dxa"/>
          <w:right w:w="28" w:type="dxa"/>
        </w:tblCellMar>
      </w:tblPr>
      <w:tblGrid>
        <w:gridCol w:w="1058"/>
        <w:gridCol w:w="927"/>
        <w:gridCol w:w="940"/>
        <w:gridCol w:w="109"/>
        <w:gridCol w:w="109"/>
        <w:gridCol w:w="109"/>
        <w:gridCol w:w="433"/>
        <w:gridCol w:w="433"/>
        <w:gridCol w:w="618"/>
      </w:tblGrid>
      <w:tr>
        <w:trPr/>
        <w:tc>
          <w:tcPr>
            <w:tcW w:w="1058" w:type="dxa"/>
            <w:tcBorders/>
            <w:shd w:fill="auto" w:val="clear"/>
            <w:vAlign w:val="center"/>
          </w:tcPr>
          <w:p>
            <w:pPr>
              <w:pStyle w:val="TableContents"/>
              <w:spacing w:before="0" w:after="283"/>
              <w:rPr>
                <w:sz w:val="4"/>
                <w:szCs w:val="4"/>
              </w:rPr>
            </w:pPr>
            <w:r>
              <w:rPr>
                <w:sz w:val="4"/>
                <w:szCs w:val="4"/>
              </w:rPr>
            </w:r>
          </w:p>
        </w:tc>
        <w:tc>
          <w:tcPr>
            <w:tcW w:w="927" w:type="dxa"/>
            <w:tcBorders/>
            <w:shd w:fill="auto" w:val="clear"/>
            <w:vAlign w:val="center"/>
          </w:tcPr>
          <w:p>
            <w:pPr>
              <w:pStyle w:val="TableContents"/>
              <w:spacing w:before="0" w:after="283"/>
              <w:rPr>
                <w:sz w:val="4"/>
                <w:szCs w:val="4"/>
              </w:rPr>
            </w:pPr>
            <w:r>
              <w:rPr>
                <w:sz w:val="4"/>
                <w:szCs w:val="4"/>
              </w:rPr>
            </w:r>
          </w:p>
        </w:tc>
        <w:tc>
          <w:tcPr>
            <w:tcW w:w="9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47-4272481</w:t>
            </w:r>
          </w:p>
        </w:tc>
      </w:tr>
      <w:tr>
        <w:trPr/>
        <w:tc>
          <w:tcPr>
            <w:tcW w:w="29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r>
          </w:p>
        </w:tc>
      </w:tr>
      <w:tr>
        <w:trPr/>
        <w:tc>
          <w:tcPr>
            <w:tcW w:w="29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Identification No.)</w:t>
            </w:r>
          </w:p>
        </w:tc>
      </w:tr>
      <w:tr>
        <w:trPr/>
        <w:tc>
          <w:tcPr>
            <w:tcW w:w="29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260 Littlefield Avenue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292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South San Francisco, CA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94080</w:t>
            </w:r>
          </w:p>
        </w:tc>
      </w:tr>
      <w:tr>
        <w:trPr/>
        <w:tc>
          <w:tcPr>
            <w:tcW w:w="29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 (650) 481-6770</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011" w:type="dxa"/>
        <w:jc w:val="left"/>
        <w:tblInd w:w="0" w:type="dxa"/>
        <w:tblCellMar>
          <w:top w:w="28" w:type="dxa"/>
          <w:left w:w="28" w:type="dxa"/>
          <w:bottom w:w="28" w:type="dxa"/>
          <w:right w:w="28" w:type="dxa"/>
        </w:tblCellMar>
      </w:tblPr>
      <w:tblGrid>
        <w:gridCol w:w="1175"/>
        <w:gridCol w:w="1027"/>
        <w:gridCol w:w="1038"/>
        <w:gridCol w:w="270"/>
        <w:gridCol w:w="270"/>
        <w:gridCol w:w="271"/>
        <w:gridCol w:w="1157"/>
        <w:gridCol w:w="1157"/>
        <w:gridCol w:w="1646"/>
      </w:tblGrid>
      <w:tr>
        <w:trPr/>
        <w:tc>
          <w:tcPr>
            <w:tcW w:w="1175"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157" w:type="dxa"/>
            <w:tcBorders/>
            <w:shd w:fill="auto" w:val="clear"/>
            <w:vAlign w:val="center"/>
          </w:tcPr>
          <w:p>
            <w:pPr>
              <w:pStyle w:val="TableContents"/>
              <w:spacing w:before="0" w:after="283"/>
              <w:rPr>
                <w:sz w:val="4"/>
                <w:szCs w:val="4"/>
              </w:rPr>
            </w:pPr>
            <w:r>
              <w:rPr>
                <w:sz w:val="4"/>
                <w:szCs w:val="4"/>
              </w:rPr>
            </w:r>
          </w:p>
        </w:tc>
        <w:tc>
          <w:tcPr>
            <w:tcW w:w="1157" w:type="dxa"/>
            <w:tcBorders/>
            <w:shd w:fill="auto" w:val="clear"/>
            <w:vAlign w:val="center"/>
          </w:tcPr>
          <w:p>
            <w:pPr>
              <w:pStyle w:val="TableContents"/>
              <w:spacing w:before="0" w:after="283"/>
              <w:rPr>
                <w:sz w:val="4"/>
                <w:szCs w:val="4"/>
              </w:rPr>
            </w:pPr>
            <w:r>
              <w:rPr>
                <w:sz w:val="4"/>
                <w:szCs w:val="4"/>
              </w:rPr>
            </w:r>
          </w:p>
        </w:tc>
        <w:tc>
          <w:tcPr>
            <w:tcW w:w="1646" w:type="dxa"/>
            <w:tcBorders/>
            <w:shd w:fill="auto" w:val="clear"/>
            <w:vAlign w:val="center"/>
          </w:tcPr>
          <w:p>
            <w:pPr>
              <w:pStyle w:val="TableContents"/>
              <w:spacing w:before="0" w:after="283"/>
              <w:rPr>
                <w:sz w:val="4"/>
                <w:szCs w:val="4"/>
              </w:rPr>
            </w:pPr>
            <w:r>
              <w:rPr>
                <w:sz w:val="4"/>
                <w:szCs w:val="4"/>
              </w:rPr>
            </w:r>
          </w:p>
        </w:tc>
      </w:tr>
      <w:tr>
        <w:trPr/>
        <w:tc>
          <w:tcPr>
            <w:tcW w:w="324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81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w:t>
              <w:br/>
              <w:t>Symbol</w:t>
            </w:r>
          </w:p>
        </w:tc>
        <w:tc>
          <w:tcPr>
            <w:tcW w:w="3960"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240"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par value $0.0001 per share</w:t>
            </w:r>
          </w:p>
        </w:tc>
        <w:tc>
          <w:tcPr>
            <w:tcW w:w="81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PLRX</w:t>
            </w:r>
          </w:p>
        </w:tc>
        <w:tc>
          <w:tcPr>
            <w:tcW w:w="3960"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w:t>
            </w:r>
          </w:p>
        </w:tc>
      </w:tr>
    </w:tbl>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6853" w:type="dxa"/>
        <w:jc w:val="left"/>
        <w:tblInd w:w="0" w:type="dxa"/>
        <w:tblCellMar>
          <w:top w:w="28" w:type="dxa"/>
          <w:left w:w="28" w:type="dxa"/>
          <w:bottom w:w="28" w:type="dxa"/>
          <w:right w:w="28" w:type="dxa"/>
        </w:tblCellMar>
      </w:tblPr>
      <w:tblGrid>
        <w:gridCol w:w="891"/>
        <w:gridCol w:w="783"/>
        <w:gridCol w:w="785"/>
        <w:gridCol w:w="285"/>
        <w:gridCol w:w="285"/>
        <w:gridCol w:w="286"/>
        <w:gridCol w:w="109"/>
        <w:gridCol w:w="109"/>
        <w:gridCol w:w="109"/>
        <w:gridCol w:w="769"/>
        <w:gridCol w:w="769"/>
        <w:gridCol w:w="772"/>
        <w:gridCol w:w="264"/>
        <w:gridCol w:w="264"/>
        <w:gridCol w:w="373"/>
      </w:tblGrid>
      <w:tr>
        <w:trPr/>
        <w:tc>
          <w:tcPr>
            <w:tcW w:w="891"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r>
      <w:tr>
        <w:trPr/>
        <w:tc>
          <w:tcPr>
            <w:tcW w:w="2459"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901" w:type="dxa"/>
            <w:gridSpan w:val="3"/>
            <w:tcBorders/>
            <w:shd w:fill="auto" w:val="clear"/>
            <w:tcMar>
              <w:top w:w="0" w:type="dxa"/>
              <w:left w:w="0" w:type="dxa"/>
              <w:bottom w:w="0" w:type="dxa"/>
              <w:right w:w="0" w:type="dxa"/>
            </w:tcMar>
            <w:vAlign w:val="center"/>
          </w:tcPr>
          <w:p>
            <w:pPr>
              <w:pStyle w:val="TableContents"/>
              <w:spacing w:lineRule="auto" w:line="240" w:before="120" w:after="283"/>
              <w:ind w:left="0" w:right="0" w:firstLine="540"/>
              <w:jc w:val="center"/>
              <w:rPr>
                <w:color w:val="000000"/>
              </w:rPr>
            </w:pPr>
            <w:r>
              <w:rPr>
                <w:color w:val="000000"/>
              </w:rPr>
              <w:t>☐</w:t>
            </w:r>
          </w:p>
        </w:tc>
      </w:tr>
      <w:tr>
        <w:trPr/>
        <w:tc>
          <w:tcPr>
            <w:tcW w:w="2459"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901" w:type="dxa"/>
            <w:gridSpan w:val="3"/>
            <w:tcBorders/>
            <w:shd w:fill="auto" w:val="clear"/>
            <w:tcMar>
              <w:top w:w="0" w:type="dxa"/>
              <w:left w:w="0" w:type="dxa"/>
              <w:bottom w:w="0" w:type="dxa"/>
              <w:right w:w="0" w:type="dxa"/>
            </w:tcMar>
            <w:vAlign w:val="center"/>
          </w:tcPr>
          <w:p>
            <w:pPr>
              <w:pStyle w:val="TableContents"/>
              <w:spacing w:lineRule="auto" w:line="240" w:before="120" w:after="283"/>
              <w:ind w:left="0" w:right="0" w:firstLine="540"/>
              <w:jc w:val="center"/>
              <w:rPr>
                <w:color w:val="000000"/>
              </w:rPr>
            </w:pPr>
            <w:r>
              <w:rPr>
                <w:color w:val="000000"/>
              </w:rPr>
              <w:t>☒</w:t>
            </w:r>
          </w:p>
        </w:tc>
      </w:tr>
      <w:tr>
        <w:trPr/>
        <w:tc>
          <w:tcPr>
            <w:tcW w:w="24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856" w:type="dxa"/>
            <w:gridSpan w:val="3"/>
            <w:tcBorders/>
            <w:shd w:fill="auto" w:val="clear"/>
            <w:tcMar>
              <w:top w:w="0" w:type="dxa"/>
              <w:left w:w="0" w:type="dxa"/>
              <w:bottom w:w="0" w:type="dxa"/>
              <w:right w:w="0" w:type="dxa"/>
            </w:tcMar>
            <w:vAlign w:val="center"/>
          </w:tcPr>
          <w:p>
            <w:pPr>
              <w:pStyle w:val="TableContents"/>
              <w:spacing w:lineRule="auto" w:line="240" w:before="120" w:after="283"/>
              <w:ind w:left="0" w:right="0" w:firstLine="540"/>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lineRule="auto" w:line="288" w:before="120" w:after="283"/>
        <w:ind w:left="0" w:right="0" w:firstLine="180"/>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 shell company (as defined in Rule 12b-2 of the Exchange Act). Yes ☐ No ☒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of May 5, 2023, the registrant had 59,156,444 shares of common stock, $0.0001 par value per share, outstanding.</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CellMar>
          <w:top w:w="28" w:type="dxa"/>
          <w:left w:w="28" w:type="dxa"/>
          <w:bottom w:w="28" w:type="dxa"/>
          <w:right w:w="28" w:type="dxa"/>
        </w:tblCellMar>
      </w:tblPr>
      <w:tblGrid>
        <w:gridCol w:w="353"/>
        <w:gridCol w:w="309"/>
        <w:gridCol w:w="314"/>
        <w:gridCol w:w="2950"/>
        <w:gridCol w:w="2950"/>
        <w:gridCol w:w="2956"/>
        <w:gridCol w:w="109"/>
        <w:gridCol w:w="109"/>
        <w:gridCol w:w="155"/>
      </w:tblGrid>
      <w:tr>
        <w:trPr/>
        <w:tc>
          <w:tcPr>
            <w:tcW w:w="353"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2950" w:type="dxa"/>
            <w:tcBorders/>
            <w:shd w:fill="auto" w:val="clear"/>
            <w:vAlign w:val="center"/>
          </w:tcPr>
          <w:p>
            <w:pPr>
              <w:pStyle w:val="TableContents"/>
              <w:spacing w:before="0" w:after="283"/>
              <w:rPr>
                <w:sz w:val="4"/>
                <w:szCs w:val="4"/>
              </w:rPr>
            </w:pPr>
            <w:r>
              <w:rPr>
                <w:sz w:val="4"/>
                <w:szCs w:val="4"/>
              </w:rPr>
            </w:r>
          </w:p>
        </w:tc>
        <w:tc>
          <w:tcPr>
            <w:tcW w:w="2950" w:type="dxa"/>
            <w:tcBorders/>
            <w:shd w:fill="auto" w:val="clear"/>
            <w:vAlign w:val="center"/>
          </w:tcPr>
          <w:p>
            <w:pPr>
              <w:pStyle w:val="TableContents"/>
              <w:spacing w:before="0" w:after="283"/>
              <w:rPr>
                <w:sz w:val="4"/>
                <w:szCs w:val="4"/>
              </w:rPr>
            </w:pPr>
            <w:r>
              <w:rPr>
                <w:sz w:val="4"/>
                <w:szCs w:val="4"/>
              </w:rPr>
            </w:r>
          </w:p>
        </w:tc>
        <w:tc>
          <w:tcPr>
            <w:tcW w:w="29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92a5cb0398d483c8d18075ab9629fa5_10">
              <w:r>
                <w:rPr>
                  <w:rStyle w:val="InternetLink"/>
                  <w:rFonts w:ascii="Times New Roman;sans-serif" w:hAnsi="Times New Roman;sans-serif"/>
                  <w:b/>
                  <w:color w:val="112ADB"/>
                  <w:sz w:val="20"/>
                  <w:u w:val="single"/>
                </w:rPr>
                <w:t>PART I.</w:t>
              </w:r>
            </w:hyperlink>
          </w:p>
        </w:tc>
        <w:tc>
          <w:tcPr>
            <w:tcW w:w="8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92a5cb0398d483c8d18075ab9629fa5_10">
              <w:r>
                <w:rPr>
                  <w:rStyle w:val="InternetLink"/>
                  <w:rFonts w:ascii="Times New Roman;sans-serif" w:hAnsi="Times New Roman;sans-serif"/>
                  <w:b w:val="false"/>
                  <w:color w:val="0E32E1"/>
                  <w:sz w:val="20"/>
                  <w:u w:val="single"/>
                </w:rPr>
                <w:t>FINANCIAL INFORMATION</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a92a5cb0398d483c8d18075ab9629fa5_10">
              <w:r>
                <w:rPr>
                  <w:rStyle w:val="InternetLink"/>
                  <w:rFonts w:ascii="Times New Roman;sans-serif" w:hAnsi="Times New Roman;sans-serif"/>
                  <w:b w:val="false"/>
                  <w:color w:val="112ADB"/>
                  <w:sz w:val="20"/>
                  <w:u w:val="single"/>
                </w:rPr>
                <w:t>6</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112ADB"/>
                <w:u w:val="single"/>
              </w:rPr>
            </w:pPr>
            <w:r>
              <w:rPr>
                <w:color w:val="112ADB"/>
                <w:u w:val="single"/>
              </w:rPr>
              <w:t> </w:t>
            </w:r>
          </w:p>
        </w:tc>
        <w:tc>
          <w:tcPr>
            <w:tcW w:w="88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E32E1"/>
              </w:rPr>
            </w:pPr>
            <w:r>
              <w:rPr>
                <w:color w:val="0E32E1"/>
              </w:rPr>
              <w:t> </w:t>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92a5cb0398d483c8d18075ab9629fa5_13">
              <w:r>
                <w:rPr>
                  <w:rStyle w:val="InternetLink"/>
                  <w:rFonts w:ascii="Times New Roman;sans-serif" w:hAnsi="Times New Roman;sans-serif"/>
                  <w:b w:val="false"/>
                  <w:color w:val="112ADB"/>
                  <w:sz w:val="20"/>
                  <w:u w:val="single"/>
                </w:rPr>
                <w:t>Item 1.</w:t>
              </w:r>
            </w:hyperlink>
          </w:p>
        </w:tc>
        <w:tc>
          <w:tcPr>
            <w:tcW w:w="8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92a5cb0398d483c8d18075ab9629fa5_13">
              <w:r>
                <w:rPr>
                  <w:rStyle w:val="InternetLink"/>
                  <w:rFonts w:ascii="Times New Roman;sans-serif" w:hAnsi="Times New Roman;sans-serif"/>
                  <w:b w:val="false"/>
                  <w:color w:val="0E32E1"/>
                  <w:sz w:val="20"/>
                  <w:u w:val="single"/>
                </w:rPr>
                <w:t>Condensed Financial Statements</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a92a5cb0398d483c8d18075ab9629fa5_13">
              <w:r>
                <w:rPr>
                  <w:rStyle w:val="InternetLink"/>
                  <w:rFonts w:ascii="Times New Roman;sans-serif" w:hAnsi="Times New Roman;sans-serif"/>
                  <w:b w:val="false"/>
                  <w:color w:val="112ADB"/>
                  <w:sz w:val="20"/>
                  <w:u w:val="single"/>
                </w:rPr>
                <w:t>6</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92a5cb0398d483c8d18075ab9629fa5_16">
              <w:r>
                <w:rPr>
                  <w:rStyle w:val="InternetLink"/>
                </w:rPr>
                <w:t xml:space="preserve">Condensed Balance Sheets as </w:t>
              </w:r>
            </w:hyperlink>
            <w:hyperlink w:anchor="ia92a5cb0398d483c8d18075ab9629fa5_16">
              <w:r>
                <w:rPr>
                  <w:rStyle w:val="InternetLink"/>
                </w:rPr>
                <w:t>March 31</w:t>
              </w:r>
            </w:hyperlink>
            <w:hyperlink w:anchor="ia92a5cb0398d483c8d18075ab9629fa5_16">
              <w:r>
                <w:rPr>
                  <w:rStyle w:val="InternetLink"/>
                </w:rPr>
                <w:t>, 202</w:t>
              </w:r>
            </w:hyperlink>
            <w:hyperlink w:anchor="ia92a5cb0398d483c8d18075ab9629fa5_16">
              <w:r>
                <w:rPr>
                  <w:rStyle w:val="InternetLink"/>
                </w:rPr>
                <w:t>3</w:t>
              </w:r>
            </w:hyperlink>
            <w:hyperlink w:anchor="ia92a5cb0398d483c8d18075ab9629fa5_16">
              <w:r>
                <w:rPr>
                  <w:rStyle w:val="InternetLink"/>
                </w:rPr>
                <w:t xml:space="preserve"> (Unaudited) and December 31, 202</w:t>
              </w:r>
            </w:hyperlink>
            <w:hyperlink w:anchor="ia92a5cb0398d483c8d18075ab9629fa5_16">
              <w:r>
                <w:rPr>
                  <w:rStyle w:val="InternetLink"/>
                </w:rPr>
                <w:t>2</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a92a5cb0398d483c8d18075ab9629fa5_16">
              <w:r>
                <w:rPr>
                  <w:rStyle w:val="InternetLink"/>
                  <w:rFonts w:ascii="Times New Roman;sans-serif" w:hAnsi="Times New Roman;sans-serif"/>
                  <w:b w:val="false"/>
                  <w:color w:val="112ADB"/>
                  <w:sz w:val="20"/>
                  <w:u w:val="single"/>
                </w:rPr>
                <w:t>6</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92a5cb0398d483c8d18075ab9629fa5_19">
              <w:r>
                <w:rPr>
                  <w:rStyle w:val="InternetLink"/>
                </w:rPr>
                <w:t xml:space="preserve">Condensed Statements of Operations and Comprehensive Loss for the three </w:t>
              </w:r>
            </w:hyperlink>
            <w:hyperlink w:anchor="ia92a5cb0398d483c8d18075ab9629fa5_19">
              <w:r>
                <w:rPr>
                  <w:rStyle w:val="InternetLink"/>
                </w:rPr>
                <w:t xml:space="preserve">months ended </w:t>
              </w:r>
            </w:hyperlink>
            <w:hyperlink w:anchor="ia92a5cb0398d483c8d18075ab9629fa5_19">
              <w:r>
                <w:rPr>
                  <w:rStyle w:val="InternetLink"/>
                </w:rPr>
                <w:t>March 31</w:t>
              </w:r>
            </w:hyperlink>
            <w:hyperlink w:anchor="ia92a5cb0398d483c8d18075ab9629fa5_19">
              <w:r>
                <w:rPr>
                  <w:rStyle w:val="InternetLink"/>
                </w:rPr>
                <w:t>, 202</w:t>
              </w:r>
            </w:hyperlink>
            <w:hyperlink w:anchor="ia92a5cb0398d483c8d18075ab9629fa5_19">
              <w:r>
                <w:rPr>
                  <w:rStyle w:val="InternetLink"/>
                </w:rPr>
                <w:t>3</w:t>
              </w:r>
            </w:hyperlink>
            <w:hyperlink w:anchor="ia92a5cb0398d483c8d18075ab9629fa5_19">
              <w:r>
                <w:rPr>
                  <w:rStyle w:val="InternetLink"/>
                </w:rPr>
                <w:t xml:space="preserve"> and 202</w:t>
              </w:r>
            </w:hyperlink>
            <w:hyperlink w:anchor="ia92a5cb0398d483c8d18075ab9629fa5_19">
              <w:r>
                <w:rPr>
                  <w:rStyle w:val="InternetLink"/>
                </w:rPr>
                <w:t>2</w:t>
              </w:r>
            </w:hyperlink>
            <w:hyperlink w:anchor="ia92a5cb0398d483c8d18075ab9629fa5_19">
              <w:r>
                <w:rPr>
                  <w:rStyle w:val="InternetLink"/>
                </w:rPr>
                <w:t xml:space="preserve"> (Unaudited)</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a92a5cb0398d483c8d18075ab9629fa5_19">
              <w:r>
                <w:rPr>
                  <w:rStyle w:val="InternetLink"/>
                  <w:rFonts w:ascii="Times New Roman;sans-serif" w:hAnsi="Times New Roman;sans-serif"/>
                  <w:b w:val="false"/>
                  <w:color w:val="112ADB"/>
                  <w:sz w:val="20"/>
                  <w:u w:val="single"/>
                </w:rPr>
                <w:t>7</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92a5cb0398d483c8d18075ab9629fa5_22">
              <w:r>
                <w:rPr>
                  <w:rStyle w:val="InternetLink"/>
                </w:rPr>
                <w:t xml:space="preserve">Condensed Statements of Stockholders’ Equity for the three </w:t>
              </w:r>
            </w:hyperlink>
            <w:hyperlink w:anchor="ia92a5cb0398d483c8d18075ab9629fa5_19">
              <w:r>
                <w:rPr>
                  <w:rStyle w:val="InternetLink"/>
                </w:rPr>
                <w:t>month</w:t>
              </w:r>
            </w:hyperlink>
            <w:hyperlink w:anchor="ia92a5cb0398d483c8d18075ab9629fa5_19">
              <w:r>
                <w:rPr>
                  <w:rStyle w:val="InternetLink"/>
                </w:rPr>
                <w:t xml:space="preserve">s ended </w:t>
              </w:r>
            </w:hyperlink>
            <w:hyperlink w:anchor="ia92a5cb0398d483c8d18075ab9629fa5_19">
              <w:r>
                <w:rPr>
                  <w:rStyle w:val="InternetLink"/>
                </w:rPr>
                <w:t>M</w:t>
              </w:r>
            </w:hyperlink>
            <w:r>
              <w:rPr>
                <w:rFonts w:ascii="Times New Roman;sans-serif" w:hAnsi="Times New Roman;sans-serif"/>
                <w:b w:val="false"/>
                <w:color w:val="0E32E1"/>
                <w:sz w:val="20"/>
                <w:u w:val="single"/>
              </w:rPr>
              <w:t>arch 31</w:t>
            </w:r>
            <w:hyperlink w:anchor="ia92a5cb0398d483c8d18075ab9629fa5_22">
              <w:r>
                <w:rPr>
                  <w:rStyle w:val="InternetLink"/>
                </w:rPr>
                <w:t>,</w:t>
              </w:r>
            </w:hyperlink>
            <w:hyperlink w:anchor="ia92a5cb0398d483c8d18075ab9629fa5_22">
              <w:r>
                <w:rPr>
                  <w:rStyle w:val="InternetLink"/>
                </w:rPr>
                <w:t xml:space="preserve"> 20</w:t>
              </w:r>
            </w:hyperlink>
            <w:hyperlink w:anchor="ia92a5cb0398d483c8d18075ab9629fa5_22">
              <w:r>
                <w:rPr>
                  <w:rStyle w:val="InternetLink"/>
                </w:rPr>
                <w:t>23 a</w:t>
              </w:r>
            </w:hyperlink>
            <w:hyperlink w:anchor="ia92a5cb0398d483c8d18075ab9629fa5_22">
              <w:r>
                <w:rPr>
                  <w:rStyle w:val="InternetLink"/>
                </w:rPr>
                <w:t xml:space="preserve">nd </w:t>
              </w:r>
            </w:hyperlink>
            <w:hyperlink w:anchor="ia92a5cb0398d483c8d18075ab9629fa5_22">
              <w:r>
                <w:rPr>
                  <w:rStyle w:val="InternetLink"/>
                </w:rPr>
                <w:t xml:space="preserve">2022 </w:t>
              </w:r>
            </w:hyperlink>
            <w:hyperlink w:anchor="ia92a5cb0398d483c8d18075ab9629fa5_22">
              <w:r>
                <w:rPr>
                  <w:rStyle w:val="InternetLink"/>
                </w:rPr>
                <w:t>(Unaudited)</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a92a5cb0398d483c8d18075ab9629fa5_22">
              <w:r>
                <w:rPr>
                  <w:rStyle w:val="InternetLink"/>
                  <w:rFonts w:ascii="Times New Roman;sans-serif" w:hAnsi="Times New Roman;sans-serif"/>
                  <w:b w:val="false"/>
                  <w:color w:val="112ADB"/>
                  <w:sz w:val="20"/>
                  <w:u w:val="single"/>
                </w:rPr>
                <w:t>8</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92a5cb0398d483c8d18075ab9629fa5_25">
              <w:r>
                <w:rPr>
                  <w:rStyle w:val="InternetLink"/>
                </w:rPr>
                <w:t xml:space="preserve">Condensed Statements of Cash Flows for the </w:t>
              </w:r>
            </w:hyperlink>
            <w:hyperlink w:anchor="ia92a5cb0398d483c8d18075ab9629fa5_25">
              <w:r>
                <w:rPr>
                  <w:rStyle w:val="InternetLink"/>
                </w:rPr>
                <w:t>t</w:t>
              </w:r>
            </w:hyperlink>
            <w:r>
              <w:rPr>
                <w:rFonts w:ascii="Times New Roman;sans-serif" w:hAnsi="Times New Roman;sans-serif"/>
                <w:b w:val="false"/>
                <w:color w:val="0E32E1"/>
                <w:sz w:val="20"/>
                <w:u w:val="single"/>
              </w:rPr>
              <w:t xml:space="preserve">hree </w:t>
            </w:r>
            <w:hyperlink w:anchor="ia92a5cb0398d483c8d18075ab9629fa5_19">
              <w:r>
                <w:rPr>
                  <w:rStyle w:val="InternetLink"/>
                </w:rPr>
                <w:t xml:space="preserve">months ended </w:t>
              </w:r>
            </w:hyperlink>
            <w:hyperlink w:anchor="ia92a5cb0398d483c8d18075ab9629fa5_19">
              <w:r>
                <w:rPr>
                  <w:rStyle w:val="InternetLink"/>
                </w:rPr>
                <w:t>M</w:t>
              </w:r>
            </w:hyperlink>
            <w:r>
              <w:rPr>
                <w:rFonts w:ascii="Times New Roman;sans-serif" w:hAnsi="Times New Roman;sans-serif"/>
                <w:b w:val="false"/>
                <w:color w:val="0E32E1"/>
                <w:sz w:val="20"/>
                <w:u w:val="single"/>
              </w:rPr>
              <w:t>arch 31</w:t>
            </w:r>
            <w:hyperlink w:anchor="ia92a5cb0398d483c8d18075ab9629fa5_25">
              <w:r>
                <w:rPr>
                  <w:rStyle w:val="InternetLink"/>
                </w:rPr>
                <w:t>, 202</w:t>
              </w:r>
            </w:hyperlink>
            <w:hyperlink w:anchor="ia92a5cb0398d483c8d18075ab9629fa5_25">
              <w:r>
                <w:rPr>
                  <w:rStyle w:val="InternetLink"/>
                </w:rPr>
                <w:t>3</w:t>
              </w:r>
            </w:hyperlink>
            <w:hyperlink w:anchor="ia92a5cb0398d483c8d18075ab9629fa5_25">
              <w:r>
                <w:rPr>
                  <w:rStyle w:val="InternetLink"/>
                </w:rPr>
                <w:t xml:space="preserve"> and 202</w:t>
              </w:r>
            </w:hyperlink>
            <w:hyperlink w:anchor="ia92a5cb0398d483c8d18075ab9629fa5_25">
              <w:r>
                <w:rPr>
                  <w:rStyle w:val="InternetLink"/>
                </w:rPr>
                <w:t>2</w:t>
              </w:r>
            </w:hyperlink>
            <w:hyperlink w:anchor="ia92a5cb0398d483c8d18075ab9629fa5_25">
              <w:r>
                <w:rPr>
                  <w:rStyle w:val="InternetLink"/>
                </w:rPr>
                <w:t xml:space="preserve"> (Unaudited)</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a92a5cb0398d483c8d18075ab9629fa5_25">
              <w:r>
                <w:rPr>
                  <w:rStyle w:val="InternetLink"/>
                  <w:rFonts w:ascii="Times New Roman;sans-serif" w:hAnsi="Times New Roman;sans-serif"/>
                  <w:b w:val="false"/>
                  <w:color w:val="112ADB"/>
                  <w:sz w:val="20"/>
                  <w:u w:val="single"/>
                </w:rPr>
                <w:t>10</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92a5cb0398d483c8d18075ab9629fa5_28">
              <w:r>
                <w:rPr>
                  <w:rStyle w:val="InternetLink"/>
                  <w:rFonts w:ascii="Times New Roman;sans-serif" w:hAnsi="Times New Roman;sans-serif"/>
                  <w:b w:val="false"/>
                  <w:color w:val="0E32E1"/>
                  <w:sz w:val="20"/>
                  <w:u w:val="single"/>
                </w:rPr>
                <w:t>Notes to Condensed Financial Statements (Unaudited)</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a92a5cb0398d483c8d18075ab9629fa5_28">
              <w:r>
                <w:rPr>
                  <w:rStyle w:val="InternetLink"/>
                  <w:rFonts w:ascii="Times New Roman;sans-serif" w:hAnsi="Times New Roman;sans-serif"/>
                  <w:b w:val="false"/>
                  <w:color w:val="112ADB"/>
                  <w:sz w:val="20"/>
                  <w:u w:val="single"/>
                </w:rPr>
                <w:t>11</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92a5cb0398d483c8d18075ab9629fa5_94">
              <w:r>
                <w:rPr>
                  <w:rStyle w:val="InternetLink"/>
                  <w:rFonts w:ascii="Times New Roman;sans-serif" w:hAnsi="Times New Roman;sans-serif"/>
                  <w:b w:val="false"/>
                  <w:color w:val="112ADB"/>
                  <w:sz w:val="20"/>
                  <w:u w:val="single"/>
                </w:rPr>
                <w:t>Item 2.</w:t>
              </w:r>
            </w:hyperlink>
          </w:p>
        </w:tc>
        <w:tc>
          <w:tcPr>
            <w:tcW w:w="8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92a5cb0398d483c8d18075ab9629fa5_94">
              <w:r>
                <w:rPr>
                  <w:rStyle w:val="InternetLink"/>
                  <w:rFonts w:ascii="Times New Roman;sans-serif" w:hAnsi="Times New Roman;sans-serif"/>
                  <w:b w:val="false"/>
                  <w:color w:val="0E32E1"/>
                  <w:sz w:val="20"/>
                  <w:u w:val="single"/>
                </w:rPr>
                <w:t>Management’s Discussion and Analysis of Financial Condition and Results of Operations</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a92a5cb0398d483c8d18075ab9629fa5_94">
              <w:r>
                <w:rPr>
                  <w:rStyle w:val="InternetLink"/>
                  <w:rFonts w:ascii="Times New Roman;sans-serif" w:hAnsi="Times New Roman;sans-serif"/>
                  <w:b w:val="false"/>
                  <w:color w:val="112ADB"/>
                  <w:sz w:val="20"/>
                  <w:u w:val="single"/>
                </w:rPr>
                <w:t>21</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92a5cb0398d483c8d18075ab9629fa5_127">
              <w:r>
                <w:rPr>
                  <w:rStyle w:val="InternetLink"/>
                  <w:rFonts w:ascii="Times New Roman;sans-serif" w:hAnsi="Times New Roman;sans-serif"/>
                  <w:b w:val="false"/>
                  <w:color w:val="112ADB"/>
                  <w:sz w:val="20"/>
                  <w:u w:val="single"/>
                </w:rPr>
                <w:t>Item 3.</w:t>
              </w:r>
            </w:hyperlink>
          </w:p>
        </w:tc>
        <w:tc>
          <w:tcPr>
            <w:tcW w:w="8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92a5cb0398d483c8d18075ab9629fa5_127">
              <w:r>
                <w:rPr>
                  <w:rStyle w:val="InternetLink"/>
                  <w:rFonts w:ascii="Times New Roman;sans-serif" w:hAnsi="Times New Roman;sans-serif"/>
                  <w:b w:val="false"/>
                  <w:color w:val="0E32E1"/>
                  <w:sz w:val="20"/>
                  <w:u w:val="single"/>
                </w:rPr>
                <w:t>Quantitative and Qualitative Disclosures About Market Risk</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a92a5cb0398d483c8d18075ab9629fa5_127">
              <w:r>
                <w:rPr>
                  <w:rStyle w:val="InternetLink"/>
                  <w:rFonts w:ascii="Times New Roman;sans-serif" w:hAnsi="Times New Roman;sans-serif"/>
                  <w:b w:val="false"/>
                  <w:color w:val="112ADB"/>
                  <w:sz w:val="20"/>
                  <w:u w:val="single"/>
                </w:rPr>
                <w:t>27</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92a5cb0398d483c8d18075ab9629fa5_130">
              <w:r>
                <w:rPr>
                  <w:rStyle w:val="InternetLink"/>
                  <w:rFonts w:ascii="Times New Roman;sans-serif" w:hAnsi="Times New Roman;sans-serif"/>
                  <w:b w:val="false"/>
                  <w:color w:val="112ADB"/>
                  <w:sz w:val="20"/>
                  <w:u w:val="single"/>
                </w:rPr>
                <w:t>Item 4.</w:t>
              </w:r>
            </w:hyperlink>
          </w:p>
        </w:tc>
        <w:tc>
          <w:tcPr>
            <w:tcW w:w="8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92a5cb0398d483c8d18075ab9629fa5_130">
              <w:r>
                <w:rPr>
                  <w:rStyle w:val="InternetLink"/>
                  <w:rFonts w:ascii="Times New Roman;sans-serif" w:hAnsi="Times New Roman;sans-serif"/>
                  <w:b w:val="false"/>
                  <w:color w:val="0E32E1"/>
                  <w:sz w:val="20"/>
                  <w:u w:val="single"/>
                </w:rPr>
                <w:t>Controls and Procedures</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a92a5cb0398d483c8d18075ab9629fa5_130">
              <w:r>
                <w:rPr>
                  <w:rStyle w:val="InternetLink"/>
                  <w:rFonts w:ascii="Times New Roman;sans-serif" w:hAnsi="Times New Roman;sans-serif"/>
                  <w:b w:val="false"/>
                  <w:color w:val="112ADB"/>
                  <w:sz w:val="20"/>
                  <w:u w:val="single"/>
                </w:rPr>
                <w:t>27</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112ADB"/>
                <w:u w:val="single"/>
              </w:rPr>
            </w:pPr>
            <w:r>
              <w:rPr>
                <w:color w:val="112ADB"/>
                <w:u w:val="single"/>
              </w:rPr>
              <w:t> </w:t>
            </w:r>
          </w:p>
        </w:tc>
        <w:tc>
          <w:tcPr>
            <w:tcW w:w="88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E32E1"/>
              </w:rPr>
            </w:pPr>
            <w:r>
              <w:rPr>
                <w:color w:val="0E32E1"/>
              </w:rPr>
              <w:t> </w:t>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92a5cb0398d483c8d18075ab9629fa5_133">
              <w:r>
                <w:rPr>
                  <w:rStyle w:val="InternetLink"/>
                  <w:rFonts w:ascii="Times New Roman;sans-serif" w:hAnsi="Times New Roman;sans-serif"/>
                  <w:b/>
                  <w:color w:val="112ADB"/>
                  <w:sz w:val="20"/>
                  <w:u w:val="single"/>
                </w:rPr>
                <w:t>PART II.</w:t>
              </w:r>
            </w:hyperlink>
          </w:p>
        </w:tc>
        <w:tc>
          <w:tcPr>
            <w:tcW w:w="8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92a5cb0398d483c8d18075ab9629fa5_133">
              <w:r>
                <w:rPr>
                  <w:rStyle w:val="InternetLink"/>
                  <w:rFonts w:ascii="Times New Roman;sans-serif" w:hAnsi="Times New Roman;sans-serif"/>
                  <w:b w:val="false"/>
                  <w:color w:val="0E32E1"/>
                  <w:sz w:val="20"/>
                  <w:u w:val="single"/>
                </w:rPr>
                <w:t>OTHER INFORMATION</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a92a5cb0398d483c8d18075ab9629fa5_133">
              <w:r>
                <w:rPr>
                  <w:rStyle w:val="InternetLink"/>
                  <w:rFonts w:ascii="Times New Roman;sans-serif" w:hAnsi="Times New Roman;sans-serif"/>
                  <w:b w:val="false"/>
                  <w:color w:val="112ADB"/>
                  <w:sz w:val="20"/>
                  <w:u w:val="single"/>
                </w:rPr>
                <w:t>28</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112ADB"/>
                <w:u w:val="single"/>
              </w:rPr>
            </w:pPr>
            <w:r>
              <w:rPr>
                <w:color w:val="112ADB"/>
                <w:u w:val="single"/>
              </w:rPr>
              <w:t> </w:t>
            </w:r>
          </w:p>
        </w:tc>
        <w:tc>
          <w:tcPr>
            <w:tcW w:w="88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E32E1"/>
              </w:rPr>
            </w:pPr>
            <w:r>
              <w:rPr>
                <w:color w:val="0E32E1"/>
              </w:rPr>
              <w:t> </w:t>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92a5cb0398d483c8d18075ab9629fa5_136">
              <w:r>
                <w:rPr>
                  <w:rStyle w:val="InternetLink"/>
                  <w:rFonts w:ascii="Times New Roman;sans-serif" w:hAnsi="Times New Roman;sans-serif"/>
                  <w:b w:val="false"/>
                  <w:color w:val="112ADB"/>
                  <w:sz w:val="20"/>
                  <w:u w:val="single"/>
                </w:rPr>
                <w:t>Item 1.</w:t>
              </w:r>
            </w:hyperlink>
          </w:p>
        </w:tc>
        <w:tc>
          <w:tcPr>
            <w:tcW w:w="8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92a5cb0398d483c8d18075ab9629fa5_136">
              <w:r>
                <w:rPr>
                  <w:rStyle w:val="InternetLink"/>
                  <w:rFonts w:ascii="Times New Roman;sans-serif" w:hAnsi="Times New Roman;sans-serif"/>
                  <w:b w:val="false"/>
                  <w:color w:val="0E32E1"/>
                  <w:sz w:val="20"/>
                  <w:u w:val="single"/>
                </w:rPr>
                <w:t>Legal Proceedings</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a92a5cb0398d483c8d18075ab9629fa5_136">
              <w:r>
                <w:rPr>
                  <w:rStyle w:val="InternetLink"/>
                  <w:rFonts w:ascii="Times New Roman;sans-serif" w:hAnsi="Times New Roman;sans-serif"/>
                  <w:b w:val="false"/>
                  <w:color w:val="112ADB"/>
                  <w:sz w:val="20"/>
                  <w:u w:val="single"/>
                </w:rPr>
                <w:t>28</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92a5cb0398d483c8d18075ab9629fa5_139">
              <w:r>
                <w:rPr>
                  <w:rStyle w:val="InternetLink"/>
                  <w:rFonts w:ascii="Times New Roman;sans-serif" w:hAnsi="Times New Roman;sans-serif"/>
                  <w:b w:val="false"/>
                  <w:color w:val="112ADB"/>
                  <w:sz w:val="20"/>
                  <w:u w:val="single"/>
                </w:rPr>
                <w:t>Item 1A.</w:t>
              </w:r>
            </w:hyperlink>
          </w:p>
        </w:tc>
        <w:tc>
          <w:tcPr>
            <w:tcW w:w="8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92a5cb0398d483c8d18075ab9629fa5_139">
              <w:r>
                <w:rPr>
                  <w:rStyle w:val="InternetLink"/>
                  <w:rFonts w:ascii="Times New Roman;sans-serif" w:hAnsi="Times New Roman;sans-serif"/>
                  <w:b w:val="false"/>
                  <w:color w:val="0E32E1"/>
                  <w:sz w:val="20"/>
                  <w:u w:val="single"/>
                </w:rPr>
                <w:t>Risk Factors</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a92a5cb0398d483c8d18075ab9629fa5_139">
              <w:r>
                <w:rPr>
                  <w:rStyle w:val="InternetLink"/>
                  <w:rFonts w:ascii="Times New Roman;sans-serif" w:hAnsi="Times New Roman;sans-serif"/>
                  <w:b w:val="false"/>
                  <w:color w:val="112ADB"/>
                  <w:sz w:val="20"/>
                  <w:u w:val="single"/>
                </w:rPr>
                <w:t>28</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92a5cb0398d483c8d18075ab9629fa5_142">
              <w:r>
                <w:rPr>
                  <w:rStyle w:val="InternetLink"/>
                  <w:rFonts w:ascii="Times New Roman;sans-serif" w:hAnsi="Times New Roman;sans-serif"/>
                  <w:b w:val="false"/>
                  <w:color w:val="112ADB"/>
                  <w:sz w:val="20"/>
                  <w:u w:val="single"/>
                </w:rPr>
                <w:t>Item 2.</w:t>
              </w:r>
            </w:hyperlink>
          </w:p>
        </w:tc>
        <w:tc>
          <w:tcPr>
            <w:tcW w:w="8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92a5cb0398d483c8d18075ab9629fa5_142">
              <w:r>
                <w:rPr>
                  <w:rStyle w:val="InternetLink"/>
                  <w:rFonts w:ascii="Times New Roman;sans-serif" w:hAnsi="Times New Roman;sans-serif"/>
                  <w:b w:val="false"/>
                  <w:color w:val="0E32E1"/>
                  <w:sz w:val="20"/>
                  <w:u w:val="single"/>
                </w:rPr>
                <w:t>Unregistered Sales of Equity Securities and Use of Proceeds</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a92a5cb0398d483c8d18075ab9629fa5_142">
              <w:r>
                <w:rPr>
                  <w:rStyle w:val="InternetLink"/>
                  <w:rFonts w:ascii="Times New Roman;sans-serif" w:hAnsi="Times New Roman;sans-serif"/>
                  <w:b w:val="false"/>
                  <w:color w:val="112ADB"/>
                  <w:sz w:val="20"/>
                  <w:u w:val="single"/>
                </w:rPr>
                <w:t>74</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92a5cb0398d483c8d18075ab9629fa5_145">
              <w:r>
                <w:rPr>
                  <w:rStyle w:val="InternetLink"/>
                  <w:rFonts w:ascii="Times New Roman;sans-serif" w:hAnsi="Times New Roman;sans-serif"/>
                  <w:b w:val="false"/>
                  <w:color w:val="112ADB"/>
                  <w:sz w:val="20"/>
                  <w:u w:val="single"/>
                </w:rPr>
                <w:t>Item 3.</w:t>
              </w:r>
            </w:hyperlink>
          </w:p>
        </w:tc>
        <w:tc>
          <w:tcPr>
            <w:tcW w:w="8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92a5cb0398d483c8d18075ab9629fa5_145">
              <w:r>
                <w:rPr>
                  <w:rStyle w:val="InternetLink"/>
                  <w:rFonts w:ascii="Times New Roman;sans-serif" w:hAnsi="Times New Roman;sans-serif"/>
                  <w:b w:val="false"/>
                  <w:color w:val="0E32E1"/>
                  <w:sz w:val="20"/>
                  <w:u w:val="single"/>
                </w:rPr>
                <w:t>Defaults Upon Senior Securities</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a92a5cb0398d483c8d18075ab9629fa5_145">
              <w:r>
                <w:rPr>
                  <w:rStyle w:val="InternetLink"/>
                  <w:rFonts w:ascii="Times New Roman;sans-serif" w:hAnsi="Times New Roman;sans-serif"/>
                  <w:b w:val="false"/>
                  <w:color w:val="112ADB"/>
                  <w:sz w:val="20"/>
                  <w:u w:val="single"/>
                </w:rPr>
                <w:t>75</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92a5cb0398d483c8d18075ab9629fa5_148">
              <w:r>
                <w:rPr>
                  <w:rStyle w:val="InternetLink"/>
                  <w:rFonts w:ascii="Times New Roman;sans-serif" w:hAnsi="Times New Roman;sans-serif"/>
                  <w:b w:val="false"/>
                  <w:color w:val="112ADB"/>
                  <w:sz w:val="20"/>
                  <w:u w:val="single"/>
                </w:rPr>
                <w:t>Item 4.</w:t>
              </w:r>
            </w:hyperlink>
          </w:p>
        </w:tc>
        <w:tc>
          <w:tcPr>
            <w:tcW w:w="8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92a5cb0398d483c8d18075ab9629fa5_148">
              <w:r>
                <w:rPr>
                  <w:rStyle w:val="InternetLink"/>
                  <w:rFonts w:ascii="Times New Roman;sans-serif" w:hAnsi="Times New Roman;sans-serif"/>
                  <w:b w:val="false"/>
                  <w:color w:val="0E32E1"/>
                  <w:sz w:val="20"/>
                  <w:u w:val="single"/>
                </w:rPr>
                <w:t>Mine Safety Disclosures</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a92a5cb0398d483c8d18075ab9629fa5_148">
              <w:r>
                <w:rPr>
                  <w:rStyle w:val="InternetLink"/>
                  <w:rFonts w:ascii="Times New Roman;sans-serif" w:hAnsi="Times New Roman;sans-serif"/>
                  <w:b w:val="false"/>
                  <w:color w:val="112ADB"/>
                  <w:sz w:val="20"/>
                  <w:u w:val="single"/>
                </w:rPr>
                <w:t>75</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92a5cb0398d483c8d18075ab9629fa5_151">
              <w:r>
                <w:rPr>
                  <w:rStyle w:val="InternetLink"/>
                  <w:rFonts w:ascii="Times New Roman;sans-serif" w:hAnsi="Times New Roman;sans-serif"/>
                  <w:b w:val="false"/>
                  <w:color w:val="112ADB"/>
                  <w:sz w:val="20"/>
                  <w:u w:val="single"/>
                </w:rPr>
                <w:t>Item 5.</w:t>
              </w:r>
            </w:hyperlink>
          </w:p>
        </w:tc>
        <w:tc>
          <w:tcPr>
            <w:tcW w:w="8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92a5cb0398d483c8d18075ab9629fa5_151">
              <w:r>
                <w:rPr>
                  <w:rStyle w:val="InternetLink"/>
                  <w:rFonts w:ascii="Times New Roman;sans-serif" w:hAnsi="Times New Roman;sans-serif"/>
                  <w:b w:val="false"/>
                  <w:color w:val="0E32E1"/>
                  <w:sz w:val="20"/>
                  <w:u w:val="single"/>
                </w:rPr>
                <w:t>Other Information</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a92a5cb0398d483c8d18075ab9629fa5_151">
              <w:r>
                <w:rPr>
                  <w:rStyle w:val="InternetLink"/>
                  <w:rFonts w:ascii="Times New Roman;sans-serif" w:hAnsi="Times New Roman;sans-serif"/>
                  <w:b w:val="false"/>
                  <w:color w:val="112ADB"/>
                  <w:sz w:val="20"/>
                  <w:u w:val="single"/>
                </w:rPr>
                <w:t>75</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92a5cb0398d483c8d18075ab9629fa5_154">
              <w:r>
                <w:rPr>
                  <w:rStyle w:val="InternetLink"/>
                  <w:rFonts w:ascii="Times New Roman;sans-serif" w:hAnsi="Times New Roman;sans-serif"/>
                  <w:b w:val="false"/>
                  <w:color w:val="112ADB"/>
                  <w:sz w:val="20"/>
                  <w:u w:val="single"/>
                </w:rPr>
                <w:t>Item 6.</w:t>
              </w:r>
            </w:hyperlink>
          </w:p>
        </w:tc>
        <w:tc>
          <w:tcPr>
            <w:tcW w:w="8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92a5cb0398d483c8d18075ab9629fa5_154">
              <w:r>
                <w:rPr>
                  <w:rStyle w:val="InternetLink"/>
                  <w:rFonts w:ascii="Times New Roman;sans-serif" w:hAnsi="Times New Roman;sans-serif"/>
                  <w:b w:val="false"/>
                  <w:color w:val="0E32E1"/>
                  <w:sz w:val="20"/>
                  <w:u w:val="single"/>
                </w:rPr>
                <w:t>Exhibits</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a92a5cb0398d483c8d18075ab9629fa5_154">
              <w:r>
                <w:rPr>
                  <w:rStyle w:val="InternetLink"/>
                  <w:rFonts w:ascii="Times New Roman;sans-serif" w:hAnsi="Times New Roman;sans-serif"/>
                  <w:b w:val="false"/>
                  <w:color w:val="112ADB"/>
                  <w:sz w:val="20"/>
                  <w:u w:val="single"/>
                </w:rPr>
                <w:t>75</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92a5cb0398d483c8d18075ab9629fa5_157">
              <w:r>
                <w:rPr>
                  <w:rStyle w:val="InternetLink"/>
                  <w:rFonts w:ascii="Times New Roman;sans-serif" w:hAnsi="Times New Roman;sans-serif"/>
                  <w:b w:val="false"/>
                  <w:color w:val="112ADB"/>
                  <w:sz w:val="20"/>
                  <w:u w:val="single"/>
                </w:rPr>
                <w:t>Signatures</w:t>
              </w:r>
            </w:hyperlink>
          </w:p>
        </w:tc>
        <w:tc>
          <w:tcPr>
            <w:tcW w:w="8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a92a5cb0398d483c8d18075ab9629fa5_157">
              <w:r>
                <w:rPr>
                  <w:rStyle w:val="InternetLink"/>
                  <w:rFonts w:ascii="Times New Roman;sans-serif" w:hAnsi="Times New Roman;sans-serif"/>
                  <w:b w:val="false"/>
                  <w:color w:val="112ADB"/>
                  <w:sz w:val="20"/>
                  <w:u w:val="single"/>
                </w:rPr>
                <w:t>76</w:t>
              </w:r>
            </w:hyperlink>
          </w:p>
        </w:tc>
      </w:tr>
    </w:tbl>
    <w:p>
      <w:pPr>
        <w:pStyle w:val="TextBody"/>
        <w:spacing w:before="100" w:after="283"/>
        <w:rPr/>
      </w:pPr>
      <w:r>
        <w:rPr/>
      </w: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before="0" w:after="0"/>
        <w:rPr/>
      </w:pPr>
      <w:r>
        <w:rPr/>
      </w:r>
    </w:p>
    <w:p>
      <w:pPr>
        <w:pStyle w:val="TextBody"/>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spacing w:lineRule="auto" w:line="288" w:before="0" w:after="0"/>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or this Report, contains forward-looking statements that involve risks, uncertainties, and assumptions that, if they never materialize or prove incorrect, could cause our results to differ materially from those expressed or implied by such forward-looking statements. The statements contained in this Report that are not purely historical are forward-looking statements within the meaning of Section 27A of the Securities Act of 1933, as amended, or the Securities Act, and Section 21E of the Securities Exchange Act of 1934, as amended, or the Exchange Act. Forward-looking statements are often identified by the use of words such as, but not limited to, “anticipate,” “believe,” “could,” “estimate,” “expect,” “intend,” “may,” “plan,” “potential,” “predict,” “project,” “should,” “will,” “would” or the negative of those terms, and similar expressions that convey uncertainty of future events or outcomes. Any statements contained herein that are not statements of historical facts may be deemed to be forward-looking statements. Forward-looking statements in this Report include, but are not limited to, statements about:</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Our estimates regarding expenses, future revenue, capital requirements and needs for additional financing;</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The success, cost and timing of our product development activities and clinical trials of our lead product candidate, bexotegrast (PLN-74809), as well as PLN-1474 and our other product candidates;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Our estimates regarding the impact of the COVID-19 pandemic on our business and operations, and our ability to manage such impacts;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Our or our current or future collaborators' plans to initiate, recruit and enroll patients in, and conduct our clinical trials at the pace that we project;</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Our plans and strategy to obtain and maintain regulatory approvals of our product candidates;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Our plans and strategy to obtain funding for our operations, including funding necessary to complete further development and, upon successful development, if approved, commercialize any of our product candidates;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The potential benefit of orphan drug and fast track designations for bexotegrast;</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Our ability to compete with companies currently marketing or engaged in the development of treatments for fibrosis;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Our plans and strategy regarding obtaining and maintaining intellectual property protection for our product candidates and the duration of such protection;</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Our plans and strategy regarding the manufacture of our product candidates for clinical trials and for commercial use, if approved;</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Our dependence on current and future collaborators for developing, obtaining regulatory approval for and commercializing product candidates in the collaboration;</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Our receipt and timing of any milestone payments or royalties under any current or future research collaboration or license agreements or arrangements;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Our plans and strategy regarding the commercialization of any products that are approved for marketing and our ability to establish adequate pricing in the U.S. and international markets;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The size and growth potential of the markets for our product candidates, and our ability to serve those markets, either alone or in combination with others;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Our ability to attract and retain qualified employees and key personnel; and</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Our expectations regarding government and third-party payor coverage and reimbursement.</w:t>
      </w:r>
    </w:p>
    <w:p>
      <w:pPr>
        <w:pStyle w:val="TextBody"/>
        <w:spacing w:lineRule="auto" w:line="288" w:before="120" w:after="283"/>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These statements are based on the beliefs and assumptions of our management, which are in turn based on information currently available to management. Such forward-looking statements are subject to risks, uncertainties and other important factors that could cause actual results and the timing of certain events to differ materially from future results and timing expressed or implied by such forward-looking statements. Factors that could cause or contribute to such differences include, but are not limited to, those discussed in the section entitled “Risk Factors” included under Part II, Item 1A in this Report. Furthermore, such forward-looking statements speak only as of the date of this Report. Except as required by law, we undertake no obligation to update any forward-looking statements to reflect events or circumstances after the date of such statements.</w:t>
      </w: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SUMMARY OF RISKS ASSOCIATED WITH OUR BUSINESS</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business involves significant risks, some of which are summarized below. The summary risk factors listed below should be read together with the text of the full risk factors discussed in "Part II, Item 1A. Risk Factors" in this Report. You should carefully consider the risks described below, as well as the other information in this Report, including our financial statements and the related notes and “Management’s Discussion and Analysis of Financial Condition and Results of Operations” as well as in other documents that we file with the Securities and Exchange Commission, or the SEC. The occurrence of any of the events or developments described in this Report could have a material adverse effect on our business, financial condition, results of operations, growth prospects and stock price. In such an event, the market price of our common stock could decline. Additional risks and uncertainties not presently known to us or that we currently deem immaterial may also impair our business operations and the market price of our common stock.</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Risks Related to Our Financial Position and Need for Additional Capital</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We have incurred significant net losses since inception, and we expect to continue to incur significant net losses for the foreseeable future.</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We will require substantial additional capital to finance our operations. If we are unable to raise such capital when needed, or on acceptable terms, we may be forced to delay, reduce and/or eliminate one or more of our research and drug development programs, future commercialization efforts or other operations.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Risks Related to Research and Development and the Biopharmaceutical Industry</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We have a limited operating history, which may make it difficult to evaluate our prospects and likelihood of success.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Our business is highly dependent on the success of our lead product candidate, bexotegrast, as well as PLN-1474 and any other product candidates that we advance into the clinic. All of our product candidates will require significant additional preclinical and clinical development before we may be able to seek regulatory approval for and launch a product commercially.</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Our approach to drug discovery and development in the area of fibrotic diseases is unproven and may not result in marketable products.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Clinical development involves a lengthy, complex, and expensive process, with an uncertain outcome to support either a marketing authorization or positive pricing and reimbursement decisions.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We may incur additional costs or experience delays in completing, or ultimately be unable to complete, the development and commercialization of bexotegrast or any other product candidates.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We may fail to obtain and maintain certain regulatory exclusivities and orphan designations in some jurisdictions and therefore fail to secure orphan exclusivity or other exclusivity extensions in those jurisdictions.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Our ongoing and future clinical trials may reveal significant adverse events or unexpected drug-drug interactions not seen in our preclinical studies and may result in a safety profile that could delay or prevent regulatory approval or market acceptance of any of our product candidates.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If we encounter difficulties enrolling patients in our clinical trials, our clinical development activities could be delayed or otherwise adversely affected.</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We face substantial competition, which may result in others discovering, developing, or commercializing products before or more successfully than us.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Risks Related to Our Intellectual Property</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Our success depends in part on our ability to obtain patent term extensions and to protect our intellectual property. It is difficult and costly to protect our proprietary rights and technology, and we may not be able to ensure their protection.</w:t>
      </w: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before="0" w:after="0"/>
        <w:rPr/>
      </w:pPr>
      <w:r>
        <w:rPr/>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Our collaborators may assert ownership or commercial rights to inventions they develop from research we support, or that we develop from our use of the tissue samples or other biological materials which they provide to us, or otherwise arising from the collaboration.</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Risks Related to Our Reliance on Third Parties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We previously entered into a collaboration agreement, as amended, with Novartis Institutes for Biomedical Research, Inc., or Novartis, for the development of PLN-1474, which was terminated in April 2023, and may in the future seek to enter into collaborations with third parties for the development and commercialization of other product candidates. If we fail to enter into such collaborations, or if our collaborations are not successful, we may be unable to continue development of such product candidates, we would not receive any contemplated milestone payments or royalties, and we could fail to capitalize on the market potential of such product candidates.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We rely on third parties to conduct certain aspects of our preclinical studies and clinical trials and for tissue samples and other materials required for our research and development activities.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We rely on single-source third party suppliers located in foreign jurisdictions, including China, to manufacture our drug candidates. An interruption in this supply, caused by a business interruption or geopolitical events, could materially disrupt our research and development activities.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Risks Related to Managing Our Business and Operations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The ongoing COVID-19 pandemic could adversely impact our business, including our preclinical studies and clinical trials.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Our loss of key management personnel, or our failure to recruit additional highly skilled personnel, will impair our ability to develop current product candidates or identify and develop new product candidates, could result in loss of markets or market share and could make us less competitive.</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PART I—FINANCIAL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16"/>
        </w:rPr>
      </w:pPr>
      <w:r>
        <w:rPr>
          <w:rFonts w:ascii="Times New Roman;sans-serif" w:hAnsi="Times New Roman;sans-serif"/>
          <w:b/>
          <w:color w:val="000000"/>
          <w:sz w:val="16"/>
        </w:rPr>
        <w:t>Item 1. Condensed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Pliant Therapeutics, Inc.</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Condensed Balance Sheets</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(Unaudited)</w:t>
      </w:r>
    </w:p>
    <w:p>
      <w:pPr>
        <w:pStyle w:val="TextBody"/>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number of shares and per share amounts)</w:t>
      </w:r>
    </w:p>
    <w:tbl>
      <w:tblPr>
        <w:tblW w:w="10205" w:type="dxa"/>
        <w:jc w:val="left"/>
        <w:tblInd w:w="0" w:type="dxa"/>
        <w:tblCellMar>
          <w:top w:w="28" w:type="dxa"/>
          <w:left w:w="28" w:type="dxa"/>
          <w:bottom w:w="28" w:type="dxa"/>
          <w:right w:w="28" w:type="dxa"/>
        </w:tblCellMar>
      </w:tblPr>
      <w:tblGrid>
        <w:gridCol w:w="2923"/>
        <w:gridCol w:w="2395"/>
        <w:gridCol w:w="2370"/>
        <w:gridCol w:w="196"/>
        <w:gridCol w:w="736"/>
        <w:gridCol w:w="109"/>
        <w:gridCol w:w="109"/>
        <w:gridCol w:w="109"/>
        <w:gridCol w:w="109"/>
        <w:gridCol w:w="207"/>
        <w:gridCol w:w="777"/>
        <w:gridCol w:w="165"/>
      </w:tblGrid>
      <w:tr>
        <w:trPr/>
        <w:tc>
          <w:tcPr>
            <w:tcW w:w="2923" w:type="dxa"/>
            <w:tcBorders/>
            <w:shd w:fill="auto" w:val="clear"/>
            <w:vAlign w:val="center"/>
          </w:tcPr>
          <w:p>
            <w:pPr>
              <w:pStyle w:val="TableContents"/>
              <w:spacing w:before="0" w:after="283"/>
              <w:rPr>
                <w:sz w:val="4"/>
                <w:szCs w:val="4"/>
              </w:rPr>
            </w:pPr>
            <w:r>
              <w:rPr>
                <w:sz w:val="4"/>
                <w:szCs w:val="4"/>
              </w:rPr>
            </w:r>
          </w:p>
        </w:tc>
        <w:tc>
          <w:tcPr>
            <w:tcW w:w="2395" w:type="dxa"/>
            <w:tcBorders/>
            <w:shd w:fill="auto" w:val="clear"/>
            <w:vAlign w:val="center"/>
          </w:tcPr>
          <w:p>
            <w:pPr>
              <w:pStyle w:val="TableContents"/>
              <w:spacing w:before="0" w:after="283"/>
              <w:rPr>
                <w:sz w:val="4"/>
                <w:szCs w:val="4"/>
              </w:rPr>
            </w:pPr>
            <w:r>
              <w:rPr>
                <w:sz w:val="4"/>
                <w:szCs w:val="4"/>
              </w:rPr>
            </w:r>
          </w:p>
        </w:tc>
        <w:tc>
          <w:tcPr>
            <w:tcW w:w="2370"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768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6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102,527 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33,685 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investments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474,787 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297,502 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1,983 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credit receivable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 (Note 5)</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7,058 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588,227 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340,311 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8"/>
              </w:rPr>
              <w:t>Property and equipment, net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4,486 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8"/>
              </w:rPr>
              <w:t>Operating lease right-of-use assets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5,422 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8"/>
              </w:rPr>
              <w:t>Other non-current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597,881 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350,613 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Liabilities and Stockholders’ Equity </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1,580 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research and development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11,218 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liabilities (Note 6)</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8,658 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 current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2,457 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23,913 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 non-current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3,429 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(Note 7)</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9,929 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37,271 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Stockholders’ equity </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$0.0001 par value; 300,000,000 shares authorized at March 31, 2023 and December 31, 2022; and 58,978,902 and 48,941,254 shares issued and outstanding at March 31, 2023 and December 31, 2022, respectively;</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939,205 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653,707 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(375,960)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(338,412)</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(1,958)</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561,920 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313,342 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stockholders’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597,881 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350,613 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720"/>
        <w:rPr/>
      </w:pPr>
      <w:r>
        <w:rPr>
          <w:rFonts w:ascii="Times New Roman;sans-serif" w:hAnsi="Times New Roman;sans-serif"/>
          <w:b w:val="false"/>
          <w:color w:val="000000"/>
          <w:sz w:val="20"/>
        </w:rPr>
        <w:t>*The condensed balance sheet as of December 31, 2022 has been derived from the audited financial statements as of that date</w:t>
      </w:r>
      <w:r>
        <w:rPr>
          <w:rFonts w:ascii="Times New Roman;sans-serif" w:hAnsi="Times New Roman;sans-serif"/>
          <w:b w:val="false"/>
          <w:color w:val="000000"/>
          <w:sz w:val="18"/>
        </w:rPr>
        <w:t>.</w:t>
      </w:r>
    </w:p>
    <w:p>
      <w:pPr>
        <w:pStyle w:val="TextBody"/>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Pliant Therapeutics,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Operations and Comprehensive Loss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number of shares and per share amounts)</w:t>
      </w:r>
    </w:p>
    <w:tbl>
      <w:tblPr>
        <w:tblW w:w="9907" w:type="dxa"/>
        <w:jc w:val="center"/>
        <w:tblInd w:w="0" w:type="dxa"/>
        <w:tblCellMar>
          <w:top w:w="28" w:type="dxa"/>
          <w:left w:w="28" w:type="dxa"/>
          <w:bottom w:w="28" w:type="dxa"/>
          <w:right w:w="28" w:type="dxa"/>
        </w:tblCellMar>
      </w:tblPr>
      <w:tblGrid>
        <w:gridCol w:w="2426"/>
        <w:gridCol w:w="2138"/>
        <w:gridCol w:w="2155"/>
        <w:gridCol w:w="240"/>
        <w:gridCol w:w="841"/>
        <w:gridCol w:w="109"/>
        <w:gridCol w:w="109"/>
        <w:gridCol w:w="109"/>
        <w:gridCol w:w="109"/>
        <w:gridCol w:w="240"/>
        <w:gridCol w:w="841"/>
        <w:gridCol w:w="109"/>
        <w:gridCol w:w="109"/>
        <w:gridCol w:w="109"/>
        <w:gridCol w:w="109"/>
        <w:gridCol w:w="154"/>
      </w:tblGrid>
      <w:tr>
        <w:trPr/>
        <w:tc>
          <w:tcPr>
            <w:tcW w:w="2426" w:type="dxa"/>
            <w:tcBorders/>
            <w:shd w:fill="auto" w:val="clear"/>
            <w:vAlign w:val="center"/>
          </w:tcPr>
          <w:p>
            <w:pPr>
              <w:pStyle w:val="TableContents"/>
              <w:spacing w:before="0" w:after="283"/>
              <w:rPr>
                <w:sz w:val="4"/>
                <w:szCs w:val="4"/>
              </w:rPr>
            </w:pPr>
            <w:r>
              <w:rPr>
                <w:sz w:val="4"/>
                <w:szCs w:val="4"/>
              </w:rPr>
            </w:r>
          </w:p>
        </w:tc>
        <w:tc>
          <w:tcPr>
            <w:tcW w:w="2138" w:type="dxa"/>
            <w:tcBorders/>
            <w:shd w:fill="auto" w:val="clear"/>
            <w:vAlign w:val="center"/>
          </w:tcPr>
          <w:p>
            <w:pPr>
              <w:pStyle w:val="TableContents"/>
              <w:spacing w:before="0" w:after="283"/>
              <w:rPr>
                <w:sz w:val="4"/>
                <w:szCs w:val="4"/>
              </w:rPr>
            </w:pPr>
            <w:r>
              <w:rPr>
                <w:sz w:val="4"/>
                <w:szCs w:val="4"/>
              </w:rPr>
            </w:r>
          </w:p>
        </w:tc>
        <w:tc>
          <w:tcPr>
            <w:tcW w:w="2155"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67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(29,273)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(20,881)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stockholders</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common stockholders:</w:t>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40"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(0.78)</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used in computing net loss per share attributable to common stockholders:</w:t>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56,057,603 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36,116,440 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56,057,603 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36,116,440 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(37,548)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 (loss) on short-term investments and cash equivalents</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gain (loss)</w:t>
            </w:r>
          </w:p>
        </w:tc>
        <w:tc>
          <w:tcPr>
            <w:tcW w:w="108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(36,921)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(28,849)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Pliant Therapeutics,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Stockholders’ Equity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number of shares and per share amounts)</w:t>
      </w:r>
    </w:p>
    <w:tbl>
      <w:tblPr>
        <w:tblW w:w="10205" w:type="dxa"/>
        <w:jc w:val="center"/>
        <w:tblInd w:w="0" w:type="dxa"/>
        <w:tblCellMar>
          <w:top w:w="28" w:type="dxa"/>
          <w:left w:w="28" w:type="dxa"/>
          <w:bottom w:w="28" w:type="dxa"/>
          <w:right w:w="28" w:type="dxa"/>
        </w:tblCellMar>
      </w:tblPr>
      <w:tblGrid>
        <w:gridCol w:w="885"/>
        <w:gridCol w:w="629"/>
        <w:gridCol w:w="631"/>
        <w:gridCol w:w="480"/>
        <w:gridCol w:w="481"/>
        <w:gridCol w:w="196"/>
        <w:gridCol w:w="109"/>
        <w:gridCol w:w="109"/>
        <w:gridCol w:w="109"/>
        <w:gridCol w:w="248"/>
        <w:gridCol w:w="305"/>
        <w:gridCol w:w="138"/>
        <w:gridCol w:w="109"/>
        <w:gridCol w:w="109"/>
        <w:gridCol w:w="109"/>
        <w:gridCol w:w="196"/>
        <w:gridCol w:w="736"/>
        <w:gridCol w:w="109"/>
        <w:gridCol w:w="109"/>
        <w:gridCol w:w="109"/>
        <w:gridCol w:w="109"/>
        <w:gridCol w:w="294"/>
        <w:gridCol w:w="859"/>
        <w:gridCol w:w="164"/>
        <w:gridCol w:w="109"/>
        <w:gridCol w:w="109"/>
        <w:gridCol w:w="109"/>
        <w:gridCol w:w="196"/>
        <w:gridCol w:w="768"/>
        <w:gridCol w:w="109"/>
        <w:gridCol w:w="109"/>
        <w:gridCol w:w="109"/>
        <w:gridCol w:w="109"/>
        <w:gridCol w:w="205"/>
        <w:gridCol w:w="773"/>
        <w:gridCol w:w="168"/>
      </w:tblGrid>
      <w:tr>
        <w:trPr/>
        <w:tc>
          <w:tcPr>
            <w:tcW w:w="885"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r>
      <w:tr>
        <w:trPr/>
        <w:tc>
          <w:tcPr>
            <w:tcW w:w="21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15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7"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3"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21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217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7"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3"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1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7"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3"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1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December 31, 2022</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48,941,254 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653,707 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(1,958)</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(338,412)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313,342 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issued in a public offering, net of offering expenses</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9,583,334 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269,914 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269,915 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Option exercises</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454,314 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3,661 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11,923 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unrealized gain on short-term investments</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627 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627 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(37,548)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(37,548)</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March 31, 2023</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58,978,902 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939,205 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(1,331)</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(375,960)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561,920 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financial statements.</w:t>
      </w:r>
    </w:p>
    <w:p>
      <w:pPr>
        <w:pStyle w:val="TextBody"/>
        <w:spacing w:before="240" w:after="283"/>
        <w:jc w:val="center"/>
        <w:rPr/>
      </w:pPr>
      <w:r>
        <w:rPr/>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before="0" w:after="0"/>
        <w:rPr/>
      </w:pPr>
      <w:r>
        <w:rPr/>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Pliant Therapeutics,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Stockholders’ Equity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number of shares and per share amounts)</w:t>
      </w:r>
    </w:p>
    <w:tbl>
      <w:tblPr>
        <w:tblW w:w="10205" w:type="dxa"/>
        <w:jc w:val="center"/>
        <w:tblInd w:w="0" w:type="dxa"/>
        <w:tblCellMar>
          <w:top w:w="28" w:type="dxa"/>
          <w:left w:w="28" w:type="dxa"/>
          <w:bottom w:w="28" w:type="dxa"/>
          <w:right w:w="28" w:type="dxa"/>
        </w:tblCellMar>
      </w:tblPr>
      <w:tblGrid>
        <w:gridCol w:w="834"/>
        <w:gridCol w:w="619"/>
        <w:gridCol w:w="622"/>
        <w:gridCol w:w="480"/>
        <w:gridCol w:w="481"/>
        <w:gridCol w:w="196"/>
        <w:gridCol w:w="109"/>
        <w:gridCol w:w="109"/>
        <w:gridCol w:w="109"/>
        <w:gridCol w:w="248"/>
        <w:gridCol w:w="305"/>
        <w:gridCol w:w="138"/>
        <w:gridCol w:w="109"/>
        <w:gridCol w:w="109"/>
        <w:gridCol w:w="109"/>
        <w:gridCol w:w="196"/>
        <w:gridCol w:w="736"/>
        <w:gridCol w:w="109"/>
        <w:gridCol w:w="109"/>
        <w:gridCol w:w="109"/>
        <w:gridCol w:w="109"/>
        <w:gridCol w:w="364"/>
        <w:gridCol w:w="810"/>
        <w:gridCol w:w="204"/>
        <w:gridCol w:w="109"/>
        <w:gridCol w:w="109"/>
        <w:gridCol w:w="109"/>
        <w:gridCol w:w="196"/>
        <w:gridCol w:w="778"/>
        <w:gridCol w:w="109"/>
        <w:gridCol w:w="109"/>
        <w:gridCol w:w="109"/>
        <w:gridCol w:w="109"/>
        <w:gridCol w:w="205"/>
        <w:gridCol w:w="773"/>
        <w:gridCol w:w="167"/>
      </w:tblGrid>
      <w:tr>
        <w:trPr/>
        <w:tc>
          <w:tcPr>
            <w:tcW w:w="834"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20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15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20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217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0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1145"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0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December 31, 2021</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36,083,301 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(215,091)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199,059 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restricted stock awards</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15,606 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Option exercises</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63,552 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3,531 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unrealized loss on short-term investments</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(749)</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(749)</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(28,100)</w:t>
            </w:r>
          </w:p>
        </w:tc>
        <w:tc>
          <w:tcPr>
            <w:tcW w:w="167"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0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March 31, 2022</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36,162,459 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417,931 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(243,191)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173,793 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240" w:after="283"/>
        <w:jc w:val="center"/>
        <w:rPr/>
      </w:pPr>
      <w:r>
        <w:rPr/>
      </w:r>
    </w:p>
    <w:p>
      <w:pPr>
        <w:pStyle w:val="TextBody"/>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financial statements.</w:t>
      </w:r>
    </w:p>
    <w:p>
      <w:pPr>
        <w:pStyle w:val="TextBody"/>
        <w:spacing w:before="0" w:after="0"/>
        <w:rPr/>
      </w:pPr>
      <w:r>
        <w:rPr/>
      </w:r>
    </w:p>
    <w:p>
      <w:pPr>
        <w:pStyle w:val="TextBody"/>
        <w:spacing w:before="240" w:after="283"/>
        <w:ind w:left="0" w:right="0" w:hanging="36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Pliant Therapeutics,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Cash Flows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663" w:type="dxa"/>
        <w:jc w:val="left"/>
        <w:tblInd w:w="0" w:type="dxa"/>
        <w:tblCellMar>
          <w:top w:w="28" w:type="dxa"/>
          <w:left w:w="28" w:type="dxa"/>
          <w:bottom w:w="28" w:type="dxa"/>
          <w:right w:w="28" w:type="dxa"/>
        </w:tblCellMar>
      </w:tblPr>
      <w:tblGrid>
        <w:gridCol w:w="2179"/>
        <w:gridCol w:w="1922"/>
        <w:gridCol w:w="1928"/>
        <w:gridCol w:w="211"/>
        <w:gridCol w:w="826"/>
        <w:gridCol w:w="109"/>
        <w:gridCol w:w="109"/>
        <w:gridCol w:w="109"/>
        <w:gridCol w:w="109"/>
        <w:gridCol w:w="211"/>
        <w:gridCol w:w="796"/>
        <w:gridCol w:w="154"/>
      </w:tblGrid>
      <w:tr>
        <w:trPr/>
        <w:tc>
          <w:tcPr>
            <w:tcW w:w="2179" w:type="dxa"/>
            <w:tcBorders/>
            <w:shd w:fill="auto" w:val="clear"/>
            <w:vAlign w:val="center"/>
          </w:tcPr>
          <w:p>
            <w:pPr>
              <w:pStyle w:val="TableContents"/>
              <w:spacing w:before="0" w:after="283"/>
              <w:rPr>
                <w:sz w:val="4"/>
                <w:szCs w:val="4"/>
              </w:rPr>
            </w:pPr>
            <w:r>
              <w:rPr>
                <w:sz w:val="4"/>
                <w:szCs w:val="4"/>
              </w:rPr>
            </w:r>
          </w:p>
        </w:tc>
        <w:tc>
          <w:tcPr>
            <w:tcW w:w="1922" w:type="dxa"/>
            <w:tcBorders/>
            <w:shd w:fill="auto" w:val="clear"/>
            <w:vAlign w:val="center"/>
          </w:tcPr>
          <w:p>
            <w:pPr>
              <w:pStyle w:val="TableContents"/>
              <w:spacing w:before="0" w:after="283"/>
              <w:rPr>
                <w:sz w:val="4"/>
                <w:szCs w:val="4"/>
              </w:rPr>
            </w:pPr>
            <w:r>
              <w:rPr>
                <w:sz w:val="4"/>
                <w:szCs w:val="4"/>
              </w:rPr>
            </w:r>
          </w:p>
        </w:tc>
        <w:tc>
          <w:tcPr>
            <w:tcW w:w="192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263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60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6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(37,548)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used in operating activities: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operating lease expense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(Accretion) amortization on short-term investments </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short-term investments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(276,620)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(39,228)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Maturity of short-term investments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41,403 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property and equipment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issuances of common stock under benefit plans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offering costs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common stock in a public offering</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270,251 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51,665 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 of cash flow information:</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 of noncash investing activities: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 (loss) on short-term investments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Pliant Therapeutics,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1. Organization and Description of Business</w:t>
      </w:r>
    </w:p>
    <w:p>
      <w:pPr>
        <w:pStyle w:val="TextBody"/>
        <w:spacing w:lineRule="auto" w:line="288" w:before="120" w:after="283"/>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Pliant Therapeutics, Inc. (the “Company” or "Pliant" or “we” or “our” or “us”) is a clinical stage biopharmaceutical company focused on discovering and developing novel therapies for the treatment of fibrosis with an initial focus on treating fibrosis by inhibiting integrin-mediated activation of TGF-ß. Fibrosis refers to the abnormal thickening and scarring of connective tissue due to the production and deposition of excess collagen in the extra-cellular matrix. Fibrosis can occur in many different tissues including lung, liver, kidney, muscle, skin and the GI tract, and often causes severe and debilitating disease leading to organ failure. The Company is located in South San Francisco, California, and was incorporated in the state of Delaware in June 2015.</w:t>
      </w:r>
    </w:p>
    <w:p>
      <w:pPr>
        <w:pStyle w:val="TextBody"/>
        <w:spacing w:lineRule="auto" w:line="288" w:before="12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Public Offering</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January 2023, the Company completed a public offering of 9,583,334 shares of common stock, including the exercise in full of the underwriters' option to purchase 1,250,000 additional shares of common stock. The shares were offered at a price of $30.00 per share, resulting in aggregate proceeds of approximately $269.9 million, net of underwriting discounts, commissions and offering expenses payable by us.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spacing w:lineRule="auto" w:line="288" w:before="12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spacing w:lineRule="auto" w:line="288" w:before="120" w:after="283"/>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The accompanying financial statements have been prepared in conformity with accounting principles generally accepted in the United States of America (“U.S. GAAP”). Certain prior year reported amounts have been reclassified to conform with the current period presentation.</w:t>
      </w:r>
    </w:p>
    <w:p>
      <w:pPr>
        <w:pStyle w:val="TextBody"/>
        <w:spacing w:lineRule="auto" w:line="288" w:before="240" w:after="283"/>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balance sheet as of March 31, 2023, condensed statements of operations and comprehensive loss for the three months ended March 31, 2023 and 2022, condensed statements of cash flows for the three months ended March 31, 2023 and 2022, and the condensed statements of stockholders’ equity for the three months ended March 31, 2023 and 2022, are unaudited. The balance sheet as of December 31, 2022 was derived from audited financial statements as of and for the year ended December 31, 2022. The unaudited interim condensed financial statements have been prepared on the same basis as the audited annual financial statements as of and for the year ended December 31, 2022, and, in the opinion of management, reflect all adjustments, which include only normal recurring adjustments, necessary for the fair statement of the Company’s financial position as of March 31, 2023, and the results of its operations and its cash flows for the three months ended March 31, 2023 and 2022. The financial data and other information disclosed in these notes related to the three months ended March 31, 2023 and 2022, are also unaudited.</w:t>
      </w:r>
    </w:p>
    <w:p>
      <w:pPr>
        <w:pStyle w:val="TextBody"/>
        <w:spacing w:lineRule="auto" w:line="288" w:before="36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spacing w:lineRule="auto" w:line="288" w:before="120" w:after="283"/>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assumptions that affect the reported amounts of assets, liabilities, and expenses as well as the disclosure of contingent assets and liabilities as of and during the reporting period. The Company bases its estimates and assumptions on historical experience when available and on various factors that it believes to be reasonable under the circumstances. Significant estimates and assumptions reflected in these financial statements include, but are not limited to, stock-based compensation expense and accruals for research and development costs. The Company assesses estimates on an ongoing basis, however, actual results could materially differ from those estimates.</w:t>
      </w:r>
    </w:p>
    <w:p>
      <w:pPr>
        <w:pStyle w:val="TextBody"/>
        <w:spacing w:lineRule="auto" w:line="288" w:before="36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Significant Accounting Policies</w:t>
      </w:r>
    </w:p>
    <w:p>
      <w:pPr>
        <w:pStyle w:val="TextBody"/>
        <w:spacing w:lineRule="auto" w:line="288" w:before="120" w:after="283"/>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There have been no significant changes to the accounting policies during the three months ended March 31, 2023, as compared to the significant accounting policies described in Note 2 of the "Notes to the Financial Statements" in the Company's audited financial statements included in its Annual Report on Form 10-K for the fiscal year ended December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3. Financial Instruments</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before="0" w:after="0"/>
        <w:rPr/>
      </w:pPr>
      <w:r>
        <w:rPr/>
      </w:r>
    </w:p>
    <w:p>
      <w:pPr>
        <w:pStyle w:val="TextBody"/>
        <w:spacing w:lineRule="auto" w:line="288" w:before="120" w:after="283"/>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The Company’s short-term investments consist of U.S. Treasury securities, U.S. Government agency securities and highly rated, investment-grade corporate debt securities with original maturities beyond three months at the date of purchase. The Company has classified and accounted for its short-term investments as available-for-sale securities as the Company may sell these securities at any time even prior to maturity and such investments represent cash available for current operations. As a result, short-term investments may include securities with maturities beyond twelve months that are classified within current assets in the Balance Sheets. The Company’s short-term investments classified as available-for-sale are carried at fair market value with unrealized gains or losses recognized in the statements of operations and comprehensive loss.</w:t>
      </w:r>
    </w:p>
    <w:p>
      <w:pPr>
        <w:pStyle w:val="TextBody"/>
        <w:spacing w:lineRule="auto" w:line="288" w:before="240" w:after="283"/>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The Company’s cash equivalent Money Market Funds are classified as Level 1 because they are valued using quoted active market prices. The fair value of the Company’s U.S. Treasury securities, U.S. government agency securities and corporate debt securities are classified as Level 2 because they are valued using observable inputs to quoted market prices other than Level 1 prices, benchmark yields, reported trades, broker/dealer quotes or alternative pricing sources with reasonable levels of price transparency and include U.S. government agency securities, U.S. Treasury securities and corporate debt securities.</w:t>
      </w:r>
    </w:p>
    <w:p>
      <w:pPr>
        <w:pStyle w:val="TextBody"/>
        <w:spacing w:lineRule="auto" w:line="288" w:before="240" w:after="283"/>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There were no assets or liabilities recorded at fair value to the condensed balance sheets using Level 3 inputs as of March 31, 2023 and as of December 31, 2022.</w:t>
      </w:r>
    </w:p>
    <w:p>
      <w:pPr>
        <w:pStyle w:val="TextBody"/>
        <w:spacing w:lineRule="auto" w:line="288" w:before="240" w:after="283"/>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The following tables show the Company’s Money Market Funds, U.S. Treasury securities, U.S. government agency securities and corporate debt securities by significant investment category as of March 31, 2023 and December 31, 2022 (in thousands):</w:t>
      </w:r>
    </w:p>
    <w:tbl>
      <w:tblPr>
        <w:tblW w:w="10205" w:type="dxa"/>
        <w:jc w:val="left"/>
        <w:tblInd w:w="0" w:type="dxa"/>
        <w:tblCellMar>
          <w:top w:w="28" w:type="dxa"/>
          <w:left w:w="28" w:type="dxa"/>
          <w:bottom w:w="28" w:type="dxa"/>
          <w:right w:w="28" w:type="dxa"/>
        </w:tblCellMar>
      </w:tblPr>
      <w:tblGrid>
        <w:gridCol w:w="1941"/>
        <w:gridCol w:w="1539"/>
        <w:gridCol w:w="1536"/>
        <w:gridCol w:w="211"/>
        <w:gridCol w:w="826"/>
        <w:gridCol w:w="109"/>
        <w:gridCol w:w="109"/>
        <w:gridCol w:w="109"/>
        <w:gridCol w:w="109"/>
        <w:gridCol w:w="257"/>
        <w:gridCol w:w="495"/>
        <w:gridCol w:w="134"/>
        <w:gridCol w:w="109"/>
        <w:gridCol w:w="109"/>
        <w:gridCol w:w="109"/>
        <w:gridCol w:w="211"/>
        <w:gridCol w:w="663"/>
        <w:gridCol w:w="109"/>
        <w:gridCol w:w="109"/>
        <w:gridCol w:w="109"/>
        <w:gridCol w:w="109"/>
        <w:gridCol w:w="211"/>
        <w:gridCol w:w="826"/>
        <w:gridCol w:w="156"/>
      </w:tblGrid>
      <w:tr>
        <w:trPr/>
        <w:tc>
          <w:tcPr>
            <w:tcW w:w="1941" w:type="dxa"/>
            <w:tcBorders/>
            <w:shd w:fill="auto" w:val="clear"/>
            <w:vAlign w:val="center"/>
          </w:tcPr>
          <w:p>
            <w:pPr>
              <w:pStyle w:val="TableContents"/>
              <w:spacing w:before="0" w:after="283"/>
              <w:rPr>
                <w:sz w:val="4"/>
                <w:szCs w:val="4"/>
              </w:rPr>
            </w:pPr>
            <w:r>
              <w:rPr>
                <w:sz w:val="4"/>
                <w:szCs w:val="4"/>
              </w:rPr>
            </w:r>
          </w:p>
        </w:tc>
        <w:tc>
          <w:tcPr>
            <w:tcW w:w="1539" w:type="dxa"/>
            <w:tcBorders/>
            <w:shd w:fill="auto" w:val="clear"/>
            <w:vAlign w:val="center"/>
          </w:tcPr>
          <w:p>
            <w:pPr>
              <w:pStyle w:val="TableContents"/>
              <w:spacing w:before="0" w:after="283"/>
              <w:rPr>
                <w:sz w:val="4"/>
                <w:szCs w:val="4"/>
              </w:rPr>
            </w:pPr>
            <w:r>
              <w:rPr>
                <w:sz w:val="4"/>
                <w:szCs w:val="4"/>
              </w:rPr>
            </w:r>
          </w:p>
        </w:tc>
        <w:tc>
          <w:tcPr>
            <w:tcW w:w="153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0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5189"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 2023</w:t>
            </w:r>
          </w:p>
        </w:tc>
      </w:tr>
      <w:tr>
        <w:trPr/>
        <w:tc>
          <w:tcPr>
            <w:tcW w:w="50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Adjusted</w:t>
              <w:br/>
              <w:t>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Market</w:t>
              <w:br/>
              <w:t>Value</w:t>
            </w:r>
          </w:p>
        </w:tc>
      </w:tr>
      <w:tr>
        <w:trPr/>
        <w:tc>
          <w:tcPr>
            <w:tcW w:w="5016"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1146"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50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51,187 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16"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1146"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CFF0FC"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0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included in cash and cash equivalents and short-term investments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14,454 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0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securities included in cash and cash equivalents and short-term investments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52,304 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1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 included in cash and cash equivalents and short-term investments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441,141 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439,885 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559,162 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557,831 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921"/>
        <w:gridCol w:w="1545"/>
        <w:gridCol w:w="1545"/>
        <w:gridCol w:w="211"/>
        <w:gridCol w:w="826"/>
        <w:gridCol w:w="109"/>
        <w:gridCol w:w="109"/>
        <w:gridCol w:w="109"/>
        <w:gridCol w:w="109"/>
        <w:gridCol w:w="257"/>
        <w:gridCol w:w="495"/>
        <w:gridCol w:w="134"/>
        <w:gridCol w:w="109"/>
        <w:gridCol w:w="109"/>
        <w:gridCol w:w="109"/>
        <w:gridCol w:w="211"/>
        <w:gridCol w:w="667"/>
        <w:gridCol w:w="109"/>
        <w:gridCol w:w="109"/>
        <w:gridCol w:w="109"/>
        <w:gridCol w:w="109"/>
        <w:gridCol w:w="211"/>
        <w:gridCol w:w="826"/>
        <w:gridCol w:w="157"/>
      </w:tblGrid>
      <w:tr>
        <w:trPr/>
        <w:tc>
          <w:tcPr>
            <w:tcW w:w="1921" w:type="dxa"/>
            <w:tcBorders/>
            <w:shd w:fill="auto" w:val="clear"/>
            <w:vAlign w:val="center"/>
          </w:tcPr>
          <w:p>
            <w:pPr>
              <w:pStyle w:val="TableContents"/>
              <w:spacing w:before="0" w:after="283"/>
              <w:rPr>
                <w:sz w:val="4"/>
                <w:szCs w:val="4"/>
              </w:rPr>
            </w:pPr>
            <w:r>
              <w:rPr>
                <w:sz w:val="4"/>
                <w:szCs w:val="4"/>
              </w:rPr>
            </w:r>
          </w:p>
        </w:tc>
        <w:tc>
          <w:tcPr>
            <w:tcW w:w="1545" w:type="dxa"/>
            <w:tcBorders/>
            <w:shd w:fill="auto" w:val="clear"/>
            <w:vAlign w:val="center"/>
          </w:tcPr>
          <w:p>
            <w:pPr>
              <w:pStyle w:val="TableContents"/>
              <w:spacing w:before="0" w:after="283"/>
              <w:rPr>
                <w:sz w:val="4"/>
                <w:szCs w:val="4"/>
              </w:rPr>
            </w:pPr>
            <w:r>
              <w:rPr>
                <w:sz w:val="4"/>
                <w:szCs w:val="4"/>
              </w:rPr>
            </w:r>
          </w:p>
        </w:tc>
        <w:tc>
          <w:tcPr>
            <w:tcW w:w="154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0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5194"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r>
      <w:tr>
        <w:trPr/>
        <w:tc>
          <w:tcPr>
            <w:tcW w:w="50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Adjusted</w:t>
              <w:br/>
              <w:t>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Market</w:t>
              <w:br/>
              <w:t>Value</w:t>
            </w:r>
          </w:p>
        </w:tc>
      </w:tr>
      <w:tr>
        <w:trPr/>
        <w:tc>
          <w:tcPr>
            <w:tcW w:w="5011"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1146"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50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28,312 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11"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1146"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shd w:fill="CFF0FC"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0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included in cash and cash equivalents and short-term investments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4,441 </w:t>
            </w:r>
          </w:p>
        </w:tc>
        <w:tc>
          <w:tcPr>
            <w:tcW w:w="157"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0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securities included in short-term investments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28,635 </w:t>
            </w:r>
          </w:p>
        </w:tc>
        <w:tc>
          <w:tcPr>
            <w:tcW w:w="157"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0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 included in cash and cash equivalents and short-term investments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266,267 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264,425 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327,771 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325,813 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The Company may sell certain of its short-term securities prior to their stated maturities for reasons including, but not limited to, managing liquidity, credit risk, duration and asset allocation.</w:t>
      </w:r>
    </w:p>
    <w:p>
      <w:pPr>
        <w:pStyle w:val="TextBody"/>
        <w:spacing w:lineRule="auto" w:line="288" w:before="240" w:after="283"/>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There were no liabilities measured at fair value on a recurring basis as of March 31, 2023 and December 31, 2022. The Company evaluates transfers between levels at the end of each reporting period and there have been no transfers between fair value measurement levels during the three months ended March 31, 2023. In addition, there were no assets or liabilities measured at fair value on a non-recurring basis as of March 31, 2023 and December 31, 2022.</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before="0" w:after="0"/>
        <w:rPr/>
      </w:pPr>
      <w:r>
        <w:rPr/>
      </w:r>
    </w:p>
    <w:p>
      <w:pPr>
        <w:pStyle w:val="TextBody"/>
        <w:spacing w:lineRule="auto" w:line="288" w:before="240" w:after="283"/>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As of March 31, 2023, the Company had not recorded any impairment related to other-than-temporary declines in the fair value of short-term investments. Short-term investments are considered impaired when a decline in fair value is judged to be other-than-temporary. The Company consults with its investment managers and considers available quantitative and qualitative evidence in evaluating potential impairment of its short-term investments on a quarterly basis. If the cost of an individual investment exceeds its fair value, the Company evaluates, among other factors, general market conditions, the duration and extent to which the fair value is less than cost and its intent and ability to hold the investment.</w:t>
      </w:r>
    </w:p>
    <w:p>
      <w:pPr>
        <w:pStyle w:val="TextBody"/>
        <w:spacing w:lineRule="auto" w:line="288" w:before="240" w:after="283"/>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The Company records interest income, accretion income and amortization expense on Money Market Funds and U.S. Treasury, U.S. government agency and corporate debt securities to interest and other income (expense), net in its condensed statement of operations and comprehensive loss.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4. Property and Equipment, net</w:t>
      </w:r>
    </w:p>
    <w:p>
      <w:pPr>
        <w:pStyle w:val="TextBody"/>
        <w:spacing w:lineRule="auto" w:line="288" w:before="120" w:after="283"/>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consisted of the following (in thousands):</w:t>
      </w:r>
    </w:p>
    <w:tbl>
      <w:tblPr>
        <w:tblW w:w="7030" w:type="dxa"/>
        <w:jc w:val="left"/>
        <w:tblInd w:w="0" w:type="dxa"/>
        <w:tblCellMar>
          <w:top w:w="28" w:type="dxa"/>
          <w:left w:w="28" w:type="dxa"/>
          <w:bottom w:w="28" w:type="dxa"/>
          <w:right w:w="28" w:type="dxa"/>
        </w:tblCellMar>
      </w:tblPr>
      <w:tblGrid>
        <w:gridCol w:w="1108"/>
        <w:gridCol w:w="974"/>
        <w:gridCol w:w="978"/>
        <w:gridCol w:w="378"/>
        <w:gridCol w:w="1106"/>
        <w:gridCol w:w="195"/>
        <w:gridCol w:w="109"/>
        <w:gridCol w:w="109"/>
        <w:gridCol w:w="109"/>
        <w:gridCol w:w="422"/>
        <w:gridCol w:w="1234"/>
        <w:gridCol w:w="308"/>
      </w:tblGrid>
      <w:tr>
        <w:trPr/>
        <w:tc>
          <w:tcPr>
            <w:tcW w:w="1108" w:type="dxa"/>
            <w:tcBorders/>
            <w:shd w:fill="auto" w:val="clear"/>
            <w:vAlign w:val="center"/>
          </w:tcPr>
          <w:p>
            <w:pPr>
              <w:pStyle w:val="TableContents"/>
              <w:spacing w:before="0" w:after="283"/>
              <w:rPr>
                <w:sz w:val="4"/>
                <w:szCs w:val="4"/>
              </w:rPr>
            </w:pPr>
            <w:r>
              <w:rPr>
                <w:sz w:val="4"/>
                <w:szCs w:val="4"/>
              </w:rPr>
            </w:r>
          </w:p>
        </w:tc>
        <w:tc>
          <w:tcPr>
            <w:tcW w:w="974" w:type="dxa"/>
            <w:tcBorders/>
            <w:shd w:fill="auto" w:val="clear"/>
            <w:vAlign w:val="center"/>
          </w:tcPr>
          <w:p>
            <w:pPr>
              <w:pStyle w:val="TableContents"/>
              <w:spacing w:before="0" w:after="283"/>
              <w:rPr>
                <w:sz w:val="4"/>
                <w:szCs w:val="4"/>
              </w:rPr>
            </w:pPr>
            <w:r>
              <w:rPr>
                <w:sz w:val="4"/>
                <w:szCs w:val="4"/>
              </w:rPr>
            </w:r>
          </w:p>
        </w:tc>
        <w:tc>
          <w:tcPr>
            <w:tcW w:w="978"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1106"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1234"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6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Laboratory equipment</w:t>
            </w:r>
          </w:p>
        </w:tc>
        <w:tc>
          <w:tcPr>
            <w:tcW w:w="148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9,707 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9,581 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4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1,650 </w:t>
            </w:r>
          </w:p>
        </w:tc>
        <w:tc>
          <w:tcPr>
            <w:tcW w:w="3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Construction-in-progress</w:t>
            </w:r>
          </w:p>
        </w:tc>
        <w:tc>
          <w:tcPr>
            <w:tcW w:w="14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3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 and software</w:t>
            </w:r>
          </w:p>
        </w:tc>
        <w:tc>
          <w:tcPr>
            <w:tcW w:w="37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3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gross</w:t>
            </w:r>
          </w:p>
        </w:tc>
        <w:tc>
          <w:tcPr>
            <w:tcW w:w="148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11,490 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11,327 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4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(7,293)</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(6,841)</w:t>
            </w:r>
          </w:p>
        </w:tc>
        <w:tc>
          <w:tcPr>
            <w:tcW w:w="3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net</w:t>
            </w:r>
          </w:p>
        </w:tc>
        <w:tc>
          <w:tcPr>
            <w:tcW w:w="3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4,197 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4,486 </w:t>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expense for the three months ended March 31, 2023 and 2022 was $0.5 million and $0.5 million, respectively.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5. Prepaid Expenses and Other Current Assets</w:t>
      </w:r>
    </w:p>
    <w:p>
      <w:pPr>
        <w:pStyle w:val="TextBody"/>
        <w:spacing w:lineRule="auto" w:line="288" w:before="120" w:after="283"/>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 consisted of the following (in thousands):</w:t>
      </w:r>
    </w:p>
    <w:tbl>
      <w:tblPr>
        <w:tblW w:w="7089" w:type="dxa"/>
        <w:jc w:val="left"/>
        <w:tblInd w:w="0" w:type="dxa"/>
        <w:tblCellMar>
          <w:top w:w="28" w:type="dxa"/>
          <w:left w:w="28" w:type="dxa"/>
          <w:bottom w:w="28" w:type="dxa"/>
          <w:right w:w="28" w:type="dxa"/>
        </w:tblCellMar>
      </w:tblPr>
      <w:tblGrid>
        <w:gridCol w:w="1424"/>
        <w:gridCol w:w="1249"/>
        <w:gridCol w:w="1256"/>
        <w:gridCol w:w="424"/>
        <w:gridCol w:w="424"/>
        <w:gridCol w:w="426"/>
        <w:gridCol w:w="109"/>
        <w:gridCol w:w="109"/>
        <w:gridCol w:w="109"/>
        <w:gridCol w:w="456"/>
        <w:gridCol w:w="456"/>
        <w:gridCol w:w="647"/>
      </w:tblGrid>
      <w:tr>
        <w:trPr/>
        <w:tc>
          <w:tcPr>
            <w:tcW w:w="1424" w:type="dxa"/>
            <w:tcBorders/>
            <w:shd w:fill="auto" w:val="clear"/>
            <w:vAlign w:val="center"/>
          </w:tcPr>
          <w:p>
            <w:pPr>
              <w:pStyle w:val="TableContents"/>
              <w:spacing w:before="0" w:after="283"/>
              <w:rPr>
                <w:sz w:val="4"/>
                <w:szCs w:val="4"/>
              </w:rPr>
            </w:pPr>
            <w:r>
              <w:rPr>
                <w:sz w:val="4"/>
                <w:szCs w:val="4"/>
              </w:rPr>
            </w:r>
          </w:p>
        </w:tc>
        <w:tc>
          <w:tcPr>
            <w:tcW w:w="1249" w:type="dxa"/>
            <w:tcBorders/>
            <w:shd w:fill="auto" w:val="clear"/>
            <w:vAlign w:val="center"/>
          </w:tcPr>
          <w:p>
            <w:pPr>
              <w:pStyle w:val="TableContents"/>
              <w:spacing w:before="0" w:after="283"/>
              <w:rPr>
                <w:sz w:val="4"/>
                <w:szCs w:val="4"/>
              </w:rPr>
            </w:pPr>
            <w:r>
              <w:rPr>
                <w:sz w:val="4"/>
                <w:szCs w:val="4"/>
              </w:rPr>
            </w:r>
          </w:p>
        </w:tc>
        <w:tc>
          <w:tcPr>
            <w:tcW w:w="1256"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r>
      <w:tr>
        <w:trPr/>
        <w:tc>
          <w:tcPr>
            <w:tcW w:w="39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 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 December 31,</w:t>
              <w:br/>
              <w:t>2022</w:t>
            </w:r>
          </w:p>
        </w:tc>
      </w:tr>
      <w:tr>
        <w:trPr/>
        <w:tc>
          <w:tcPr>
            <w:tcW w:w="392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research and development</w:t>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3,305 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3,421 </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insurance</w:t>
            </w:r>
          </w:p>
        </w:tc>
        <w:tc>
          <w:tcPr>
            <w:tcW w:w="8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935 </w:t>
            </w:r>
          </w:p>
        </w:tc>
        <w:tc>
          <w:tcPr>
            <w:tcW w:w="4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1,427 </w:t>
            </w:r>
          </w:p>
        </w:tc>
        <w:tc>
          <w:tcPr>
            <w:tcW w:w="6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licenses</w:t>
            </w:r>
          </w:p>
        </w:tc>
        <w:tc>
          <w:tcPr>
            <w:tcW w:w="8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1,498 </w:t>
            </w:r>
          </w:p>
        </w:tc>
        <w:tc>
          <w:tcPr>
            <w:tcW w:w="4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959 </w:t>
            </w:r>
          </w:p>
        </w:tc>
        <w:tc>
          <w:tcPr>
            <w:tcW w:w="6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receivable</w:t>
            </w:r>
          </w:p>
        </w:tc>
        <w:tc>
          <w:tcPr>
            <w:tcW w:w="8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1,377 </w:t>
            </w:r>
          </w:p>
        </w:tc>
        <w:tc>
          <w:tcPr>
            <w:tcW w:w="4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1,078 </w:t>
            </w:r>
          </w:p>
        </w:tc>
        <w:tc>
          <w:tcPr>
            <w:tcW w:w="6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4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6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prepaid expenses and other current assets</w:t>
            </w:r>
          </w:p>
        </w:tc>
        <w:tc>
          <w:tcPr>
            <w:tcW w:w="84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7,533 </w:t>
            </w:r>
          </w:p>
        </w:tc>
        <w:tc>
          <w:tcPr>
            <w:tcW w:w="4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7,058 </w:t>
            </w:r>
          </w:p>
        </w:tc>
        <w:tc>
          <w:tcPr>
            <w:tcW w:w="6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6. Accrued Liabilities</w:t>
      </w:r>
    </w:p>
    <w:p>
      <w:pPr>
        <w:pStyle w:val="TextBody"/>
        <w:spacing w:lineRule="auto" w:line="288" w:before="120" w:after="283"/>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Accrued liabilities consisted of the following (in thousands):</w:t>
      </w:r>
    </w:p>
    <w:tbl>
      <w:tblPr>
        <w:tblW w:w="6176" w:type="dxa"/>
        <w:jc w:val="left"/>
        <w:tblInd w:w="0" w:type="dxa"/>
        <w:tblCellMar>
          <w:top w:w="28" w:type="dxa"/>
          <w:left w:w="28" w:type="dxa"/>
          <w:bottom w:w="28" w:type="dxa"/>
          <w:right w:w="28" w:type="dxa"/>
        </w:tblCellMar>
      </w:tblPr>
      <w:tblGrid>
        <w:gridCol w:w="1093"/>
        <w:gridCol w:w="959"/>
        <w:gridCol w:w="963"/>
        <w:gridCol w:w="287"/>
        <w:gridCol w:w="839"/>
        <w:gridCol w:w="148"/>
        <w:gridCol w:w="109"/>
        <w:gridCol w:w="109"/>
        <w:gridCol w:w="109"/>
        <w:gridCol w:w="335"/>
        <w:gridCol w:w="979"/>
        <w:gridCol w:w="246"/>
      </w:tblGrid>
      <w:tr>
        <w:trPr/>
        <w:tc>
          <w:tcPr>
            <w:tcW w:w="1093"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963"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839"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97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r>
      <w:tr>
        <w:trPr/>
        <w:tc>
          <w:tcPr>
            <w:tcW w:w="3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 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 December 31,</w:t>
              <w:br/>
              <w:t>2022</w:t>
            </w:r>
          </w:p>
        </w:tc>
      </w:tr>
      <w:tr>
        <w:trPr/>
        <w:tc>
          <w:tcPr>
            <w:tcW w:w="30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3,447 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7,200 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1,458 </w:t>
            </w:r>
          </w:p>
        </w:tc>
        <w:tc>
          <w:tcPr>
            <w:tcW w:w="2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liabilities</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4,733 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8,658 </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 consist primarily of accrued bonuses and accrued vacation.</w:t>
      </w:r>
    </w:p>
    <w:p>
      <w:pPr>
        <w:pStyle w:val="TextBody"/>
        <w:spacing w:before="0" w:after="0"/>
        <w:ind w:left="0" w:right="0" w:firstLine="12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7. Long-term Debt</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before="0" w:after="0"/>
        <w:rPr/>
      </w:pPr>
      <w:r>
        <w:rPr/>
      </w:r>
    </w:p>
    <w:p>
      <w:pPr>
        <w:pStyle w:val="TextBody"/>
        <w:spacing w:lineRule="auto" w:line="268" w:before="0" w:after="0"/>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2022, we entered into a term loan facility (the “Oxford Loan Agreement”) with Oxford Finance LLC (the "Lender") for up to $100.0 million. At closing, we entered into a term loan for $10.0 million, and in the first quarter of 2023 we declined our option to draw an additional $40.0 million from the first and second tranche. The Oxford Loan Agreement provides for an additional $50.0 million over two tranches, $25.0 million of which is at our option upon the satisfaction of certain conditions related to the development of bexotegrast and one of our preclinical product candidates, and $25.0 million at the Lender's discretion. In connection with the Oxford Loan Agreement, we granted a security interest in substantially all of our current and future assets. There are no warrants or financial covenants associated with the Oxford Loan Agreement. </w:t>
      </w:r>
    </w:p>
    <w:p>
      <w:pPr>
        <w:pStyle w:val="TextBody"/>
        <w:spacing w:lineRule="auto" w:line="288" w:before="120" w:after="283"/>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 xml:space="preserve">Borrowings under the Oxford Loan Agreement bear interest at a rate per annum equal to 1-month term Secured Overnight Financing Rate (SOFR) plus 8.5%, subject to an agreed upon floor and cap. The Oxford Loan Agreement requires the Company to make monthly interest-only payments until July 1, 2026 (extendable to July 1, 2027) with monthly interest and principal payments thereafter until the maturity date of May 1, 2027 (extendable to May 1, 2028). </w:t>
      </w:r>
    </w:p>
    <w:p>
      <w:pPr>
        <w:pStyle w:val="TextBody"/>
        <w:spacing w:lineRule="auto" w:line="288" w:before="120" w:after="283"/>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the term loan as of March 31, 2023 was measured using Level 2 and Level 3 inputs and approximates the carrying value recorded to the condensed balance sheet. The effective interest rate for the term loan is 12.69% and interest expense for the three months ended March 31, 2023 was $0.3 million.</w:t>
      </w:r>
    </w:p>
    <w:p>
      <w:pPr>
        <w:pStyle w:val="TextBody"/>
        <w:spacing w:before="0" w:after="0"/>
        <w:ind w:left="0" w:right="0" w:firstLine="1260"/>
        <w:rPr/>
      </w:pPr>
      <w:r>
        <w:rPr/>
      </w:r>
    </w:p>
    <w:p>
      <w:pPr>
        <w:pStyle w:val="TextBody"/>
        <w:spacing w:lineRule="auto" w:line="268" w:before="0" w:after="0"/>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Future maturities of debt as of March 31, 2023 are as follows (in thousands):</w:t>
      </w:r>
    </w:p>
    <w:tbl>
      <w:tblPr>
        <w:tblW w:w="4919" w:type="dxa"/>
        <w:jc w:val="center"/>
        <w:tblInd w:w="0" w:type="dxa"/>
        <w:tblCellMar>
          <w:top w:w="28" w:type="dxa"/>
          <w:left w:w="28" w:type="dxa"/>
          <w:bottom w:w="28" w:type="dxa"/>
          <w:right w:w="28" w:type="dxa"/>
        </w:tblCellMar>
      </w:tblPr>
      <w:tblGrid>
        <w:gridCol w:w="1158"/>
        <w:gridCol w:w="1015"/>
        <w:gridCol w:w="1022"/>
        <w:gridCol w:w="335"/>
        <w:gridCol w:w="1145"/>
        <w:gridCol w:w="244"/>
      </w:tblGrid>
      <w:tr>
        <w:trPr/>
        <w:tc>
          <w:tcPr>
            <w:tcW w:w="1158" w:type="dxa"/>
            <w:tcBorders/>
            <w:shd w:fill="auto" w:val="clear"/>
            <w:vAlign w:val="center"/>
          </w:tcPr>
          <w:p>
            <w:pPr>
              <w:pStyle w:val="TableContents"/>
              <w:spacing w:before="0" w:after="283"/>
              <w:rPr>
                <w:sz w:val="4"/>
                <w:szCs w:val="4"/>
              </w:rPr>
            </w:pPr>
            <w:r>
              <w:rPr>
                <w:sz w:val="4"/>
                <w:szCs w:val="4"/>
              </w:rPr>
            </w:r>
          </w:p>
        </w:tc>
        <w:tc>
          <w:tcPr>
            <w:tcW w:w="1015" w:type="dxa"/>
            <w:tcBorders/>
            <w:shd w:fill="auto" w:val="clear"/>
            <w:vAlign w:val="center"/>
          </w:tcPr>
          <w:p>
            <w:pPr>
              <w:pStyle w:val="TableContents"/>
              <w:spacing w:before="0" w:after="283"/>
              <w:rPr>
                <w:sz w:val="4"/>
                <w:szCs w:val="4"/>
              </w:rPr>
            </w:pPr>
            <w:r>
              <w:rPr>
                <w:sz w:val="4"/>
                <w:szCs w:val="4"/>
              </w:rPr>
            </w:r>
          </w:p>
        </w:tc>
        <w:tc>
          <w:tcPr>
            <w:tcW w:w="1022"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1145"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r>
      <w:tr>
        <w:trPr/>
        <w:tc>
          <w:tcPr>
            <w:tcW w:w="31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 2023</w:t>
            </w:r>
          </w:p>
        </w:tc>
      </w:tr>
      <w:tr>
        <w:trPr/>
        <w:tc>
          <w:tcPr>
            <w:tcW w:w="319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 (remainder of the year)</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4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4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4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5,455 </w:t>
            </w:r>
          </w:p>
        </w:tc>
        <w:tc>
          <w:tcPr>
            <w:tcW w:w="2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4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4,545 </w:t>
            </w:r>
          </w:p>
        </w:tc>
        <w:tc>
          <w:tcPr>
            <w:tcW w:w="2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4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Total payments</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Less: unamortized debt issuance costs</w:t>
            </w:r>
          </w:p>
        </w:tc>
        <w:tc>
          <w:tcPr>
            <w:tcW w:w="14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2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Accretion of final payment</w:t>
            </w:r>
          </w:p>
        </w:tc>
        <w:tc>
          <w:tcPr>
            <w:tcW w:w="33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2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9,958 </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1260"/>
        <w:rPr/>
      </w:pPr>
      <w:r>
        <w:rPr/>
      </w:r>
    </w:p>
    <w:p>
      <w:pPr>
        <w:pStyle w:val="TextBody"/>
        <w:spacing w:before="0" w:after="0"/>
        <w:ind w:left="0" w:right="0" w:firstLine="12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283"/>
        <w:rPr>
          <w:rFonts w:ascii="Times New Roman;sans-serif" w:hAnsi="Times New Roman;sans-serif"/>
          <w:b/>
          <w:color w:val="000000"/>
          <w:sz w:val="20"/>
        </w:rPr>
      </w:pPr>
      <w:r>
        <w:rPr>
          <w:rFonts w:ascii="Times New Roman;sans-serif" w:hAnsi="Times New Roman;sans-serif"/>
          <w:b/>
          <w:color w:val="000000"/>
          <w:sz w:val="20"/>
        </w:rPr>
        <w:t>8. Novartis Collaboration and License Agreement (the "Novartis Agreement")</w:t>
      </w:r>
    </w:p>
    <w:p>
      <w:pPr>
        <w:pStyle w:val="TextBody"/>
        <w:spacing w:lineRule="auto" w:line="288" w:before="120" w:after="283"/>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In 2019, we entered into the Novartis Agreement with Novartis Institutes for BioMedical Research, Inc. (“Novartis”) for the development and commercialization of our preclinical product candidate, PLN-1474 and up to three additional integrin research targets. On February 17, 2023, Novartis exercised their right to terminate the Novartis Agreement as part of their new strategy focusing on a limited number of therapeutic areas. The termination took effect on April 18, 2023, and effective upon the termination, all rights and licenses granted to Novartis under the Novartis Agreement, including PLN-1474, the related IND, and the validated research target, reverted back to us. The payment obligations of Novartis with respect to future milestones, royalties and research and development funding were also terminated.</w:t>
      </w:r>
    </w:p>
    <w:p>
      <w:pPr>
        <w:pStyle w:val="TextBody"/>
        <w:spacing w:lineRule="auto" w:line="288" w:before="120" w:after="120"/>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 xml:space="preserve">The Novartis agreement provided for funding of up to $20.0 million associated with research and development services for PLN-1474 and up to $18.4 million for research and development services on the integrin research targets. We continued to provide research and development services on both programs through the termination date. As of March 31, 2023, the aggregate unrecognized transaction price of $0.3 million is associated with performance obligations we satisfied in the second quarter of 2023. Revenues associated with the Novartis Agreement for the three months ended March 31, 2023 and 2022 were $1.3 million and $1.2 million, respectively.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9. Preferred Stock</w:t>
      </w:r>
    </w:p>
    <w:p>
      <w:pPr>
        <w:pStyle w:val="TextBody"/>
        <w:spacing w:lineRule="auto" w:line="288" w:before="120" w:after="283"/>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Under the Company’s Amended and Restated Certificate of Incorporation (“Certificate of Incorporation”), the Company is authorized to issue two classes of shares: preferred and common stock. The preferred stock may be issued in series, and the Company’s board of directors is authorized to determine the rights, preferences, and terms of each series. These rights preferences and terms could include dividend rights, conversion rights, voting rights, terms of redemptions, liquidation preferences and sinking fund terms. As of March 31, 2023 and December 31, 2022, the Company was authorized to issue 10,000,000 shares of preferred stock and there was no outstanding preferred stock as of March 31, 2023 and December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before="0" w:after="0"/>
        <w:rPr/>
      </w:pPr>
      <w:r>
        <w:rPr/>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10. Common Stock</w:t>
      </w:r>
    </w:p>
    <w:p>
      <w:pPr>
        <w:pStyle w:val="TextBody"/>
        <w:spacing w:lineRule="auto" w:line="288" w:before="120" w:after="283"/>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the Company was authorized to issue 300,000,000 shares of common stock at a par value of $0.0001 per share. The common stock has the following rights and privileges:</w:t>
      </w:r>
    </w:p>
    <w:p>
      <w:pPr>
        <w:pStyle w:val="TextBody"/>
        <w:spacing w:lineRule="auto" w:line="288" w:before="36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Voting</w:t>
      </w:r>
    </w:p>
    <w:p>
      <w:pPr>
        <w:pStyle w:val="TextBody"/>
        <w:spacing w:lineRule="auto" w:line="288" w:before="120" w:after="283"/>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 xml:space="preserve">The holders of shares of common stock are entitled to one vote for each share of common stock held at any meeting of stockholders and at the time of any written action in lieu of a meeting. </w:t>
      </w:r>
    </w:p>
    <w:p>
      <w:pPr>
        <w:pStyle w:val="TextBody"/>
        <w:spacing w:lineRule="auto" w:line="288" w:before="36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Dividends</w:t>
      </w:r>
    </w:p>
    <w:p>
      <w:pPr>
        <w:pStyle w:val="TextBody"/>
        <w:spacing w:lineRule="auto" w:line="288" w:before="120" w:after="283"/>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The holders of shares of common stock are entitled to receive dividends, when declared by the Company’s board of directors. Cash dividends may not be declared or paid to holders of shares of common stock until all unpaid dividends on preferred stock have been paid in accordance with their terms. No dividends have been declared or paid by the Company since its inception. The terms of the Oxford Loan Agreement restrict our ability to declare and pay dividends.</w:t>
      </w:r>
    </w:p>
    <w:p>
      <w:pPr>
        <w:pStyle w:val="TextBody"/>
        <w:spacing w:lineRule="auto" w:line="288" w:before="36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Liquidation</w:t>
      </w:r>
    </w:p>
    <w:p>
      <w:pPr>
        <w:pStyle w:val="TextBody"/>
        <w:spacing w:lineRule="auto" w:line="288" w:before="120" w:after="283"/>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the preferential rights of holders of preferred stock then outstanding, the holders of shares of common stock are entitled to share ratably in the Company’s remaining assets available for distribution to its stockholders in the event of any voluntary or involuntary liquidation, dissolution or winding up of the Company. </w:t>
      </w:r>
    </w:p>
    <w:p>
      <w:pPr>
        <w:pStyle w:val="TextBody"/>
        <w:spacing w:lineRule="auto" w:line="288" w:before="36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Shares reserved for future issuance</w:t>
      </w:r>
    </w:p>
    <w:tbl>
      <w:tblPr>
        <w:tblW w:w="10205" w:type="dxa"/>
        <w:jc w:val="left"/>
        <w:tblInd w:w="0" w:type="dxa"/>
        <w:tblCellMar>
          <w:top w:w="28" w:type="dxa"/>
          <w:left w:w="28" w:type="dxa"/>
          <w:bottom w:w="28" w:type="dxa"/>
          <w:right w:w="28" w:type="dxa"/>
        </w:tblCellMar>
      </w:tblPr>
      <w:tblGrid>
        <w:gridCol w:w="2521"/>
        <w:gridCol w:w="2211"/>
        <w:gridCol w:w="2223"/>
        <w:gridCol w:w="540"/>
        <w:gridCol w:w="541"/>
        <w:gridCol w:w="286"/>
        <w:gridCol w:w="109"/>
        <w:gridCol w:w="109"/>
        <w:gridCol w:w="109"/>
        <w:gridCol w:w="540"/>
        <w:gridCol w:w="541"/>
        <w:gridCol w:w="475"/>
      </w:tblGrid>
      <w:tr>
        <w:trPr/>
        <w:tc>
          <w:tcPr>
            <w:tcW w:w="2521" w:type="dxa"/>
            <w:tcBorders/>
            <w:shd w:fill="auto" w:val="clear"/>
            <w:vAlign w:val="center"/>
          </w:tcPr>
          <w:p>
            <w:pPr>
              <w:pStyle w:val="TableContents"/>
              <w:spacing w:before="0" w:after="283"/>
              <w:rPr>
                <w:sz w:val="4"/>
                <w:szCs w:val="4"/>
              </w:rPr>
            </w:pPr>
            <w:r>
              <w:rPr>
                <w:sz w:val="4"/>
                <w:szCs w:val="4"/>
              </w:rPr>
            </w:r>
          </w:p>
        </w:tc>
        <w:tc>
          <w:tcPr>
            <w:tcW w:w="2211" w:type="dxa"/>
            <w:tcBorders/>
            <w:shd w:fill="auto" w:val="clear"/>
            <w:vAlign w:val="center"/>
          </w:tcPr>
          <w:p>
            <w:pPr>
              <w:pStyle w:val="TableContents"/>
              <w:spacing w:before="0" w:after="283"/>
              <w:rPr>
                <w:sz w:val="4"/>
                <w:szCs w:val="4"/>
              </w:rPr>
            </w:pPr>
            <w:r>
              <w:rPr>
                <w:sz w:val="4"/>
                <w:szCs w:val="4"/>
              </w:rPr>
            </w:r>
          </w:p>
        </w:tc>
        <w:tc>
          <w:tcPr>
            <w:tcW w:w="2223"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r>
      <w:tr>
        <w:trPr/>
        <w:tc>
          <w:tcPr>
            <w:tcW w:w="69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6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stock option awards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6,380,591 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5,569,567 </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RSUs</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1,168,536 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507,925 </w:t>
            </w:r>
          </w:p>
        </w:tc>
        <w:tc>
          <w:tcPr>
            <w:tcW w:w="4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PSUs</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472,711 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531,796 </w:t>
            </w:r>
          </w:p>
        </w:tc>
        <w:tc>
          <w:tcPr>
            <w:tcW w:w="4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common stock available for future grants under the 2020 Stock Option and Incentive Plan</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3,443,098 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2,937,769 </w:t>
            </w:r>
          </w:p>
        </w:tc>
        <w:tc>
          <w:tcPr>
            <w:tcW w:w="4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common stock available for future issuance under the 2020 Employee Stock Purchase Plan</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844,888 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888,184 </w:t>
            </w:r>
          </w:p>
        </w:tc>
        <w:tc>
          <w:tcPr>
            <w:tcW w:w="4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common stock available for future issuance under the 2022 Inducement Plan</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4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reserved for future issuance</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13,309,824 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11,435,241 </w:t>
            </w:r>
          </w:p>
        </w:tc>
        <w:tc>
          <w:tcPr>
            <w:tcW w:w="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11. Equity Incentive Plans and Stock-Based Compensation</w:t>
      </w:r>
    </w:p>
    <w:p>
      <w:pPr>
        <w:pStyle w:val="TextBody"/>
        <w:spacing w:lineRule="auto" w:line="288" w:before="120" w:after="283"/>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In 2015, the Company's board of directors adopted the 2015 Equity Incentive Plan (as amended in 2018, 2019 and 2020, the “2015 Plan”), which provided for the grant of incentive stock options, nonqualified stock options or other awards including stock appreciation rights and restricted stock awards to the Company’s employees, officers, directors, advisors, and consultants. In May 2020, the board of directors adopted the 2020 Stock Options and Incentive Plan (the “2020 Plan”) and suspended the 2015 Plan. Awards outstanding under either the 2015 Plan or 2020 Plan that are cancelled, expire or otherwise terminated subsequent to May 2020 will become available for issuance as common stock under the 2020 Plan. Additionally, the 2020 Plan is subject to automatic increases on January 1 of each year beginning January 1, 2021. The number of shares added each January 1 will be equal to the lesser of (i) 5% of the outstanding shares on the immediately preceding December 31 or (ii) such amount as determined by the administrator of the 2020 Plan, which is the compensation committee of the board of directors of the Company.</w:t>
      </w:r>
    </w:p>
    <w:p>
      <w:pPr>
        <w:pStyle w:val="TextBody"/>
        <w:spacing w:lineRule="auto" w:line="288" w:before="120" w:after="283"/>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The 2020 Plan provides for the grant of incentive stock options, nonqualified stock options or other awards including stock appreciation rights, restricted stock awards and restricted stock units to the Company’s employees, officers, directors, advisors, and consultants. As of March 31, 2023, 3,443,098 shares of common stock were available for future issuance under the 2020 Plan.</w:t>
      </w:r>
    </w:p>
    <w:p>
      <w:pPr>
        <w:pStyle w:val="TextBody"/>
        <w:spacing w:lineRule="auto" w:line="288" w:before="120" w:after="283"/>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In 2022, the Board of Directors adopted the 2022 Inducement Plan ("Inducement Plan"), under which the Company may grant restricted stock units, stock options, stock appreciation rights, and restricted stock awards to new hires. As of March 31, 2023, 1,000,000 shares of common stock were available for issuance under the Inducement Plan.</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before="0" w:after="0"/>
        <w:rPr/>
      </w:pPr>
      <w:r>
        <w:rPr/>
      </w:r>
    </w:p>
    <w:p>
      <w:pPr>
        <w:pStyle w:val="TextBody"/>
        <w:spacing w:lineRule="auto" w:line="288" w:before="120" w:after="283"/>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Options under the 2020 Plan may be granted for periods of up to 10 years and at prices no less than the market price of the Company’s common stock on the date of grant, provided, however, that the exercise price of an incentive stock option granted to a 10.0% shareholder shall not be less than 110.0% of the estimated fair value of the shares on the date of grant and the option is not exercisable after the expiration of five years from the date of grant.</w:t>
      </w:r>
    </w:p>
    <w:p>
      <w:pPr>
        <w:pStyle w:val="TextBody"/>
        <w:spacing w:lineRule="auto" w:line="288" w:before="36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Incentive Stock Options and Nonqualified Stock Options</w:t>
      </w:r>
    </w:p>
    <w:p>
      <w:pPr>
        <w:pStyle w:val="TextBody"/>
        <w:spacing w:lineRule="auto" w:line="288" w:before="120" w:after="283"/>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Stock options issued under either the 2015 Plan or the 2020 Plan generally vest over four years and expire ten years from the date of grant. Certain options provide for accelerated vesting if there is a change in control, as defined in the respective plans.</w:t>
      </w:r>
    </w:p>
    <w:p>
      <w:pPr>
        <w:pStyle w:val="TextBody"/>
        <w:spacing w:lineRule="auto" w:line="288" w:before="240" w:after="283"/>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The Company used the Black-Scholes option pricing model to estimate stock-based compensation expense for stock option awards with the following assumptions:</w:t>
      </w:r>
    </w:p>
    <w:tbl>
      <w:tblPr>
        <w:tblW w:w="7384" w:type="dxa"/>
        <w:jc w:val="left"/>
        <w:tblInd w:w="0" w:type="dxa"/>
        <w:tblCellMar>
          <w:top w:w="28" w:type="dxa"/>
          <w:left w:w="28" w:type="dxa"/>
          <w:bottom w:w="28" w:type="dxa"/>
          <w:right w:w="28" w:type="dxa"/>
        </w:tblCellMar>
      </w:tblPr>
      <w:tblGrid>
        <w:gridCol w:w="1121"/>
        <w:gridCol w:w="983"/>
        <w:gridCol w:w="986"/>
        <w:gridCol w:w="505"/>
        <w:gridCol w:w="505"/>
        <w:gridCol w:w="505"/>
        <w:gridCol w:w="261"/>
        <w:gridCol w:w="261"/>
        <w:gridCol w:w="261"/>
        <w:gridCol w:w="505"/>
        <w:gridCol w:w="505"/>
        <w:gridCol w:w="505"/>
        <w:gridCol w:w="109"/>
        <w:gridCol w:w="109"/>
        <w:gridCol w:w="109"/>
        <w:gridCol w:w="154"/>
      </w:tblGrid>
      <w:tr>
        <w:trPr/>
        <w:tc>
          <w:tcPr>
            <w:tcW w:w="1121"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sz w:val="4"/>
                <w:szCs w:val="4"/>
              </w:rPr>
            </w:pPr>
            <w:r>
              <w:rPr>
                <w:sz w:val="4"/>
                <w:szCs w:val="4"/>
              </w:rPr>
            </w:r>
          </w:p>
        </w:tc>
        <w:tc>
          <w:tcPr>
            <w:tcW w:w="986"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813"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0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5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7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51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80.97% - 81.41%</w:t>
            </w:r>
          </w:p>
        </w:tc>
        <w:tc>
          <w:tcPr>
            <w:tcW w:w="7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74.48% - 75.01%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515"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3.42% - 4.18%</w:t>
            </w:r>
          </w:p>
        </w:tc>
        <w:tc>
          <w:tcPr>
            <w:tcW w:w="7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1.64% - 2.13%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w:t>
            </w:r>
          </w:p>
        </w:tc>
        <w:tc>
          <w:tcPr>
            <w:tcW w:w="151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7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1515"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5.77 - 6.08</w:t>
            </w:r>
          </w:p>
        </w:tc>
        <w:tc>
          <w:tcPr>
            <w:tcW w:w="7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6.02 - 6.08</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Underlying common stock fair value</w:t>
            </w:r>
          </w:p>
        </w:tc>
        <w:tc>
          <w:tcPr>
            <w:tcW w:w="1515"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21.94 - 34.65</w:t>
            </w:r>
          </w:p>
        </w:tc>
        <w:tc>
          <w:tcPr>
            <w:tcW w:w="7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7.56 - 12.68</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The Company granted 1,278,984 stock options under the 2020 Plan during the three months ended March 31, 2023.</w:t>
      </w:r>
    </w:p>
    <w:p>
      <w:pPr>
        <w:pStyle w:val="TextBody"/>
        <w:spacing w:lineRule="auto" w:line="288" w:before="240" w:after="283"/>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A summary of option activity under the 2015 Plan and the 2020 Plan is as follows:</w:t>
      </w:r>
    </w:p>
    <w:tbl>
      <w:tblPr>
        <w:tblW w:w="10039" w:type="dxa"/>
        <w:jc w:val="left"/>
        <w:tblInd w:w="0" w:type="dxa"/>
        <w:tblCellMar>
          <w:top w:w="28" w:type="dxa"/>
          <w:left w:w="28" w:type="dxa"/>
          <w:bottom w:w="28" w:type="dxa"/>
          <w:right w:w="28" w:type="dxa"/>
        </w:tblCellMar>
      </w:tblPr>
      <w:tblGrid>
        <w:gridCol w:w="1500"/>
        <w:gridCol w:w="1316"/>
        <w:gridCol w:w="1324"/>
        <w:gridCol w:w="488"/>
        <w:gridCol w:w="488"/>
        <w:gridCol w:w="231"/>
        <w:gridCol w:w="109"/>
        <w:gridCol w:w="109"/>
        <w:gridCol w:w="109"/>
        <w:gridCol w:w="307"/>
        <w:gridCol w:w="898"/>
        <w:gridCol w:w="161"/>
        <w:gridCol w:w="109"/>
        <w:gridCol w:w="109"/>
        <w:gridCol w:w="109"/>
        <w:gridCol w:w="419"/>
        <w:gridCol w:w="419"/>
        <w:gridCol w:w="421"/>
        <w:gridCol w:w="109"/>
        <w:gridCol w:w="109"/>
        <w:gridCol w:w="109"/>
        <w:gridCol w:w="211"/>
        <w:gridCol w:w="721"/>
        <w:gridCol w:w="154"/>
      </w:tblGrid>
      <w:tr>
        <w:trPr/>
        <w:tc>
          <w:tcPr>
            <w:tcW w:w="1500" w:type="dxa"/>
            <w:tcBorders/>
            <w:shd w:fill="auto" w:val="clear"/>
            <w:vAlign w:val="center"/>
          </w:tcPr>
          <w:p>
            <w:pPr>
              <w:pStyle w:val="TableContents"/>
              <w:spacing w:before="0" w:after="283"/>
              <w:rPr>
                <w:sz w:val="4"/>
                <w:szCs w:val="4"/>
              </w:rPr>
            </w:pPr>
            <w:r>
              <w:rPr>
                <w:sz w:val="4"/>
                <w:szCs w:val="4"/>
              </w:rPr>
            </w:r>
          </w:p>
        </w:tc>
        <w:tc>
          <w:tcPr>
            <w:tcW w:w="1316" w:type="dxa"/>
            <w:tcBorders/>
            <w:shd w:fill="auto" w:val="clear"/>
            <w:vAlign w:val="center"/>
          </w:tcPr>
          <w:p>
            <w:pPr>
              <w:pStyle w:val="TableContents"/>
              <w:spacing w:before="0" w:after="283"/>
              <w:rPr>
                <w:sz w:val="4"/>
                <w:szCs w:val="4"/>
              </w:rPr>
            </w:pPr>
            <w:r>
              <w:rPr>
                <w:sz w:val="4"/>
                <w:szCs w:val="4"/>
              </w:rPr>
            </w:r>
          </w:p>
        </w:tc>
        <w:tc>
          <w:tcPr>
            <w:tcW w:w="1324"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0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w:t>
              <w:br/>
              <w:t>of</w:t>
              <w:br/>
              <w:t>Options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 Exercise</w:t>
              <w:br/>
              <w:t>Price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Contractual</w:t>
              <w:br/>
              <w:t>Term (in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br/>
              <w:t>Intrinsic</w:t>
              <w:br/>
              <w:t>Value</w:t>
            </w:r>
          </w:p>
        </w:tc>
      </w:tr>
      <w:tr>
        <w:trPr/>
        <w:tc>
          <w:tcPr>
            <w:tcW w:w="414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2022</w:t>
            </w:r>
          </w:p>
        </w:tc>
        <w:tc>
          <w:tcPr>
            <w:tcW w:w="976" w:type="dxa"/>
            <w:gridSpan w:val="2"/>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5,569,567 </w:t>
            </w:r>
          </w:p>
        </w:tc>
        <w:tc>
          <w:tcPr>
            <w:tcW w:w="231"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13.34 </w:t>
            </w:r>
          </w:p>
        </w:tc>
        <w:tc>
          <w:tcPr>
            <w:tcW w:w="161"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43,696 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1,278,984 </w:t>
            </w:r>
          </w:p>
        </w:tc>
        <w:tc>
          <w:tcPr>
            <w:tcW w:w="2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32.71 </w:t>
            </w:r>
          </w:p>
        </w:tc>
        <w:tc>
          <w:tcPr>
            <w:tcW w:w="1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76"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(411,018)</w:t>
            </w:r>
          </w:p>
        </w:tc>
        <w:tc>
          <w:tcPr>
            <w:tcW w:w="23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7.09 </w:t>
            </w:r>
          </w:p>
        </w:tc>
        <w:tc>
          <w:tcPr>
            <w:tcW w:w="16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(56,942)</w:t>
            </w:r>
          </w:p>
        </w:tc>
        <w:tc>
          <w:tcPr>
            <w:tcW w:w="2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12.87 </w:t>
            </w:r>
          </w:p>
        </w:tc>
        <w:tc>
          <w:tcPr>
            <w:tcW w:w="1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March 31, 2023</w:t>
            </w:r>
          </w:p>
        </w:tc>
        <w:tc>
          <w:tcPr>
            <w:tcW w:w="976" w:type="dxa"/>
            <w:gridSpan w:val="2"/>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6,380,591 </w:t>
            </w:r>
          </w:p>
        </w:tc>
        <w:tc>
          <w:tcPr>
            <w:tcW w:w="231"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17.63 </w:t>
            </w:r>
          </w:p>
        </w:tc>
        <w:tc>
          <w:tcPr>
            <w:tcW w:w="16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66,628 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as of March 31, 2023</w:t>
            </w:r>
          </w:p>
        </w:tc>
        <w:tc>
          <w:tcPr>
            <w:tcW w:w="976" w:type="dxa"/>
            <w:gridSpan w:val="2"/>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2,441,738 </w:t>
            </w:r>
          </w:p>
        </w:tc>
        <w:tc>
          <w:tcPr>
            <w:tcW w:w="231" w:type="dxa"/>
            <w:tcBorders>
              <w:top w:val="doub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13.49 </w:t>
            </w:r>
          </w:p>
        </w:tc>
        <w:tc>
          <w:tcPr>
            <w:tcW w:w="1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32,909 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 as of March 31, 2023</w:t>
            </w:r>
          </w:p>
        </w:tc>
        <w:tc>
          <w:tcPr>
            <w:tcW w:w="976" w:type="dxa"/>
            <w:gridSpan w:val="2"/>
            <w:tcBorders>
              <w:top w:val="doub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6,380,591 </w:t>
            </w:r>
          </w:p>
        </w:tc>
        <w:tc>
          <w:tcPr>
            <w:tcW w:w="231" w:type="dxa"/>
            <w:tcBorders>
              <w:top w:val="doub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17.63 </w:t>
            </w:r>
          </w:p>
        </w:tc>
        <w:tc>
          <w:tcPr>
            <w:tcW w:w="16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66,628 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there were $52.7 million of unrecognized compensation costs that are expected to be recognized over the weighted-average period of 3.14 years related to stock options. Aggregate intrinsic value represents the difference between the fair value of the underlying common stock and the exercise price as of March 31, 2023. The weighted-average grant date fair value of options granted during the three months ended March 31, 2023 was $23.36 per share. </w:t>
      </w:r>
    </w:p>
    <w:p>
      <w:pPr>
        <w:pStyle w:val="TextBody"/>
        <w:spacing w:lineRule="auto" w:line="288" w:before="36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spacing w:lineRule="auto" w:line="288" w:before="120" w:after="283"/>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The service-based condition for restricted stock units ("RSUs") is generally satisfied over two years or three years. The following table sets forth the outstanding RSUs and related activity for the three months ended March 31, 2023:</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before="0" w:after="0"/>
        <w:rPr/>
      </w:pPr>
      <w:r>
        <w:rPr/>
      </w:r>
    </w:p>
    <w:tbl>
      <w:tblPr>
        <w:tblW w:w="9310" w:type="dxa"/>
        <w:jc w:val="left"/>
        <w:tblInd w:w="0" w:type="dxa"/>
        <w:tblCellMar>
          <w:top w:w="28" w:type="dxa"/>
          <w:left w:w="28" w:type="dxa"/>
          <w:bottom w:w="28" w:type="dxa"/>
          <w:right w:w="28" w:type="dxa"/>
        </w:tblCellMar>
      </w:tblPr>
      <w:tblGrid>
        <w:gridCol w:w="1472"/>
        <w:gridCol w:w="1294"/>
        <w:gridCol w:w="1298"/>
        <w:gridCol w:w="569"/>
        <w:gridCol w:w="569"/>
        <w:gridCol w:w="571"/>
        <w:gridCol w:w="109"/>
        <w:gridCol w:w="109"/>
        <w:gridCol w:w="109"/>
        <w:gridCol w:w="939"/>
        <w:gridCol w:w="939"/>
        <w:gridCol w:w="1332"/>
      </w:tblGrid>
      <w:tr>
        <w:trPr/>
        <w:tc>
          <w:tcPr>
            <w:tcW w:w="1472" w:type="dxa"/>
            <w:tcBorders/>
            <w:shd w:fill="auto" w:val="clear"/>
            <w:vAlign w:val="center"/>
          </w:tcPr>
          <w:p>
            <w:pPr>
              <w:pStyle w:val="TableContents"/>
              <w:spacing w:before="0" w:after="283"/>
              <w:rPr>
                <w:sz w:val="4"/>
                <w:szCs w:val="4"/>
              </w:rPr>
            </w:pPr>
            <w:r>
              <w:rPr>
                <w:sz w:val="4"/>
                <w:szCs w:val="4"/>
              </w:rPr>
            </w:r>
          </w:p>
        </w:tc>
        <w:tc>
          <w:tcPr>
            <w:tcW w:w="1294" w:type="dxa"/>
            <w:tcBorders/>
            <w:shd w:fill="auto" w:val="clear"/>
            <w:vAlign w:val="center"/>
          </w:tcPr>
          <w:p>
            <w:pPr>
              <w:pStyle w:val="TableContents"/>
              <w:spacing w:before="0" w:after="283"/>
              <w:rPr>
                <w:sz w:val="4"/>
                <w:szCs w:val="4"/>
              </w:rPr>
            </w:pPr>
            <w:r>
              <w:rPr>
                <w:sz w:val="4"/>
                <w:szCs w:val="4"/>
              </w:rPr>
            </w:r>
          </w:p>
        </w:tc>
        <w:tc>
          <w:tcPr>
            <w:tcW w:w="1298"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1332" w:type="dxa"/>
            <w:tcBorders/>
            <w:shd w:fill="auto" w:val="clear"/>
            <w:vAlign w:val="center"/>
          </w:tcPr>
          <w:p>
            <w:pPr>
              <w:pStyle w:val="TableContents"/>
              <w:spacing w:before="0" w:after="283"/>
              <w:rPr>
                <w:sz w:val="4"/>
                <w:szCs w:val="4"/>
              </w:rPr>
            </w:pPr>
            <w:r>
              <w:rPr>
                <w:sz w:val="4"/>
                <w:szCs w:val="4"/>
              </w:rPr>
            </w:r>
          </w:p>
        </w:tc>
      </w:tr>
      <w:tr>
        <w:trPr/>
        <w:tc>
          <w:tcPr>
            <w:tcW w:w="40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Restricted Stock Units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Grant Date Fair Value</w:t>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and outstanding at December 31, 2022</w:t>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507,925 </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17.43 </w:t>
            </w:r>
          </w:p>
        </w:tc>
        <w:tc>
          <w:tcPr>
            <w:tcW w:w="13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1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671,708 </w:t>
            </w:r>
          </w:p>
        </w:tc>
        <w:tc>
          <w:tcPr>
            <w:tcW w:w="5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34.65 </w:t>
            </w:r>
          </w:p>
        </w:tc>
        <w:tc>
          <w:tcPr>
            <w:tcW w:w="13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1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(11,097)</w:t>
            </w:r>
          </w:p>
        </w:tc>
        <w:tc>
          <w:tcPr>
            <w:tcW w:w="5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20.19 </w:t>
            </w:r>
          </w:p>
        </w:tc>
        <w:tc>
          <w:tcPr>
            <w:tcW w:w="13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and outstanding at March 31, 2023</w:t>
            </w:r>
          </w:p>
        </w:tc>
        <w:tc>
          <w:tcPr>
            <w:tcW w:w="11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1,168,536 </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27.30 </w:t>
            </w:r>
          </w:p>
        </w:tc>
        <w:tc>
          <w:tcPr>
            <w:tcW w:w="13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As of March 31, 2023, the Company had $27.4 million of unrecognized stock-based compensation expense related to outstanding RSUs expected to be recognized over a weighted-average period of 2.52 years.</w:t>
      </w:r>
    </w:p>
    <w:p>
      <w:pPr>
        <w:pStyle w:val="TextBody"/>
        <w:spacing w:lineRule="auto" w:line="288" w:before="36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Performance-Based Restricted Stock Units</w:t>
      </w:r>
    </w:p>
    <w:p>
      <w:pPr>
        <w:pStyle w:val="TextBody"/>
        <w:spacing w:lineRule="auto" w:line="288" w:before="120" w:after="283"/>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Performance-based restricted stock units ("PSUs") vest upon the achievement of market and performance conditions. Market conditions include the Company's total shareholder return ("TSR") relative to the NASDAQ Biotechnology Index over the term of the award ending on June 30, 2024, and performance conditions consist of multiple clinical development milestones associated with bexotegrast. The performance vesting conditions generally must be satisfied within a two-year period and are forfeited if the vesting conditions are not met. Additionally, the number of shares of common stock issued upon vesting will range from 0% to 200% of the PSUs based on achievement of certain targets. The PSUs granted were allocated evenly between the market based, TSR, awards and those with performance conditions associated with clinical development milestones.</w:t>
      </w:r>
    </w:p>
    <w:p>
      <w:pPr>
        <w:pStyle w:val="TextBody"/>
        <w:spacing w:lineRule="auto" w:line="288" w:before="120" w:after="283"/>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PSUs associated with clinical development vesting conditions were determined to be equal to the fair market value of the Company's share price on the date of grant. The fair value of the TSR PSUs were derived from a Monte Carlo simulation model that used the following key assumptions: </w:t>
      </w:r>
    </w:p>
    <w:tbl>
      <w:tblPr>
        <w:tblW w:w="4697" w:type="dxa"/>
        <w:jc w:val="left"/>
        <w:tblInd w:w="0" w:type="dxa"/>
        <w:tblCellMar>
          <w:top w:w="28" w:type="dxa"/>
          <w:left w:w="28" w:type="dxa"/>
          <w:bottom w:w="28" w:type="dxa"/>
          <w:right w:w="28" w:type="dxa"/>
        </w:tblCellMar>
      </w:tblPr>
      <w:tblGrid>
        <w:gridCol w:w="1287"/>
        <w:gridCol w:w="1130"/>
        <w:gridCol w:w="1137"/>
        <w:gridCol w:w="211"/>
        <w:gridCol w:w="616"/>
        <w:gridCol w:w="316"/>
      </w:tblGrid>
      <w:tr>
        <w:trPr/>
        <w:tc>
          <w:tcPr>
            <w:tcW w:w="1287"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113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date share price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 term (years)</w:t>
            </w:r>
          </w:p>
        </w:tc>
        <w:tc>
          <w:tcPr>
            <w:tcW w:w="114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w:t>
            </w:r>
          </w:p>
        </w:tc>
      </w:tr>
      <w:tr>
        <w:trPr/>
        <w:tc>
          <w:tcPr>
            <w:tcW w:w="355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70.62 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Correlation coefficient</w:t>
            </w:r>
          </w:p>
        </w:tc>
        <w:tc>
          <w:tcPr>
            <w:tcW w:w="114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0.3508</w:t>
            </w:r>
          </w:p>
        </w:tc>
      </w:tr>
      <w:tr>
        <w:trPr/>
        <w:tc>
          <w:tcPr>
            <w:tcW w:w="3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peer group volatility</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79.69 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peer group correlation coefficient</w:t>
            </w:r>
          </w:p>
        </w:tc>
        <w:tc>
          <w:tcPr>
            <w:tcW w:w="114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0.4397</w:t>
            </w:r>
          </w:p>
        </w:tc>
      </w:tr>
      <w:tr>
        <w:trPr/>
        <w:tc>
          <w:tcPr>
            <w:tcW w:w="3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free interest rate</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20" w:after="283"/>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As of March 31, 2023, there were 354,532 PSUs associated with the TSR goal at target level achievement of 100% and related activity outstanding with a weighted average grant date fair value of $29.15 per share. There were no additional grants, forfeitures or vesting of the PSUs associated with market-based vesting conditions during the three months ended March 31, 2023.</w:t>
      </w:r>
    </w:p>
    <w:p>
      <w:pPr>
        <w:pStyle w:val="TextBody"/>
        <w:spacing w:lineRule="auto" w:line="288" w:before="120" w:after="283"/>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outstanding PSUs associated with clinical development milestones and related activity during the three months ended March 31, 2023:</w:t>
      </w:r>
    </w:p>
    <w:tbl>
      <w:tblPr>
        <w:tblW w:w="9700" w:type="dxa"/>
        <w:jc w:val="left"/>
        <w:tblInd w:w="0" w:type="dxa"/>
        <w:tblCellMar>
          <w:top w:w="28" w:type="dxa"/>
          <w:left w:w="28" w:type="dxa"/>
          <w:bottom w:w="28" w:type="dxa"/>
          <w:right w:w="28" w:type="dxa"/>
        </w:tblCellMar>
      </w:tblPr>
      <w:tblGrid>
        <w:gridCol w:w="1537"/>
        <w:gridCol w:w="1349"/>
        <w:gridCol w:w="1358"/>
        <w:gridCol w:w="639"/>
        <w:gridCol w:w="639"/>
        <w:gridCol w:w="641"/>
        <w:gridCol w:w="109"/>
        <w:gridCol w:w="109"/>
        <w:gridCol w:w="109"/>
        <w:gridCol w:w="939"/>
        <w:gridCol w:w="939"/>
        <w:gridCol w:w="1332"/>
      </w:tblGrid>
      <w:tr>
        <w:trPr/>
        <w:tc>
          <w:tcPr>
            <w:tcW w:w="1537" w:type="dxa"/>
            <w:tcBorders/>
            <w:shd w:fill="auto" w:val="clear"/>
            <w:vAlign w:val="center"/>
          </w:tcPr>
          <w:p>
            <w:pPr>
              <w:pStyle w:val="TableContents"/>
              <w:spacing w:before="0" w:after="283"/>
              <w:rPr>
                <w:sz w:val="4"/>
                <w:szCs w:val="4"/>
              </w:rPr>
            </w:pPr>
            <w:r>
              <w:rPr>
                <w:sz w:val="4"/>
                <w:szCs w:val="4"/>
              </w:rPr>
            </w:r>
          </w:p>
        </w:tc>
        <w:tc>
          <w:tcPr>
            <w:tcW w:w="1349" w:type="dxa"/>
            <w:tcBorders/>
            <w:shd w:fill="auto" w:val="clear"/>
            <w:vAlign w:val="center"/>
          </w:tcPr>
          <w:p>
            <w:pPr>
              <w:pStyle w:val="TableContents"/>
              <w:spacing w:before="0" w:after="283"/>
              <w:rPr>
                <w:sz w:val="4"/>
                <w:szCs w:val="4"/>
              </w:rPr>
            </w:pPr>
            <w:r>
              <w:rPr>
                <w:sz w:val="4"/>
                <w:szCs w:val="4"/>
              </w:rPr>
            </w:r>
          </w:p>
        </w:tc>
        <w:tc>
          <w:tcPr>
            <w:tcW w:w="1358"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1332" w:type="dxa"/>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Performance Stock Units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Grant Date Fair Value</w:t>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balance at December 31, 2022</w:t>
            </w:r>
          </w:p>
        </w:tc>
        <w:tc>
          <w:tcPr>
            <w:tcW w:w="12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177,266 </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17.57 </w:t>
            </w:r>
          </w:p>
        </w:tc>
        <w:tc>
          <w:tcPr>
            <w:tcW w:w="13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auto" w:val="clear"/>
            <w:vAlign w:val="center"/>
          </w:tcPr>
          <w:p>
            <w:pPr>
              <w:pStyle w:val="TableContents"/>
              <w:spacing w:before="0" w:after="283"/>
              <w:rPr>
                <w:sz w:val="4"/>
                <w:szCs w:val="4"/>
              </w:rPr>
            </w:pPr>
            <w:r>
              <w:rPr>
                <w:sz w:val="4"/>
                <w:szCs w:val="4"/>
              </w:rPr>
            </w:r>
          </w:p>
        </w:tc>
        <w:tc>
          <w:tcPr>
            <w:tcW w:w="19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10" w:type="dxa"/>
            <w:gridSpan w:val="3"/>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2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17.57 </w:t>
            </w:r>
          </w:p>
        </w:tc>
        <w:tc>
          <w:tcPr>
            <w:tcW w:w="13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 for expected performance achievement</w:t>
            </w:r>
          </w:p>
        </w:tc>
        <w:tc>
          <w:tcPr>
            <w:tcW w:w="12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354,532 </w:t>
            </w:r>
          </w:p>
        </w:tc>
        <w:tc>
          <w:tcPr>
            <w:tcW w:w="6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17.57 </w:t>
            </w:r>
          </w:p>
        </w:tc>
        <w:tc>
          <w:tcPr>
            <w:tcW w:w="13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2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(177,266)</w:t>
            </w:r>
          </w:p>
        </w:tc>
        <w:tc>
          <w:tcPr>
            <w:tcW w:w="6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17.57 </w:t>
            </w:r>
          </w:p>
        </w:tc>
        <w:tc>
          <w:tcPr>
            <w:tcW w:w="13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balance at March 31, 2023</w:t>
            </w:r>
          </w:p>
        </w:tc>
        <w:tc>
          <w:tcPr>
            <w:tcW w:w="127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354,532 </w:t>
            </w:r>
          </w:p>
        </w:tc>
        <w:tc>
          <w:tcPr>
            <w:tcW w:w="6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17.57 </w:t>
            </w:r>
          </w:p>
        </w:tc>
        <w:tc>
          <w:tcPr>
            <w:tcW w:w="13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In March 2023, the second of three milestones applicable to PSUs with clinical development vesting conditions was achieved. As of March 31, 2023, the Company considered the remaining clinical development performance conditions probable of achievement.</w:t>
      </w:r>
    </w:p>
    <w:p>
      <w:pPr>
        <w:pStyle w:val="TextBody"/>
        <w:spacing w:lineRule="auto" w:line="288" w:before="120" w:after="283"/>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As of March 31, 2023, the Company had $10.9 million of unrecognized stock-based compensation expense related to unvested PSUs expected to be recognized over a remaining weighted-average period of 1.33 years.</w:t>
      </w:r>
    </w:p>
    <w:p>
      <w:pPr>
        <w:pStyle w:val="TextBody"/>
        <w:spacing w:lineRule="auto" w:line="288" w:before="36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2020 Employee Stock Purchase Plan</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before="0" w:after="0"/>
        <w:rPr/>
      </w:pPr>
      <w:r>
        <w:rPr/>
      </w:r>
    </w:p>
    <w:p>
      <w:pPr>
        <w:pStyle w:val="TextBody"/>
        <w:spacing w:lineRule="auto" w:line="288" w:before="120" w:after="283"/>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In June 2020, the Company adopted the Company's 2020 Employee Stock Purchase Plan (the "2020 ESPP"). The Company reserved 700,000 shares of common stock for future issuance under the plan. The 2020 ESPP provides that the number of shares reserved and available for issuance will automatically increase on January 1 of each calendar year, beginning January 1, 2021, by the least of (1) 1.0% of the total number of shares of common stock outstanding on December 31 of the preceding calendar year, (2) 700,000 shares or (3) such lesser amount as determined by the administrator of the 2020 ESPP, which is the compensation committee of the board of directors of the Company.</w:t>
      </w:r>
    </w:p>
    <w:p>
      <w:pPr>
        <w:pStyle w:val="TextBody"/>
        <w:spacing w:lineRule="auto" w:line="288" w:before="240" w:after="283"/>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Under the 2020 ESPP, eligible employees may purchase shares of our common stock through payroll deductions that cannot exceed 15% of each employee’s salary. The 2020 ESPP provides for a six-month offering period. At the end of the purchase period, eligible employees are permitted to purchase shares of common stock at the lower of 85% of the fair market value at the beginning of the offering period or 85% of the fair market value at the end of the purchase period, subject to tax limitations on the total value of the purchase. The 2020 ESPP is considered a compensatory plan, and the Company recorded $0.2 million in stock-based compensation expense for the three months ended March 31, 2023. There was $0.1 million in stock-based compensation expense attributed to the 2020 ESPP for the three months ended March 31, 2022. During the three months ended March 31, 2023, 43,296 shares of common stock were issued under the 2020 ESPP with 844,888 shares remaining available for issuance under the 2020 ESPP. The Company used Black-Scholes option pricing model to estimate stock-based compensation expense for the 2020 ESPP with the following assumptions:</w:t>
      </w:r>
    </w:p>
    <w:tbl>
      <w:tblPr>
        <w:tblW w:w="5657" w:type="dxa"/>
        <w:jc w:val="left"/>
        <w:tblInd w:w="0" w:type="dxa"/>
        <w:tblCellMar>
          <w:top w:w="28" w:type="dxa"/>
          <w:left w:w="28" w:type="dxa"/>
          <w:bottom w:w="28" w:type="dxa"/>
          <w:right w:w="28" w:type="dxa"/>
        </w:tblCellMar>
      </w:tblPr>
      <w:tblGrid>
        <w:gridCol w:w="1070"/>
        <w:gridCol w:w="939"/>
        <w:gridCol w:w="945"/>
        <w:gridCol w:w="245"/>
        <w:gridCol w:w="245"/>
        <w:gridCol w:w="245"/>
        <w:gridCol w:w="178"/>
        <w:gridCol w:w="178"/>
        <w:gridCol w:w="178"/>
        <w:gridCol w:w="245"/>
        <w:gridCol w:w="245"/>
        <w:gridCol w:w="245"/>
        <w:gridCol w:w="109"/>
        <w:gridCol w:w="109"/>
        <w:gridCol w:w="109"/>
        <w:gridCol w:w="109"/>
        <w:gridCol w:w="109"/>
        <w:gridCol w:w="154"/>
      </w:tblGrid>
      <w:tr>
        <w:trPr/>
        <w:tc>
          <w:tcPr>
            <w:tcW w:w="1070"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200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9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7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735"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5.20%</w:t>
            </w:r>
          </w:p>
        </w:tc>
        <w:tc>
          <w:tcPr>
            <w:tcW w:w="534"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0.60%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of options (in years)</w:t>
            </w:r>
          </w:p>
        </w:tc>
        <w:tc>
          <w:tcPr>
            <w:tcW w:w="735"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0.50</w:t>
            </w:r>
          </w:p>
        </w:tc>
        <w:tc>
          <w:tcPr>
            <w:tcW w:w="5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stock price volatility</w:t>
            </w:r>
          </w:p>
        </w:tc>
        <w:tc>
          <w:tcPr>
            <w:tcW w:w="735" w:type="dxa"/>
            <w:gridSpan w:val="3"/>
            <w:tcBorders/>
            <w:shd w:fill="CFF0FC"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69.15%</w:t>
            </w:r>
          </w:p>
        </w:tc>
        <w:tc>
          <w:tcPr>
            <w:tcW w:w="534"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63.17%</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dividends</w:t>
            </w:r>
          </w:p>
        </w:tc>
        <w:tc>
          <w:tcPr>
            <w:tcW w:w="735"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color w:val="000000"/>
              </w:rPr>
            </w:pPr>
            <w:r>
              <w:rPr>
                <w:color w:val="000000"/>
              </w:rPr>
              <w:t>—</w:t>
            </w:r>
          </w:p>
        </w:tc>
        <w:tc>
          <w:tcPr>
            <w:tcW w:w="5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36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Stock-Based Compensation Expense</w:t>
      </w:r>
    </w:p>
    <w:p>
      <w:pPr>
        <w:pStyle w:val="TextBody"/>
        <w:spacing w:lineRule="auto" w:line="288" w:before="120" w:after="283"/>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components and classification of stock-based compensation expense for the Company’s stock-based awards for the three months ended March 31, 2023 and 2022 (in thousands):</w:t>
      </w:r>
    </w:p>
    <w:tbl>
      <w:tblPr>
        <w:tblW w:w="6234" w:type="dxa"/>
        <w:jc w:val="center"/>
        <w:tblInd w:w="0" w:type="dxa"/>
        <w:tblCellMar>
          <w:top w:w="28" w:type="dxa"/>
          <w:left w:w="28" w:type="dxa"/>
          <w:bottom w:w="28" w:type="dxa"/>
          <w:right w:w="28" w:type="dxa"/>
        </w:tblCellMar>
      </w:tblPr>
      <w:tblGrid>
        <w:gridCol w:w="1247"/>
        <w:gridCol w:w="1097"/>
        <w:gridCol w:w="1105"/>
        <w:gridCol w:w="211"/>
        <w:gridCol w:w="721"/>
        <w:gridCol w:w="109"/>
        <w:gridCol w:w="109"/>
        <w:gridCol w:w="109"/>
        <w:gridCol w:w="109"/>
        <w:gridCol w:w="211"/>
        <w:gridCol w:w="616"/>
        <w:gridCol w:w="109"/>
        <w:gridCol w:w="109"/>
        <w:gridCol w:w="109"/>
        <w:gridCol w:w="109"/>
        <w:gridCol w:w="154"/>
      </w:tblGrid>
      <w:tr>
        <w:trPr/>
        <w:tc>
          <w:tcPr>
            <w:tcW w:w="1247" w:type="dxa"/>
            <w:tcBorders/>
            <w:shd w:fill="auto" w:val="clear"/>
            <w:vAlign w:val="center"/>
          </w:tcPr>
          <w:p>
            <w:pPr>
              <w:pStyle w:val="TableContents"/>
              <w:spacing w:before="0" w:after="283"/>
              <w:rPr>
                <w:sz w:val="4"/>
                <w:szCs w:val="4"/>
              </w:rPr>
            </w:pPr>
            <w:r>
              <w:rPr>
                <w:sz w:val="4"/>
                <w:szCs w:val="4"/>
              </w:rPr>
            </w:r>
          </w:p>
        </w:tc>
        <w:tc>
          <w:tcPr>
            <w:tcW w:w="1097" w:type="dxa"/>
            <w:tcBorders/>
            <w:shd w:fill="auto" w:val="clear"/>
            <w:vAlign w:val="center"/>
          </w:tcPr>
          <w:p>
            <w:pPr>
              <w:pStyle w:val="TableContents"/>
              <w:spacing w:before="0" w:after="283"/>
              <w:rPr>
                <w:sz w:val="4"/>
                <w:szCs w:val="4"/>
              </w:rPr>
            </w:pPr>
            <w:r>
              <w:rPr>
                <w:sz w:val="4"/>
                <w:szCs w:val="4"/>
              </w:rPr>
            </w:r>
          </w:p>
        </w:tc>
        <w:tc>
          <w:tcPr>
            <w:tcW w:w="110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4"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4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awards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and ESPP</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Performance-based restricted stock units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12. Income Taxes</w:t>
      </w:r>
    </w:p>
    <w:p>
      <w:pPr>
        <w:pStyle w:val="TextBody"/>
        <w:spacing w:lineRule="auto" w:line="288" w:before="120" w:after="283"/>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and 2022, the Company did not record an income tax provision. The Company will continue to maintain a 100% valuation allowance on total deferred tax assets. The Company believes it is more likely than not that the related deferred tax asset will not be realized. As a result, the Company’s effective tax rate will remain at 0% because there are no estimated or discrete items that would impact the tax provision.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13. Commitments and Contingencies</w:t>
      </w:r>
    </w:p>
    <w:p>
      <w:pPr>
        <w:pStyle w:val="TextBody"/>
        <w:spacing w:lineRule="auto" w:line="288" w:before="12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Purchase Commitments</w:t>
      </w:r>
    </w:p>
    <w:p>
      <w:pPr>
        <w:pStyle w:val="TextBody"/>
        <w:spacing w:lineRule="auto" w:line="288" w:before="120" w:after="283"/>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contractual arrangements with research and development organizations and suppliers; however, these contracts are generally cancellable on 30 days’ notice and the obligations under these contracts are largely based on services performed.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before="0" w:after="0"/>
        <w:rPr/>
      </w:pPr>
      <w:r>
        <w:rPr/>
      </w:r>
    </w:p>
    <w:p>
      <w:pPr>
        <w:pStyle w:val="TextBody"/>
        <w:spacing w:lineRule="auto" w:line="288" w:before="200" w:after="283"/>
        <w:ind w:left="0" w:right="0" w:hanging="720"/>
        <w:rPr>
          <w:rFonts w:ascii="Times New Roman;sans-serif" w:hAnsi="Times New Roman;sans-serif"/>
          <w:b/>
          <w:color w:val="000000"/>
          <w:sz w:val="20"/>
        </w:rPr>
      </w:pPr>
      <w:r>
        <w:rPr>
          <w:rFonts w:ascii="Times New Roman;sans-serif" w:hAnsi="Times New Roman;sans-serif"/>
          <w:b/>
          <w:color w:val="000000"/>
          <w:sz w:val="20"/>
        </w:rPr>
        <w:t>14. Leases</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2018, the Company entered into a non-cancelable lease agreement (the “Lease”) for premises consisting of approximately 32,974 square feet located in South San Francisco, California (the “Premises”). The Company moved into the Premises in July 2018. The Premises is being used for the Company’s corporate headquarters and principal operating facility. The term of the Lease is eighty-four months, which commenced on July 1, 2018. Base rent was abated for the first two months of the lease term and thereafter is $0.2 million per month during the first year of the lease term, with specified annual increases thereafter. The Company paid a refundable security deposit of approximately $0.4 million, which is included in other non-current assets in the condensed balance sheets at March 31, 2023 and December 31, 2022. The Company has the right to extend the lease term by seven years upon written notice not more than twelve months nor less than nine months prior to the expiration of the original lease term, with monthly payments equal to the “fair rental value” as defined in the Lease. The exercise of lease renewal options is at the sole discretion of the Company and is not included in the right-of-use (ROU) asset and lease liability as it is not reasonably certain of exercise. This lease does not contain material variable rent payments, residual value guarantees, covenants, or other restrictions. </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2022, the Company entered into a non-cancelable lease agreement for premises consisting of approximately 12,456 square feet located in South San Francisco, California. The premises is being used as additional office space for the Company. The term of the lease is 18 months, which commenced on August 1, 2022. Base rent is $0.1 million per month during the first year of the lease term, with specified annual increases of 3% thereafter. The Company has the right to extend the lease term by three years with monthly payments equal to the market rate of rent. The exercise of lease renewal options is at the sole discretion of the Company and is not included in the right-of-use (ROU) asset and lease liability as it is not reasonably certain of exercise. This lease does not contain material variable rent payments, residual value guarantees, covenants, or other restrictions. </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For each of the three months ended March 31, 2023 and 2022, the Company recognized expenses associated with the operating leases of $0.7 million. Additionally, the Company incurred variable lease costs of $0.2 million and $0.1 million for the three months ended March 31, 2023 and 2022, respectively, which is comprised primarily of the Company's proportionate share of operating expenses, property taxes, and insurance. Short-term lease expense and variable lease payments recorded in operating expenses were immaterial for the three months ended March 31, 2023 and 2022. Cash paid for amounts included in the measurement of operating lease liabilities was $0.8 million and $0.6 million for the three months ended March 31, 2023 and 2022, respectively.</w:t>
      </w:r>
    </w:p>
    <w:p>
      <w:pPr>
        <w:pStyle w:val="TextBody"/>
        <w:spacing w:lineRule="auto" w:line="26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undiscounted future non-cancellable lease payments of the Company's operating lease liabilities as of March 31, 2023 were as follows (in thousands):</w:t>
      </w:r>
    </w:p>
    <w:tbl>
      <w:tblPr>
        <w:tblW w:w="5322" w:type="dxa"/>
        <w:jc w:val="left"/>
        <w:tblInd w:w="0" w:type="dxa"/>
        <w:tblCellMar>
          <w:top w:w="28" w:type="dxa"/>
          <w:left w:w="28" w:type="dxa"/>
          <w:bottom w:w="28" w:type="dxa"/>
          <w:right w:w="28" w:type="dxa"/>
        </w:tblCellMar>
      </w:tblPr>
      <w:tblGrid>
        <w:gridCol w:w="1322"/>
        <w:gridCol w:w="1158"/>
        <w:gridCol w:w="1165"/>
        <w:gridCol w:w="109"/>
        <w:gridCol w:w="109"/>
        <w:gridCol w:w="109"/>
        <w:gridCol w:w="290"/>
        <w:gridCol w:w="848"/>
        <w:gridCol w:w="212"/>
      </w:tblGrid>
      <w:tr>
        <w:trPr/>
        <w:tc>
          <w:tcPr>
            <w:tcW w:w="1322" w:type="dxa"/>
            <w:tcBorders/>
            <w:shd w:fill="auto" w:val="clear"/>
            <w:vAlign w:val="center"/>
          </w:tcPr>
          <w:p>
            <w:pPr>
              <w:pStyle w:val="TableContents"/>
              <w:spacing w:before="0" w:after="283"/>
              <w:rPr>
                <w:sz w:val="4"/>
                <w:szCs w:val="4"/>
              </w:rPr>
            </w:pPr>
            <w:r>
              <w:rPr>
                <w:sz w:val="4"/>
                <w:szCs w:val="4"/>
              </w:rPr>
            </w:r>
          </w:p>
        </w:tc>
        <w:tc>
          <w:tcPr>
            <w:tcW w:w="1158" w:type="dxa"/>
            <w:tcBorders/>
            <w:shd w:fill="auto" w:val="clear"/>
            <w:vAlign w:val="center"/>
          </w:tcPr>
          <w:p>
            <w:pPr>
              <w:pStyle w:val="TableContents"/>
              <w:spacing w:before="0" w:after="283"/>
              <w:rPr>
                <w:sz w:val="4"/>
                <w:szCs w:val="4"/>
              </w:rPr>
            </w:pPr>
            <w:r>
              <w:rPr>
                <w:sz w:val="4"/>
                <w:szCs w:val="4"/>
              </w:rPr>
            </w:r>
          </w:p>
        </w:tc>
        <w:tc>
          <w:tcPr>
            <w:tcW w:w="11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848"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r>
      <w:tr>
        <w:trPr/>
        <w:tc>
          <w:tcPr>
            <w:tcW w:w="397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w:t>
            </w:r>
          </w:p>
        </w:tc>
      </w:tr>
      <w:tr>
        <w:trPr/>
        <w:tc>
          <w:tcPr>
            <w:tcW w:w="36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(remainder of the year)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2,422 </w:t>
            </w:r>
          </w:p>
        </w:tc>
        <w:tc>
          <w:tcPr>
            <w:tcW w:w="2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1,202 </w:t>
            </w:r>
          </w:p>
        </w:tc>
        <w:tc>
          <w:tcPr>
            <w:tcW w:w="2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undiscounted lease payments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5,688 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Present value discount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2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operating 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non-current operating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2,850 </w:t>
            </w:r>
          </w:p>
        </w:tc>
        <w:tc>
          <w:tcPr>
            <w:tcW w:w="212"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68" w:before="1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weighted-average remaining lease terms and discount rates related to the Company's operating leases were as follows:</w:t>
      </w:r>
    </w:p>
    <w:tbl>
      <w:tblPr>
        <w:tblW w:w="8183" w:type="dxa"/>
        <w:jc w:val="center"/>
        <w:tblInd w:w="0" w:type="dxa"/>
        <w:tblCellMar>
          <w:top w:w="28" w:type="dxa"/>
          <w:left w:w="28" w:type="dxa"/>
          <w:bottom w:w="28" w:type="dxa"/>
          <w:right w:w="28" w:type="dxa"/>
        </w:tblCellMar>
      </w:tblPr>
      <w:tblGrid>
        <w:gridCol w:w="1495"/>
        <w:gridCol w:w="1312"/>
        <w:gridCol w:w="1317"/>
        <w:gridCol w:w="109"/>
        <w:gridCol w:w="109"/>
        <w:gridCol w:w="109"/>
        <w:gridCol w:w="559"/>
        <w:gridCol w:w="559"/>
        <w:gridCol w:w="562"/>
        <w:gridCol w:w="109"/>
        <w:gridCol w:w="109"/>
        <w:gridCol w:w="109"/>
        <w:gridCol w:w="503"/>
        <w:gridCol w:w="503"/>
        <w:gridCol w:w="719"/>
      </w:tblGrid>
      <w:tr>
        <w:trPr/>
        <w:tc>
          <w:tcPr>
            <w:tcW w:w="1495" w:type="dxa"/>
            <w:tcBorders/>
            <w:shd w:fill="auto" w:val="clear"/>
            <w:vAlign w:val="center"/>
          </w:tcPr>
          <w:p>
            <w:pPr>
              <w:pStyle w:val="TableContents"/>
              <w:spacing w:before="0" w:after="283"/>
              <w:rPr>
                <w:sz w:val="4"/>
                <w:szCs w:val="4"/>
              </w:rPr>
            </w:pPr>
            <w:r>
              <w:rPr>
                <w:sz w:val="4"/>
                <w:szCs w:val="4"/>
              </w:rPr>
            </w:r>
          </w:p>
        </w:tc>
        <w:tc>
          <w:tcPr>
            <w:tcW w:w="1312" w:type="dxa"/>
            <w:tcBorders/>
            <w:shd w:fill="auto" w:val="clear"/>
            <w:vAlign w:val="center"/>
          </w:tcPr>
          <w:p>
            <w:pPr>
              <w:pStyle w:val="TableContents"/>
              <w:spacing w:before="0" w:after="283"/>
              <w:rPr>
                <w:sz w:val="4"/>
                <w:szCs w:val="4"/>
              </w:rPr>
            </w:pPr>
            <w:r>
              <w:rPr>
                <w:sz w:val="4"/>
                <w:szCs w:val="4"/>
              </w:rPr>
            </w:r>
          </w:p>
        </w:tc>
        <w:tc>
          <w:tcPr>
            <w:tcW w:w="13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719" w:type="dxa"/>
            <w:tcBorders/>
            <w:shd w:fill="auto" w:val="clear"/>
            <w:vAlign w:val="center"/>
          </w:tcPr>
          <w:p>
            <w:pPr>
              <w:pStyle w:val="TableContents"/>
              <w:spacing w:before="0" w:after="283"/>
              <w:rPr>
                <w:sz w:val="4"/>
                <w:szCs w:val="4"/>
              </w:rPr>
            </w:pPr>
            <w:r>
              <w:rPr>
                <w:sz w:val="4"/>
                <w:szCs w:val="4"/>
              </w:rPr>
            </w:r>
          </w:p>
        </w:tc>
      </w:tr>
      <w:tr>
        <w:trPr/>
        <w:tc>
          <w:tcPr>
            <w:tcW w:w="41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 2022</w:t>
            </w:r>
          </w:p>
        </w:tc>
      </w:tr>
      <w:tr>
        <w:trPr/>
        <w:tc>
          <w:tcPr>
            <w:tcW w:w="412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(in years)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r>
      <w:tr>
        <w:trPr/>
        <w:tc>
          <w:tcPr>
            <w:tcW w:w="4124"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36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15. Defined Contribution Plan</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before="0" w:after="0"/>
        <w:rPr/>
      </w:pPr>
      <w:r>
        <w:rPr/>
      </w:r>
    </w:p>
    <w:p>
      <w:pPr>
        <w:pStyle w:val="TextBody"/>
        <w:spacing w:lineRule="auto" w:line="288" w:before="120" w:after="283"/>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The Company sponsors a defined contribution plan under Section 401(k) of the Internal Revenue Code covering substantially all full-time U.S. employees. Employee contributions are voluntary and are determined on an individual basis subject to the maximum allowable under federal tax regulations. The Company made contributions to the plan of $0.3 million and $0.2 million for the three months ended March 31, 2023 and 2022,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16. Net Loss Per Share Attributable to Common Stockholders</w:t>
      </w:r>
    </w:p>
    <w:p>
      <w:pPr>
        <w:pStyle w:val="TextBody"/>
        <w:spacing w:lineRule="auto" w:line="288" w:before="120" w:after="283"/>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The following outstanding shares of potentially dilutive securities were excluded from the computation of diluted net loss per share attributable to common stockholders for the periods presented, because including them would have been antidilutive:</w:t>
      </w:r>
    </w:p>
    <w:tbl>
      <w:tblPr>
        <w:tblW w:w="10205" w:type="dxa"/>
        <w:jc w:val="left"/>
        <w:tblInd w:w="0" w:type="dxa"/>
        <w:tblCellMar>
          <w:top w:w="28" w:type="dxa"/>
          <w:left w:w="28" w:type="dxa"/>
          <w:bottom w:w="28" w:type="dxa"/>
          <w:right w:w="28" w:type="dxa"/>
        </w:tblCellMar>
      </w:tblPr>
      <w:tblGrid>
        <w:gridCol w:w="2949"/>
        <w:gridCol w:w="2208"/>
        <w:gridCol w:w="2191"/>
        <w:gridCol w:w="678"/>
        <w:gridCol w:w="298"/>
        <w:gridCol w:w="166"/>
        <w:gridCol w:w="166"/>
        <w:gridCol w:w="166"/>
        <w:gridCol w:w="166"/>
        <w:gridCol w:w="678"/>
        <w:gridCol w:w="298"/>
        <w:gridCol w:w="241"/>
      </w:tblGrid>
      <w:tr>
        <w:trPr/>
        <w:tc>
          <w:tcPr>
            <w:tcW w:w="2949" w:type="dxa"/>
            <w:tcBorders/>
            <w:shd w:fill="auto" w:val="clear"/>
            <w:vAlign w:val="center"/>
          </w:tcPr>
          <w:p>
            <w:pPr>
              <w:pStyle w:val="TableContents"/>
              <w:spacing w:before="0" w:after="283"/>
              <w:rPr>
                <w:sz w:val="4"/>
                <w:szCs w:val="4"/>
              </w:rPr>
            </w:pPr>
            <w:r>
              <w:rPr>
                <w:sz w:val="4"/>
                <w:szCs w:val="4"/>
              </w:rPr>
            </w:r>
          </w:p>
        </w:tc>
        <w:tc>
          <w:tcPr>
            <w:tcW w:w="2208" w:type="dxa"/>
            <w:tcBorders/>
            <w:shd w:fill="auto" w:val="clear"/>
            <w:vAlign w:val="center"/>
          </w:tcPr>
          <w:p>
            <w:pPr>
              <w:pStyle w:val="TableContents"/>
              <w:spacing w:before="0" w:after="283"/>
              <w:rPr>
                <w:sz w:val="4"/>
                <w:szCs w:val="4"/>
              </w:rPr>
            </w:pPr>
            <w:r>
              <w:rPr>
                <w:sz w:val="4"/>
                <w:szCs w:val="4"/>
              </w:rPr>
            </w:r>
          </w:p>
        </w:tc>
        <w:tc>
          <w:tcPr>
            <w:tcW w:w="219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r>
      <w:tr>
        <w:trPr/>
        <w:tc>
          <w:tcPr>
            <w:tcW w:w="7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7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9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3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to purchase common stock</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6,380,591 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5,196,869 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1,168,536 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Performance-based restricted stock units*</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restricted shares</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6,235 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7,549,127 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5,203,104 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4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*No unvested performance-based restricted stock units are included above as none of the contingently issuable shares would be issued assuming the end of our reporting period was the end of the relevant PSU award contingency period</w:t>
            </w:r>
          </w:p>
        </w:tc>
        <w:tc>
          <w:tcPr>
            <w:tcW w:w="114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A reconciliation of the numerator and denominator used in the calculation of the basic and diluted net loss per share attributable to common stockholders is as follows (in thousands, except share and per share amounts):</w:t>
      </w:r>
    </w:p>
    <w:tbl>
      <w:tblPr>
        <w:tblW w:w="10205" w:type="dxa"/>
        <w:jc w:val="center"/>
        <w:tblInd w:w="0" w:type="dxa"/>
        <w:tblCellMar>
          <w:top w:w="28" w:type="dxa"/>
          <w:left w:w="28" w:type="dxa"/>
          <w:bottom w:w="28" w:type="dxa"/>
          <w:right w:w="28" w:type="dxa"/>
        </w:tblCellMar>
      </w:tblPr>
      <w:tblGrid>
        <w:gridCol w:w="2700"/>
        <w:gridCol w:w="2177"/>
        <w:gridCol w:w="2139"/>
        <w:gridCol w:w="240"/>
        <w:gridCol w:w="841"/>
        <w:gridCol w:w="109"/>
        <w:gridCol w:w="109"/>
        <w:gridCol w:w="109"/>
        <w:gridCol w:w="109"/>
        <w:gridCol w:w="240"/>
        <w:gridCol w:w="841"/>
        <w:gridCol w:w="109"/>
        <w:gridCol w:w="109"/>
        <w:gridCol w:w="109"/>
        <w:gridCol w:w="109"/>
        <w:gridCol w:w="155"/>
      </w:tblGrid>
      <w:tr>
        <w:trPr/>
        <w:tc>
          <w:tcPr>
            <w:tcW w:w="2700" w:type="dxa"/>
            <w:tcBorders/>
            <w:shd w:fill="auto" w:val="clear"/>
            <w:vAlign w:val="center"/>
          </w:tcPr>
          <w:p>
            <w:pPr>
              <w:pStyle w:val="TableContents"/>
              <w:spacing w:before="0" w:after="283"/>
              <w:rPr>
                <w:sz w:val="4"/>
                <w:szCs w:val="4"/>
              </w:rPr>
            </w:pPr>
            <w:r>
              <w:rPr>
                <w:sz w:val="4"/>
                <w:szCs w:val="4"/>
              </w:rPr>
            </w:r>
          </w:p>
        </w:tc>
        <w:tc>
          <w:tcPr>
            <w:tcW w:w="2177" w:type="dxa"/>
            <w:tcBorders/>
            <w:shd w:fill="auto" w:val="clear"/>
            <w:vAlign w:val="center"/>
          </w:tcPr>
          <w:p>
            <w:pPr>
              <w:pStyle w:val="TableContents"/>
              <w:spacing w:before="0" w:after="283"/>
              <w:rPr>
                <w:sz w:val="4"/>
                <w:szCs w:val="4"/>
              </w:rPr>
            </w:pPr>
            <w:r>
              <w:rPr>
                <w:sz w:val="4"/>
                <w:szCs w:val="4"/>
              </w:rPr>
            </w:r>
          </w:p>
        </w:tc>
        <w:tc>
          <w:tcPr>
            <w:tcW w:w="213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0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7"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gridSpan w:val="2"/>
            <w:tcBorders/>
            <w:shd w:fill="auto" w:val="clear"/>
          </w:tcPr>
          <w:p>
            <w:pPr>
              <w:pStyle w:val="TableContents"/>
              <w:spacing w:before="0" w:after="283"/>
              <w:rPr>
                <w:sz w:val="4"/>
                <w:szCs w:val="4"/>
              </w:rPr>
            </w:pPr>
            <w:r>
              <w:rPr>
                <w:sz w:val="4"/>
                <w:szCs w:val="4"/>
              </w:rPr>
            </w:r>
          </w:p>
        </w:tc>
      </w:tr>
      <w:tr>
        <w:trPr/>
        <w:tc>
          <w:tcPr>
            <w:tcW w:w="70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016"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per share:</w:t>
            </w:r>
          </w:p>
        </w:tc>
        <w:tc>
          <w:tcPr>
            <w:tcW w:w="1190"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0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(37,548)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0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stockholders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0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used to calculate net loss per share attributable to common stockholders:</w:t>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0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56,057,603 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36,116,440 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0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56,057,603 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36,116,440 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0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common stockholders:</w:t>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0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0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4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(0.78)</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bl>
    <w:p>
      <w:pPr>
        <w:pStyle w:val="TextBody"/>
        <w:spacing w:before="100" w:after="283"/>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Item 2. Management’s Discussion and Analysis of Financial Condition and Results of Operations. </w:t>
      </w:r>
    </w:p>
    <w:p>
      <w:pPr>
        <w:pStyle w:val="TextBody"/>
        <w:spacing w:lineRule="auto" w:line="288" w:before="240" w:after="283"/>
        <w:ind w:left="0" w:right="0" w:firstLine="1260"/>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should be read in conjunction with our condensed financial statements and related notes appearing elsewhere in this Quarterly Report on Form 10-Q, or this Report, as well as our audited financial statements and related notes included in our Annual Report on Form 10-K for the fiscal year ended December 31, 2022, filed with the Securities and Exchange Commission, or SEC. This discussion and analysis contains forward-looking statements based upon current beliefs, plans and expectations that involve risks, uncertainties and assumptions, such as statements regarding our plans, objectives, expectations, intention, beliefs and projections. Our actual results and the timing of events could differ materially from those anticipated in these forward-looking statements as a result of several factors, including those set forth in the section titled “Risk Factors” under Part II, Item 1A of this Report and under Part I, Item 1A of our Annual Report on Form 10-K for the fiscal year ended December 31, 2022. In some cases, you can identify forward-looking statements by terminology such as “anticipate,” “believe,” “continue,” “could,” “estimate,” “expect,” “intend,” “may,” “plan,” “potentially,” “predict,” “should,” “will” or the negative of these terms or other similar expressions.</w:t>
      </w:r>
    </w:p>
    <w:p>
      <w:pPr>
        <w:pStyle w:val="TextBody"/>
        <w:spacing w:lineRule="auto" w:line="288" w:before="240" w:after="283"/>
        <w:ind w:left="0" w:right="0" w:firstLine="1260"/>
        <w:rPr>
          <w:rFonts w:ascii="Times New Roman;sans-serif" w:hAnsi="Times New Roman;sans-serif"/>
          <w:b w:val="false"/>
          <w:i/>
          <w:color w:val="000000"/>
          <w:sz w:val="20"/>
        </w:rPr>
      </w:pPr>
      <w:r>
        <w:rPr>
          <w:rFonts w:ascii="Times New Roman;sans-serif" w:hAnsi="Times New Roman;sans-serif"/>
          <w:b w:val="false"/>
          <w:i/>
          <w:color w:val="000000"/>
          <w:sz w:val="20"/>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we have conducted exhaustive inquiry into, or review of, all potentially available relevant information. These statements are inherently uncertain and investors are cautioned not to unduly rely upon these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120" w:after="283"/>
        <w:ind w:left="0" w:right="0" w:firstLine="1170"/>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clinical stage biopharmaceutical company focused on discovering and developing novel therapies for the treatment of fibrosis and related diseases. Our initial focus is on treating fibrosis by inhibiting integrin-mediated activation of TGF-β. We have applied our deep understanding of fibrosis biology, along with our medicinal chemistry and translational medicine expertise to develop a set of proprietary tools designed to discover and de-risk product candidates quickly and efficiently. Our wholly-owned lead product candidate, bexotegrast (PLN-74809), is an oral, small molecule, dual selective inhibitor of αvß6 and αvß1 integrins that we are developing for the treatment of idiopathic pulmonary fibrosis, or IPF, and primary sclerosing cholangitis, or PSC. We announced positive data from our Phase 2a INTEGRIS-IPF trial in January 2023 and May 2023 and expect to initiate BEACON-IPF, a Phase 2b trial of bexotegrast in patients with IPF, in mid-2023. BEACON-IPF is a 52-week, randomized, placebo-controlled trial evaluating bexotegrast at doses of 160 mg or 320 mg in approximately 270 patients with IPF. We are currently conducting a Phase 2a trial in primary sclerosing cholangitis, or PSC. </w:t>
      </w:r>
    </w:p>
    <w:p>
      <w:pPr>
        <w:pStyle w:val="TextBody"/>
        <w:spacing w:lineRule="auto" w:line="288" w:before="120" w:after="283"/>
        <w:ind w:left="0" w:right="0" w:firstLine="1170"/>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also developed a second product candidate, PLN-1474, a Phase 2-ready oral, small molecule selective inhibitor of αvß1 for the treatment of advanced liver fibrosis associated with nonalcoholic steatohepatitis, or NASH. PLN-1474 was licensed to Novartis in 2019, and as part of a broad strategic realignment, Novartis in early 2023 determined to discontinue clinical development in NASH and, as a result, discontinue development of PLN-1474. In February 2023, Novartis exercised its right to terminate the Novartis Agreement, and in April 2023 global rights to PLN-1474 were returned to Pliant. </w:t>
      </w:r>
    </w:p>
    <w:p>
      <w:pPr>
        <w:pStyle w:val="TextBody"/>
        <w:spacing w:lineRule="auto" w:line="288" w:before="120" w:after="283"/>
        <w:ind w:left="0" w:right="0" w:firstLine="1170"/>
        <w:rPr>
          <w:rFonts w:ascii="Times New Roman;sans-serif" w:hAnsi="Times New Roman;sans-serif"/>
          <w:b w:val="false"/>
          <w:color w:val="000000"/>
          <w:sz w:val="20"/>
        </w:rPr>
      </w:pPr>
      <w:r>
        <w:rPr>
          <w:rFonts w:ascii="Times New Roman;sans-serif" w:hAnsi="Times New Roman;sans-serif"/>
          <w:b w:val="false"/>
          <w:color w:val="000000"/>
          <w:sz w:val="20"/>
        </w:rPr>
        <w:t>In December 2022, we filed an investigational new drug (IND) application for our third clinical program, PLN-101095, a dual inhibitor of integrins αvß8 and αvß1 for the treatment of solid tumors resistant to immune checkpoint inhibitors. In January 2023, we received FDA clearance for our IND and expect to initiate a Phase 1 trial of PLN-101095 in the second quarter of 2023.</w:t>
      </w:r>
    </w:p>
    <w:p>
      <w:pPr>
        <w:pStyle w:val="TextBody"/>
        <w:spacing w:lineRule="auto" w:line="288" w:before="120" w:after="283"/>
        <w:ind w:left="0" w:right="0" w:firstLine="1170"/>
        <w:rPr>
          <w:rFonts w:ascii="Times New Roman;sans-serif" w:hAnsi="Times New Roman;sans-serif"/>
          <w:b w:val="false"/>
          <w:color w:val="000000"/>
          <w:sz w:val="20"/>
        </w:rPr>
      </w:pPr>
      <w:r>
        <w:rPr>
          <w:rFonts w:ascii="Times New Roman;sans-serif" w:hAnsi="Times New Roman;sans-serif"/>
          <w:b w:val="false"/>
          <w:color w:val="000000"/>
          <w:sz w:val="20"/>
        </w:rPr>
        <w:t>In addition to our clinical programs, we are currently advancing a preclinical integrin-based program targeting muscular dystrophies.</w:t>
      </w:r>
    </w:p>
    <w:p>
      <w:pPr>
        <w:pStyle w:val="TextBody"/>
        <w:spacing w:lineRule="auto" w:line="288" w:before="120" w:after="283"/>
        <w:ind w:left="0" w:right="0" w:firstLine="1260"/>
        <w:rPr>
          <w:rFonts w:ascii="Times New Roman;sans-serif" w:hAnsi="Times New Roman;sans-serif"/>
          <w:b/>
          <w:i/>
          <w:color w:val="000000"/>
          <w:sz w:val="20"/>
        </w:rPr>
      </w:pPr>
      <w:r>
        <w:rPr>
          <w:rFonts w:ascii="Times New Roman;sans-serif" w:hAnsi="Times New Roman;sans-serif"/>
          <w:b/>
          <w:i/>
          <w:color w:val="000000"/>
          <w:sz w:val="20"/>
        </w:rPr>
        <w:t>First Quarter and Recent Highlights</w:t>
      </w:r>
    </w:p>
    <w:p>
      <w:pPr>
        <w:pStyle w:val="TextBody"/>
        <w:spacing w:lineRule="auto" w:line="288" w:before="120" w:after="120"/>
        <w:rPr>
          <w:rFonts w:ascii="Times New Roman;sans-serif" w:hAnsi="Times New Roman;sans-serif"/>
          <w:b/>
          <w:i/>
          <w:color w:val="000000"/>
          <w:sz w:val="20"/>
        </w:rPr>
      </w:pPr>
      <w:r>
        <w:rPr>
          <w:rFonts w:ascii="Times New Roman;sans-serif" w:hAnsi="Times New Roman;sans-serif"/>
          <w:b/>
          <w:i/>
          <w:color w:val="000000"/>
          <w:sz w:val="20"/>
        </w:rPr>
        <w:t xml:space="preserve">Bexotegrast (PLN-74809) Highlights </w:t>
      </w:r>
    </w:p>
    <w:p>
      <w:pPr>
        <w:pStyle w:val="TextBody"/>
        <w:spacing w:lineRule="auto" w:line="288" w:before="0" w:after="120"/>
        <w:ind w:left="0" w:right="0" w:hanging="1260"/>
        <w:rPr/>
      </w:pPr>
      <w:r>
        <w:rPr>
          <w:color w:val="000000"/>
        </w:rPr>
        <w:t>•</w:t>
      </w:r>
      <w:r>
        <w:rPr>
          <w:rFonts w:ascii="Times New Roman;sans-serif" w:hAnsi="Times New Roman;sans-serif"/>
          <w:b/>
          <w:color w:val="000000"/>
          <w:sz w:val="20"/>
        </w:rPr>
        <w:t xml:space="preserve">INTEGRIS-IPF Phase 2a 24-week 320 mg clinical data showed bexotegrast was well tolerated and demonstrated durable improvements in exploratory endpoints. </w:t>
      </w:r>
      <w:r>
        <w:rPr>
          <w:rFonts w:ascii="Times New Roman;sans-serif" w:hAnsi="Times New Roman;sans-serif"/>
          <w:b w:val="false"/>
          <w:color w:val="000000"/>
          <w:sz w:val="20"/>
          <w:highlight w:val="white"/>
        </w:rPr>
        <w:t xml:space="preserve">This 24-week Phase 2a data from the 320 dose group showed bexotegrast was </w:t>
      </w:r>
      <w:r>
        <w:rPr>
          <w:rFonts w:ascii="Times New Roman;sans-serif" w:hAnsi="Times New Roman;sans-serif"/>
          <w:b w:val="false"/>
          <w:color w:val="000000"/>
          <w:sz w:val="20"/>
        </w:rPr>
        <w:t>well tolerated up to 40 weeks, displayed a favorable pharmacokinetic profile and in exploratory efficacy endpoints showed improvements in forced vital capacity (FVC), Quantitative Lung Fibrosis (QLF) imaging, patient reported cough severity and biomarkers in patients with idiopathic pulmonary fibrosis (IPF) to Week 24. In January, 12-week data from the 320 mg dose group showed bexotegrast demonstrated statistically significant FVC increases at all time points, was well tolerated with no drug-related severe or serious adverse events and showed dose-proportional increases in plasma concentrations, consistent with prior dose groups.</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before="0" w:after="0"/>
        <w:rPr/>
      </w:pPr>
      <w:r>
        <w:rPr/>
      </w:r>
    </w:p>
    <w:p>
      <w:pPr>
        <w:pStyle w:val="TextBody"/>
        <w:spacing w:lineRule="auto" w:line="288" w:before="0" w:after="120"/>
        <w:ind w:left="0" w:right="0" w:hanging="1260"/>
        <w:rPr/>
      </w:pPr>
      <w:r>
        <w:rPr>
          <w:color w:val="000000"/>
        </w:rPr>
        <w:t>•</w:t>
      </w:r>
      <w:r>
        <w:rPr>
          <w:rFonts w:ascii="Times New Roman;sans-serif" w:hAnsi="Times New Roman;sans-serif"/>
          <w:b/>
          <w:color w:val="000000"/>
          <w:sz w:val="20"/>
        </w:rPr>
        <w:t>Initiation of BEACON-IPF, a Phase 2b trial of bexotegrast in patients with IPF, expected in mid-2023.</w:t>
      </w:r>
      <w:r>
        <w:rPr>
          <w:color w:val="000000"/>
        </w:rPr>
        <w:t xml:space="preserve"> </w:t>
      </w:r>
      <w:r>
        <w:rPr>
          <w:rFonts w:ascii="Times New Roman;sans-serif" w:hAnsi="Times New Roman;sans-serif"/>
          <w:b w:val="false"/>
          <w:color w:val="000000"/>
          <w:sz w:val="20"/>
        </w:rPr>
        <w:t xml:space="preserve">BEACON-IPF is a 52-week, multinational, randomized, placebo-controlled trial evaluating bexotegrast at doses of 160 mg or 320 mg in approximately 270 patients with IPF. </w:t>
      </w:r>
    </w:p>
    <w:p>
      <w:pPr>
        <w:pStyle w:val="TextBody"/>
        <w:spacing w:lineRule="auto" w:line="288" w:before="0" w:after="120"/>
        <w:ind w:left="0" w:right="0" w:hanging="1260"/>
        <w:rPr/>
      </w:pPr>
      <w:r>
        <w:rPr>
          <w:color w:val="000000"/>
        </w:rPr>
        <w:t>•</w:t>
      </w:r>
      <w:r>
        <w:rPr>
          <w:rFonts w:ascii="Times New Roman;sans-serif" w:hAnsi="Times New Roman;sans-serif"/>
          <w:b/>
          <w:color w:val="000000"/>
          <w:sz w:val="20"/>
        </w:rPr>
        <w:t>INTEGRIS-PSC Phase 2a 12-week clinical data expected in the third quarter of 2023.</w:t>
      </w:r>
      <w:r>
        <w:rPr>
          <w:color w:val="000000"/>
        </w:rPr>
        <w:t xml:space="preserve"> </w:t>
      </w:r>
      <w:r>
        <w:rPr>
          <w:rFonts w:ascii="Times New Roman;sans-serif" w:hAnsi="Times New Roman;sans-serif"/>
          <w:b w:val="false"/>
          <w:color w:val="000000"/>
          <w:sz w:val="20"/>
        </w:rPr>
        <w:t xml:space="preserve">INTEGRIS-PSC is a 12-week randomized, dose-ranging, double-blind, placebo-controlled trial evaluating safety, tolerability and pharmacokinetics of bexotegrast at doses of 40, 80 or 160 mg in approximately 84 patients with primary sclerosing cholangitis (PSC). Exploratory efficacy endpoints include fibrosis biomarkers such as PRO-C3 and enhanced liver fibrosis (ELF) score, changes in alkaline phosphatase (ALP), and liver imaging. INTEGRIS-PSC is fully enrolled. </w:t>
      </w:r>
    </w:p>
    <w:p>
      <w:pPr>
        <w:pStyle w:val="TextBody"/>
        <w:spacing w:lineRule="auto" w:line="288" w:before="0" w:after="120"/>
        <w:ind w:left="0" w:right="0" w:hanging="1260"/>
        <w:rPr/>
      </w:pPr>
      <w:r>
        <w:rPr>
          <w:color w:val="000000"/>
        </w:rPr>
        <w:t>•</w:t>
      </w:r>
      <w:r>
        <w:rPr>
          <w:rFonts w:ascii="Times New Roman;sans-serif" w:hAnsi="Times New Roman;sans-serif"/>
          <w:b/>
          <w:color w:val="000000"/>
          <w:sz w:val="20"/>
        </w:rPr>
        <w:t>First patient dosed in the INTEGRIS-PSC Phase 2a 320 mg dose cohort, evaluating bexotegrast for at least 24 weeks.</w:t>
      </w:r>
      <w:r>
        <w:rPr>
          <w:color w:val="000000"/>
        </w:rPr>
        <w:t xml:space="preserve"> </w:t>
      </w:r>
      <w:r>
        <w:rPr>
          <w:rFonts w:ascii="Times New Roman;sans-serif" w:hAnsi="Times New Roman;sans-serif"/>
          <w:b w:val="false"/>
          <w:color w:val="000000"/>
          <w:sz w:val="20"/>
        </w:rPr>
        <w:t xml:space="preserve">This cohort is evaluating the safety, tolerability and pharmacokinetics of bexotegrast at a dose of 320 mg versus placebo over at least 24 weeks of treatment in approximately 28 patients with PSC. The trial is also evaluating exploratory efficacy endpoints including fibrosis biomarkers such as PRO-C3 and ELF score, changes in ALP and liver imaging. </w:t>
      </w:r>
    </w:p>
    <w:p>
      <w:pPr>
        <w:pStyle w:val="TextBody"/>
        <w:spacing w:lineRule="auto" w:line="288" w:before="120" w:after="120"/>
        <w:rPr>
          <w:rFonts w:ascii="Times New Roman;sans-serif" w:hAnsi="Times New Roman;sans-serif"/>
          <w:b/>
          <w:i/>
          <w:color w:val="000000"/>
          <w:sz w:val="20"/>
        </w:rPr>
      </w:pPr>
      <w:r>
        <w:rPr>
          <w:rFonts w:ascii="Times New Roman;sans-serif" w:hAnsi="Times New Roman;sans-serif"/>
          <w:b/>
          <w:i/>
          <w:color w:val="000000"/>
          <w:sz w:val="20"/>
        </w:rPr>
        <w:t>Early-Stage Development Programs</w:t>
      </w:r>
    </w:p>
    <w:p>
      <w:pPr>
        <w:pStyle w:val="TextBody"/>
        <w:spacing w:lineRule="auto" w:line="288" w:before="0" w:after="120"/>
        <w:ind w:left="0" w:right="0" w:hanging="1260"/>
        <w:rPr/>
      </w:pPr>
      <w:r>
        <w:rPr>
          <w:color w:val="000000"/>
        </w:rPr>
        <w:t>•</w:t>
      </w:r>
      <w:r>
        <w:rPr>
          <w:rFonts w:ascii="Times New Roman;sans-serif" w:hAnsi="Times New Roman;sans-serif"/>
          <w:b/>
          <w:color w:val="000000"/>
          <w:sz w:val="20"/>
        </w:rPr>
        <w:t xml:space="preserve">Initiation of a Phase 1 first-in-human trial of PLN-101095 in oncology expected in the second quarter of 2023. </w:t>
      </w:r>
      <w:r>
        <w:rPr>
          <w:rFonts w:ascii="Times New Roman;sans-serif" w:hAnsi="Times New Roman;sans-serif"/>
          <w:b w:val="false"/>
          <w:color w:val="000000"/>
          <w:sz w:val="20"/>
        </w:rPr>
        <w:t>PLN-101095 is an oral, small molecule, dual selective inhibitor of αvβ8 and αvβ1 integrins designed to block TGF-β activation in the tumor microenvironment. Initiation of a Phase 1 trial in patients with solid tumors that are resistant to immune checkpoint inhibitors is expected in the second quarter of 2023.</w:t>
      </w:r>
    </w:p>
    <w:p>
      <w:pPr>
        <w:pStyle w:val="TextBody"/>
        <w:spacing w:lineRule="auto" w:line="288" w:before="0" w:after="120"/>
        <w:ind w:left="0" w:right="0" w:hanging="1260"/>
        <w:rPr/>
      </w:pPr>
      <w:r>
        <w:rPr>
          <w:color w:val="000000"/>
        </w:rPr>
        <w:t>•</w:t>
      </w:r>
      <w:r>
        <w:rPr>
          <w:rFonts w:ascii="Times New Roman;sans-serif" w:hAnsi="Times New Roman;sans-serif"/>
          <w:b/>
          <w:color w:val="000000"/>
          <w:sz w:val="20"/>
        </w:rPr>
        <w:t>Muscular dystrophy program progressing through IND enabling activities.</w:t>
      </w:r>
      <w:r>
        <w:rPr>
          <w:color w:val="000000"/>
        </w:rPr>
        <w:t xml:space="preserve"> </w:t>
      </w:r>
      <w:r>
        <w:rPr>
          <w:rFonts w:ascii="Times New Roman;sans-serif" w:hAnsi="Times New Roman;sans-serif"/>
          <w:b w:val="false"/>
          <w:color w:val="000000"/>
          <w:sz w:val="20"/>
        </w:rPr>
        <w:t>PLN-101325 is a monoclonal antibody designed to act as an allosteric agonist of the integrin α7β1. An IND submission for Duchenne muscular dystrophy (DMD) is expected in 2023.</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Corporate Highlights</w:t>
      </w:r>
    </w:p>
    <w:p>
      <w:pPr>
        <w:pStyle w:val="TextBody"/>
        <w:spacing w:lineRule="auto" w:line="288" w:before="120" w:after="283"/>
        <w:ind w:left="0" w:right="0" w:hanging="1260"/>
        <w:rPr/>
      </w:pPr>
      <w:r>
        <w:rPr>
          <w:color w:val="000000"/>
        </w:rPr>
        <w:t>•</w:t>
      </w:r>
      <w:r>
        <w:rPr>
          <w:rFonts w:ascii="Times New Roman;sans-serif" w:hAnsi="Times New Roman;sans-serif"/>
          <w:b/>
          <w:color w:val="000000"/>
          <w:sz w:val="20"/>
        </w:rPr>
        <w:t xml:space="preserve">Closing of underwritten public offering of $287.5 million in common stock. </w:t>
      </w:r>
      <w:r>
        <w:rPr>
          <w:rFonts w:ascii="Times New Roman;sans-serif" w:hAnsi="Times New Roman;sans-serif"/>
          <w:b w:val="false"/>
          <w:color w:val="000000"/>
          <w:sz w:val="20"/>
        </w:rPr>
        <w:t xml:space="preserve">The Company closed a public offering in January 2023, yielding $269.9 million in net proceeds to the Company, which included the underwriter’s exercise in full of their option to purchase additional shares.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Since inception, we have had significant operating losses. Our net loss was $37.5 million for the three months ended March 31, 2023. As of March 31, 2023, we had an accumulated deficit of $376.0 million and cash, cash equivalents and short-term investments of $577.3 million. We expect to continue to incur net losses for the foreseeable future, and we expect our research and development expenses, general and administrative expenses, and capital expenditures will increase in connection with our ongoing activities, as we:</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perform research and development activities to identify and develop product candidates;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advance product candidates into and through clinical development;</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require the manufacture of supplies to support research and development, preclinical studies and clinical trials;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seek regulatory approvals for any product candidates that successfully complete clinical trials;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expand our operational, financial and management systems and increase personnel to support our clinical development, manufacturing and commercialization efforts and our operations as a public company;</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maintain, expand and protect our intellectual property portfolio; and</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invest in or in-license other technologies or product candidates.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Components of Operations</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spacing w:lineRule="auto" w:line="288" w:before="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not generated any revenue from product sales and do not expect to do so in the near future. Our revenue to date is derived from a Collaboration and License Agreement with Novartis, or the "Novartis Agreement," that was executed in 2019. </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before="0" w:after="0"/>
        <w:rPr/>
      </w:pPr>
      <w:r>
        <w:rPr/>
      </w:r>
    </w:p>
    <w:p>
      <w:pPr>
        <w:pStyle w:val="TextBody"/>
        <w:spacing w:lineRule="auto" w:line="288" w:before="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the Novartis Agreement, we received an upfront license fee payment of $50.0 million for the worldwide, exclusive license to PLN-1474 and an additional $29.0 million upon the achievement of specified research and development milestones. As part of a broad strategic realignment, Novartis has discontinued clinical development in NASH and, as a result, discontinued development of PLN-1474. In February 2023, Novartis issued a termination notice for the collaboration and license agreement, and returned global rights to Pliant for PLN-1474. </w:t>
      </w:r>
    </w:p>
    <w:p>
      <w:pPr>
        <w:pStyle w:val="TextBody"/>
        <w:spacing w:lineRule="auto" w:line="288" w:before="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Following termination of the Novartis Agreement, we are no longer eligible to receive additional milestone or royalty payments under the arrangement; however, we continued to earn research and development services revenues through the effective termination date of April 18, 2023. We recognized $1.3 million in revenues for performing research and development activities associated with PLN-1474 and integrin research targets in the three months ended March 31, 2023. </w:t>
      </w:r>
    </w:p>
    <w:p>
      <w:pPr>
        <w:pStyle w:val="TextBody"/>
        <w:spacing w:lineRule="auto" w:line="288" w:before="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estimate an additional $0.3 million of aggregate research and development funding remained available for use as of March 31, 2023 under the Novartis Agreement, which terminated effective April 18, 2023. </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w:t>
      </w:r>
    </w:p>
    <w:p>
      <w:pPr>
        <w:pStyle w:val="TextBody"/>
        <w:spacing w:lineRule="auto" w:line="288" w:before="0" w:after="120"/>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expenses consist of expenses incurred in connection with the development of our product candidates. Research and development expenses include:</w:t>
      </w:r>
    </w:p>
    <w:p>
      <w:pPr>
        <w:pStyle w:val="TextBody"/>
        <w:spacing w:lineRule="auto" w:line="288" w:before="0" w:after="120"/>
        <w:ind w:left="0" w:right="0" w:hanging="1260"/>
        <w:rPr/>
      </w:pPr>
      <w:r>
        <w:rPr>
          <w:color w:val="000000"/>
        </w:rPr>
        <w:t>•</w:t>
      </w:r>
      <w:r>
        <w:rPr>
          <w:rFonts w:ascii="Times New Roman;sans-serif" w:hAnsi="Times New Roman;sans-serif"/>
          <w:b w:val="false"/>
          <w:color w:val="000000"/>
          <w:sz w:val="20"/>
        </w:rPr>
        <w:t>employee-related expenses, which include salaries, benefits and stock-based compensation for our research and development personnel;</w:t>
      </w:r>
    </w:p>
    <w:p>
      <w:pPr>
        <w:pStyle w:val="TextBody"/>
        <w:spacing w:lineRule="auto" w:line="288" w:before="0" w:after="120"/>
        <w:ind w:left="0" w:right="0" w:hanging="1260"/>
        <w:rPr/>
      </w:pPr>
      <w:r>
        <w:rPr>
          <w:color w:val="000000"/>
        </w:rPr>
        <w:t>•</w:t>
      </w:r>
      <w:r>
        <w:rPr>
          <w:rFonts w:ascii="Times New Roman;sans-serif" w:hAnsi="Times New Roman;sans-serif"/>
          <w:b w:val="false"/>
          <w:color w:val="000000"/>
          <w:sz w:val="20"/>
        </w:rPr>
        <w:t>expenses incurred under agreements with third-party contract organizations for pre-clinical studies, clinical trials and consultants that conduct research and development activities on our behalf;</w:t>
      </w:r>
    </w:p>
    <w:p>
      <w:pPr>
        <w:pStyle w:val="TextBody"/>
        <w:spacing w:lineRule="auto" w:line="288" w:before="0" w:after="120"/>
        <w:ind w:left="0" w:right="0" w:hanging="1260"/>
        <w:rPr/>
      </w:pPr>
      <w:r>
        <w:rPr>
          <w:color w:val="000000"/>
        </w:rPr>
        <w:t>•</w:t>
      </w:r>
      <w:r>
        <w:rPr>
          <w:rFonts w:ascii="Times New Roman;sans-serif" w:hAnsi="Times New Roman;sans-serif"/>
          <w:b w:val="false"/>
          <w:color w:val="000000"/>
          <w:sz w:val="20"/>
        </w:rPr>
        <w:t>costs associated with the manufacture of supplies to support research and development, preclinical studies and clinical trials;</w:t>
      </w:r>
    </w:p>
    <w:p>
      <w:pPr>
        <w:pStyle w:val="TextBody"/>
        <w:spacing w:lineRule="auto" w:line="288" w:before="0" w:after="120"/>
        <w:ind w:left="0" w:right="0" w:hanging="1260"/>
        <w:rPr/>
      </w:pPr>
      <w:r>
        <w:rPr>
          <w:color w:val="000000"/>
        </w:rPr>
        <w:t>•</w:t>
      </w:r>
      <w:r>
        <w:rPr>
          <w:rFonts w:ascii="Times New Roman;sans-serif" w:hAnsi="Times New Roman;sans-serif"/>
          <w:b w:val="false"/>
          <w:color w:val="000000"/>
          <w:sz w:val="20"/>
        </w:rPr>
        <w:t>depreciation of laboratory equipment and costs of equipment and supplies;</w:t>
      </w:r>
    </w:p>
    <w:p>
      <w:pPr>
        <w:pStyle w:val="TextBody"/>
        <w:spacing w:lineRule="auto" w:line="288" w:before="0" w:after="120"/>
        <w:ind w:left="0" w:right="0" w:hanging="1260"/>
        <w:rPr/>
      </w:pPr>
      <w:r>
        <w:rPr>
          <w:color w:val="000000"/>
        </w:rPr>
        <w:t>•</w:t>
      </w:r>
      <w:r>
        <w:rPr>
          <w:rFonts w:ascii="Times New Roman;sans-serif" w:hAnsi="Times New Roman;sans-serif"/>
          <w:b w:val="false"/>
          <w:color w:val="000000"/>
          <w:sz w:val="20"/>
        </w:rPr>
        <w:t>costs associated with technology and intellectual property licenses; and</w:t>
      </w:r>
    </w:p>
    <w:p>
      <w:pPr>
        <w:pStyle w:val="TextBody"/>
        <w:spacing w:lineRule="auto" w:line="288" w:before="0" w:after="120"/>
        <w:ind w:left="0" w:right="0" w:hanging="1260"/>
        <w:rPr/>
      </w:pPr>
      <w:r>
        <w:rPr>
          <w:color w:val="000000"/>
        </w:rPr>
        <w:t>•</w:t>
      </w:r>
      <w:r>
        <w:rPr>
          <w:rFonts w:ascii="Times New Roman;sans-serif" w:hAnsi="Times New Roman;sans-serif"/>
          <w:b w:val="false"/>
          <w:color w:val="000000"/>
          <w:sz w:val="20"/>
        </w:rPr>
        <w:t>facilities and other allocated expenses, which include expenses for rent and other facility related costs and other supplies.</w:t>
      </w:r>
    </w:p>
    <w:p>
      <w:pPr>
        <w:pStyle w:val="TextBody"/>
        <w:spacing w:lineRule="auto" w:line="288" w:before="0" w:after="120"/>
        <w:ind w:left="0" w:right="0" w:hanging="1800"/>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p>
      <w:pPr>
        <w:pStyle w:val="TextBody"/>
        <w:spacing w:lineRule="auto" w:line="288" w:before="0" w:after="120"/>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 xml:space="preserve">Our general and administrative expenses consist primarily of salaries, benefits and stock-based compensation for our general and administrative personnel, allocated facilities costs, insurance and other expenses for outside professional services, including legal, marketing, investor relations, human resource and accounting services. </w:t>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Interest and Other Income (Expense), net</w:t>
      </w:r>
    </w:p>
    <w:p>
      <w:pPr>
        <w:pStyle w:val="TextBody"/>
        <w:spacing w:lineRule="auto" w:line="288" w:before="0" w:after="120"/>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 xml:space="preserve">Our interest and other income (expense), net consists of interest, accretion income and amortization expense on cash and cash equivalents, and short-term investments, and realized gains and losses on investments. </w:t>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p>
      <w:pPr>
        <w:pStyle w:val="TextBody"/>
        <w:spacing w:lineRule="auto" w:line="288" w:before="0" w:after="120"/>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Our interest expense is derived from a term loan under the Oxford Loan Agreement that we entered into in May 2022. Borrowings under the Oxford Loan Agreement bear interest at a rate per annum equal to 1-month term Secured Overnight Financing Rate (SOFR) plus 8.5%, subject to an agreed upon floor and cap.</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Financial Operations Overview</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Comparison of the three months ended March 31, 2023 and 2022 (in thousands)</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before="0" w:after="0"/>
        <w:rPr/>
      </w:pPr>
      <w:r>
        <w:rPr/>
      </w:r>
    </w:p>
    <w:tbl>
      <w:tblPr>
        <w:tblW w:w="7287" w:type="dxa"/>
        <w:jc w:val="center"/>
        <w:tblInd w:w="0" w:type="dxa"/>
        <w:tblCellMar>
          <w:top w:w="28" w:type="dxa"/>
          <w:left w:w="28" w:type="dxa"/>
          <w:bottom w:w="28" w:type="dxa"/>
          <w:right w:w="28" w:type="dxa"/>
        </w:tblCellMar>
      </w:tblPr>
      <w:tblGrid>
        <w:gridCol w:w="1208"/>
        <w:gridCol w:w="1064"/>
        <w:gridCol w:w="1073"/>
        <w:gridCol w:w="211"/>
        <w:gridCol w:w="796"/>
        <w:gridCol w:w="109"/>
        <w:gridCol w:w="109"/>
        <w:gridCol w:w="109"/>
        <w:gridCol w:w="109"/>
        <w:gridCol w:w="211"/>
        <w:gridCol w:w="796"/>
        <w:gridCol w:w="109"/>
        <w:gridCol w:w="109"/>
        <w:gridCol w:w="109"/>
        <w:gridCol w:w="109"/>
        <w:gridCol w:w="211"/>
        <w:gridCol w:w="691"/>
        <w:gridCol w:w="154"/>
      </w:tblGrid>
      <w:tr>
        <w:trPr/>
        <w:tc>
          <w:tcPr>
            <w:tcW w:w="1208"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spacing w:before="0" w:after="283"/>
              <w:rPr>
                <w:sz w:val="4"/>
                <w:szCs w:val="4"/>
              </w:rPr>
            </w:pPr>
            <w:r>
              <w:rPr>
                <w:sz w:val="4"/>
                <w:szCs w:val="4"/>
              </w:rPr>
            </w:r>
          </w:p>
        </w:tc>
        <w:tc>
          <w:tcPr>
            <w:tcW w:w="107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9" w:type="dxa"/>
            <w:gridSpan w:val="9"/>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334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3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(29,273)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(20,881)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(37,548)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120"/>
        <w:rPr/>
      </w:pPr>
      <w:r>
        <w:rPr/>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Revenue</w:t>
      </w:r>
    </w:p>
    <w:p>
      <w:pPr>
        <w:pStyle w:val="TextBody"/>
        <w:spacing w:lineRule="auto" w:line="288" w:before="0" w:after="120"/>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was $1.3 million for the three months ended March 31, 2023 compared to $1.2 million for the three months ended March 31, 2022. The increase of $0.1 million is attributable to increased research and development services associated with the Novartis Agreement. </w:t>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expenses</w:t>
      </w:r>
    </w:p>
    <w:p>
      <w:pPr>
        <w:pStyle w:val="TextBody"/>
        <w:spacing w:lineRule="auto" w:line="288" w:before="0" w:after="120"/>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research and development expenses for the three months ended March 31, 2023 and 2022 (in thousands):</w:t>
      </w:r>
    </w:p>
    <w:tbl>
      <w:tblPr>
        <w:tblW w:w="10205" w:type="dxa"/>
        <w:jc w:val="center"/>
        <w:tblInd w:w="0" w:type="dxa"/>
        <w:tblCellMar>
          <w:top w:w="28" w:type="dxa"/>
          <w:left w:w="28" w:type="dxa"/>
          <w:bottom w:w="28" w:type="dxa"/>
          <w:right w:w="28" w:type="dxa"/>
        </w:tblCellMar>
      </w:tblPr>
      <w:tblGrid>
        <w:gridCol w:w="2348"/>
        <w:gridCol w:w="2065"/>
        <w:gridCol w:w="2074"/>
        <w:gridCol w:w="211"/>
        <w:gridCol w:w="721"/>
        <w:gridCol w:w="109"/>
        <w:gridCol w:w="109"/>
        <w:gridCol w:w="109"/>
        <w:gridCol w:w="109"/>
        <w:gridCol w:w="211"/>
        <w:gridCol w:w="721"/>
        <w:gridCol w:w="109"/>
        <w:gridCol w:w="109"/>
        <w:gridCol w:w="109"/>
        <w:gridCol w:w="109"/>
        <w:gridCol w:w="211"/>
        <w:gridCol w:w="616"/>
        <w:gridCol w:w="155"/>
      </w:tblGrid>
      <w:tr>
        <w:trPr/>
        <w:tc>
          <w:tcPr>
            <w:tcW w:w="2348" w:type="dxa"/>
            <w:tcBorders/>
            <w:shd w:fill="auto" w:val="clear"/>
            <w:vAlign w:val="center"/>
          </w:tcPr>
          <w:p>
            <w:pPr>
              <w:pStyle w:val="TableContents"/>
              <w:spacing w:before="0" w:after="283"/>
              <w:rPr>
                <w:sz w:val="4"/>
                <w:szCs w:val="4"/>
              </w:rPr>
            </w:pPr>
            <w:r>
              <w:rPr>
                <w:sz w:val="4"/>
                <w:szCs w:val="4"/>
              </w:rPr>
            </w:r>
          </w:p>
        </w:tc>
        <w:tc>
          <w:tcPr>
            <w:tcW w:w="2065" w:type="dxa"/>
            <w:tcBorders/>
            <w:shd w:fill="auto" w:val="clear"/>
            <w:vAlign w:val="center"/>
          </w:tcPr>
          <w:p>
            <w:pPr>
              <w:pStyle w:val="TableContents"/>
              <w:spacing w:before="0" w:after="283"/>
              <w:rPr>
                <w:sz w:val="4"/>
                <w:szCs w:val="4"/>
              </w:rPr>
            </w:pPr>
            <w:r>
              <w:rPr>
                <w:sz w:val="4"/>
                <w:szCs w:val="4"/>
              </w:rPr>
            </w:r>
          </w:p>
        </w:tc>
        <w:tc>
          <w:tcPr>
            <w:tcW w:w="207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48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8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6487"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Employee-related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4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Outside and consulting services for preclinical studies and research and development activities by third-party contract organizations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87"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Clinical trials expenses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87"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of lab equipment and costs of equipment and supplies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Facilities and other allocated expenses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intellectual property licenses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research and development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8,391 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for the three months ended March 31, 2023 was $29.3 million compared to $20.9 million for the three months ended March 31, 2022. The increase of $8.4 million is primarily attributable to employee-related expenses, driven by headcount, salaries and stock-based compensation expense, manufacturing expense for clinical drug supply, and facilities and other allocated charges. These costs were partially offset by a decrease in preclinical manufacturing costs associated with activities that were substantially complete in 2022. </w:t>
      </w:r>
    </w:p>
    <w:p>
      <w:pPr>
        <w:pStyle w:val="TextBody"/>
        <w:spacing w:lineRule="auto" w:line="288" w:before="0" w:after="120"/>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We do not allocate our costs by product candidates or by preclinical programs as these are in early stages of clinical trials or development, and our internal expenses are not allocated between product candidates and programs. Although external third-party costs are allocable between product candidates and programs, we do not perform this allocation. We expect our research and development expenses to increase for the foreseeable future as we continue to invest in research and development activities related to developing our product candidates and our preclinical programs and as they advance into later stages of development.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 Expenses</w:t>
      </w:r>
    </w:p>
    <w:p>
      <w:pPr>
        <w:pStyle w:val="TextBody"/>
        <w:spacing w:lineRule="auto" w:line="288" w:before="0" w:after="120"/>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for the three months ended March 31, 2023 was $14.2 million compared to $8.6 million for the three months ended March 31, 2022. The increase of $5.5 million is primarily attributable to employee-related costs, driven by salaries and stock-based compensation expense, consulting and other professional services expense.</w:t>
      </w:r>
    </w:p>
    <w:p>
      <w:pPr>
        <w:pStyle w:val="TextBody"/>
        <w:spacing w:lineRule="auto" w:line="288" w:before="0" w:after="120"/>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our general and administrative expenses to increase for the foreseeable future as we continue to build our administrative function to support our growth in operations. </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before="0" w:after="0"/>
        <w:rPr/>
      </w:pPr>
      <w:r>
        <w:rPr/>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Interest and Other Income (Expense), net</w:t>
      </w:r>
    </w:p>
    <w:p>
      <w:pPr>
        <w:pStyle w:val="TextBody"/>
        <w:spacing w:lineRule="auto" w:line="288" w:before="0" w:after="120"/>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and other income (expense), net for the three months ended March 31, 2023 was $4.9 million compared to $0.1 million for the three months ended March 31, 2022. The increase of $4.7 million resulted from higher interest income due to increased yields and an increase in short-term investments due to recent financing activities. </w:t>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p>
      <w:pPr>
        <w:pStyle w:val="TextBody"/>
        <w:spacing w:lineRule="auto" w:line="288" w:before="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Interest expense was $0.3 million and zero for the three months ended March 31, 2023 and 2022, respectively. The increase of $0.3 million was due to the interest incurred from our term loan under the Oxford Loan Agreement, issued in the second quarter of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Overview</w:t>
      </w:r>
    </w:p>
    <w:p>
      <w:pPr>
        <w:pStyle w:val="TextBody"/>
        <w:spacing w:lineRule="auto" w:line="288" w:before="0" w:after="120"/>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we had $577.3 million of cash, cash equivalents and short-term investments. Our short-term investments consist of U.S. Treasury securities, U.S. Government agency securities and highly rated, investment-grade corporate debt securities. </w:t>
      </w:r>
    </w:p>
    <w:p>
      <w:pPr>
        <w:pStyle w:val="TextBody"/>
        <w:spacing w:lineRule="auto" w:line="288" w:before="0" w:after="120"/>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2022 we entered into a Loan and Security Agreement (the “Oxford Loan Agreement”) with Oxford Finance LLC (or "Oxford"). In October 2022, we amended the Oxford Loan Agreement, extending the time period available to draw on the first two tranches, to mid-February 2023. Upon closing of the Oxford Loan Agreement, we drew $10.0 million and a further $50.0 million may become available to us, $25.0 million upon the achievement of pre-determined development milestones and $25.0 million at Oxford's discretion. </w:t>
      </w:r>
    </w:p>
    <w:p>
      <w:pPr>
        <w:pStyle w:val="TextBody"/>
        <w:spacing w:lineRule="auto" w:line="288" w:before="0" w:after="120"/>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2022, we completed an underwritten public offering of 12,432,432 shares of common stock, including the exercise in full of the underwriters' option to purchase 1,621,621 additional shares of common stock. The shares were offered at a price to the public of $18.50 per share, resulting in aggregate proceeds of approximately $215.4 million, net of underwriting discounts, commissions and offering expenses, payable by us. </w:t>
      </w:r>
    </w:p>
    <w:p>
      <w:pPr>
        <w:pStyle w:val="TextBody"/>
        <w:spacing w:lineRule="auto" w:line="288" w:before="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January 2023, we completed an underwritten public offering of 9,583,334 shares of common stock, including the exercise in full of the underwriters' option to purchase 1,250,000 additional shares of common stock. The shares were offered at a price of $30.00 per share, resulting in aggregate proceeds of approximately $269.9 million, net of underwriting discounts, commissions and offering expenses, payable by us.</w:t>
      </w:r>
    </w:p>
    <w:p>
      <w:pPr>
        <w:pStyle w:val="TextBody"/>
        <w:spacing w:lineRule="auto" w:line="288" w:before="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existing capital resources will be sufficient to meet our projected operating requirements to the second half of 2026. We have based these estimates on assumptions that may prove to be wrong, and we could utilize our available capital resources sooner than we currently expect. Further, our operating plan may change, and we may need additional funds to meet operational needs and capital requirements for product development and commercialization sooner than planned. </w:t>
      </w:r>
    </w:p>
    <w:p>
      <w:pPr>
        <w:pStyle w:val="TextBody"/>
        <w:spacing w:lineRule="auto" w:line="288" w:before="0" w:after="120"/>
        <w:ind w:left="0" w:right="0" w:firstLine="1260"/>
        <w:rPr/>
      </w:pPr>
      <w:r>
        <w:rPr>
          <w:rFonts w:ascii="Times New Roman;sans-serif" w:hAnsi="Times New Roman;sans-serif"/>
          <w:b w:val="false"/>
          <w:color w:val="000000"/>
          <w:sz w:val="20"/>
        </w:rPr>
        <w:t>Our operations have been financed primarily through the issuance and sale of convertible preferred stock, issuance of common stock, debt and our collaboration with Novartis. During the third quarter of 2021, we entered into a Controlled Equity Offering</w:t>
      </w:r>
      <w:r>
        <w:rPr>
          <w:rFonts w:ascii="Times New Roman;sans-serif" w:hAnsi="Times New Roman;sans-serif"/>
          <w:b w:val="false"/>
          <w:color w:val="000000"/>
          <w:sz w:val="13"/>
        </w:rPr>
        <w:t xml:space="preserve">SM </w:t>
      </w:r>
      <w:r>
        <w:rPr>
          <w:rFonts w:ascii="Times New Roman;sans-serif" w:hAnsi="Times New Roman;sans-serif"/>
          <w:b w:val="false"/>
          <w:color w:val="000000"/>
          <w:sz w:val="20"/>
        </w:rPr>
        <w:t>Sales Agreement (the “Sales Agreement”) with Cantor Fitzgerald &amp; Co., as sales agent, pursuant to which we may issue and sell shares of common stock from time to time. In March 2023, we filed a prospectus registering the offer and sale of up to $150.0 million of shares of common stock from time to time pursuant to the Sales Agreement. The issuance and sale of these shares pursuant to the Sales Agreement are deemed an “at-the-market” offering and are registered under the Securities Act of 1933, as amended. As of March 31, 2023, we had not issued any shares pursuant to any at-the-market offerings.</w:t>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Funding Requirements</w:t>
      </w:r>
    </w:p>
    <w:p>
      <w:pPr>
        <w:pStyle w:val="TextBody"/>
        <w:spacing w:lineRule="auto" w:line="288" w:before="0" w:after="120"/>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Our primary use of cash is to fund operating expenses, primarily research and development expenditures. Cash used to fund operating expenses is impacted by the timing of when we pay these expenses, as reflected in the change in our outstanding accounts payable, accrued expenses and prepaid expenses.</w:t>
      </w:r>
    </w:p>
    <w:p>
      <w:pPr>
        <w:pStyle w:val="TextBody"/>
        <w:spacing w:lineRule="auto" w:line="288" w:before="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future funding requirements will depend on many factors, including the following:</w:t>
      </w:r>
    </w:p>
    <w:p>
      <w:pPr>
        <w:pStyle w:val="TextBody"/>
        <w:spacing w:lineRule="auto" w:line="288" w:before="0" w:after="120"/>
        <w:ind w:left="0" w:right="0" w:hanging="1260"/>
        <w:rPr/>
      </w:pPr>
      <w:r>
        <w:rPr>
          <w:color w:val="000000"/>
        </w:rPr>
        <w:t>•</w:t>
      </w:r>
      <w:r>
        <w:rPr>
          <w:rFonts w:ascii="Times New Roman;sans-serif" w:hAnsi="Times New Roman;sans-serif"/>
          <w:b w:val="false"/>
          <w:color w:val="000000"/>
          <w:sz w:val="20"/>
        </w:rPr>
        <w:t>the initiation, progress, timing, costs and results of preclinical studies and clinical trials for our product candidates;</w:t>
      </w:r>
    </w:p>
    <w:p>
      <w:pPr>
        <w:pStyle w:val="TextBody"/>
        <w:spacing w:lineRule="auto" w:line="288" w:before="0" w:after="120"/>
        <w:ind w:left="0" w:right="0" w:hanging="1260"/>
        <w:rPr/>
      </w:pPr>
      <w:r>
        <w:rPr>
          <w:color w:val="000000"/>
        </w:rPr>
        <w:t>•</w:t>
      </w:r>
      <w:r>
        <w:rPr>
          <w:rFonts w:ascii="Times New Roman;sans-serif" w:hAnsi="Times New Roman;sans-serif"/>
          <w:b w:val="false"/>
          <w:color w:val="000000"/>
          <w:sz w:val="20"/>
        </w:rPr>
        <w:t>the clinical development plans we establish for these product candidates;</w:t>
      </w:r>
    </w:p>
    <w:p>
      <w:pPr>
        <w:pStyle w:val="TextBody"/>
        <w:spacing w:lineRule="auto" w:line="288" w:before="0" w:after="120"/>
        <w:ind w:left="0" w:right="0" w:hanging="1260"/>
        <w:rPr/>
      </w:pPr>
      <w:r>
        <w:rPr>
          <w:color w:val="000000"/>
        </w:rPr>
        <w:t>•</w:t>
      </w:r>
      <w:r>
        <w:rPr>
          <w:rFonts w:ascii="Times New Roman;sans-serif" w:hAnsi="Times New Roman;sans-serif"/>
          <w:b w:val="false"/>
          <w:color w:val="000000"/>
          <w:sz w:val="20"/>
        </w:rPr>
        <w:t>the timelines of our clinical trials and the overall costs to conduct and complete the clinical trials, which may be impacted by the COVID-19 pandemic;</w:t>
      </w:r>
    </w:p>
    <w:p>
      <w:pPr>
        <w:pStyle w:val="TextBody"/>
        <w:spacing w:lineRule="auto" w:line="288" w:before="0" w:after="120"/>
        <w:ind w:left="0" w:right="0" w:hanging="1260"/>
        <w:rPr/>
      </w:pPr>
      <w:r>
        <w:rPr>
          <w:color w:val="000000"/>
        </w:rPr>
        <w:t>•</w:t>
      </w:r>
      <w:r>
        <w:rPr>
          <w:rFonts w:ascii="Times New Roman;sans-serif" w:hAnsi="Times New Roman;sans-serif"/>
          <w:b w:val="false"/>
          <w:color w:val="000000"/>
          <w:sz w:val="20"/>
        </w:rPr>
        <w:t>the number and characteristics of product candidates that we develop;</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before="0" w:after="0"/>
        <w:rPr/>
      </w:pPr>
      <w:r>
        <w:rPr/>
      </w:r>
    </w:p>
    <w:p>
      <w:pPr>
        <w:pStyle w:val="TextBody"/>
        <w:spacing w:lineRule="auto" w:line="288" w:before="0" w:after="120"/>
        <w:ind w:left="0" w:right="0" w:hanging="1260"/>
        <w:rPr/>
      </w:pPr>
      <w:r>
        <w:rPr>
          <w:color w:val="000000"/>
        </w:rPr>
        <w:t>•</w:t>
      </w:r>
      <w:r>
        <w:rPr>
          <w:rFonts w:ascii="Times New Roman;sans-serif" w:hAnsi="Times New Roman;sans-serif"/>
          <w:b w:val="false"/>
          <w:color w:val="000000"/>
          <w:sz w:val="20"/>
        </w:rPr>
        <w:t>the outcome, timing and cost of meeting regulatory requirements established by the U.S. Food and Drug Administration, or FDA, and other comparable foreign regulatory authorities including but not limited to the European Medicines Agency (EMA), the UK Medicines and Healthcare products Regulatory Agency (MHRA);</w:t>
      </w:r>
    </w:p>
    <w:p>
      <w:pPr>
        <w:pStyle w:val="TextBody"/>
        <w:spacing w:lineRule="auto" w:line="288" w:before="0" w:after="120"/>
        <w:ind w:left="0" w:right="0" w:hanging="1260"/>
        <w:rPr/>
      </w:pPr>
      <w:r>
        <w:rPr>
          <w:color w:val="000000"/>
        </w:rPr>
        <w:t>•</w:t>
      </w:r>
      <w:r>
        <w:rPr>
          <w:rFonts w:ascii="Times New Roman;sans-serif" w:hAnsi="Times New Roman;sans-serif"/>
          <w:b w:val="false"/>
          <w:color w:val="000000"/>
          <w:sz w:val="20"/>
        </w:rPr>
        <w:t>whether we enter into any collaboration agreements and the terms of any such agreements;</w:t>
      </w:r>
    </w:p>
    <w:p>
      <w:pPr>
        <w:pStyle w:val="TextBody"/>
        <w:spacing w:lineRule="auto" w:line="288" w:before="0" w:after="120"/>
        <w:ind w:left="0" w:right="0" w:hanging="1260"/>
        <w:rPr/>
      </w:pPr>
      <w:r>
        <w:rPr>
          <w:color w:val="000000"/>
        </w:rPr>
        <w:t>•</w:t>
      </w:r>
      <w:r>
        <w:rPr>
          <w:rFonts w:ascii="Times New Roman;sans-serif" w:hAnsi="Times New Roman;sans-serif"/>
          <w:b w:val="false"/>
          <w:color w:val="000000"/>
          <w:sz w:val="20"/>
        </w:rPr>
        <w:t>the cost of filing, prosecuting, defending and enforcing our patent claims and other intellectual property rights;</w:t>
      </w:r>
    </w:p>
    <w:p>
      <w:pPr>
        <w:pStyle w:val="TextBody"/>
        <w:spacing w:lineRule="auto" w:line="288" w:before="0" w:after="120"/>
        <w:ind w:left="0" w:right="0" w:hanging="1260"/>
        <w:rPr/>
      </w:pPr>
      <w:r>
        <w:rPr>
          <w:color w:val="000000"/>
        </w:rPr>
        <w:t>•</w:t>
      </w:r>
      <w:r>
        <w:rPr>
          <w:rFonts w:ascii="Times New Roman;sans-serif" w:hAnsi="Times New Roman;sans-serif"/>
          <w:b w:val="false"/>
          <w:color w:val="000000"/>
          <w:sz w:val="20"/>
        </w:rPr>
        <w:t>the cost of defending intellectual property disputes, including patent infringement actions brought by third parties against us or our product candidates;</w:t>
      </w:r>
    </w:p>
    <w:p>
      <w:pPr>
        <w:pStyle w:val="TextBody"/>
        <w:spacing w:lineRule="auto" w:line="288" w:before="0" w:after="120"/>
        <w:ind w:left="0" w:right="0" w:hanging="1260"/>
        <w:rPr/>
      </w:pPr>
      <w:r>
        <w:rPr>
          <w:color w:val="000000"/>
        </w:rPr>
        <w:t>•</w:t>
      </w:r>
      <w:r>
        <w:rPr>
          <w:rFonts w:ascii="Times New Roman;sans-serif" w:hAnsi="Times New Roman;sans-serif"/>
          <w:b w:val="false"/>
          <w:color w:val="000000"/>
          <w:sz w:val="20"/>
        </w:rPr>
        <w:t>the effect of competing technological and market developments;</w:t>
      </w:r>
    </w:p>
    <w:p>
      <w:pPr>
        <w:pStyle w:val="TextBody"/>
        <w:spacing w:lineRule="auto" w:line="288" w:before="0" w:after="120"/>
        <w:ind w:left="0" w:right="0" w:hanging="1260"/>
        <w:rPr/>
      </w:pPr>
      <w:r>
        <w:rPr>
          <w:color w:val="000000"/>
        </w:rPr>
        <w:t>•</w:t>
      </w:r>
      <w:r>
        <w:rPr>
          <w:rFonts w:ascii="Times New Roman;sans-serif" w:hAnsi="Times New Roman;sans-serif"/>
          <w:b w:val="false"/>
          <w:color w:val="000000"/>
          <w:sz w:val="20"/>
        </w:rPr>
        <w:t xml:space="preserve">the cost and timing of completion of commercial-scale outsourced manufacturing activities; </w:t>
      </w:r>
    </w:p>
    <w:p>
      <w:pPr>
        <w:pStyle w:val="TextBody"/>
        <w:spacing w:lineRule="auto" w:line="288" w:before="0" w:after="120"/>
        <w:ind w:left="0" w:right="0" w:hanging="1260"/>
        <w:rPr/>
      </w:pPr>
      <w:r>
        <w:rPr>
          <w:color w:val="000000"/>
        </w:rPr>
        <w:t>•</w:t>
      </w:r>
      <w:r>
        <w:rPr>
          <w:rFonts w:ascii="Times New Roman;sans-serif" w:hAnsi="Times New Roman;sans-serif"/>
          <w:b w:val="false"/>
          <w:color w:val="000000"/>
          <w:sz w:val="20"/>
        </w:rPr>
        <w:t>the cost and timing of achieving favorable pricing and reimbursement agreements with the pricing authorities in each market of interest, including of securing a positive recommendation after undergoing a health technology assessment by health technology authorities;</w:t>
      </w:r>
    </w:p>
    <w:p>
      <w:pPr>
        <w:pStyle w:val="TextBody"/>
        <w:spacing w:lineRule="auto" w:line="288" w:before="0" w:after="120"/>
        <w:ind w:left="0" w:right="0" w:hanging="1260"/>
        <w:rPr/>
      </w:pPr>
      <w:r>
        <w:rPr>
          <w:color w:val="000000"/>
        </w:rPr>
        <w:t>•</w:t>
      </w:r>
      <w:r>
        <w:rPr>
          <w:rFonts w:ascii="Times New Roman;sans-serif" w:hAnsi="Times New Roman;sans-serif"/>
          <w:b w:val="false"/>
          <w:color w:val="000000"/>
          <w:sz w:val="20"/>
        </w:rPr>
        <w:t>the cost of establishing sales, marketing and distribution capabilities for any product candidates for which we may receive regulatory approval in regions where we choose to commercialize our products on our own; and</w:t>
      </w:r>
    </w:p>
    <w:p>
      <w:pPr>
        <w:pStyle w:val="TextBody"/>
        <w:spacing w:lineRule="auto" w:line="288" w:before="0" w:after="120"/>
        <w:ind w:left="0" w:right="0" w:hanging="1260"/>
        <w:rPr/>
      </w:pPr>
      <w:r>
        <w:rPr>
          <w:color w:val="000000"/>
        </w:rPr>
        <w:t>•</w:t>
      </w:r>
      <w:r>
        <w:rPr>
          <w:rFonts w:ascii="Times New Roman;sans-serif" w:hAnsi="Times New Roman;sans-serif"/>
          <w:b w:val="false"/>
          <w:color w:val="000000"/>
          <w:sz w:val="20"/>
        </w:rPr>
        <w:t>the cost of operating as a public company.</w:t>
      </w:r>
    </w:p>
    <w:p>
      <w:pPr>
        <w:pStyle w:val="TextBody"/>
        <w:spacing w:lineRule="auto" w:line="288" w:before="0" w:after="120"/>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Further, our operating plan may change, and we may need additional funds to meet operational needs and capital requirements for clinical trials and other research and development expenditures. If we need to raise additional capital to fund our operations, funding may not be available to us on acceptable terms, or at all. If we are unable to obtain adequate financing when needed, we may have to delay, reduce the scope of or suspend one or more of our preclinical studies, clinical trials, research and development programs or commercialization efforts. We may seek to raise any necessary additional capital through a combination of public or private equity offerings, debt financings, collaborations and other licensing arrangements. If we raise capital through additional debt financing, we may be subject to covenants limiting or restricting our ability to take specific actions, such as incurring additional debt, making capital expenditures or declaring dividends. If we raise additional capital through marketing and distribution arrangements or other collaborations, strategic alliances or licensing arrangements with third parties, we may have to relinquish certain valuable rights to our product candidates, technologies, future revenue streams or research programs or grant licenses on terms that may not be favorable to us.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Cash Flows</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Comparison of the three months ended March 31, 2023 and 2022</w:t>
      </w:r>
    </w:p>
    <w:p>
      <w:pPr>
        <w:pStyle w:val="TextBody"/>
        <w:spacing w:lineRule="auto" w:line="288" w:before="0" w:after="120"/>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our cash flows for the periods indicated (in thousands):</w:t>
      </w:r>
    </w:p>
    <w:tbl>
      <w:tblPr>
        <w:tblW w:w="6819" w:type="dxa"/>
        <w:jc w:val="center"/>
        <w:tblInd w:w="0" w:type="dxa"/>
        <w:tblCellMar>
          <w:top w:w="28" w:type="dxa"/>
          <w:left w:w="28" w:type="dxa"/>
          <w:bottom w:w="28" w:type="dxa"/>
          <w:right w:w="28" w:type="dxa"/>
        </w:tblCellMar>
      </w:tblPr>
      <w:tblGrid>
        <w:gridCol w:w="1525"/>
        <w:gridCol w:w="1343"/>
        <w:gridCol w:w="1347"/>
        <w:gridCol w:w="211"/>
        <w:gridCol w:w="796"/>
        <w:gridCol w:w="109"/>
        <w:gridCol w:w="109"/>
        <w:gridCol w:w="109"/>
        <w:gridCol w:w="109"/>
        <w:gridCol w:w="211"/>
        <w:gridCol w:w="796"/>
        <w:gridCol w:w="154"/>
      </w:tblGrid>
      <w:tr>
        <w:trPr/>
        <w:tc>
          <w:tcPr>
            <w:tcW w:w="1525" w:type="dxa"/>
            <w:tcBorders/>
            <w:shd w:fill="auto" w:val="clear"/>
            <w:vAlign w:val="center"/>
          </w:tcPr>
          <w:p>
            <w:pPr>
              <w:pStyle w:val="TableContents"/>
              <w:spacing w:before="0" w:after="283"/>
              <w:rPr>
                <w:sz w:val="4"/>
                <w:szCs w:val="4"/>
              </w:rPr>
            </w:pPr>
            <w:r>
              <w:rPr>
                <w:sz w:val="4"/>
                <w:szCs w:val="4"/>
              </w:rPr>
            </w:r>
          </w:p>
        </w:tc>
        <w:tc>
          <w:tcPr>
            <w:tcW w:w="1343" w:type="dxa"/>
            <w:tcBorders/>
            <w:shd w:fill="auto" w:val="clear"/>
            <w:vAlign w:val="center"/>
          </w:tcPr>
          <w:p>
            <w:pPr>
              <w:pStyle w:val="TableContents"/>
              <w:spacing w:before="0" w:after="283"/>
              <w:rPr>
                <w:sz w:val="4"/>
                <w:szCs w:val="4"/>
              </w:rPr>
            </w:pPr>
            <w:r>
              <w:rPr>
                <w:sz w:val="4"/>
                <w:szCs w:val="4"/>
              </w:rPr>
            </w:r>
          </w:p>
        </w:tc>
        <w:tc>
          <w:tcPr>
            <w:tcW w:w="134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42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2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investing activities</w:t>
            </w:r>
          </w:p>
        </w:tc>
        <w:tc>
          <w:tcPr>
            <w:tcW w:w="10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(174,208)</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5"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100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273,326 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and cash equivalents</w:t>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68,842 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(19,120)</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Cash Used in Operating Activities</w:t>
      </w:r>
    </w:p>
    <w:p>
      <w:pPr>
        <w:pStyle w:val="TextBody"/>
        <w:spacing w:lineRule="auto" w:line="288" w:before="0" w:after="120"/>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operating activities was $30.3 million for the three months ended March 31, 2023 compared to $20.5 million for the three months ended March 31, 2022. The increase in cash used in operating activities of $9.8 million over the prior year is attributable to an increase in the net loss of $9.4 million, the timing of revenue related cash receipts and cash outlay to settle accrued liabilities. </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Cash (Used in) Provided by Investing Activities</w:t>
      </w:r>
    </w:p>
    <w:p>
      <w:pPr>
        <w:pStyle w:val="TextBody"/>
        <w:spacing w:lineRule="auto" w:line="288" w:before="0" w:after="120"/>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investing activities was $174.2 million for the three months ended March 31, 2023 compared to net cash provided by investing activities of $1.5 million for the same period in 2022. The increase in cash used by investing activities of $175.7 million is attributable to a significant purchase of short-term investments following the Company's public offering of shares of common stock in January 2023. </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before="0" w:after="0"/>
        <w:rPr/>
      </w:pPr>
      <w:r>
        <w:rPr/>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Cash (Used in) Provided by Financing Activities</w:t>
      </w:r>
    </w:p>
    <w:p>
      <w:pPr>
        <w:pStyle w:val="TextBody"/>
        <w:spacing w:lineRule="auto" w:line="288" w:before="0" w:after="120"/>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was $273.3 million for the three months ended March 31, 2023 compared to cash used in financing activities of $0.2 million for the same period in 2022. The increase of $273.5 million is mainly attributable to net proceeds from the Company's January 2023 underwritten public offering.</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Contractual Obligations and Other Commitments</w:t>
      </w:r>
    </w:p>
    <w:p>
      <w:pPr>
        <w:pStyle w:val="TextBody"/>
        <w:spacing w:lineRule="auto" w:line="288" w:before="0" w:after="120"/>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been no material changes to our contractual obligations and other commitments as of March 31, 2023, as compared to those disclosed in our Annual Report on Form 10-K for the fiscal year ended December 31, 2022.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spacing w:lineRule="auto" w:line="288" w:before="0" w:after="120"/>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During the periods presented, we did not have, nor do we currently have, any off-balance sheet arrangements or holdings in any variable interest entities.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Critical Accounting Polices and Estimates</w:t>
      </w:r>
    </w:p>
    <w:p>
      <w:pPr>
        <w:pStyle w:val="TextBody"/>
        <w:spacing w:lineRule="auto" w:line="288" w:before="0" w:after="120"/>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Our management’s discussion and analysis of our financial condition and results of operations is based on our financial statements, which have been prepared in accordance with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spacing w:lineRule="auto" w:line="288" w:before="0" w:after="120"/>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our critical accounting policies and estimates from those described in “Part II, Item 7. Management’s Discussion and Analysis of Financial Condition and Results of Operations” included in our Annual Report on Form 10-K for the fiscal year ended December 31, 2022 filed with the SEC.</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spacing w:lineRule="auto" w:line="288" w:before="0" w:after="120"/>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See Note 2 to our condensed financial statements appearing elsewhere in this Report for more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Emerging Growth Company Status and JOBS Act Accounting Election</w:t>
      </w:r>
    </w:p>
    <w:p>
      <w:pPr>
        <w:pStyle w:val="TextBody"/>
        <w:spacing w:lineRule="auto" w:line="288" w:before="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Based on the market value of our common stock held by our non-affiliates as of June 30, 2021, we were considered a “large accelerated filer” on December 31, 2021 and thus lost, and will not regain, our status as an emerging growth company. Additionally, based on the market value of our common stock held by our non-affiliates as of June 30, 2022 we were considered a "non-accelerated filer" and “smaller reporting company” on December 31, 2022, and thus will not be subject to accelerated filing deadlines nor the requirements of section 404(b) of the Sarbanes-Oxley Act of 2002.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lineRule="auto" w:line="288" w:before="0" w:after="120"/>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 xml:space="preserve">The primary objectives of our investment activities are to ensure liquidity and to preserve capital. We are exposed to market risks in the ordinary course of our business. These risks primarily include interest rate sensitivities. We had cash, cash equivalents and short-term investments of $577.3 million as of March 31, 2023 which consisted of bank deposits, highly liquid money market funds and short-term investments in U.S. treasury securities, U.S. government agency securities and corporate debt securities. Under the Oxford Loan Agreement, we had a $10.0 million term loan outstanding as of March 31, 2023 which is subject to the movement in interest rates, however the exposure is capped at 2.0%. Due to the short-term maturities of our cash equivalents and short-term investments, an immediate 100 basis point change in interest rates would not have a material effect on the fair market value of our cash equivalents or short-term investments. </w:t>
      </w:r>
    </w:p>
    <w:p>
      <w:pPr>
        <w:pStyle w:val="TextBody"/>
        <w:spacing w:lineRule="auto" w:line="288" w:before="0" w:after="120"/>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 xml:space="preserve">To minimize the risk, we maintain our portfolio of cash equivalents and short-term investments in institutional market funds that are composed of U.S. Treasury and U.S. Treasury-backed repurchase agreements or short-term U.S. Treasury securities, U.S. government agency securities and corporate debt securities. We do not believe that inflation, interest rate changes, or exchange rate fluctuations had a significant impact on our results of operations for any periods presented herein. A hypothetical 10% change in interest rates during the periods presented would not have had a material impact on our condensed financial statements.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spacing w:lineRule="auto" w:line="288" w:before="0" w:after="120"/>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management, with the participation of our Chief Executive Officer and Chief Financial Officer, performed an evaluation of the effectiveness of the design and operation of our disclosure controls and procedures as defined in Rules 13a-15(e) and 15d-15(e) under the Exchange Act. Our disclosure controls and procedures are designed to </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before="0" w:after="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ensure that information required to be disclosed by us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to allow timely decisions regarding required disclosures.</w:t>
      </w:r>
    </w:p>
    <w:p>
      <w:pPr>
        <w:pStyle w:val="TextBody"/>
        <w:spacing w:lineRule="auto" w:line="288" w:before="0" w:after="120"/>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Chief Executive Officer and Chief Financial Officer concluded that, as of March 31, 2023, the design and operation of our disclosure controls and procedures were effective at a reasonable assurance level.</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spacing w:lineRule="auto" w:line="288" w:before="0" w:after="120"/>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 xml:space="preserve">There was no change in our internal controls over financial reporting identified in connection with the evaluation required by Rule 13a-15(d) and 15d-15(d) under the Exchange Act that occurred during the quarter ended March 31, 2023 that has materially affected, or is reasonably likely to materially affect, our internal control over financial reporting.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PART II—OTHER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lineRule="auto" w:line="288" w:before="0" w:after="120"/>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As of the date of this filing, we are not party to any material legal matters or claims. We may become party to legal matters and claims arising in the ordinary course of business. We cannot predict the outcome of any such legal matters or claims, and despite the potential outcomes, the existence thereof may have an adverse impact on us because of defense and settlement costs, diversion of management resources and other factors.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Our business faces significant risks. If any of the events or circumstances described in the following risks actually occurs, our business may suffer, the trading price of our common stock could decline and our financial condition or results of operations could be harmed. These risks should be read in conjunction with the other information set forth in this quarterly report on Form 10-Q. The risks and uncertainties described below are not the only ones facing us. There may be additional risks faced by our business. Other events that we do not currently anticipate or that we currently deem immaterial also may adversely affect our financial condition or results of operations.</w:t>
      </w:r>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RISK FACTORS</w:t>
      </w:r>
    </w:p>
    <w:p>
      <w:pPr>
        <w:pStyle w:val="TextBody"/>
        <w:spacing w:lineRule="auto" w:line="288" w:before="120" w:after="283"/>
        <w:ind w:left="0" w:right="0" w:firstLine="1080"/>
        <w:rPr>
          <w:rFonts w:ascii="Times New Roman;sans-serif" w:hAnsi="Times New Roman;sans-serif"/>
          <w:b/>
          <w:color w:val="000000"/>
          <w:sz w:val="20"/>
        </w:rPr>
      </w:pPr>
      <w:r>
        <w:rPr>
          <w:rFonts w:ascii="Times New Roman;sans-serif" w:hAnsi="Times New Roman;sans-serif"/>
          <w:b/>
          <w:color w:val="000000"/>
          <w:sz w:val="20"/>
        </w:rPr>
        <w:t>Risks Related to Our Financial Position and Need for Additional Capital</w:t>
      </w:r>
    </w:p>
    <w:p>
      <w:pPr>
        <w:pStyle w:val="TextBody"/>
        <w:spacing w:lineRule="auto" w:line="288" w:before="120" w:after="283"/>
        <w:ind w:left="0" w:right="0" w:firstLine="1080"/>
        <w:rPr>
          <w:rFonts w:ascii="Times New Roman;sans-serif" w:hAnsi="Times New Roman;sans-serif"/>
          <w:b/>
          <w:i/>
          <w:color w:val="000000"/>
          <w:sz w:val="20"/>
        </w:rPr>
      </w:pPr>
      <w:r>
        <w:rPr>
          <w:rFonts w:ascii="Times New Roman;sans-serif" w:hAnsi="Times New Roman;sans-serif"/>
          <w:b/>
          <w:i/>
          <w:color w:val="000000"/>
          <w:sz w:val="20"/>
        </w:rPr>
        <w:t>We have incurred significant net losses since inception and we expect to continue to incur significant net losses for the foreseeable future.</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We have incurred significant net losses since our inception and have financed our operations principally through equity and debt financing and our prior collaboration with Novartis. We continue to incur significant research and development and other expenses related to our ongoing operations. Our net loss was $123.3 million and $97.3 million for the years ended December 31, 2022 and 2021, respectively. As of March 31, 2023, we had an accumulated deficit of $376.0 million. We have devoted substantially all of our resources and efforts to research and development, and we expect that it will be at least several years, if ever, before we generate revenue from product sales. Even if we receive marketing approval for and commercialize one or more of our product candidates, we expect that we will continue to incur substantial research and development and other expenses in order to further develop and, if approved, market additional potential product candidates.</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We expect to continue to incur significant losses for the foreseeable future, and we anticipate that our expenses will increase substantially if, and as, we:</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advance our lead product candidate, bexotegrast, and our other product candidates through clinical development, and, if successful, later-stage clinical trials;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discover and develop new product candidates;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advance our preclinical development programs into clinical development;</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further develop manufacturing processes and manufacture our product candidates;</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before="0" w:after="0"/>
        <w:rPr/>
      </w:pPr>
      <w:r>
        <w:rPr/>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experience delays or interruptions to preclinical studies, clinical trials, our receipt of services from our third-party service providers on whom we rely, or our supply chain due to the COVID-19 pandemic;</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seek regulatory approvals for any product candidates that successfully complete clinical trials;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commercialize bexotegrast, our other product candidates and any future product candidates, if approved;</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increase the amount of research and development activities to identify and develop product candidates;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hire additional clinical development, quality control, scientific and management personnel;</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expand our operational, financial and management systems and increase personnel, including personnel to support our clinical development and manufacturing efforts;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establish a sales, marketing, medical affairs and distribution infrastructure to commercialize any products for which we may obtain marketing approval and intend to commercialize on our own or jointly with third parties;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maintain, expand and protect our intellectual property portfolio;</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invest in or in-license other technologies or product candidates; and</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continue to build out our organization to engage in such activities.</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To become and remain profitable, we must develop and eventually commercialize products with significant market potential. This will require us to be successful in a range of challenging activities, including completing preclinical studies and clinical trials, obtaining marketing approval for product candidates, manufacturing, marketing, and selling products for which we may obtain marketing approval and satisfying any post-marketing requirements. We may never succeed in any or all of these activities and, even if we do, we may never generate revenue that is significant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w:t>
      </w:r>
    </w:p>
    <w:p>
      <w:pPr>
        <w:pStyle w:val="TextBody"/>
        <w:spacing w:lineRule="auto" w:line="288" w:before="120" w:after="283"/>
        <w:ind w:left="0" w:right="0" w:firstLine="1080"/>
        <w:jc w:val="both"/>
        <w:rPr>
          <w:rFonts w:ascii="Times New Roman;sans-serif" w:hAnsi="Times New Roman;sans-serif"/>
          <w:b/>
          <w:i/>
          <w:color w:val="000000"/>
          <w:sz w:val="20"/>
        </w:rPr>
      </w:pPr>
      <w:r>
        <w:rPr>
          <w:rFonts w:ascii="Times New Roman;sans-serif" w:hAnsi="Times New Roman;sans-serif"/>
          <w:b/>
          <w:i/>
          <w:color w:val="000000"/>
          <w:sz w:val="20"/>
        </w:rPr>
        <w:t>We will require substantial additional capital to fund our operations. If we are unable to raise such capital when needed, or on acceptable terms, we may be forced to delay, reduce and/or eliminate one or more of our research and drug development programs, future commercialization efforts or other operations.</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Developing biopharmaceutical products, including conducting preclinical studies and clinical trials, is a very time-consuming, expensive, and uncertain process that takes years to complete. Our operations have consumed substantial amounts of cash since inception. We expect our expenses to increase in connection with our ongoing activities, particularly as we conduct our planned clinical trials of bexotegrast and any future product candidates that we may develop, seek regulatory approvals for our product candidates and to launch and commercialize any products for which we receive regulatory approval. Accordingly, we will need to obtain substantial additional funding in order to maintain our continuing operations. If we are unable to raise capital when needed or on acceptable terms, we may be forced to delay, reduce, or eliminate one or more of our research and drug development programs or future commercialization efforts.</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As of March 31, 2023, we had approximately $577.3 million in cash, cash equivalents and short-term investments. Based on our current operating plan, we believe that our existing cash, cash equivalents and short-term investments will be sufficient to fund our anticipated operating expenses and capital expenditure requirements into the second half of 2026. However, our future capital requirements and the period for which our existing resources will support our operations may vary significantly from what we expect, and we will in any event require additional capital in order to complete clinical development of any of our current programs. Our monthly spending levels will vary based on new and ongoing development and corporate activities. Because the length of time and activities associated with development of our product candidates is highly uncertain, we are unable to estimate the actual funds we will require for development, marketing, and commercialization activities. Our future funding requirements, both near and long-term, will depend on many factors, including, but not limited to:</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the initiation, progress, timing, costs and results of preclinical studies and clinical trials for our product candidates;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the clinical development plans we establish for these product candidates;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the timelines of our clinical trials and the overall costs to conduct and complete the clinical trials, including any increased costs due to disruptions caused by the ongoing COVID-19 pandemic or other geopolitical conditions;</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before="0" w:after="0"/>
        <w:rPr/>
      </w:pPr>
      <w:r>
        <w:rPr/>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the cost and capital commitments required for developing manufacturing processes for our product candidates and manufacturing our product candidates at clinical and commercial scales;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the number and characteristics of product candidates that we develop;</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the outcome, timing and cost of meeting regulatory requirements established by the FDA and other comparable foreign regulatory authorities;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 xml:space="preserve">whether we are able to enter into future collaboration agreements and the terms of any such agreements; </w:t>
      </w:r>
    </w:p>
    <w:p>
      <w:pPr>
        <w:pStyle w:val="TextBody"/>
        <w:spacing w:lineRule="auto" w:line="288" w:before="0" w:after="0"/>
        <w:ind w:left="0" w:right="0" w:hanging="1260"/>
        <w:rPr/>
      </w:pPr>
      <w:r>
        <w:rPr>
          <w:color w:val="000000"/>
        </w:rPr>
        <w:t>•</w:t>
      </w:r>
      <w:r>
        <w:rPr>
          <w:rFonts w:ascii="Times New Roman;sans-serif" w:hAnsi="Times New Roman;sans-serif"/>
          <w:b w:val="false"/>
          <w:color w:val="000000"/>
          <w:sz w:val="20"/>
        </w:rPr>
        <w:t>the ability to and timing of achieving a favorable pricing and reimbursement decision by the pricing authorities in the markets of interest;</w:t>
      </w:r>
    </w:p>
    <w:p>
      <w:pPr>
        <w:pStyle w:val="TextBody"/>
        <w:spacing w:lineRule="auto" w:line="288" w:before="0" w:after="0"/>
        <w:ind w:left="0" w:right="0" w:hanging="1260"/>
        <w:rPr/>
      </w:pPr>
      <w:r>
        <w:rPr>
          <w:color w:val="000000"/>
        </w:rPr>
        <w:t>•</w:t>
      </w:r>
      <w:r>
        <w:rPr>
          <w:rFonts w:ascii="Times New Roman;sans-serif" w:hAnsi="Times New Roman;sans-serif"/>
          <w:b w:val="false"/>
          <w:color w:val="000000"/>
          <w:sz w:val="20"/>
        </w:rPr>
        <w:t>the ability to secure a position recommendation following the health technology assessment by the health technology bodies in the relevant market;</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the cost of filing, prosecuting, defending and enforcing our patent claims and other intellectual property rights;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the cost of defending intellectual property disputes, including patent infringement actions brought by third parties against us or our product candidates;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the effect of competing technological and market developments;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the cost and timing of completion of commercial-scale outsourced manufacturing activities; and</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the cost of establishing sales, marketing and distribution capabilities for any product candidates for which we may receive regulatory approval in regions where we choose to commercialize our products on our own.</w:t>
      </w:r>
    </w:p>
    <w:p>
      <w:pPr>
        <w:pStyle w:val="TextBody"/>
        <w:spacing w:lineRule="auto" w:line="268" w:before="0" w:after="0"/>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We have borrowed and in the future may borrow additional capital from institutional and commercial banking sources to fund future growth, including pursuant to our Oxford Loan Agreement, or potentially pursuant to new arrangements with different lenders. In addition, we expect to continue to opportunistically seek access to the equity capital markets to support our development efforts and operations. However, we cannot be certain that additional funding will be available on acceptable terms, or at all. Until we can generate sufficient revenue to finance our cash requirements, which we may never do, we expect to finance our future cash needs through a combination of public or private equity offerings, debt financings, collaborations, strategic alliances, licensing arrangements and other marketing or distribution arrangements. If we raise additional funds through public or private equity offerings, the terms of these securities may include liquidation or other preferences that adversely affect the rights of our common stockholders. Further, to the extent that we raise additional capital through the sale of common stock or securities convertible or exchangeable into common stock, your ownership interest will be diluted. In addition, any debt financing may subject us to fixed payment obligations and covenants limiting or restricting our ability to take specific actions, such as incurring additional debt, making capital expenditures, or declaring dividends. If we raise additional capital through marketing and distribution arrangements or other collaborations, strategic alliances, or licensing arrangements with third parties, we may have to relinquish certain valuable intellectual property or other rights to our product candidates, technologies, future revenue streams or research programs or grant licenses on terms that may not be favorable to us. We also may be required to seek collaborators for any of our product candidates at an earlier stage than otherwise would be desirable or relinquish our rights to product candidates or technologies that we otherwise would seek to develop or commercialize ourselves. Market volatility resulting from the COVID-19 pandemic or other financial markets factors could also adversely impact our ability to access capital as and when needed. If we are unable to raise additional capital in sufficient amounts or on terms acceptable to us, we may have to significantly delay, scale back or discontinue the development or commercialization of one or more of our product candidates or one or more of our other research and development initiatives. Any of the above events could significantly harm our business, prospects, financial condition and results of operations and cause the price of our common stock to decline.</w:t>
      </w:r>
    </w:p>
    <w:p>
      <w:pPr>
        <w:pStyle w:val="TextBody"/>
        <w:spacing w:lineRule="auto" w:line="288" w:before="120" w:after="283"/>
        <w:ind w:left="0" w:right="0" w:firstLine="1080"/>
        <w:jc w:val="both"/>
        <w:rPr>
          <w:rFonts w:ascii="Times New Roman;sans-serif" w:hAnsi="Times New Roman;sans-serif"/>
          <w:b/>
          <w:i/>
          <w:color w:val="000000"/>
          <w:sz w:val="20"/>
        </w:rPr>
      </w:pPr>
      <w:r>
        <w:rPr>
          <w:rFonts w:ascii="Times New Roman;sans-serif" w:hAnsi="Times New Roman;sans-serif"/>
          <w:b/>
          <w:i/>
          <w:color w:val="000000"/>
          <w:sz w:val="20"/>
        </w:rPr>
        <w:t>Covenants and other provisions in the Oxford Loan Agreement restrict our business and operations in many ways, and if we do not effectively manage our covenants, our financial conditions and results of operations could be adversely affected. In addition, our operations may not provide sufficient cash to meet the repayment obligations of our debt incurred under the Oxford Loan Agreement.</w:t>
      </w:r>
    </w:p>
    <w:p>
      <w:pPr>
        <w:pStyle w:val="TextBody"/>
        <w:spacing w:lineRule="auto" w:line="288" w:before="0" w:after="0"/>
        <w:ind w:left="0" w:right="0" w:firstLine="108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Oxford Loan Agreement, Oxford has been granted a security interest in substantially all of our assets, excluding intellectual property (but including the right to payments and proceeds of intellectual property), and a negative pledge on substantially all of our intellectual property, subject to customary exceptions. If an event of default occurs under the Oxford Loan Agreement, Oxford may foreclose on its security interest and liquidate some or all of these assets, which would harm our business, financial condition and results of operations.</w:t>
      </w:r>
    </w:p>
    <w:p>
      <w:pPr>
        <w:pStyle w:val="TextBody"/>
        <w:spacing w:lineRule="auto" w:line="288" w:before="0" w:after="0"/>
        <w:ind w:left="0" w:right="0" w:firstLine="108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of a default in connection with our bankruptcy, insolvency, liquidation, or reorganization, Oxford would have a prior right to substantially all of our assets to the exclusion of our general unsecured creditors. Only after satisfying the claims of Oxford and any unsecured creditors would any amount be available for our equity holders.</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before="0" w:after="0"/>
        <w:rPr/>
      </w:pPr>
      <w:r>
        <w:rPr/>
      </w:r>
    </w:p>
    <w:p>
      <w:pPr>
        <w:pStyle w:val="TextBody"/>
        <w:spacing w:lineRule="auto" w:line="288" w:before="0" w:after="0"/>
        <w:ind w:left="0" w:right="0" w:firstLine="1080"/>
        <w:jc w:val="both"/>
        <w:rPr>
          <w:rFonts w:ascii="Times New Roman;sans-serif" w:hAnsi="Times New Roman;sans-serif"/>
          <w:b w:val="false"/>
          <w:color w:val="000000"/>
          <w:sz w:val="20"/>
        </w:rPr>
      </w:pPr>
      <w:r>
        <w:rPr>
          <w:rFonts w:ascii="Times New Roman;sans-serif" w:hAnsi="Times New Roman;sans-serif"/>
          <w:b w:val="false"/>
          <w:color w:val="000000"/>
          <w:sz w:val="20"/>
        </w:rPr>
        <w:t>The pledge of these assets and other restrictions imposed in the Oxford Loan Agreement may limit our flexibility in raising capital for other purposes. Because substantially all of our assets are pledged to secure the Oxford Loan Agreement obligations, our ability to incur additional indebtedness or to sell or dispose of assets to raise capital may be impaired, which could have an adverse effect on our financial flexibility.</w:t>
      </w:r>
    </w:p>
    <w:p>
      <w:pPr>
        <w:pStyle w:val="TextBody"/>
        <w:spacing w:lineRule="auto" w:line="288" w:before="0" w:after="0"/>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In addition, if we are unable to comply with certain financial and operating restrictions in the Oxford Loan Agreement, we may be limited in our business activities and access to credit or may default under the Oxford Loan Agreement. Provisions in the Oxford Loan Agreement impose restrictions or require prior approval on our ability, and the ability of certain of our subsidiaries to, among other things: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Incur additional debt;</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Make certain investments and acquisitions;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Guarantee the indebtedness of others or our subsidiaries;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Create liens or encumbrances;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Engage in new lines of business;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Enter into transactions with affiliates;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Pay cash dividends and make distributions;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Redeem or repurchase capital shares;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Sell, lease or transfer certain parts of our business or property, including equity interests of our subsidiaries;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Prepay other indebtedness; and</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Acquire new companies and merge or consolidate.</w:t>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The Oxford Loan Agreement also contains other customary covenants. We may not be able to comply with these covenants in the future. Our failure to comply with these covenants may result in the declaration of an event of default, which, if not cured or waived, may result in the acceleration of the maturity of indebtedness outstanding under the Oxford Loan Agreement and would require us to pay all amounts outstanding. If the maturity of our indebtedness is accelerated, we may not have sufficient funds then available for repayment or we may not have the ability to borrow or obtain sufficient funds to replace the accelerated indebtedness on terms acceptable to us or at all. Our failure to repay our obligations under the Oxford Loan Agreement would result in Oxford foreclosing on all or a portion of our assets, which could force us to curtail or cease our operations.</w:t>
      </w:r>
    </w:p>
    <w:p>
      <w:pPr>
        <w:pStyle w:val="TextBody"/>
        <w:spacing w:lineRule="auto" w:line="288" w:before="120" w:after="283"/>
        <w:ind w:left="0" w:right="0" w:firstLine="1080"/>
        <w:jc w:val="both"/>
        <w:rPr>
          <w:rFonts w:ascii="Times New Roman;sans-serif" w:hAnsi="Times New Roman;sans-serif"/>
          <w:b/>
          <w:i/>
          <w:color w:val="000000"/>
          <w:sz w:val="20"/>
        </w:rPr>
      </w:pPr>
      <w:r>
        <w:rPr>
          <w:rFonts w:ascii="Times New Roman;sans-serif" w:hAnsi="Times New Roman;sans-serif"/>
          <w:b/>
          <w:i/>
          <w:color w:val="000000"/>
          <w:sz w:val="20"/>
        </w:rPr>
        <w:t>The amount of our future losses is uncertain and our quarterly operating results may fluctuate significantly or may fall below the expectations of investors or securities analysts, each of which may cause our stock price to fluctuate or decline.</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Our quarterly and annual operating results may fluctuate significantly in the future due to a variety of factors, many of which are outside of our control and may be difficult to predict, including the following:</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the timing and success or failure of clinical trials for our product candidates or competing product candidates, or any other change in the competitive landscape of our industry, including consolidation among our competitors or partners;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our ability to successfully recruit and retain subjects for clinical trials, and any delays caused by difficulties in such efforts;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our ability to obtain marketing approval for our product candidates, and the timing and scope of any such approvals we may receive;</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the timing and cost of, and level of investment in, research and development activities relating to our product candidates, which may change from time to time;</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the cost of manufacturing our product candidates, which may vary depending on the difficulty of manufacture, quantity of production and the terms of our agreements with manufacturers;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our ability to attract, hire and retain qualified personnel;</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expenditures that we will or may incur to develop additional product candidates;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the level of demand for our product candidates should they receive approval, which may vary significantly;</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before="0" w:after="0"/>
        <w:rPr/>
      </w:pPr>
      <w:r>
        <w:rPr/>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the risk/benefit profile, cost and reimbursement policies with respect to our product candidates, if approved, and existing and potential future therapeutics that compete with our product candidates;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general market conditions or extraordinary external events, such as recessions or the COVID-19 pandemic;</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the changing and volatile U.S. and global economic and political environments; and</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future accounting pronouncements or changes in our accounting policies.</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pStyle w:val="TextBody"/>
        <w:spacing w:lineRule="auto" w:line="288" w:before="120" w:after="283"/>
        <w:ind w:left="0" w:right="0" w:firstLine="1080"/>
        <w:rPr>
          <w:rFonts w:ascii="Times New Roman;sans-serif" w:hAnsi="Times New Roman;sans-serif"/>
          <w:b/>
          <w:color w:val="000000"/>
          <w:sz w:val="20"/>
        </w:rPr>
      </w:pPr>
      <w:r>
        <w:rPr>
          <w:rFonts w:ascii="Times New Roman;sans-serif" w:hAnsi="Times New Roman;sans-serif"/>
          <w:b/>
          <w:color w:val="000000"/>
          <w:sz w:val="20"/>
        </w:rPr>
        <w:t>Risks Related to Research and Development and the Biopharmaceutical Industry</w:t>
      </w:r>
    </w:p>
    <w:p>
      <w:pPr>
        <w:pStyle w:val="TextBody"/>
        <w:spacing w:lineRule="auto" w:line="288" w:before="120" w:after="283"/>
        <w:ind w:left="0" w:right="0" w:firstLine="1080"/>
        <w:rPr>
          <w:rFonts w:ascii="Times New Roman;sans-serif" w:hAnsi="Times New Roman;sans-serif"/>
          <w:b/>
          <w:i/>
          <w:color w:val="000000"/>
          <w:sz w:val="20"/>
        </w:rPr>
      </w:pPr>
      <w:r>
        <w:rPr>
          <w:rFonts w:ascii="Times New Roman;sans-serif" w:hAnsi="Times New Roman;sans-serif"/>
          <w:b/>
          <w:i/>
          <w:color w:val="000000"/>
          <w:sz w:val="20"/>
        </w:rPr>
        <w:t>We have a limited operating history, which may make it difficult to evaluate our prospects and likelihood of success.</w:t>
      </w:r>
    </w:p>
    <w:p>
      <w:pPr>
        <w:pStyle w:val="TextBody"/>
        <w:spacing w:lineRule="auto" w:line="268" w:before="0" w:after="0"/>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We have no products approved for commercial sale and have not generated any revenue from product sales to date. Our operations to date have been limited to organizing and staffing our company, business planning, raising capital, establishing our intellectual property portfolio and performing research and development of our product candidates and our technology related to transforming growth factor beta, or TGF-β, signaling and integrin biology, medicinal chemistry, translational screening technologies, and clinical insights to discover and develop novel therapies for the treatment of fibrosis. Our approach to the discovery and development of product candidates is unproven, and we do not know whether we will be able to develop any products of commercial value. We have not yet demonstrated the ability to progress any product candidate through clinical trials, obtain regulatory approval, manufacture a commercial scale product, or arrange for a third party to do so on our behalf, or conduct sales and marketing activities necessary for successful product commercialization. In addition, as a business with a limited operating history, we may encounter unforeseen expenses, difficulties, complications, delays and other known and unknown factors and risks frequently experienced by early-stage biopharmaceutical companies in rapidly evolving fields. Consequently, we expect our operating results to continue to fluctuate significantly from quarter to quarter and year to year due to a variety of factors, many of which are beyond our control, and predictions about our future success or viability may not be as accurate as they could be if we had a longer operating history or a history of successfully developing and commercializing drug products.</w:t>
      </w:r>
    </w:p>
    <w:p>
      <w:pPr>
        <w:pStyle w:val="TextBody"/>
        <w:spacing w:lineRule="auto" w:line="288" w:before="120" w:after="283"/>
        <w:ind w:left="0" w:right="0" w:firstLine="1080"/>
        <w:jc w:val="both"/>
        <w:rPr>
          <w:rFonts w:ascii="Times New Roman;sans-serif" w:hAnsi="Times New Roman;sans-serif"/>
          <w:b/>
          <w:i/>
          <w:color w:val="000000"/>
          <w:sz w:val="20"/>
        </w:rPr>
      </w:pPr>
      <w:r>
        <w:rPr>
          <w:rFonts w:ascii="Times New Roman;sans-serif" w:hAnsi="Times New Roman;sans-serif"/>
          <w:b/>
          <w:i/>
          <w:color w:val="000000"/>
          <w:sz w:val="20"/>
        </w:rPr>
        <w:t>Our business is highly dependent on the success of our lead product candidate, bexotegrast, as well as PLN-1474 and any other product candidates that we advance into the clinic. Our product candidates will require significant additional development before we may be able to seek regulatory approval for and launch a product commercially.</w:t>
      </w:r>
    </w:p>
    <w:p>
      <w:pPr>
        <w:pStyle w:val="TextBody"/>
        <w:spacing w:lineRule="auto" w:line="268" w:before="0" w:after="0"/>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We currently have no products that are approved for commercial sale and may never be able to develop marketable products. We are early in our clinical development for both bexotegrast and PLN-1474. If bexotegrast encounters safety or efficacy problems, development delays, regulatory issues or other problems, our development plans and business would be significantly harmed. We have completed several Phase 1 and Phase 2a trials of bexotegrast in IPF and are currently conducting a Phase 2a trial in PSC. We previously collaborated with Novartis to develop PLN-1474 for advanced liver fibrosis associated with NASH and have completed a Phase 1a SAD/MAD study evaluating PLN-1474 in healthy volunteers. As part of a broad strategic realignment, Novartis discontinued clinical development in NASH and, as a result, discontinued development of PLN-1474. In February 2023, Novartis issued a termination notice for the collaboration and license agreement, and effective upon the termination, returned global rights to Pliant for PLN-1474 and we may pursue other collaborations to further clinical development of PLN-1474. All of the risks and uncertainties that apply to bexotegrast or any candidates that we develop independently or in collaboration with third parties. See “Risks Related to Our Reliance on Third Parties.”</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Before we can generate any revenue from sales of our lead product candidate, bexotegrast, or any of our other product candidates, we must undergo additional preclinical and clinical development, regulatory review, and approval in one or more jurisdictions. In addition, if one or more of our product candidates are approved, we must ensure access to sufficient commercial manufacturing capacity and conduct significant marketing efforts in connection with any commercial launch. These efforts will require substantial investment, and we may not have the financial resources to continue development of our product candidates.</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We may experience setbacks that could delay or prevent regulatory approval of, or the extent of regulatory protection or our ability to commercialize, our product candidates, including:</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before="0" w:after="0"/>
        <w:rPr/>
      </w:pPr>
      <w:r>
        <w:rPr/>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negative or inconclusive results from our preclinical studies or clinical trials or the clinical trials of others for product candidates similar to ours, leading to a decision or requirement to conduct additional preclinical testing or clinical trials or abandon a program;</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product-related side effects experienced by subjects in our clinical trials or by individuals using drugs or therapeutics similar to our product candidates;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delays in submitting INDs or comparable foreign applications or delays or failure in obtaining the necessary approvals from regulators to commence a clinical trial, or a suspension or termination of a clinical trial once commenced;</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conditions imposed by the FDA or comparable foreign authorities regarding the scope or design of our clinical trials;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delays in enrolling subjects in clinical trials, including due to the COVID-19 pandemic;</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 xml:space="preserve">high drop-out rates of subjects from clinical trials; </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inadequate supply or quality of product candidates or other materials necessary for the conduct of our clinical trials;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challenges manufacturing our product candidates to regulatory requirements in a cost effective manner;</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greater than anticipated clinical trial costs;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inability to compete with other therapies;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failure to secure or maintain orphan designation in some jurisdictions;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poor efficacy of our product candidates during clinical trials;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unfavorable FDA or other regulatory agency inspection and review of a clinical trial site;</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failure of our third-party contractors or investigators to comply with regulatory requirements or otherwise meet their contractual obligations in a timely manner, or at all;</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delays and changes in regulatory requirements, policy and guidelines, including the imposition of additional regulatory oversight around clinical testing generally or with respect to our technology in particular; or</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varying interpretations of data by the FDA and similar foreign regulatory agencies.</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We do not have complete control over many of these factors, including certain aspects of clinical development and the regulatory submission process, potential threats to our intellectual property rights and our manufacturing, marketing, distribution and sales efforts or that of any future collaborator.</w:t>
      </w:r>
    </w:p>
    <w:p>
      <w:pPr>
        <w:pStyle w:val="TextBody"/>
        <w:spacing w:lineRule="auto" w:line="288" w:before="120" w:after="283"/>
        <w:ind w:left="0" w:right="0" w:firstLine="1080"/>
        <w:rPr>
          <w:rFonts w:ascii="Times New Roman;sans-serif" w:hAnsi="Times New Roman;sans-serif"/>
          <w:b/>
          <w:i/>
          <w:color w:val="000000"/>
          <w:sz w:val="20"/>
        </w:rPr>
      </w:pPr>
      <w:r>
        <w:rPr>
          <w:rFonts w:ascii="Times New Roman;sans-serif" w:hAnsi="Times New Roman;sans-serif"/>
          <w:b/>
          <w:i/>
          <w:color w:val="000000"/>
          <w:sz w:val="20"/>
        </w:rPr>
        <w:t>Our approach to drug discovery and development in the area of fibrotic diseases, with an initial focus on tissue-specific integrin modulation and TGF-β signaling inhibition, is unproven and may not result in marketable products.</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Our approach is designed to discover and develop targeted treatments for fibrosis with an initial focus on the antagonism of tissue-specific TGF-β signaling through the inhibition of integrins known to mediate the release of activated TGF-β in fibrotic tissue. However, although multiple studies are currently underway, to date, this mechanism has not been definitively proven to successfully treat fibrosis. Targeting integrins to treat fibrosis is a novel approach in a rapidly developing field, and there can be no assurance that we will not experience currently unknown problems or delays in developing our product candidates, that such problems or delays will not result in unanticipated costs, or that any such development problems can be solved. We have primarily tested our lead product candidate, bexotegrast, in healthy volunteers. Therefore, we may ultimately discover that our approach and any product candidates resulting therefrom do not possess properties required for therapeutic effectiveness. As a result, we may never succeed in developing a marketable product.</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while we have developed an extensive panel of cell assays and precision cut tissue assays and have utilized animal models to uncover biological pathways, understood gene expression changes and optimized the potency and selectivity of our potential product candidates, there can be no assurance that our technology will yield their intended benefits. While we believe our assays represent a differentiator in our approach to drug development, our approach has not yet been clinically proven to yield results. Our practice of evaluating our product candidates in live human fibrotic tissue samples before advancing them into the clinic is intended to serve as a bridge between animal models and clinical proof-of-concept. However, there can be no assurance that positive results observed from preclinical animal testing and human fibrotic tissue models will be replicated when a program is advanced into clinical development. In addition, our practice of utilizing live human fibrotic tissue </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before="0" w:after="0"/>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as part of our development efforts may become more widespread in the future, and this approach may be adopted and replicated by others, including our competitors.</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Studies involving human tissue samples may also be subject to institutional and government human subject privacy policies that may vary by territory. We or our partners who provide us with human tissue samples or conduct tissue and/or animal studies on our behalf, may be found to be in violation of one or more of these regulations or policies and may be subject to closure, censure or other penalties. In some cases, these penalties could materially impact the performance, availability, or validity of studies conducted by us or on our behalf. Even in the absence of violations resulting in penalties, regulatory and other authorities may refuse to authorize the conduct or to accept the results of studies for regulatory or ethical reasons.</w:t>
      </w:r>
    </w:p>
    <w:p>
      <w:pPr>
        <w:pStyle w:val="TextBody"/>
        <w:spacing w:lineRule="auto" w:line="288" w:before="120" w:after="283"/>
        <w:ind w:left="0" w:right="0" w:firstLine="1080"/>
        <w:rPr>
          <w:rFonts w:ascii="Times New Roman;sans-serif" w:hAnsi="Times New Roman;sans-serif"/>
          <w:b/>
          <w:i/>
          <w:color w:val="000000"/>
          <w:sz w:val="20"/>
        </w:rPr>
      </w:pPr>
      <w:r>
        <w:rPr>
          <w:rFonts w:ascii="Times New Roman;sans-serif" w:hAnsi="Times New Roman;sans-serif"/>
          <w:b/>
          <w:i/>
          <w:color w:val="000000"/>
          <w:sz w:val="20"/>
        </w:rPr>
        <w:t>Clinical development involves a lengthy, complex, and expensive process, with an uncertain outcome.</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To obtain the requisite regulatory approvals to commercialize any product candidates, we must demonstrate through extensive preclinical studies and clinical trials that our product candidates are safe and effective in humans. Clinical testing is expensive and can take many years to complete, and its outcome is inherently uncertain. In particular, the general approach for FDA approval of a new drug is dispositive data from two well-controlled, Phase 3 clinical trials of the relevant drug in the relevant patient population. Phase 3 clinical trials typically involve hundreds of patients, have significant costs and take years to complete. A product candidate can fail at any stage of testing, even after observing promising signals of activity in earlier preclinical studies or clinical trials. The results of preclinical studies and early clinical trials of our product candidates may not be predictive of the results of later-stage clinical trials. In addition, initial success in clinical trials may not be indicative of results obtained when such trials are completed. There is typically an extremely high rate of attrition from the failure of product candidates proceeding through clinical trials. Product candidates in later stages of clinical trials may fail to show the desired safety and efficacy profile despite having progressed through preclinical studies and initial clinical trials. A number of companies in the biopharmaceutical industry have suffered significant setbacks in advanced clinical trials due to lack of efficacy or unacceptable safety issues, notwithstanding promising results in earlier trials. Most product candidates that commence clinical trials are never approved as products and there can be no assurance that any of our future clinical trials will ultimately be successful or support further clinical development of bexotegrast or any of our other product candidates. Product candidates that appear promising in the early phases of development may fail to reach the market for several reasons, including:</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preclinical studies or clinical trials may show the product candidates to be less effective than expected (e.g., a clinical trial could fail to meet its primary endpoint(s)) or to have unacceptable side effects or toxicities;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failure to establish clinical endpoints that applicable regulatory authorities would consider clinically meaningful;</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failure to receive the necessary regulatory approvals;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development of competing products in the same disease state;</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manufacturing costs, formulation issues, pricing or reimbursement issues, or other factors that make a product candidate uneconomical; and</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the proprietary rights of others and their competing products and technologies that may prevent one of our product candidates from being commercialized.</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In addition, differences in trial design between early-stage clinical trials and later-stage clinical trials make it difficult to extrapolate the results of earlier clinical trials to later clinical trials. Further, as we rely on novel technologies including sophisticated imaging technologies to generate data relating to our clinical endpoints, there is an increased risk that we may not properly measure, analyze or interpret this data. Moreover, clinical data are often susceptible to varying interpretations and analyses, and many companies that have believed their product candidates performed satisfactorily in clinical trials have nonetheless failed to obtain marketing approval of their products. Additionally, some of our trials are open-label studies, where both the patient and investigator know whether the patient is receiving the investigational product candidate or either an existing approved drug or placebo. Most typically, open-label clinical trials test only the investigational product candidate and sometimes do so at different dose levels. Open-label clinical trials are subject to various limitations that may exaggerate any therapeutic effect as patients in open-label clinical trials are aware when they are receiving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Therefore, it is possible that positive results observed in open-label trials will not be replicated in later placebo-controlled trials.</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standards that the FDA and comparable foreign regulatory authorities use when regulating us require judgment and can change, which makes it difficult to predict with certainty how they will be applied. Although we are </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before="0" w:after="0"/>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initially focusing our efforts on development of small molecule drug products, we are also considering the development of biological products, including a potential candidate for muscular dystrophies, which could make us subject to additional regulatory requirements.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Examples of such regulations include future legislation or administrative action, or changes in FDA policy during the period of product development and FDA regulatory review. It is impossible to predict whether legislative changes will be enacted, or whether FDA or foreign regulations, guidance or interpretations will be changed, or what the impact of such changes, if any, may be. The FDA may also require a panel of experts, referred to as an Advisory Committee, to deliberate on the adequacy of the safety and efficacy data to support approval. The opinion of the Advisory Committee, although not binding, may have a significant impact on our ability to obtain approval of any product candidates that we develop.</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If we seek to conduct clinical trials in foreign countries or pursue marketing approvals in foreign jurisdictions, we must comply with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may differ from that required to obtain FDA approval. Approval by the FDA does not ensure approval by regulatory authorities outside the United States and vice versa.</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Successful completion of clinical trials is a prerequisite to submitting a marketing application to the FDA and similar marketing applications to comparable foreign regulatory authorities, for each product candidate and, consequently, the ultimate approval and commercial marketing of any product candidates. We may experience negative or inconclusive results, which may result in our deciding, or our being required by regulators, to conduct additional clinical studies or trials or abandon some or all of our product development programs, which could have a material adverse effect on our business.</w:t>
      </w:r>
    </w:p>
    <w:p>
      <w:pPr>
        <w:pStyle w:val="TextBody"/>
        <w:spacing w:lineRule="auto" w:line="288" w:before="120" w:after="283"/>
        <w:ind w:left="0" w:right="0" w:firstLine="1080"/>
        <w:rPr>
          <w:rFonts w:ascii="Times New Roman;sans-serif" w:hAnsi="Times New Roman;sans-serif"/>
          <w:b/>
          <w:i/>
          <w:color w:val="000000"/>
          <w:sz w:val="20"/>
        </w:rPr>
      </w:pPr>
      <w:r>
        <w:rPr>
          <w:rFonts w:ascii="Times New Roman;sans-serif" w:hAnsi="Times New Roman;sans-serif"/>
          <w:b/>
          <w:i/>
          <w:color w:val="000000"/>
          <w:sz w:val="20"/>
        </w:rPr>
        <w:t>We may incur additional costs or experience delays in completing, or ultimately be unable to complete, the development and commercialization of bexotegrast or any other product candidates.</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 xml:space="preserve">We may experience delays in initiating or completing clinical trials. We also may experience numerous unforeseen events during, or as a result of, any future clinical trials that could delay or prevent our ability to receive marketing approval or commercialize bexotegrast or any other product candidates, including: </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regulators or institutional review boards, or IRBs, or ethics committees may not authorize us or our investigators to commence a clinical trial or conduct a clinical trial at a prospective trial site;</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the FDA or other comparable regulatory authorities may disagree with our clinical trial design, including with respect to dosing levels administered in our planned clinical trials, which may delay or prevent us from initiating our clinical trials with our originally intended trial design;</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we may experience delays in reaching, or fail to reach, agreement on acceptable terms with prospective trial sites and prospective CROs, which can be subject to extensive negotiation and may vary significantly among different CROs and trial sites;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the number of subjects required for clinical trials of any product candidates may be larger than we anticipate or subjects may drop out of these clinical trials or fail to return for post-treatment follow-up at a higher rate than we anticipate;</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due to the impact of the COVID-19 pandemic, we have experienced, and may continue to experience, delays and interruptions to our preclinical studies and clinical trials, we may experience delays or interruptions to our manufacturing supply chain, or we could suffer delays in reaching, or we may fail to reach, agreement on acceptable terms with third-party service providers on whom we rely;</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additional delays and interruptions to our clinical trials could extend the duration of the trials and increase the overall costs to finish the trials as our fixed costs are not substantially reduced during delays;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 xml:space="preserve">we may elect to, or regulators, IRBs, Data Safety Monitoring Boards, or DSMBs, or ethics committees may require that we or our investigators, suspend or terminate clinical research or </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before="0" w:after="0"/>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trials for various reasons, including noncompliance with regulatory requirements or a finding that the participants are being exposed to unacceptable health risks;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we may not have the financial resources available to begin and complete the planned trials, or the cost of clinical trials of any product candidates may be greater than we anticipate;</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the supply or quality of our product candidates or other materials necessary to conduct clinical trials of our product candidates may be insufficient or inadequate to initiate or complete a given clinical trial; and</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the FDA or other comparable foreign regulatory authorities may require us to submit additional data such as long-term toxicology studies, or impose other requirements before permitting us to initiate a clinical trial.</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Our product development costs will increase if we experience additional delays in clinical testing or in obtaining marketing approvals. We do not know whether any of our clinical trials will begin as planned, will need to be restructured or will be completed on schedule, or at all. If we do not achieve our product development goals in the timeframes we announce and expect, the approval and commercialization of our product candidates may be delayed or prevented entirely. Significant clinical trial delays also could shorten any periods during which we may have the exclusive right to commercialize our product candidates and may allow our competitors to bring products to market before we do, potentially impairing our ability to successfully commercialize our product candidates and harming our business and results of operations. Any delays in our clinical development programs may harm our business, financial condition, and results of operations significantly.</w:t>
      </w:r>
    </w:p>
    <w:p>
      <w:pPr>
        <w:pStyle w:val="TextBody"/>
        <w:spacing w:lineRule="auto" w:line="288" w:before="120" w:after="283"/>
        <w:ind w:left="0" w:right="0" w:firstLine="1080"/>
        <w:rPr>
          <w:rFonts w:ascii="Times New Roman;sans-serif" w:hAnsi="Times New Roman;sans-serif"/>
          <w:b/>
          <w:i/>
          <w:color w:val="000000"/>
          <w:sz w:val="20"/>
        </w:rPr>
      </w:pPr>
      <w:r>
        <w:rPr>
          <w:rFonts w:ascii="Times New Roman;sans-serif" w:hAnsi="Times New Roman;sans-serif"/>
          <w:b/>
          <w:i/>
          <w:color w:val="000000"/>
          <w:sz w:val="20"/>
        </w:rPr>
        <w:t>Our ongoing and future clinical trials may reveal significant adverse events or unexpected drug-drug interactions not seen in our preclinical studies and may result in a safety profile that could delay or prevent regulatory approval or market acceptance of any of our product candidates.</w:t>
      </w:r>
    </w:p>
    <w:p>
      <w:pPr>
        <w:pStyle w:val="TextBody"/>
        <w:spacing w:lineRule="auto" w:line="268" w:before="0" w:after="0"/>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 xml:space="preserve">We completed our Phase 1a clinical trial of our lead product candidate bexotegrast in healthy volunteers, and, with the exception of a number of reported minor adverse events, the product candidate was observed to be generally well-tolerated across all doses in 71 trial participants. In addition, we announced positive interim data from our first Phase 2a INTEGRIS-IPF trial in July 2022, January 2023 and May 2023 in which bexotegrast was observed to be well-tolerated over a treatment period of at least 12 weeks, and up to 40 weeks, in the 89 patients treated with bexotegrast. However, if significant adverse events or other side effects are observed in any of our ongoing or future clinical trials, we may have difficulty recruiting patients to our clinical trials, patients may drop out of our trials, or we may be required to abandon the trials or our development efforts altogether. In addition, in our ongoing Phase 2a clinical trials, we are evaluating bexotegrast administered with approved IPF agents. We have completed a Phase 1a study evaluating one-way interaction of bexotegrast on nintedanib or pirfenidone, concluding that clinical safety and pharmacokinetic data indicate that no dose adjustments are needed for nintedanib or pirfenidone when combined with bexotegrast. However, we may encounter unexpected drug-drug interactions in our planned trials, and may be required to further test these candidates, including additional drug-drug interaction studies, which may be expensive, time-consuming and result in delays to our programs. </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Some potential therapeutics developed in the biopharmaceutical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of the approved product due to its tolerability versus other therapies.</w:t>
      </w:r>
    </w:p>
    <w:p>
      <w:pPr>
        <w:pStyle w:val="TextBody"/>
        <w:spacing w:lineRule="auto" w:line="288" w:before="120" w:after="283"/>
        <w:ind w:left="0" w:right="0" w:firstLine="1080"/>
        <w:rPr>
          <w:rFonts w:ascii="Times New Roman;sans-serif" w:hAnsi="Times New Roman;sans-serif"/>
          <w:b/>
          <w:i/>
          <w:color w:val="000000"/>
          <w:sz w:val="20"/>
        </w:rPr>
      </w:pPr>
      <w:r>
        <w:rPr>
          <w:rFonts w:ascii="Times New Roman;sans-serif" w:hAnsi="Times New Roman;sans-serif"/>
          <w:b/>
          <w:i/>
          <w:color w:val="000000"/>
          <w:sz w:val="20"/>
        </w:rPr>
        <w:t>If we encounter difficulties enrolling patients in our clinical trials, our clinical development activities could be delayed or otherwise adversely affected.</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We may experience difficulties in patient enrollment in our clinical trials for a variety of reasons. The timely completion of clinical trials in accordance with their protocols depends, among other things, on our ability to enroll a sufficient number of patients who remain in the trial until its conclusion. The enrollment of patients depends on many factors, including:</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the patient eligibility and exclusion criteria defined in the protocol;</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the size of the patient population required for analysis of the trial’s primary endpoints and the process for identifying patients;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the willingness or availability (including legality under any future or reinstated COVID-19 shelter-in-place regulations) of patients to participate in our trials (including due to fears of contracting COVID-19);</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the proximity of patients to trial sites;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the design of the trial;</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before="0" w:after="0"/>
        <w:rPr/>
      </w:pPr>
      <w:r>
        <w:rPr/>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our ability to recruit clinical trial investigators with the appropriate competencies and experience;</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clinicians’ and patients’ perceptions as to the potential advantages and risks of the product candidate being studied in relation to other available therapies, including any new products that may be approved for the indications we are investigating;</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the availability of competing commercially available therapies and other competing product candidates’ clinical trials;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our ability to obtain and maintain patient informed consents; and</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the risk that patients enrolled in clinical trials will drop out of the trials before completion.</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 xml:space="preserve">For example, we are initially developing bexotegrast for the treatment of IPF and PSC, each of which is an orphan indication. In the United States, IPF is estimated to affect approximately 140,000 patients, while PSC is estimated to affect approximately 30,000 to 45,000 patients. As a result, we may encounter difficulties enrolling subjects in our clinical trials of bexotegrast due, in part, to the small size of these patient populations.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 </w:t>
      </w:r>
    </w:p>
    <w:p>
      <w:pPr>
        <w:pStyle w:val="TextBody"/>
        <w:spacing w:lineRule="auto" w:line="268" w:before="0" w:after="0"/>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Further, timely enrollment in clinical trials is reliant on clinical trial sites which may be adversely affected by global health matters, including, among other things, pandemics. For example, our clinical trial sites have been affected by the COVID-19 pandemic. Commencement of enrollment of our clinical trials of bexotegrast in IPF and PSC was delayed. While these trials have resumed patient enrollment, and in some cases completed enrollment, we believe we have experienced and may continue to experience slower than expected enrollment due to the pandemic. Also, while the Phase 1 trial of PLN-1474 has completed, this trial experienced delays due to COVID-19. In addition, after enrollment in these trials, if patients contract COVID-19 during participation in our trials or are subject to isolation or shelter-in-place restrictions, this may cause them to drop out of our trials, miss scheduled doses or follow-up visits or otherwise fail to follow trial protocols. If patients are unable to follow the trial protocols or if our trial results are otherwise disputed due to the effects of the COVID-19 pandemic or actions taken to mitigate its spread, the integrity of data from our trials may be compromised or not accepted by the FDA or other regulatory authorities, which would represent a significant setback for the applicable program.</w:t>
      </w:r>
    </w:p>
    <w:p>
      <w:pPr>
        <w:pStyle w:val="TextBody"/>
        <w:spacing w:lineRule="auto" w:line="288" w:before="120" w:after="283"/>
        <w:ind w:left="0" w:right="0" w:firstLine="1080"/>
        <w:rPr>
          <w:rFonts w:ascii="Times New Roman;sans-serif" w:hAnsi="Times New Roman;sans-serif"/>
          <w:b/>
          <w:i/>
          <w:color w:val="000000"/>
          <w:sz w:val="20"/>
        </w:rPr>
      </w:pPr>
      <w:r>
        <w:rPr>
          <w:rFonts w:ascii="Times New Roman;sans-serif" w:hAnsi="Times New Roman;sans-serif"/>
          <w:b/>
          <w:i/>
          <w:color w:val="000000"/>
          <w:sz w:val="20"/>
        </w:rPr>
        <w:t>The design or execution of our ongoing and future clinical trials may not support marketing approval.</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The design or execution of a clinical trial can determine whether its results will support marketing approval, and flaws in the design or execution of a clinical trial may not become apparent until the clinical trial is well advanced. We recently completed two Phase 2a trials of bexotegrast in IPF. In the first of these trials, the study was designed to enroll IPF patients and utilize a positron emission tomography, or PET, ligand to measure αvß6 target engagement by bexotegrast in the lungs post-treatment. The second trial was a double-blind placebo-controlled trial designed to evaluate safety, tolerability and pharmacokinetics of bexotegrast in IPF patients for up to 48 weeks at doses of up to 320 mg. It is possible that we may need to amend our clinical trials, which would require us to resubmit our clinical trial protocols to competent authorities and ethics committees for reexamination, and may impact the costs, timing, or successful completion of such clinical trial. In addition, we may desire to test bexotegrast at doses exceeding those evaluated in an ongoing Phase 1a trial and may not be able to do so.</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Additionally, in some instances, there can be significant variability in safety or efficacy results between different trials with the same product candidate due to numerous factors, including differences in trial protocols, size and type of the patient populations, variable adherence to the dosing regimen or other protocol requirements and the rate of dropout among clinical trial participants. We do not know whether any clinical trials we conduct will demonstrate consistent or adequate efficacy and safety to obtain marketing approval to market our product candidates.</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Further, the FDA and comparable foreign regulatory authorities have substantial discretion in the approval process and in determining when or whether marketing approval will be obtained for any of our product candidates. Our product candidates may not be approved even if they achieve their primary endpoints in future Phase 3 clinical trials or registrational trials. The FDA or comparable foreign regulatory authorities may disagree with our trial designs and our interpretation of data from preclinical studies or clinical trials. In addition, any of these regulatory authorities may change requirements for the approval of a product candidate even after reviewing and providing comments or advice on a protocol for a pivotal Phase 3 or registrational clinical trial. In addition, any of these regulatory authorities may also approve a product candidate for fewer or more limited indications than we request or may grant approval contingent on the performance of costly post-marketing clinical trials. The FDA or comparable foreign regulatory authorities may not approve the labeling claims that we believe would be necessary or desirable for the successful commercialization of our product candidates, if approved.</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before="0" w:after="0"/>
        <w:rPr/>
      </w:pPr>
      <w:r>
        <w:rPr/>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Delays in patient enrollment may result in increased costs or may affect the timing or outcome of our future clinical trials, which could prevent completion of these trials and adversely affect our ability to advance the development of our product candidates.</w:t>
      </w:r>
    </w:p>
    <w:p>
      <w:pPr>
        <w:pStyle w:val="TextBody"/>
        <w:spacing w:lineRule="auto" w:line="288" w:before="120" w:after="283"/>
        <w:ind w:left="0" w:right="0" w:firstLine="1080"/>
        <w:rPr>
          <w:rFonts w:ascii="Times New Roman;sans-serif" w:hAnsi="Times New Roman;sans-serif"/>
          <w:b/>
          <w:i/>
          <w:color w:val="000000"/>
          <w:sz w:val="20"/>
        </w:rPr>
      </w:pPr>
      <w:r>
        <w:rPr>
          <w:rFonts w:ascii="Times New Roman;sans-serif" w:hAnsi="Times New Roman;sans-serif"/>
          <w:b/>
          <w:i/>
          <w:color w:val="000000"/>
          <w:sz w:val="20"/>
        </w:rPr>
        <w:t>Although we have received U.S. orphan drug designation for bexotegrast for IPF and PSC indications and EEA orphan drug designation for bexotegrast for IPF and for PSC we may be unable to obtain and maintain orphan drug designation for our other product candidates and, even if we obtain such designation, we may not be able to realize the benefits of such designation, including potential marketing exclusivity of our product candidates, if approved.</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 xml:space="preserve">Regulatory authorities in some jurisdictions, including the United States and other major markets, may designate drugs intended to treat conditions or diseases affecting relatively small patient populations as orphan drugs. Under the Orphan Drug Act of 1983, the FDA may designate a product candidate as an orphan drug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 In order to obtain orphan designation in the EEA, the product must fulfill certain challenging criteria. Under Article 3 of Regulation (EC) 141/2000, a medicinal product may be designated as an orphan medicinal product if it meets the following criteria: (1) such product is intended for the diagnosis, prevention or treatment of a life-threatening or chronically debilitating condition; (2) either the prevalence of such condition must not be more than five in 10,000 persons in the EU when the application is made, or without the benefits derived from orphan status, it must be unlikely that the marketing of the medicine would generate sufficient return in the EU to justify the investment needed for its development; and (3) there exists no satisfactory method of diagnosis, prevention or treatment of such condition authorized for marketing in the EU or if such a method exists, the product will be of significant benefit to those affected by the condition, as defined in Regulation (EC) 847/2000. </w:t>
      </w:r>
    </w:p>
    <w:p>
      <w:pPr>
        <w:pStyle w:val="TextBody"/>
        <w:spacing w:before="0" w:after="0"/>
        <w:ind w:left="0" w:right="0" w:firstLine="1080"/>
        <w:rPr/>
      </w:pPr>
      <w:r>
        <w:rPr/>
      </w:r>
    </w:p>
    <w:p>
      <w:pPr>
        <w:pStyle w:val="TextBody"/>
        <w:spacing w:lineRule="auto" w:line="268" w:before="0" w:after="0"/>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Although we have received U.S. orphan drug designation for bexotegrast for IPF and PSC and EEA orphan drug designation for bexotegrast for IPF and for PSC, the designation of any of our product candidates as an orphan drug does not mean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w:t>
      </w:r>
    </w:p>
    <w:p>
      <w:pPr>
        <w:pStyle w:val="TextBody"/>
        <w:spacing w:lineRule="auto" w:line="268" w:before="0" w:after="0"/>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Generally, if a product candidate with an orphan drug designation receives the first marketing approval for the indication for which it has such designation, the product is entitled to a period of marketing exclusivity, which precludes the FDA or foreign regulatory authorities from approving another marketing application for a product that constitutes a similar medicinal product treating the same indication for that marketing exclusivity period, except in limited circumstances. The applicable period is seven years in the United States and ten years in the EEA. The ten-year period of market exclusivity in the EEA can be extended by a further two years if the product qualifies for a pediatric extension, but can be reduced to a period of six years if the orphan designation criteria are no longer met after the fifth year. Orphan drug exclusivity may be revoked if any regulatory agency determines that the request for designation was materially defective or if the manufacturer is unable to assure sufficient quantity of the product to meet the needs of patients with the rare disease or condition.</w:t>
      </w:r>
    </w:p>
    <w:p>
      <w:pPr>
        <w:pStyle w:val="TextBody"/>
        <w:spacing w:lineRule="auto" w:line="268" w:before="0" w:after="0"/>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Even if we obtain orphan drug exclusivity for a product candidate, that exclusivity may not effectively protect the product candidate from competition because different drugs with different active moieties can be approved for the same condition in the United States or EEA. Even after an orphan drug is approved, the FDA or EMA, as applicable, may subsequently approve another drug with the same active moiety for the same condition if the FDA concludes that the latter drug is not a similar medicinal product or is clinically superior in that it is shown to be safer, more effective or makes a major contribution to patient care.</w:t>
      </w:r>
    </w:p>
    <w:p>
      <w:pPr>
        <w:pStyle w:val="TextBody"/>
        <w:spacing w:lineRule="auto" w:line="268" w:before="0" w:after="0"/>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In addition, Congress is considering updates to the orphan drug provisions of the FDCA in response to a recent decision by the U.S. Court of Appeals for the Eleventh Circuit. Any changes to the orphan drug provisions could change our opportunities for, or likelihood of success in obtaining, orphan drug exclusivity and would materially adversely affect our business, results of operations, financial condition and prospects.</w:t>
      </w:r>
    </w:p>
    <w:p>
      <w:pPr>
        <w:pStyle w:val="TextBody"/>
        <w:spacing w:before="120" w:after="283"/>
        <w:ind w:left="0" w:right="0" w:firstLine="1080"/>
        <w:rPr/>
      </w:pPr>
      <w:r>
        <w:rPr/>
      </w:r>
    </w:p>
    <w:p>
      <w:pPr>
        <w:pStyle w:val="TextBody"/>
        <w:spacing w:lineRule="auto" w:line="288" w:before="0" w:after="0"/>
        <w:ind w:left="0" w:right="0" w:firstLine="1080"/>
        <w:rPr>
          <w:rFonts w:ascii="Times New Roman;sans-serif" w:hAnsi="Times New Roman;sans-serif"/>
          <w:b/>
          <w:i/>
          <w:color w:val="000000"/>
          <w:sz w:val="20"/>
        </w:rPr>
      </w:pPr>
      <w:r>
        <w:rPr>
          <w:rFonts w:ascii="Times New Roman;sans-serif" w:hAnsi="Times New Roman;sans-serif"/>
          <w:b/>
          <w:i/>
          <w:color w:val="000000"/>
          <w:sz w:val="20"/>
        </w:rPr>
        <w:t>A Fast Track designation by the FDA, even if granted for other current or future product candidates, may not lead to a faster development or regulatory review, licensure process and does not increase the likelihood that our product candidates will receive marketing licensure.</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 xml:space="preserve">We may seek Fast Track designation for one or more of our future product candidates. In April 2022, bexotegrast received Fast Track designation for the treatment of IPF. If a drug product is intended for the treatment of a serious or life-threatening disease or condition and it demonstrates the potential to address unmet medical needs for such a disease or condition, the drug sponsor may apply for FDA Fast Track designation for a particular indication. We may seek Fast Track designation for our product candidates, but there is no assurance that the FDA will grant this designation to any of our proposed product candidates. Marketing applications submitted by sponsors of products in Fast Track development may qualify for priority review under the policies and procedures offered by the FDA, but the Fast Track designation does not assure any such qualification or ultimate marketing licensure by the FDA. The FDA has broad discretion whether or not to grant Fast Track </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before="0" w:after="0"/>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designation, so even if we believe a particular product candidate is eligible for this designation, there can be no assurance that the FDA would decide to grant it. Even if we do receive Fast Track designation, we may not experience a faster development process, review or licensure compared to conventional FDA procedures or pathways and receiving a Fast Track designation does not provide assurance of ultimate FDA licensure. In addition, the FDA may withdraw Fast Track designation if it believes that the designation is no longer supported by data from our clinical development program. In addition, the FDA may withdraw any Fast Track designation at any time.</w:t>
      </w:r>
    </w:p>
    <w:p>
      <w:pPr>
        <w:pStyle w:val="TextBody"/>
        <w:spacing w:lineRule="auto" w:line="288" w:before="120" w:after="283"/>
        <w:ind w:left="0" w:right="0" w:firstLine="1080"/>
        <w:rPr>
          <w:rFonts w:ascii="Times New Roman;sans-serif" w:hAnsi="Times New Roman;sans-serif"/>
          <w:b/>
          <w:i/>
          <w:color w:val="000000"/>
          <w:sz w:val="20"/>
        </w:rPr>
      </w:pPr>
      <w:r>
        <w:rPr>
          <w:rFonts w:ascii="Times New Roman;sans-serif" w:hAnsi="Times New Roman;sans-serif"/>
          <w:b/>
          <w:i/>
          <w:color w:val="000000"/>
          <w:sz w:val="20"/>
        </w:rPr>
        <w:t>Changes in methods of product candidate manufacturing or formulation may result in additional costs or delay.</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As product candidates progress through preclinical to late-stage clinical trials to marketing approval and commercialization, it is common that various aspects of the development program, such as manufacturing methods and formulation, are altered along the way in an effort to optimize yield,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and generate revenue.</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obtain marketing approval for any of our product candidates, there is no assurance that our manufacturers will be able to manufacture the approved product to specifications acceptable to the FDA or other comparable foreign regulatory authorities, to produce it in sufficient quantities to meet the requirements for the potential commercial launch of the product or to meet potential future demand. Additionally, if we advance a biological candidate into IND-enabling studies, the manufacturing processes for biological products is more complex and expensive than with small molecule products and additional manufacturing suppliers may be needed to manufacture clinical supplies for these programs. If our manufacturers are unable to produce sufficient quantities for clinical trials or for commercialization, our development and commercialization efforts would be impaired, which would have an adverse effect on our business, financial condition, results of operations and growth prospects.</w:t>
      </w:r>
    </w:p>
    <w:p>
      <w:pPr>
        <w:pStyle w:val="TextBody"/>
        <w:spacing w:lineRule="auto" w:line="288" w:before="120" w:after="283"/>
        <w:ind w:left="0" w:right="0" w:firstLine="1080"/>
        <w:rPr>
          <w:rFonts w:ascii="Times New Roman;sans-serif" w:hAnsi="Times New Roman;sans-serif"/>
          <w:b/>
          <w:i/>
          <w:color w:val="000000"/>
          <w:sz w:val="20"/>
        </w:rPr>
      </w:pPr>
      <w:r>
        <w:rPr>
          <w:rFonts w:ascii="Times New Roman;sans-serif" w:hAnsi="Times New Roman;sans-serif"/>
          <w:b/>
          <w:i/>
          <w:color w:val="000000"/>
          <w:sz w:val="20"/>
        </w:rPr>
        <w:t>We may not be successful in our efforts to identify or discover additional product candidates in the future.</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Our research programs may initially show promise in identifying potential product candidates, yet fail to yield product candidates for clinical development for a number of reasons, including:</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our inability to design such product candidates with the pharmacological properties that we desire or attractive pharmacokinetics; or</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potential product candidates may, on further study, be shown to have harmful side effects or other characteristics that indicate that they are unlikely to be medicines that will receive marketing approval and achieve market acceptance.</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Research programs to identify new product candidates require substantial technical, financial, and human resources. If we are unable to identify suitable compounds for preclinical and clinical development, we will not be able to obtain product revenue in future periods, which likely would result in significant harm to our financial position and adversely impact our stock price.</w:t>
      </w:r>
    </w:p>
    <w:p>
      <w:pPr>
        <w:pStyle w:val="TextBody"/>
        <w:spacing w:lineRule="auto" w:line="288" w:before="120" w:after="283"/>
        <w:ind w:left="0" w:right="0" w:firstLine="1080"/>
        <w:rPr>
          <w:rFonts w:ascii="Times New Roman;sans-serif" w:hAnsi="Times New Roman;sans-serif"/>
          <w:b/>
          <w:i/>
          <w:color w:val="000000"/>
          <w:sz w:val="20"/>
        </w:rPr>
      </w:pPr>
      <w:r>
        <w:rPr>
          <w:rFonts w:ascii="Times New Roman;sans-serif" w:hAnsi="Times New Roman;sans-serif"/>
          <w:b/>
          <w:i/>
          <w:color w:val="000000"/>
          <w:sz w:val="20"/>
        </w:rPr>
        <w:t>Due to our limited resources and access to capital, we must make decisions on the allocation of resources to certain programs and product candidates; these decisions may prove to be wrong and may adversely affect our business.</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We have limited financial and human resources and intend to initially focus on research programs and product candidates for a limited set of indications. As a result, we may forgo or delay pursuit of opportunities with other product candidates or for other indications that later prove to have greater commercial potential or a greater likelihood of success. In addition, we seek to accelerate our development timelines, including by initiating certain clinical trials of our product candidates before earlier-stage studies have been completed. This approach may cause us to commit significant resources to prepare for and conduct later-stage trials for one or more product candidates that subsequently fail earlier-stage clinical testing. Therefore, our resource allocation decisions may cause us to fail to capitalize on viable commercial products or profitable market opportunities or expend resources on product candidates that are not viable.</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we will ever be able to identify additional therapeutic opportunities for our product candidates or to develop suitable potential product candidates through internal research programs, which could materially adversely affect our future growth and prospects. We may focus our efforts and resources on potential product candidates or other potential programs that ultimately prove to be unsuccessful.</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before="0" w:after="0"/>
        <w:rPr/>
      </w:pPr>
      <w:r>
        <w:rPr/>
      </w:r>
    </w:p>
    <w:p>
      <w:pPr>
        <w:pStyle w:val="TextBody"/>
        <w:spacing w:lineRule="auto" w:line="288" w:before="120" w:after="283"/>
        <w:ind w:left="0" w:right="0" w:firstLine="1080"/>
        <w:rPr>
          <w:rFonts w:ascii="Times New Roman;sans-serif" w:hAnsi="Times New Roman;sans-serif"/>
          <w:b/>
          <w:i/>
          <w:color w:val="000000"/>
          <w:sz w:val="20"/>
        </w:rPr>
      </w:pPr>
      <w:r>
        <w:rPr>
          <w:rFonts w:ascii="Times New Roman;sans-serif" w:hAnsi="Times New Roman;sans-serif"/>
          <w:b/>
          <w:i/>
          <w:color w:val="000000"/>
          <w:sz w:val="20"/>
        </w:rPr>
        <w:t>If product liability lawsuits are brought against us, we may incur substantial financial or other liabilities and may be required to limit commercialization of our product candidates.</w:t>
      </w:r>
    </w:p>
    <w:p>
      <w:pPr>
        <w:pStyle w:val="TextBody"/>
        <w:spacing w:lineRule="auto" w:line="268" w:before="0" w:after="0"/>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We face an inherent risk of product liability as a result of testing bexotegrast and any of our other product candidates in clinical trials and will face an even greater risk if we commercialize any products. For example, we may be sued if our product candidates cause or are perceived to cause injury or are found to be otherwise unsuitable during clinical trials,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inability to bring a product candidate to the market;</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decreased demand for our products;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injury to our reputation;</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withdrawal of clinical trial participants and inability to continue clinical trials;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initiation of investigations by regulators;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fines, injunctions or criminal penalties;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costs to defend the related litigation;</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diversion of management’s time and our resources;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substantial monetary awards to trial participants;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product recalls, withdrawals or labeling, marketing or promotional restrictions;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loss of revenue;</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exhaustion of any available insurance and our capital resources;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the inability to commercialize any product candidate, if approved; and</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decline in our share price.</w:t>
      </w:r>
    </w:p>
    <w:p>
      <w:pPr>
        <w:pStyle w:val="TextBody"/>
        <w:spacing w:lineRule="auto" w:line="268" w:before="0" w:after="0"/>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Our inability to obtain sufficient product liability insurance at an acceptable cost to protect against potential product liability claims could prevent or inhibit the commercialization of products we develop. We will need to obtain additional insurance for clinical trials as bexotegrast continues clinical development and as additional product candidates enter the clinic. However, we may be unable to obtain, or may obtain on unfavorable terms, clinical trial insurance in amounts adequate to cover any liabilities from any of our clinical trials. Our insurance policies may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pStyle w:val="TextBody"/>
        <w:spacing w:lineRule="auto" w:line="288" w:before="120" w:after="283"/>
        <w:ind w:left="0" w:right="0" w:firstLine="1080"/>
        <w:rPr>
          <w:rFonts w:ascii="Times New Roman;sans-serif" w:hAnsi="Times New Roman;sans-serif"/>
          <w:b/>
          <w:i/>
          <w:color w:val="000000"/>
          <w:sz w:val="20"/>
        </w:rPr>
      </w:pPr>
      <w:r>
        <w:rPr>
          <w:rFonts w:ascii="Times New Roman;sans-serif" w:hAnsi="Times New Roman;sans-serif"/>
          <w:b/>
          <w:i/>
          <w:color w:val="000000"/>
          <w:sz w:val="20"/>
        </w:rPr>
        <w:t>We face substantial competition, which may result in others discovering, developing, or commercializing products before or more successfully than us.</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The development and commercialization of new drug products is highly competitive. We may face competition with respect to any product candidates that we seek to develop or commercialize in the future from major biopharmaceutical companies, specialty biopharmaceutical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pStyle w:val="TextBody"/>
        <w:spacing w:lineRule="auto" w:line="288" w:before="120" w:after="283"/>
        <w:ind w:left="0" w:right="0" w:firstLine="1080"/>
        <w:rPr/>
      </w:pPr>
      <w:r>
        <w:rPr>
          <w:rFonts w:ascii="Times New Roman;sans-serif" w:hAnsi="Times New Roman;sans-serif"/>
          <w:b w:val="false"/>
          <w:color w:val="000000"/>
          <w:sz w:val="20"/>
        </w:rPr>
        <w:t>There are a number of biopharmaceutical and biotechnology companies that are currently pursuing the development of products for the treatment of fibrosis. Companies that we are aware of that are targeting the treatment of various fibrosis indications through inhibiting various parts of the TGF-β pathway include companies with significant financial resources such as AbbVie Inc., AstraZeneca plc,</w:t>
      </w:r>
      <w:r>
        <w:rPr>
          <w:color w:val="000000"/>
        </w:rPr>
        <w:t xml:space="preserve"> </w:t>
      </w:r>
      <w:r>
        <w:rPr>
          <w:rFonts w:ascii="Times New Roman;sans-serif" w:hAnsi="Times New Roman;sans-serif"/>
          <w:b w:val="false"/>
          <w:color w:val="000000"/>
          <w:sz w:val="20"/>
        </w:rPr>
        <w:t>Bristol Myers Squibb Co., Corbus Pharmaceutical, DiCE Therapeutics, Inc., FibroGen, Inc., Gilead Sciences, Inc., Morphic Therapeutics, Inc., Novartis AG, and Takeda Pharmaceutical Company.</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Many of our current or potential competitors, either alone or with their strategic partners, have significantly greater financial resources and expertise in research and development, manufacturing, preclinical testing, conducting clinical trials, obtaining regulatory approvals, and marketing approved products than we do.</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before="0" w:after="0"/>
        <w:rPr/>
      </w:pPr>
      <w:r>
        <w:rPr/>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Mergers and acquisitions in the biopharmaceutical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more convenient or less expensive than any products that we may develop. Furthermore, products currently approved for other indications could be discovered to be effective treatments of fibrosis as well, which could give such products significant regulatory and market timing advantages over bexotegrast or other product candidates that we may identify. Our competitors also may obtain FDA or other regulatory approval for their products more rapidly than we may obtain approval for ours, which could result in our competitors establishing a strong market position before we are able to enter the market. Additionally, products or technologies developed by our competitors may render our potential product candidates uneconomical or obsolete and we may not be successful in marketing any product candidates we may develop against competitors. The availability of competitive products could limit the demand, and the price we are able to charge, for any products that we may develop and commercialize.</w:t>
      </w:r>
    </w:p>
    <w:p>
      <w:pPr>
        <w:pStyle w:val="TextBody"/>
        <w:spacing w:lineRule="auto" w:line="288" w:before="120" w:after="283"/>
        <w:ind w:left="0" w:right="0" w:firstLine="1080"/>
        <w:rPr>
          <w:rFonts w:ascii="Times New Roman;sans-serif" w:hAnsi="Times New Roman;sans-serif"/>
          <w:b/>
          <w:color w:val="000000"/>
          <w:sz w:val="20"/>
        </w:rPr>
      </w:pPr>
      <w:r>
        <w:rPr>
          <w:rFonts w:ascii="Times New Roman;sans-serif" w:hAnsi="Times New Roman;sans-serif"/>
          <w:b/>
          <w:color w:val="000000"/>
          <w:sz w:val="20"/>
        </w:rPr>
        <w:t>Risks Related to Marketing, Reimbursement, Healthcare Regulations and Ongoing Regulatory Compliance</w:t>
      </w:r>
    </w:p>
    <w:p>
      <w:pPr>
        <w:pStyle w:val="TextBody"/>
        <w:spacing w:lineRule="auto" w:line="288" w:before="120" w:after="283"/>
        <w:ind w:left="0" w:right="0" w:firstLine="1080"/>
        <w:rPr>
          <w:rFonts w:ascii="Times New Roman;sans-serif" w:hAnsi="Times New Roman;sans-serif"/>
          <w:b/>
          <w:i/>
          <w:color w:val="000000"/>
          <w:sz w:val="20"/>
        </w:rPr>
      </w:pPr>
      <w:r>
        <w:rPr>
          <w:rFonts w:ascii="Times New Roman;sans-serif" w:hAnsi="Times New Roman;sans-serif"/>
          <w:b/>
          <w:i/>
          <w:color w:val="000000"/>
          <w:sz w:val="20"/>
        </w:rPr>
        <w:t>Even if a product candidate we develop receives marketing approval, it may fail to achieve the degree of market acceptance by physicians, patients, third-party payors and others in the medical community necessary for commercial success.</w:t>
      </w:r>
    </w:p>
    <w:p>
      <w:pPr>
        <w:pStyle w:val="TextBody"/>
        <w:spacing w:lineRule="auto" w:line="268" w:before="0" w:after="0"/>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Even if bexotegrast or any other product candidate we develop receives marketing approval, it may nonetheless fail to gain sufficient market acceptance by physicians, patients and third-party payors. In addition, the availability of coverage by third-party payors may be affected by existing and future health care reform measures designed to reduce the cost of health care. If the product candidates we develop do not achieve an adequate level of acceptance, we may not generate significant product revenues and we may not become profitable.</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The degree of market acceptance of any product candidate, if approved for commercial sale, will depend on a number of factors, including:</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efficacy and potential advantages compared to alternative treatments;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the ability to offer our products, if approved, for sale at competitive prices;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convenience and ease of administration compared to alternative treatments;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the willingness of the target patient population to try new therapies and of physicians to prescribe these therapies;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the recommendations with respect to our product candidates in guidelines published by various scientific organizations applicable to us and our product candidates;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the strength of marketing and distribution support;</w:t>
      </w:r>
    </w:p>
    <w:p>
      <w:pPr>
        <w:pStyle w:val="TextBody"/>
        <w:spacing w:lineRule="auto" w:line="268" w:before="0" w:after="0"/>
        <w:ind w:left="0" w:right="0" w:hanging="1260"/>
        <w:rPr/>
      </w:pPr>
      <w:r>
        <w:rPr>
          <w:color w:val="000000"/>
        </w:rPr>
        <w:t>•</w:t>
      </w:r>
      <w:r>
        <w:rPr>
          <w:rFonts w:ascii="Times New Roman;sans-serif" w:hAnsi="Times New Roman;sans-serif"/>
          <w:b w:val="false"/>
          <w:color w:val="000000"/>
          <w:sz w:val="20"/>
        </w:rPr>
        <w:t>the ability to obtain sufficient third-party coverage and adequate reimbursement and a positive recommendation by health technology bodies; and</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the prevalence and severity of any side effects.</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If government and other third-party payors do not provide coverage and adequate reimbursement levels for any products we commercialize, market acceptance and commercial success would be reduced.</w:t>
      </w:r>
    </w:p>
    <w:p>
      <w:pPr>
        <w:pStyle w:val="TextBody"/>
        <w:spacing w:lineRule="auto" w:line="288" w:before="120" w:after="283"/>
        <w:ind w:left="0" w:right="0" w:firstLine="1080"/>
        <w:rPr>
          <w:rFonts w:ascii="Times New Roman;sans-serif" w:hAnsi="Times New Roman;sans-serif"/>
          <w:b/>
          <w:i/>
          <w:color w:val="000000"/>
          <w:sz w:val="20"/>
        </w:rPr>
      </w:pPr>
      <w:r>
        <w:rPr>
          <w:rFonts w:ascii="Times New Roman;sans-serif" w:hAnsi="Times New Roman;sans-serif"/>
          <w:b/>
          <w:i/>
          <w:color w:val="000000"/>
          <w:sz w:val="20"/>
        </w:rPr>
        <w:t>Coverage and reimbursement may be limited or unavailable in certain market segments for our product candidates, if approved, which could make it difficult for us to sell any product candidates profitably.</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Significant uncertainty exists as to the coverage and reimbursement status of any products for which we may obtain regulatory approval. In the United States, sales of any products for which we may receive regulatory marketing approval will depend, in part, on the availability of coverage and adequacy of reimbursement from third-party payors. Third-party payors include government authorities such as Medicare, Medicaid, TRICARE, and the Veterans Administration, managed care providers, private health insurers, and other organizations. Patients who are provided medical treatment for their conditions generally rely on third-party payors to reimburse all or part of the costs associated with their treatment. Coverage and adequate reimbursement from governmental healthcare programs, such as Medicare and Medicaid, and commercial payors is critical to new product acceptance. Patients are unlikely to use our product candidates unless coverage is provided, and reimbursement is adequate to cover a significant portion of the cost. We cannot be sure that coverage and adequate reimbursement will be available for any product that we may develop and, if reimbursement is available, what the level of reimbursement will be.</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before="0" w:after="0"/>
        <w:rPr/>
      </w:pPr>
      <w:r>
        <w:rPr/>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Government authorities and other third-party payors decide which drugs and treatments they will cover and the amount of reimbursement. Coverage and reimbursement by a third-party payor may depend upon a number of factors, including the third-party payor’s determination that use of a product is: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a covered benefit under its health plan;</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safe, effective and medically necessary;</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appropriate for the specific patient;</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cost-effective; and</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neither experimental nor investigational.</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United States as well as foreign jurisdictions, no uniform policy of coverage and reimbursement for products exists among third-party payors. </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Coverage and reimbursement for products may vary depending on the payor, the insurance plan, and other factors.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on a payor-by-payor basis, with no assurance that coverage and adequate reimbursement will be obtained. Even if we obtain coverage for a given product, the resulting reimbursement payment rates might not be adequate for us to achieve or sustain profitability or may require co-payments that patients find unacceptably high. Additionally, third-party payors may not cover, or provide adequate reimbursement for, long-term follow-up evaluations required following the use of product candidates, once approved. It is difficult to predict at this time what third-party payors will decide with respect to the coverage and reimbursement for our product candidates, if approved.</w:t>
      </w:r>
    </w:p>
    <w:p>
      <w:pPr>
        <w:pStyle w:val="TextBody"/>
        <w:spacing w:lineRule="auto" w:line="288" w:before="120" w:after="283"/>
        <w:ind w:left="0" w:right="0" w:firstLine="1080"/>
        <w:rPr/>
      </w:pPr>
      <w:r>
        <w:rPr>
          <w:rFonts w:ascii="Times New Roman;sans-serif" w:hAnsi="Times New Roman;sans-serif"/>
          <w:b w:val="false"/>
          <w:color w:val="000000"/>
          <w:sz w:val="20"/>
        </w:rPr>
        <w:t>A primary trend in the United States and European health care industries is toward cost containment, as government authorities, third-party payors, and others have attempted to control costs by limiting coverage and the amount of reimbursement available for certain treatments. Such third-party payers, including Medicare, may question the coverage of, and challenge the prices charged for medical products, and many third-party payers limit coverage and reimbursement for newly approved health care products. Moreover, reimbursement, if available,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payers, by any future laws limiting drug prices.</w:t>
      </w:r>
      <w:r>
        <w:rPr>
          <w:color w:val="000000"/>
        </w:rPr>
        <w:t xml:space="preserve"> </w:t>
      </w:r>
      <w:r>
        <w:rPr>
          <w:rFonts w:ascii="Times New Roman;sans-serif" w:hAnsi="Times New Roman;sans-serif"/>
          <w:b w:val="false"/>
          <w:color w:val="000000"/>
          <w:sz w:val="20"/>
        </w:rPr>
        <w:t>If we are unable to promptly obtain coverage and adequate reimbursement rates from both government-funded and private payers for any approved products that we develop there could be a material adverse effect on our operating results, our ability to raise capital needed to commercialize products and our overall financial condition.</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Changes to these current laws and state and federal healthcare reform measures that may be adopted in the future that impact coverage and reimbursement for drug or biologic products may result in additional reductions in Medicare and other healthcare funding and otherwise affect the prices we may obtain for any product candidates for which we may obtain regulatory approval or the frequency with which any such product candidate is prescribed or used.</w:t>
      </w:r>
    </w:p>
    <w:p>
      <w:pPr>
        <w:pStyle w:val="TextBody"/>
        <w:spacing w:lineRule="auto" w:line="288" w:before="120" w:after="283"/>
        <w:ind w:left="0" w:right="0" w:firstLine="1080"/>
        <w:rPr>
          <w:rFonts w:ascii="Times New Roman;sans-serif" w:hAnsi="Times New Roman;sans-serif"/>
          <w:b/>
          <w:i/>
          <w:color w:val="000000"/>
          <w:sz w:val="20"/>
        </w:rPr>
      </w:pPr>
      <w:r>
        <w:rPr>
          <w:rFonts w:ascii="Times New Roman;sans-serif" w:hAnsi="Times New Roman;sans-serif"/>
          <w:b/>
          <w:i/>
          <w:color w:val="000000"/>
          <w:sz w:val="20"/>
        </w:rPr>
        <w:t>Even if we obtain FDA approval of any of our product candidates, we may never obtain approval or commercialize such products outside of the United States, which would limit our ability to realize their full market potential.</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In order to market any products outside of the United States, we must establish and comply with numerous and varying regulatory requirements of other countries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our ability to realize the full market potential of our products will be harmed.</w:t>
      </w:r>
    </w:p>
    <w:p>
      <w:pPr>
        <w:pStyle w:val="TextBody"/>
        <w:spacing w:lineRule="auto" w:line="288" w:before="120" w:after="283"/>
        <w:ind w:left="0" w:right="0" w:firstLine="1080"/>
        <w:rPr>
          <w:rFonts w:ascii="Times New Roman;sans-serif" w:hAnsi="Times New Roman;sans-serif"/>
          <w:b/>
          <w:i/>
          <w:color w:val="000000"/>
          <w:sz w:val="20"/>
        </w:rPr>
      </w:pPr>
      <w:r>
        <w:rPr>
          <w:rFonts w:ascii="Times New Roman;sans-serif" w:hAnsi="Times New Roman;sans-serif"/>
          <w:b/>
          <w:i/>
          <w:color w:val="000000"/>
          <w:sz w:val="20"/>
        </w:rPr>
        <w:t xml:space="preserve">We currently have no marketing and sales organization and have no experience as a company in commercializing products, and we may have to invest significant resources to develop these capabilities. If we are unable to </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before="0" w:after="0"/>
        <w:rPr/>
      </w:pPr>
      <w:r>
        <w:rPr/>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establish marketing and sales capabilities or enter into agreements with third parties to market and sell our products, we may not be able to generate product revenue.</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We have no internal sales, marketing, or distribution capabilities, nor have we commercialized a product. If any of our product candidates ultimately receives regulatory approval, we expect to establish a marketing and sales organization with technical expertise and supporting distribution capabilities to commercialize each such product in major markets, which will be expensive and time consuming. We have no prior experience as a company in the marketing, sale and distribution of 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products. We may also choose to collaborate with third parties that have direct sales forces and established distribution systems, either to augment our own sales force and distribution systems or in lieu of our own sales force and distribution systems. We may not be able to enter into collaborations or hire consultants or external service providers to assist us in sales, marketing and distribution functions on acceptable financial terms, or at all. In addition, our product revenues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w:t>
      </w:r>
    </w:p>
    <w:p>
      <w:pPr>
        <w:pStyle w:val="TextBody"/>
        <w:spacing w:lineRule="auto" w:line="288" w:before="120" w:after="283"/>
        <w:ind w:left="0" w:right="0" w:firstLine="1080"/>
        <w:rPr>
          <w:rFonts w:ascii="Times New Roman;sans-serif" w:hAnsi="Times New Roman;sans-serif"/>
          <w:b/>
          <w:i/>
          <w:color w:val="000000"/>
          <w:sz w:val="20"/>
        </w:rPr>
      </w:pPr>
      <w:r>
        <w:rPr>
          <w:rFonts w:ascii="Times New Roman;sans-serif" w:hAnsi="Times New Roman;sans-serif"/>
          <w:b/>
          <w:i/>
          <w:color w:val="000000"/>
          <w:sz w:val="20"/>
        </w:rPr>
        <w:t>Our relationships with healthcare providers and physicians and third-party payors will be subject to applicable anti-kickback, fraud and abuse and other healthcare laws and regulations, which could expose us to criminal sanctions, civil penalties, contractual damages, reputational harm and diminished profits and future earnings.</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Healthcare providers, physicians and third-party payors in the United States and elsewhere play a primary role in the recommendation and prescription of biopharmaceutical products. Arrangements with third-party payors and customers can expose biopharmaceutical manufacturers to broadly applicable fraud and abuse and other healthcare laws and regulations, as detailed in Part I, Item 1 - Business - Government Regulation - Other Healthcare Laws. In particular, the research of our product candidates, as well as the promotion, sales and marketing of healthcare items and services, and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remuneration provided to health care professionals and their affiliates, charitable donations and other business arrangements generally. Activities subject to these laws also involve the improper use of information obtained in the course of patient recruitment for clinical trials.</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The distribution of biopharmaceutical products is subject to additional requirements and regulations, including extensive record-keeping, licensing, storage and security requirements intended to prevent the unauthorized sale of biopharmaceutical products.</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The scope and enforcement of each of these laws is uncertain and subject to rapid change in the current environment of healthcare reform. Ensuring business arrangements comply with applicable healthcare laws, as well as responding to possible investigations by government authorities, can be time- and resource-consuming and can divert a company’s attention from the business.</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imprisonment, reputational harm,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Further, if any of the physicians or other healthcare providers or entities with whom we expect to do business is found to be not in compliance with applicable laws, they may be subject to significant criminal, civil or administrative sanctions, including exclusions from government funded healthcare programs. Any action for violation of these laws, even if successfully defended, could cause a biopharmaceutical manufacturer to incur significant legal expenses and divert management’s attention from the operation of the business. Prohibitions or restrictions on sales or withdrawal of future marketed products could materially affect business in an adverse way.</w:t>
      </w:r>
    </w:p>
    <w:p>
      <w:pPr>
        <w:pStyle w:val="TextBody"/>
        <w:spacing w:lineRule="auto" w:line="288" w:before="120" w:after="283"/>
        <w:ind w:left="0" w:right="0" w:firstLine="1080"/>
        <w:rPr>
          <w:rFonts w:ascii="Times New Roman;sans-serif" w:hAnsi="Times New Roman;sans-serif"/>
          <w:b/>
          <w:i/>
          <w:color w:val="000000"/>
          <w:sz w:val="20"/>
        </w:rPr>
      </w:pPr>
      <w:r>
        <w:rPr>
          <w:rFonts w:ascii="Times New Roman;sans-serif" w:hAnsi="Times New Roman;sans-serif"/>
          <w:b/>
          <w:i/>
          <w:color w:val="000000"/>
          <w:sz w:val="20"/>
        </w:rPr>
        <w:t xml:space="preserve">Even if we receive regulatory approval of any product candidates, we will be subject to ongoing regulatory obligations and continued regulatory review, which may result in significant additional expense and we may be subject to </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before="0" w:after="0"/>
        <w:rPr/>
      </w:pPr>
      <w:r>
        <w:rPr/>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penalties if we fail to comply with regulatory requirements or experience unanticipated problems with our product candidates.</w:t>
      </w:r>
    </w:p>
    <w:p>
      <w:pPr>
        <w:pStyle w:val="TextBody"/>
        <w:spacing w:lineRule="auto" w:line="268" w:before="0" w:after="0"/>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If any of our product candidates are approved, they will be subject to ongoing regulatory requirements for manufacturing, labeling, packaging, storage, advertising, promotion, sampling, record-keeping, conduct of post-marketing studies, pharmacovigilance, and submission of safety, efficacy and other post-market information, including both federal and state requirements in the United States and requirements of comparable foreign regulatory authorities. In addition, we will be subject to continued compliance with current Good Manufacturing Practice, or cGMP, and Good Clinical Practice, or GCP, requirements for any clinical trials that we conduct post-approval.</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Manufacturers and their facilities are required to comply with extensive FDA and comparable foreign regulatory authority requirements, including ensuring that quality control and manufacturing procedures conform to cGMP regulations. As such, we and our contract manufacturers will be subject to continual review and inspections to assess compliance with cGMP and adherence to commitments made in any marketing application, and previous responses to inspection observations. Accordingly, we and others with whom we work must continue to expend time, money, and effort in all areas of regulatory compliance, including manufacturing, production and quality control.</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The FDA may also require a risk evaluation and mitigation strategies, or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we will have to comply with requirements including submissions of safety and other post-marketing information and reports and registration.</w:t>
      </w:r>
    </w:p>
    <w:p>
      <w:pPr>
        <w:pStyle w:val="TextBody"/>
        <w:spacing w:lineRule="auto" w:line="268" w:before="0" w:after="0"/>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The FDA or any other foreign regulatory authority may impose consent decrees or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restrictions on the marketing or manufacturing of our products, withdrawal of the product from the market or voluntary or mandatory product recalls;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fines, warning letters or holds on clinical trials;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refusal by the FDA to approve pending applications or supplements to approved applications filed by us or suspension or revocation of license approvals;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voluntary or mandatory product recalls and related publicity requirements;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total or partial suspension of production;</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product seizure or detention or refusal to permit the import or export of our product candidates; and</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injunctions or the imposition of civil or criminal penalties.</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The FDA strictly regulates marketing, labeling, advertising, and promotion of products that are placed on the market. Products may be promoted only for the approved indications and in accordance with the provisions of the approved label. However, companies may share truthful and not misleading information that is not inconsistent with the labeling. The FDA and other agencies actively enforce the laws and regulations prohibiting the promotion of off-label uses and a company that is found to have improperly promoted off-label uses may be subject to significant liability. The policies of the FDA and of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spacing w:lineRule="auto" w:line="288" w:before="120" w:after="283"/>
        <w:ind w:left="0" w:right="0" w:firstLine="1080"/>
        <w:rPr>
          <w:rFonts w:ascii="Times New Roman;sans-serif" w:hAnsi="Times New Roman;sans-serif"/>
          <w:b/>
          <w:i/>
          <w:color w:val="000000"/>
          <w:sz w:val="20"/>
        </w:rPr>
      </w:pPr>
      <w:r>
        <w:rPr>
          <w:rFonts w:ascii="Times New Roman;sans-serif" w:hAnsi="Times New Roman;sans-serif"/>
          <w:b/>
          <w:i/>
          <w:color w:val="000000"/>
          <w:sz w:val="20"/>
        </w:rPr>
        <w:t>Ongoing healthcare legislative and regulatory reform measures may have a material adverse effect on our business and results of operations.</w:t>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before="0" w:after="0"/>
        <w:rPr/>
      </w:pPr>
      <w:r>
        <w:rPr/>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Changes in regulations, statutes or the interpretation of existing regulations governing the regulatory clearance or approval, manufacture, and marketing of regulated products or the pricing, coverage and reimbursement thereof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pStyle w:val="TextBody"/>
        <w:spacing w:lineRule="auto" w:line="268" w:before="0" w:after="0"/>
        <w:ind w:left="0" w:right="0" w:firstLine="1080"/>
        <w:rPr/>
      </w:pPr>
      <w:r>
        <w:rPr>
          <w:rFonts w:ascii="Times New Roman;sans-serif" w:hAnsi="Times New Roman;sans-serif"/>
          <w:b w:val="false"/>
          <w:color w:val="000000"/>
          <w:sz w:val="20"/>
        </w:rPr>
        <w:t>In the United States, there have been and continue to be a number of legislative initiatives to contain healthcare costs, as detailed in Part I, Item 1 – Business – Government Regulation – Current and Future Healthcare Reform Legislation. For example, in August 2022, President Biden signed into law the IRA, which implements substantial changes to the Medicare program, including drug pricing reforms and changes to the Medicare Part D benefit design.</w:t>
      </w:r>
      <w:r>
        <w:rPr>
          <w:color w:val="000000"/>
        </w:rPr>
        <w:t xml:space="preserve"> </w:t>
      </w:r>
      <w:r>
        <w:rPr>
          <w:rFonts w:ascii="Times New Roman;sans-serif" w:hAnsi="Times New Roman;sans-serif"/>
          <w:b w:val="false"/>
          <w:color w:val="000000"/>
          <w:sz w:val="20"/>
        </w:rPr>
        <w:t>Among other reforms, the IRA imposes inflation rebates on drug manufacturers for products reimbursed under Medicare Parts B and D if the prices of those products increase faster than inflation; implements changes to the Medicare Part D benefit that, beginning in 2025, will cap benefit annual out-of-pocket spending at $2,000, while imposing new discount obligations for pharmaceutical manufacturers; and, beginning in 2026, establishes a “maximum fair price” for a fixed number of high spend pharmaceutical and biological products covered under Medicare Parts B and D following a price negotiation process with the Centers for Medicare and Medicaid Services.</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 xml:space="preserve">The IRA explicitly excludes from price negotiation orphan drugs designated for only one rare disease or condition and for which the only approved indication is for such disease or condition. However, those drugs with multiple orphan designations are not explicitly excluded from drug price negotiation. We cannot predict the likelihood, nature, or extent of health reform initiatives that may arise from future legislation or administrative action. However, we expect these initiatives to increase pressure on drug pricing. Further, certain broader legislation that is not targeted to the health care industry may nonetheless adversely affect our profitability.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 </w:t>
      </w:r>
    </w:p>
    <w:p>
      <w:pPr>
        <w:pStyle w:val="TextBody"/>
        <w:spacing w:lineRule="auto" w:line="288" w:before="120" w:after="283"/>
        <w:ind w:left="0" w:right="0" w:firstLine="1080"/>
        <w:rPr>
          <w:rFonts w:ascii="Times New Roman;sans-serif" w:hAnsi="Times New Roman;sans-serif"/>
          <w:b/>
          <w:i/>
          <w:color w:val="000000"/>
          <w:sz w:val="20"/>
        </w:rPr>
      </w:pPr>
      <w:r>
        <w:rPr>
          <w:rFonts w:ascii="Times New Roman;sans-serif" w:hAnsi="Times New Roman;sans-serif"/>
          <w:b/>
          <w:i/>
          <w:color w:val="000000"/>
          <w:sz w:val="20"/>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spacing w:lineRule="auto" w:line="268" w:before="0" w:after="0"/>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employees and stop critical activities. Separately, between March 2020 and February 2022, foreign and domestic inspections were largely placed on hold due to the COVID-19 pandemic.</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Regulatory authorities outside the United States may adopt similar restrictions or other policy measures in response to the COVID-19 or other future pandemics.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pStyle w:val="TextBody"/>
        <w:spacing w:lineRule="auto" w:line="288" w:before="120" w:after="283"/>
        <w:ind w:left="0" w:right="0" w:firstLine="1080"/>
        <w:rPr>
          <w:rFonts w:ascii="Times New Roman;sans-serif" w:hAnsi="Times New Roman;sans-serif"/>
          <w:b/>
          <w:i/>
          <w:color w:val="000000"/>
          <w:sz w:val="20"/>
        </w:rPr>
      </w:pPr>
      <w:r>
        <w:rPr>
          <w:rFonts w:ascii="Times New Roman;sans-serif" w:hAnsi="Times New Roman;sans-serif"/>
          <w:b/>
          <w:i/>
          <w:color w:val="000000"/>
          <w:sz w:val="20"/>
        </w:rPr>
        <w:t>Drug marketing and reimbursement regulations may materially affect our ability to market and secure reimbursement for our products.</w:t>
      </w:r>
    </w:p>
    <w:p>
      <w:pPr>
        <w:pStyle w:val="TextBody"/>
        <w:spacing w:lineRule="auto" w:line="268" w:before="0" w:after="0"/>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We intend to seek approval to market our product candidates in both the United States and in selected foreign jurisdictions. If we obtain approval in one or more foreign jurisdictions for our product candidates, we will be subject to rules and regulations in those jurisdictions. In some foreign countries, particularly those in the EU, the pricing of drugs is subject to governmental control and other market regulations which could put pressure on the pricing and usage of our product candidates. In these countries, pricing negotiations with governmental authorities can take considerable time after obtaining marketing approval of a product candidate. Furthermore, in many European countries (including the UK), effective access to the market depends on whether the product obtains a positive recommendation from the relevant health technology assessment body. In addition, market acceptance and sales of our product candidates will depend significantly on the availability of adequate coverage and reimbursement from third-party payors for our product candidates and may be affected by existing and future health care reform measures.</w:t>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before="0" w:after="0"/>
        <w:rPr/>
      </w:pPr>
      <w:r>
        <w:rPr/>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Much like the federal Anti-Kickback Statute prohibition in the United States, the provision of benefits or advantages to induce or reward improper performance generally to induce or encourage the prescription, recommendation, endorsement, purchase, supply, order or use of medicinal products is also prohibited in the EU. The provision of benefits or advantages to induce or reward improper performance generally is governed by the national anti-bribery laws of EU Member States, and in respect of the U.K. (which is no longer a member of the EU), the Bribery Act 2010. Infringement of these laws could result in substantial fines and imprisonment. EU Directive 2001/83/EC, which is the EU Directive governing medicinal products for human use, further provides that, where medicinal products are being promoted to persons qualified to prescribe, recommend, use, procure or supply them, no gifts, pecuniary advantages or benefits in kind may be supplied, offered or promised to such persons unless they are inexpensive and relevant to the practice of medicine or pharmacy. This provision has been transposed into the Human Medicines Regulations 2012 and so remains applicable in the U.K. despite its departure from the EU.</w:t>
      </w:r>
    </w:p>
    <w:p>
      <w:pPr>
        <w:pStyle w:val="TextBody"/>
        <w:spacing w:lineRule="auto" w:line="268" w:before="0" w:after="0"/>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Payments made to physicians in certain EU Member States and more generally throughout Europe (including the UK) and other countries must be publicly disclosed under applicable transparency provisions.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pStyle w:val="TextBody"/>
        <w:spacing w:lineRule="auto" w:line="268" w:before="0" w:after="0"/>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In addition, in most foreign countries, including the EEA, the proposed pricing for a drug must be approved before it may be lawfully marketed. The requirements governing drug pricing and reimbursement are the prerogative of the Member States and vary widely from country to country. For example, the EU provides options for its Member States to restrict the range of medicinal products for which their national health insurance systems provide reimbursement and to control the prices of medicinal products for human use. Reference pricing used by various EU Member States and parallel distribution, or arbitrage between low-priced and high-priced member states, can further reduce prices. A member state may approve a specific price for the medicinal product, or it may instead adopt a system of direct or indirect controls on the profitability of the company placing the medicinal product on the market. In some countries, we may be required to conduct a clinical study or other studies that compare the cost-effectiveness of any of our product candidates to other available therapies in order to obtain or maintain reimbursement or pricing approval. There can be no assurance that any country that has price controls or reimbursement limitations for biopharmaceutical products will allow or maintain favorable reimbursement and pricing arrangements for any of our products. Historically, products launched in the EU do not follow price structures of the United States and generally prices tend to be significantly lower. Publication of discounts by third-party payors or authorities may lead to further pressure on the prices or reimbursement levels within the country of publication and other countries. If pricing is set at unsatisfactory levels or if reimbursement of our products is unavailable or limited in scope or amount, our revenues from sales and the potential profitability of any of our product candidates in those countries would be negatively affected.</w:t>
      </w:r>
    </w:p>
    <w:p>
      <w:pPr>
        <w:pStyle w:val="TextBody"/>
        <w:spacing w:lineRule="auto" w:line="288" w:before="120" w:after="283"/>
        <w:ind w:left="0" w:right="0" w:firstLine="1080"/>
        <w:rPr>
          <w:rFonts w:ascii="Times New Roman;sans-serif" w:hAnsi="Times New Roman;sans-serif"/>
          <w:b/>
          <w:i/>
          <w:color w:val="000000"/>
          <w:sz w:val="20"/>
        </w:rPr>
      </w:pPr>
      <w:r>
        <w:rPr>
          <w:rFonts w:ascii="Times New Roman;sans-serif" w:hAnsi="Times New Roman;sans-serif"/>
          <w:b/>
          <w:i/>
          <w:color w:val="000000"/>
          <w:sz w:val="20"/>
        </w:rPr>
        <w:t>Additional laws and regulations governing international operations could negatively impact or restrict our operations.</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If we expand our operations outside of the United States, we must dedicate additional resources to comply with numerous laws and regulations in each jurisdiction in which we plan to operate. The U.S. Foreign Corrupt Practices Act, or the FCPA, prohibits any U.S. individual or business entity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Compliance with the FCPA is expensive and difficult, particularly in countries in which corruption is a recognized problem. In addition, the FCPA presents particular challenges in the biopharmaceutical industry, because, in many countries, hospitals are operated by the government, and doctors and other hospital employees are considered foreign officials. Certain payments to hospitals and healthcare providers in connection with clinical trials and other work have been deemed to be improper payments to government officials and have led to FCPA enforcement actions.</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Various laws, regulations and executive orders also restrict the use and dissemination outside of the United States, or the sharing with certain non-U.S. nationals, of information products classified for national security purposes, as well as certain products, technology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 xml:space="preserve">The failure to comply with laws governing international business practices may result in substantial civil and criminal penalties and suspension or debarment from government contracting. The Securities and Exchange Commission, or </w:t>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before="0" w:after="0"/>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SEC, also may suspend or bar issuers from trading securities on U.S. exchanges for violations of the FCPA’s accounting provisions.</w:t>
      </w:r>
    </w:p>
    <w:p>
      <w:pPr>
        <w:pStyle w:val="TextBody"/>
        <w:spacing w:lineRule="auto" w:line="288" w:before="120" w:after="283"/>
        <w:ind w:left="0" w:right="0" w:firstLine="1080"/>
        <w:rPr>
          <w:rFonts w:ascii="Times New Roman;sans-serif" w:hAnsi="Times New Roman;sans-serif"/>
          <w:b/>
          <w:i/>
          <w:color w:val="000000"/>
          <w:sz w:val="20"/>
        </w:rPr>
      </w:pPr>
      <w:r>
        <w:rPr>
          <w:rFonts w:ascii="Times New Roman;sans-serif" w:hAnsi="Times New Roman;sans-serif"/>
          <w:b/>
          <w:i/>
          <w:color w:val="000000"/>
          <w:sz w:val="20"/>
        </w:rPr>
        <w:t>We are subject to certain U.S. and foreign anti-corruption, anti-money laundering, export control, sanctions, and other trade laws and regulations. We can face serious consequences for violations.</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pStyle w:val="TextBody"/>
        <w:spacing w:lineRule="auto" w:line="288" w:before="120" w:after="283"/>
        <w:ind w:left="0" w:right="0" w:firstLine="1080"/>
        <w:rPr>
          <w:rFonts w:ascii="Times New Roman;sans-serif" w:hAnsi="Times New Roman;sans-serif"/>
          <w:b/>
          <w:color w:val="000000"/>
          <w:sz w:val="20"/>
        </w:rPr>
      </w:pPr>
      <w:r>
        <w:rPr>
          <w:rFonts w:ascii="Times New Roman;sans-serif" w:hAnsi="Times New Roman;sans-serif"/>
          <w:b/>
          <w:color w:val="000000"/>
          <w:sz w:val="20"/>
        </w:rPr>
        <w:t>Risks Related to Our Intellectual Property</w:t>
      </w:r>
    </w:p>
    <w:p>
      <w:pPr>
        <w:pStyle w:val="TextBody"/>
        <w:spacing w:lineRule="auto" w:line="288" w:before="120" w:after="283"/>
        <w:ind w:left="0" w:right="0" w:firstLine="1080"/>
        <w:rPr>
          <w:rFonts w:ascii="Times New Roman;sans-serif" w:hAnsi="Times New Roman;sans-serif"/>
          <w:b/>
          <w:i/>
          <w:color w:val="000000"/>
          <w:sz w:val="20"/>
        </w:rPr>
      </w:pPr>
      <w:r>
        <w:rPr>
          <w:rFonts w:ascii="Times New Roman;sans-serif" w:hAnsi="Times New Roman;sans-serif"/>
          <w:b/>
          <w:i/>
          <w:color w:val="000000"/>
          <w:sz w:val="20"/>
        </w:rPr>
        <w:t>Our success depends in part on our ability to protect our intellectual property. It is difficult and costly to protect our proprietary rights and technology, and we may not be able to ensure their protection.</w:t>
      </w:r>
    </w:p>
    <w:p>
      <w:pPr>
        <w:pStyle w:val="TextBody"/>
        <w:spacing w:lineRule="auto" w:line="268" w:before="0" w:after="0"/>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Our business will depend in large part on obtaining and maintaining patent, IP regulatory rights (such as data exclusivity, marketing exclusivity and patent extensions) trademark and trade secret protection of our proprietary technologies and our product candidates, their respective components, synthetic intermediates, formulations, combination therapies, methods used to manufacture them and methods of treatment, as well as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that cover these activities and whether a court would issue an injunctive remedy.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The patenting process is expensive and time-consuming, and we may not be able to file and prosecute all necessary or desirable patent applications at a reasonable cost or in a timely manner. In addition, we may not pursue, obtain, or maintain patent protection in all relevant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The strength of patents in the biotechnology and biopharmaceutical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do successfully issue, third parties may challenge the validity, enforceability, or scope thereof, which may result in such patents being narrowed, invalidated, or held unenforceable. Furthermore, even if they are unchallenged, our patents and patent applications may not adequately protect our technology, including our product candidates, or prevent others from designing around our claims. If the breadth or strength of protection provided by the patent applications, we hold with respect to our product candidates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We cannot be certain that we were the first to file any patent application related to our technology, including our product candidates, and, if we were not, we may be precluded from obtaining patent protection for our technology, including our product candidates.</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We cannot be certain that we were the first to invent the inventions covered by pending patent applications and, if we are not, we may be subject to priority disputes. Furthermore, for United States applications in which all claims are entitled to a priority date before March 16, 2013, an interference proceeding can be provoked by a third-party or instituted by the United States Patent and Trademark Office, or USPTO, to determine who was the first to invent any of the subject matter covered by the patent claims of our applications. Similarly, for United States applications in which at least one claim is not entitled to a priority date before March 16, 2013, derivation proceedings can be instituted to determine whether the subject matter of a patent claim was derived from a prior inventor’s disclosure.</w:t>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before="0" w:after="0"/>
        <w:rPr/>
      </w:pPr>
      <w:r>
        <w:rPr/>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We may be required to disclaim part or all of the term of certain patents or all of the term of certain patent applications. There may be prior art of which we are not aware that may affect the validity or enforceability of a patent or patent application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would adequately protect our product candidates, or would be found by a court to be infringed by a competitor’s technology or product. We may analyze patents or patent applications of our competitors that we believe are relevant to our activities and consider that we are free to operate in relation to our product candidates, but our competitors may obtain issued claims, including in patents we consider to be unrelated, which block our efforts or may potentially result in our product candidates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may issue that cover our products.</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Recent or future patent reform legislation could increase the uncertainties and costs surrounding the prosecution of our patent applications and the enforcement or defense of our issued patents. Under the Leahy-Smith America Invents Act, or America Invents Act, enacted in 2013, the United States moved from a “first to 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are currently unclear as the USPTO only recently developed new regulations and procedures in connection with the America Invents Act and many of the substantive changes to patent law, including the “first-to-file” provisions, only became effective in March 2013. In addition, the courts have yet to address many of these provisions and the applicability of the Act and new regulations on specific patents discussed herein have not been determined and would need to be reviewed. However,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The degree of future protection for our proprietary rights is uncertain because legal means afford only limited protection and may not adequately protect our rights or permit us to gain or keep our competitive advantage. For example:</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others may be able to make or use compounds that are similar to the compositions of our product candidates but that are not covered by the claims of our patents or those of our licensors;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we or our licensors, as the case may be, may fail to meet our obligations to the U.S. government in regards to any in-licensed patents and patent applications funded by U.S. government grants, leading to the loss of patent rights;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we or our licensors, as the case may be, might not have been the first to file patent applications for these inventions;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others may independently develop similar or alternative technologies or duplicate any of our technologies;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it is possible that our pending patent applications will not result in issued patents;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we may not be able to extend the patent term in some jurisdictions;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it is possible that there are prior public disclosures that could invalidate our or our licensors’ patents, as the case may be, or parts of our or their patents;</w:t>
      </w:r>
    </w:p>
    <w:p>
      <w:pPr>
        <w:pStyle w:val="TextBody"/>
        <w:spacing w:lineRule="auto" w:line="268" w:before="0" w:after="0"/>
        <w:ind w:left="0" w:right="0" w:hanging="1260"/>
        <w:rPr/>
      </w:pPr>
      <w:r>
        <w:rPr>
          <w:color w:val="000000"/>
        </w:rPr>
        <w:t>•</w:t>
      </w:r>
      <w:r>
        <w:rPr>
          <w:rFonts w:ascii="Times New Roman;sans-serif" w:hAnsi="Times New Roman;sans-serif"/>
          <w:b w:val="false"/>
          <w:color w:val="000000"/>
          <w:sz w:val="20"/>
        </w:rPr>
        <w:t>it is possible that others may circumvent our owned or in-licensed patents or regulatory intellectual property rights such as our data protection, orphan market exclusivity and others;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it is possible that there are unpublished applications or patent applications maintained in secrecy that may later issue with claims covering our products or technology similar to ours;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the laws of foreign countries may not protect our or our licensors’, as the case may be, proprietary rights to the same extent as the laws of the United States;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the claims of our owned or in-licensed issued patents or patent applications, if and when issued, may not cover our product candidates;</w:t>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before="0" w:after="0"/>
        <w:rPr/>
      </w:pPr>
      <w:r>
        <w:rPr/>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our owned or in-licensed issued patents may not provide us with any competitive advantages, may be narrowed in scope, or be held invalid or unenforceable as a result of legal challenges by third parties;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the inventors of our owned or in-licensed patents or patent applications may become involved with competitors, develop products or processes which design around our patents, or become hostile to us or the patents or patent applications on which they are named as inventors;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we have engaged in scientific collaborations in the past and will continue to do so in the future. Such collaborators may develop adjacent or competing products to ours that are outside the scope of our patents;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we may not develop additional proprietary technologies for which we can obtain patent protection;</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it is possible that product candidates or diagnostic tests we develop may be covered by third parties’ patents or other exclusive rights; or</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the patents of others may have an adverse effect on our business.</w:t>
      </w:r>
    </w:p>
    <w:p>
      <w:pPr>
        <w:pStyle w:val="TextBody"/>
        <w:spacing w:lineRule="auto" w:line="288" w:before="120" w:after="283"/>
        <w:ind w:left="0" w:right="0" w:firstLine="1080"/>
        <w:rPr>
          <w:rFonts w:ascii="Times New Roman;sans-serif" w:hAnsi="Times New Roman;sans-serif"/>
          <w:b/>
          <w:i/>
          <w:color w:val="000000"/>
          <w:sz w:val="20"/>
        </w:rPr>
      </w:pPr>
      <w:r>
        <w:rPr>
          <w:rFonts w:ascii="Times New Roman;sans-serif" w:hAnsi="Times New Roman;sans-serif"/>
          <w:b/>
          <w:i/>
          <w:color w:val="000000"/>
          <w:sz w:val="20"/>
        </w:rPr>
        <w:t>We may enter into license or other collaboration agreements in the future that may impose certain obligations on us. If we fail to comply with our obligations under such future agreements with third parties, we could lose license rights that may be important to our future business.</w:t>
      </w:r>
    </w:p>
    <w:p>
      <w:pPr>
        <w:pStyle w:val="TextBody"/>
        <w:spacing w:lineRule="auto" w:line="268" w:before="0" w:after="0"/>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In connection with our efforts to expand our pipeline of product candidates, we may enter into certain licenses or other collaboration agreements in the future pertaining to the in-license of rights to additional candidates. Such agreements may impose various diligence, milestone payment, royalty, insurance, or other obligations on us, subject to antitrust law restrictions. If we fail to comply with these obligations, our licensor or collaboration partners may have the right to terminate the relevant agreement, in which event we would not be able to develop or market the products covered by such licensed intellectual property.</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Moreover, disputes may arise regarding intellectual property subject to a licensing agreement, including:</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the scope of rights granted under the license agreement and other interpretation-related issues;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the extent to which our product candidates, technology and processes infringe on intellectual property of the licensor that is not subject to the licensing agreement;</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the sublicensing of patent and other rights under our collaborative development relationships;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our diligence obligations under the license agreement and what activities satisfy those diligence obligations;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the inventorship and ownership of inventions and know-how resulting from the joint creation or use of intellectual property by our licensors and us and our partners; and</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the priority of invention of patented technology.</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may have limited control over the maintenance and prosecution of these in-licensed patents and patent applications, or any other intellectual property that may be related to our in-licensed intellectual property. For example, we cannot be certain that such activities by any future licensors have been or will be conducted in compliance with applicable laws and regulations or will result in valid and enforceable patents and other intellectual property rights. We have limited control over the manner in which our licensors initiate an infringement proceeding against a third-party infringer of the </w:t>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before="0" w:after="0"/>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intellectual property rights or defend certain of the intellectual property that is licensed to us. It is possible that the licensors’ infringement proceeding, or defense activities may be less vigorous than had we conducted them ourselves.</w:t>
      </w:r>
    </w:p>
    <w:p>
      <w:pPr>
        <w:pStyle w:val="TextBody"/>
        <w:spacing w:lineRule="auto" w:line="288" w:before="120" w:after="283"/>
        <w:ind w:left="0" w:right="0" w:firstLine="1080"/>
        <w:rPr>
          <w:rFonts w:ascii="Times New Roman;sans-serif" w:hAnsi="Times New Roman;sans-serif"/>
          <w:b/>
          <w:i/>
          <w:color w:val="000000"/>
          <w:sz w:val="20"/>
        </w:rPr>
      </w:pPr>
      <w:r>
        <w:rPr>
          <w:rFonts w:ascii="Times New Roman;sans-serif" w:hAnsi="Times New Roman;sans-serif"/>
          <w:b/>
          <w:i/>
          <w:color w:val="000000"/>
          <w:sz w:val="20"/>
        </w:rPr>
        <w:t>If we are unable to protect the confidentiality of our trade secrets, our business and competitive position would be harmed.</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In addition to patent protection, we rely heavily upon know-how and trade secret protection, as well as non-disclosure agreements and invention assignment agreements with our employees, consultants and third parties, to protect our confidential and proprietary information, especially where we do not believe patent protection is appropriate or obtainable. In addition to contractual measures, we try to protect the confidential nature of our proprietary information using physical and technological security measures. Such measures may not, for example, in the case of misappropriation of a trade secret by an employee or third-party with authorized access, provide adequate protection for our proprietary information. Our security measures may not prevent an employee or consultant from misappropriating our trade secrets and providing them to a competitor, and recourse we take against such misconduct may not provide an adequate remedy to protect our interests fully. 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For example, our clinical development strategy includes the testing of live tissue samples, and our techniques for preserving and testing these samples are proprietary and confidential. If one or more third parties obtain or are otherwise able to replicate these techniques, an important feature and differentiator of our clinical development strategy will become available to potential competitors. If any of our confidential or proprietary information, such as our trade secrets, were to be disclosed or misappropriated, or if any such information was independently developed by a competitor, our competitive position could be harmed.</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In addition, courts outside the United States are sometimes less willing to protect trade secrets. If we choose to go to court to stop a third-party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by or made known to the individual or entity during the course of the party’s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addition, we take other appropriate precautions, such as physical and technological security measures, to guard against misappropriation of our proprietary technology by third parties. We have also adopted policies and conduct training that provides guidance on our expectations, and our advice for best practices, in protecting our trade secrets.</w:t>
      </w:r>
    </w:p>
    <w:p>
      <w:pPr>
        <w:pStyle w:val="TextBody"/>
        <w:spacing w:lineRule="auto" w:line="288" w:before="120" w:after="283"/>
        <w:ind w:left="0" w:right="0" w:firstLine="1080"/>
        <w:rPr>
          <w:rFonts w:ascii="Times New Roman;sans-serif" w:hAnsi="Times New Roman;sans-serif"/>
          <w:b/>
          <w:i/>
          <w:color w:val="000000"/>
          <w:sz w:val="20"/>
        </w:rPr>
      </w:pPr>
      <w:r>
        <w:rPr>
          <w:rFonts w:ascii="Times New Roman;sans-serif" w:hAnsi="Times New Roman;sans-serif"/>
          <w:b/>
          <w:i/>
          <w:color w:val="000000"/>
          <w:sz w:val="20"/>
        </w:rPr>
        <w:t>Third-party claims of intellectual property infringement may prevent or delay our product discovery and development efforts.</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Our commercial success depends in part on our ability to develop, manufacture, market and sell our product candidates and use our proprietary technologies without infringing the proprietary rights of third parties. There is a substantial amount of litigation involving patents and other intellectual property rights in the biotechnology and biopharmaceutical industries, as well as administrative proceedings for challenging patents, including interference, derivation, inter partes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their intellectual property rights. Numerous U.S. and foreign issued patents and pending patent applications, which are owned by third parties, exist in the fields in which we are developing our product candidates. As the biotechnology and biopharmaceutical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If a third-party claims that we infringe its intellectual property rights, we may face a number of issues, including, but not limited to:</w:t>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before="0" w:after="0"/>
        <w:rPr/>
      </w:pPr>
      <w:r>
        <w:rPr/>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infringement and other intellectual property claims which, regardless of merit, may be expensive and time-consuming to litigate and may divert our management’s attention from our core business;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substantial damages for infringement, which we may have to pay if a court decides that the product candidate or technology at issue infringes on or violates the third-party’s rights, and, if the court finds that the infringement was willful, we could be ordered to pay treble damages and the patent owner’s attorneys’ fees;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a court prohibiting us from developing, manufacturing, marketing or selling our product candidates, or from using our proprietary technologies, unless the third-party licenses its product rights to us, which it is not required to do;</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if a license is available from a third-party, we may have to pay substantial royalties, upfront fees and other amounts, and/or grant cross-licenses to intellectual property rights for our products and any license that is available may be non-exclusive, which could result in our competitors gaining access to the same intellectual property; and</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redesigning our product candidates or processes so they do not infringe, which may not be possible or may require substantial monetary expenditures and time.</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Furthermore, because of the substantial amount of discovery required in connection with intellectual property litigation or administrative proceedings, there is a risk that some of our confidential information could be compromised by disclosure.</w:t>
      </w:r>
    </w:p>
    <w:p>
      <w:pPr>
        <w:pStyle w:val="TextBody"/>
        <w:spacing w:lineRule="auto" w:line="288" w:before="120" w:after="283"/>
        <w:ind w:left="0" w:right="0" w:firstLine="1080"/>
        <w:rPr>
          <w:rFonts w:ascii="Times New Roman;sans-serif" w:hAnsi="Times New Roman;sans-serif"/>
          <w:b/>
          <w:i/>
          <w:color w:val="000000"/>
          <w:sz w:val="20"/>
        </w:rPr>
      </w:pPr>
      <w:r>
        <w:rPr>
          <w:rFonts w:ascii="Times New Roman;sans-serif" w:hAnsi="Times New Roman;sans-serif"/>
          <w:b/>
          <w:i/>
          <w:color w:val="000000"/>
          <w:sz w:val="20"/>
        </w:rPr>
        <w:t>Our collaborators may assert ownership or commercial rights to inventions they develop from research we support or that we develop from our use of the tissue samples or other biological materials, which they provide to us, or otherwise arising from the collaboration.</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We collaborate with several institutions, universities, medical centers, physicians, and researchers in scientific matters and expect to continue to enter into additional collaboration agreements. In certain cases, we do not have written agreements with these collaborators, or the written agreements we have do not cover intellectual property rights. Also, we rely on numerous third parties to provide us with tissue samples and biological materials that we use to conduct our research activities and develop our product candidates. If we cannot successfully negotiate sufficient ownership and commercial rights to any inventions that result from our use of a third-party collaborator’s materials, or if disputes arise with respect to the intellectual property developed with the use of a collaborator’s samples, or data developed in a collaborator’s study, we may be limited in our ability to capitalize on the market potential of these inventions or developments.</w:t>
      </w:r>
    </w:p>
    <w:p>
      <w:pPr>
        <w:pStyle w:val="TextBody"/>
        <w:spacing w:lineRule="auto" w:line="288" w:before="120" w:after="283"/>
        <w:ind w:left="0" w:right="0" w:firstLine="1080"/>
        <w:rPr>
          <w:rFonts w:ascii="Times New Roman;sans-serif" w:hAnsi="Times New Roman;sans-serif"/>
          <w:b/>
          <w:i/>
          <w:color w:val="000000"/>
          <w:sz w:val="20"/>
        </w:rPr>
      </w:pPr>
      <w:r>
        <w:rPr>
          <w:rFonts w:ascii="Times New Roman;sans-serif" w:hAnsi="Times New Roman;sans-serif"/>
          <w:b/>
          <w:i/>
          <w:color w:val="000000"/>
          <w:sz w:val="20"/>
        </w:rPr>
        <w:t>Third parties may assert that we are employing their proprietary technology without authorization.</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There may be third-party patents of which we are currently unaware with claims to compositions of matter, materials, formulations, methods of manufacture or methods for treatment that encompass the composition, use or manufacture of our product candidates. There may be currently pending patent applications of which we are currently unaware which may later result in issued patents that our product candidates or their use or manufacture may infringe. In addition, third parties may obtain patents in the future and claim that use of our technologies infringes upon these patents. If any third-party patent were held by a court of competent jurisdiction to cover our product candidates, intermediates used in the manufacture of our product candidates or our materials generally, aspects of our formulations or methods of use,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 xml:space="preserve">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resources from our </w:t>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before="0" w:after="0"/>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pStyle w:val="TextBody"/>
        <w:spacing w:lineRule="auto" w:line="288" w:before="120" w:after="283"/>
        <w:ind w:left="0" w:right="0" w:firstLine="1080"/>
        <w:rPr>
          <w:rFonts w:ascii="Times New Roman;sans-serif" w:hAnsi="Times New Roman;sans-serif"/>
          <w:b/>
          <w:i/>
          <w:color w:val="000000"/>
          <w:sz w:val="20"/>
        </w:rPr>
      </w:pPr>
      <w:r>
        <w:rPr>
          <w:rFonts w:ascii="Times New Roman;sans-serif" w:hAnsi="Times New Roman;sans-serif"/>
          <w:b/>
          <w:i/>
          <w:color w:val="000000"/>
          <w:sz w:val="20"/>
        </w:rPr>
        <w:t>Third parties may assert that our employees or consultants have wrongfully used or disclosed confidential information or misappropriated trade secrets.</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As is common in the biotechnology and biopharmaceutical industries, we employ individuals who were previously employed at universities or other biotechnology or biopharmaceutical companies, including our competitors or potential competitors. Although no claims against us are currently pending, and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pStyle w:val="TextBody"/>
        <w:spacing w:lineRule="auto" w:line="288" w:before="120" w:after="283"/>
        <w:ind w:left="0" w:right="0" w:firstLine="1080"/>
        <w:rPr>
          <w:rFonts w:ascii="Times New Roman;sans-serif" w:hAnsi="Times New Roman;sans-serif"/>
          <w:b/>
          <w:i/>
          <w:color w:val="000000"/>
          <w:sz w:val="20"/>
        </w:rPr>
      </w:pPr>
      <w:r>
        <w:rPr>
          <w:rFonts w:ascii="Times New Roman;sans-serif" w:hAnsi="Times New Roman;sans-serif"/>
          <w:b/>
          <w:i/>
          <w:color w:val="000000"/>
          <w:sz w:val="20"/>
        </w:rPr>
        <w:t>We may not be successful in obtaining or maintaining necessary rights to develop any future product candidates on acceptable terms.</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Because our programs may involve additional product candidates that may require the use of proprietary rights held by third parties, the growth of our business may depend in part on our ability to acquire, in-license or use these proprietary rights.</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Our product candidates may also require specific formulations to work effectively and efficiently, and these rights may be held by others. We may develop products containing our compounds and pre-existing biopharmaceutical compounds.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 xml:space="preserve">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w:t>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before="0" w:after="0"/>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pStyle w:val="TextBody"/>
        <w:spacing w:lineRule="auto" w:line="288" w:before="120" w:after="283"/>
        <w:ind w:left="0" w:right="0" w:firstLine="1080"/>
        <w:rPr>
          <w:rFonts w:ascii="Times New Roman;sans-serif" w:hAnsi="Times New Roman;sans-serif"/>
          <w:b/>
          <w:i/>
          <w:color w:val="000000"/>
          <w:sz w:val="20"/>
        </w:rPr>
      </w:pPr>
      <w:r>
        <w:rPr>
          <w:rFonts w:ascii="Times New Roman;sans-serif" w:hAnsi="Times New Roman;sans-serif"/>
          <w:b/>
          <w:i/>
          <w:color w:val="000000"/>
          <w:sz w:val="20"/>
        </w:rPr>
        <w:t>We may be involved in lawsuits to protect or enforce our patents or the patents of our licensors, which could be expensive, time-consuming and unsuccessful.</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Competitors may infringe our patents or the patents of our current or future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or for other reasons.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We may choose to challenge the patentability of claims in a third-party’s U.S. patent by requesting that the USPTO review the patent claims in an ex-parte re-examination, inter partes review or post-grant review proceedings. These proceedings are expensive and may consume our time or other resources. We may choose to challenge a third-party’s patent in patent opposition proceedings in the European Patent Office, or EPO, or other foreign patent office.</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The costs of these opposition proceedings could be substantial and may consume our time or other resources. If we fail to obtain a favorable result at the USPTO, EPO or other patent office then we may be exposed to litigation by a third-party alleging that the patent may be infringed by our product candidates or proprietary technologies.</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our products or technology similar to ours. Any such patent application may have priority over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or derivation proceeding declared by the USPTO to determine priority of invention in the United States. If we or one of our licensors is a party to an interference or derivation proceeding involving a U.S. patent application on inventions owned by or in-licensed to us, we may incur substantial costs, divert management’s time and expend other resources, even if we are successful.</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Litigation or interference proceedings may result in a decision adverse to our interests and, even if we are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pStyle w:val="TextBody"/>
        <w:spacing w:lineRule="auto" w:line="288" w:before="120" w:after="283"/>
        <w:ind w:left="0" w:right="0" w:firstLine="1080"/>
        <w:rPr>
          <w:rFonts w:ascii="Times New Roman;sans-serif" w:hAnsi="Times New Roman;sans-serif"/>
          <w:b/>
          <w:i/>
          <w:color w:val="000000"/>
          <w:sz w:val="20"/>
        </w:rPr>
      </w:pPr>
      <w:r>
        <w:rPr>
          <w:rFonts w:ascii="Times New Roman;sans-serif" w:hAnsi="Times New Roman;sans-serif"/>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 xml:space="preserve">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rules, there are situations in which noncompliance can result in abandonment or lapse </w:t>
      </w: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before="0" w:after="0"/>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certain circumstances, even inadvertent noncompliance events may permanently and irrevocably jeopardize patent rights. In such an event, our competitors might be able to enter the market, which would have a material adverse effect on our business.</w:t>
      </w:r>
    </w:p>
    <w:p>
      <w:pPr>
        <w:pStyle w:val="TextBody"/>
        <w:spacing w:lineRule="auto" w:line="288" w:before="120" w:after="283"/>
        <w:ind w:left="0" w:right="0" w:firstLine="1080"/>
        <w:rPr>
          <w:rFonts w:ascii="Times New Roman;sans-serif" w:hAnsi="Times New Roman;sans-serif"/>
          <w:b/>
          <w:i/>
          <w:color w:val="000000"/>
          <w:sz w:val="20"/>
        </w:rPr>
      </w:pPr>
      <w:r>
        <w:rPr>
          <w:rFonts w:ascii="Times New Roman;sans-serif" w:hAnsi="Times New Roman;sans-serif"/>
          <w:b/>
          <w:i/>
          <w:color w:val="000000"/>
          <w:sz w:val="20"/>
        </w:rPr>
        <w:t>Any patents covering our product candidates could be found invalid or unenforceable if challenged in court or the USPTO (or foreign patent offices).</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If we or one of our licensors initiate legal proceedings against a third-party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third-party can assert invalidity or unenforceability of a patent. Third parties may also raise similar claims before administrative bodies in the United States or abroad, even outside the context of litigation. Such mechanisms include re-examination, inter partes review,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Such a loss of patent protection could have a material adverse impact on our business and our ability to commercialize or license our technology and product candidates.</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Our earliest patents may expire before, or soon after, our first product achieves marketing approval in the United States or foreign jurisdictions. Upon the expiration of our current patents, we may lose the right to exclude others from practicing these inventions. The expiration of these patents could also have a similar material adverse effect on our business, results of operations, financial condition and prospects. We own pending patent applications covering our proprietary technologies or our product candidates that if issued as patents are expected to expire from 2037 through 2044, without taking into account any possible patent term adjustments or extensions. However, we cannot be assured that the USPTO, EPO or other relevant foreign patent offices will grant any of these patent applications.</w:t>
      </w:r>
    </w:p>
    <w:p>
      <w:pPr>
        <w:pStyle w:val="TextBody"/>
        <w:spacing w:lineRule="auto" w:line="288" w:before="120" w:after="283"/>
        <w:ind w:left="0" w:right="0" w:firstLine="1080"/>
        <w:rPr>
          <w:rFonts w:ascii="Times New Roman;sans-serif" w:hAnsi="Times New Roman;sans-serif"/>
          <w:b/>
          <w:i/>
          <w:color w:val="000000"/>
          <w:sz w:val="20"/>
        </w:rPr>
      </w:pPr>
      <w:r>
        <w:rPr>
          <w:rFonts w:ascii="Times New Roman;sans-serif" w:hAnsi="Times New Roman;sans-serif"/>
          <w:b/>
          <w:i/>
          <w:color w:val="000000"/>
          <w:sz w:val="20"/>
        </w:rPr>
        <w:t>Changes in patent law in the U.S. and in foreign jurisdictions could diminish the value of patents in general, thereby impairing our ability to protect our products.</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16, 2013, in the United States, the first to invent the claimed invention was entitled to the patent, while outside the United States, the first to file a patent application was entitled to the patent. On March 16, 2013, under the Leahy-Smith America Invents Act, or the America Invents Act, enacted in September 2011, the United States transitioned to a first inventor to file system. A third party that files a patent application in the USPTO on or after March 16, 2013, but before us could therefore be awarded a patent covering an invention of ours even if we had made the invention before it was made by such third party. This will require us to be cognizant of the time from invention to filing of a patent application. Since patent applications in the United States and most other countries are confidential for a period of time after filing or until issuance, we cannot be certain that we or our licensors were the first to either (i) file any patent application related to our product candidates or (ii) invent any of the inventions claimed in our or our licensor’s patents or patent applications.</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The America Invents Act also includes a number of significant changes that affect the way patent applications will be prosecuted and also may affect patent litigation. These include allowing third party submission of prior art to the USPTO during patent prosecution and additional procedures to attack the validity of a patent by USPTO administered post-grant proceedings, including post-grant review, inter-partes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Therefore, the America Invents Act and its implementation could increase the uncertainties and costs surrounding the prosecution of our owned or in-licensed patent applications and the enforcement or defense of our owned or in-licensed issued patents, all of which could have a material adverse effect on our business, financial condition, results of operations, and prospects.</w:t>
      </w: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before="0" w:after="0"/>
        <w:rPr/>
      </w:pPr>
      <w:r>
        <w:rPr/>
      </w:r>
    </w:p>
    <w:p>
      <w:pPr>
        <w:pStyle w:val="TextBody"/>
        <w:spacing w:lineRule="auto" w:line="268" w:before="0" w:after="0"/>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In addition, the patent positions of companies in the development and commercialization of biopharmaceuticals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the USPTO, and courts or legislative bodies in foreign jurisdictions, the laws and regulations governing patents could change in unpredictable ways that could have a material adverse effect on our existing patent portfolio and our ability to protect and enforce our intellectual property in the future.</w:t>
      </w:r>
    </w:p>
    <w:p>
      <w:pPr>
        <w:pStyle w:val="TextBody"/>
        <w:spacing w:lineRule="auto" w:line="288" w:before="120" w:after="283"/>
        <w:ind w:left="0" w:right="0" w:firstLine="1080"/>
        <w:rPr>
          <w:rFonts w:ascii="Times New Roman;sans-serif" w:hAnsi="Times New Roman;sans-serif"/>
          <w:b/>
          <w:i/>
          <w:color w:val="000000"/>
          <w:sz w:val="20"/>
        </w:rPr>
      </w:pPr>
      <w:r>
        <w:rPr>
          <w:rFonts w:ascii="Times New Roman;sans-serif" w:hAnsi="Times New Roman;sans-serif"/>
          <w:b/>
          <w:i/>
          <w:color w:val="000000"/>
          <w:sz w:val="20"/>
        </w:rPr>
        <w:t>We have limited foreign intellectual property rights and may not be able to protect our intellectual property rights throughout the world.</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and may require a compulsory license to,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spacing w:lineRule="auto" w:line="288" w:before="120" w:after="283"/>
        <w:ind w:left="0" w:right="0" w:firstLine="1080"/>
        <w:rPr>
          <w:rFonts w:ascii="Times New Roman;sans-serif" w:hAnsi="Times New Roman;sans-serif"/>
          <w:b/>
          <w:i/>
          <w:color w:val="000000"/>
          <w:sz w:val="20"/>
        </w:rPr>
      </w:pPr>
      <w:r>
        <w:rPr>
          <w:rFonts w:ascii="Times New Roman;sans-serif" w:hAnsi="Times New Roman;sans-serif"/>
          <w:b/>
          <w:i/>
          <w:color w:val="000000"/>
          <w:sz w:val="20"/>
        </w:rPr>
        <w:t>Patent terms may be inadequate to protect our competitive position on our product candidates for an adequate amount of time.</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Patents have a limited lifespan. In the United States, if all maintenance fees are timely paid, the natural expiration of a patent is generally 20 years from its earliest U.S. non-provisional filing date. Various extensions such as patent term adjustments and/or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 xml:space="preserve">At the EU level, the Court of Justice of the European Union, or CJEU, has recently narrowed the availability of patent term extension for second medical use therefore affecting the scope of patent protection available. </w:t>
      </w:r>
    </w:p>
    <w:p>
      <w:pPr>
        <w:pStyle w:val="TextBody"/>
        <w:spacing w:lineRule="auto" w:line="288" w:before="120" w:after="283"/>
        <w:ind w:left="0" w:right="0" w:firstLine="1080"/>
        <w:rPr>
          <w:rFonts w:ascii="Times New Roman;sans-serif" w:hAnsi="Times New Roman;sans-serif"/>
          <w:b/>
          <w:i/>
          <w:color w:val="000000"/>
          <w:sz w:val="20"/>
        </w:rPr>
      </w:pPr>
      <w:r>
        <w:rPr>
          <w:rFonts w:ascii="Times New Roman;sans-serif" w:hAnsi="Times New Roman;sans-serif"/>
          <w:b/>
          <w:i/>
          <w:color w:val="000000"/>
          <w:sz w:val="20"/>
        </w:rPr>
        <w:t>If we do not obtain patent term extension and data exclusivity for any product candidates we may develop, our business may be materially harmed.</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 xml:space="preserve">Depending upon the timing, duration, and specifics of any FDA or foreign marketing approval of any product candidates we may develop, one or more of our U.S. patents may be eligible for limited patent term extension under the Drug Price Competition and Patent Term Restoration Action of 1984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w:t>
      </w: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before="0" w:after="0"/>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deadlines, failing to apply prior to expiration of relevant patents, or otherwise failing to satisfy applicable requirements. Moreover, the applicable time period or the scope of patent protection afforded could be less than we request. In addition, within the EU, regulatory protections afforded to medicinal products such as data exclusivity, marketing protection, market exclusivity for orphan indications and pediatric extensions are currently under review and is likely to be curtailed in future years. If we are unable to obtain patent term extension or the term of any such extension is less than we request, or if data exclusivity or other regulatory protections are reduced, our competitors may obtain approval of competing products following our patent expiration, and our business, financial condition, results of operations, and prospects could be materially harmed.</w:t>
      </w:r>
    </w:p>
    <w:p>
      <w:pPr>
        <w:pStyle w:val="TextBody"/>
        <w:spacing w:lineRule="auto" w:line="288" w:before="120" w:after="283"/>
        <w:ind w:left="0" w:right="0" w:firstLine="1080"/>
        <w:rPr>
          <w:rFonts w:ascii="Times New Roman;sans-serif" w:hAnsi="Times New Roman;sans-serif"/>
          <w:b/>
          <w:i/>
          <w:color w:val="000000"/>
          <w:sz w:val="20"/>
        </w:rPr>
      </w:pPr>
      <w:r>
        <w:rPr>
          <w:rFonts w:ascii="Times New Roman;sans-serif" w:hAnsi="Times New Roman;sans-serif"/>
          <w:b/>
          <w:i/>
          <w:color w:val="000000"/>
          <w:sz w:val="20"/>
        </w:rPr>
        <w:t>If our trademarks and trade names are not adequately protected, then we may not be able to build name recognition in our markets of interest and our business may be adversely affected.</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If we are unable to establish name recognition based on our trademarks and trade names, we may not be able to compete effectively, and our business may be adversely affected.</w:t>
      </w:r>
    </w:p>
    <w:p>
      <w:pPr>
        <w:pStyle w:val="TextBody"/>
        <w:spacing w:before="0" w:after="0"/>
        <w:rPr/>
      </w:pPr>
      <w:r>
        <w:rPr/>
      </w:r>
    </w:p>
    <w:p>
      <w:pPr>
        <w:pStyle w:val="TextBody"/>
        <w:spacing w:lineRule="auto" w:line="288" w:before="0" w:after="0"/>
        <w:ind w:left="0" w:right="0" w:firstLine="1080"/>
        <w:rPr>
          <w:rFonts w:ascii="Times New Roman;sans-serif" w:hAnsi="Times New Roman;sans-serif"/>
          <w:b/>
          <w:i/>
          <w:color w:val="000000"/>
          <w:sz w:val="20"/>
        </w:rPr>
      </w:pPr>
      <w:r>
        <w:rPr>
          <w:rFonts w:ascii="Times New Roman;sans-serif" w:hAnsi="Times New Roman;sans-serif"/>
          <w:b/>
          <w:i/>
          <w:color w:val="000000"/>
          <w:sz w:val="20"/>
        </w:rPr>
        <w:t>Intellectual property rights do not necessarily address all potential threats to our competitive advantage.</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others may be able to make drug candidates that are similar to ours but that are not covered by the claims of the patents that we own or have exclusively licensed;</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we or our licensors or future collaborators might not have been the first to make the inventions covered by the issued patent or pending patent application that we own or have exclusively licensed;</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we or our licensors or future collaborators might not have been the first to file patent applications covering certain of our inventions;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others may independently develop similar or alternative technologies or duplicate any of our technologies without infringing our intellectual property rights;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it is possible that our pending patent applications will not lead to issued patents;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issued patents that we own or have exclusively licensed may be held invalid or unenforceable, as a result of legal challenges by our competitors;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we may not develop additional proprietary technologies that are patentable;</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we cannot predict the scope of protection of any patent issuing based on our patent applications, including whether the patent applications that we own or in-license will result in issued patents with claims that cover our drug candidates, drug products or uses thereof in the United States or in other foreign countries;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the claims of any patent issuing based on our patent applications may not provide protection against competitors or any competitive advantages, or may be challenged by third parties;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if enforced, a court may not hold that our patents are valid, enforceable and/or infringed;</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we may need to initiate litigation or administrative proceedings to enforce and/or defend our patent rights which will be costly whether we win or lose;</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we may choose not to file a patent application in order to maintain certain trade secrets or know-how, and a third party may subsequently file a patent application covering such intellectual property;</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 xml:space="preserve">we may fail to adequately protect and police our trademarks and trade secrets; </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other parties may independently develop the technology covered by our trade secrets; and</w:t>
      </w: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before="0" w:after="0"/>
        <w:rPr/>
      </w:pPr>
      <w:r>
        <w:rPr/>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the patents of others may have an adverse effect on our business, including if others obtain patents claiming subject matter similar to or improving that covered by our patents and patent applications.</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Should any of these events occur, they could significantly harm our business, financial condition, results of operations, and prospects.</w:t>
      </w:r>
    </w:p>
    <w:p>
      <w:pPr>
        <w:pStyle w:val="TextBody"/>
        <w:spacing w:lineRule="auto" w:line="288" w:before="120" w:after="283"/>
        <w:ind w:left="0" w:right="0" w:firstLine="1080"/>
        <w:rPr>
          <w:rFonts w:ascii="Times New Roman;sans-serif" w:hAnsi="Times New Roman;sans-serif"/>
          <w:b/>
          <w:color w:val="000000"/>
          <w:sz w:val="20"/>
        </w:rPr>
      </w:pPr>
      <w:r>
        <w:rPr>
          <w:rFonts w:ascii="Times New Roman;sans-serif" w:hAnsi="Times New Roman;sans-serif"/>
          <w:b/>
          <w:color w:val="000000"/>
          <w:sz w:val="20"/>
        </w:rPr>
        <w:t>Risks Related to Our Reliance on Third Parties</w:t>
      </w:r>
    </w:p>
    <w:p>
      <w:pPr>
        <w:pStyle w:val="TextBody"/>
        <w:spacing w:lineRule="auto" w:line="288" w:before="120" w:after="283"/>
        <w:ind w:left="0" w:right="0" w:firstLine="1080"/>
        <w:rPr>
          <w:rFonts w:ascii="Times New Roman;sans-serif" w:hAnsi="Times New Roman;sans-serif"/>
          <w:b/>
          <w:i/>
          <w:color w:val="000000"/>
          <w:sz w:val="20"/>
        </w:rPr>
      </w:pPr>
      <w:r>
        <w:rPr>
          <w:rFonts w:ascii="Times New Roman;sans-serif" w:hAnsi="Times New Roman;sans-serif"/>
          <w:b/>
          <w:i/>
          <w:color w:val="000000"/>
          <w:sz w:val="20"/>
        </w:rPr>
        <w:t>We previously entered into a collaboration agreement with Novartis for the development of PLN-1474, which was terminated by Novartis in April 2023, and may in the future seek to enter into collaborations with third parties for the development and commercialization of other product candidates. If we fail to enter into such collaborations, or if our collaborations are not successful, we may be unable to continue development of such product candidates, we would not receive any contemplated milestone payments or royalties, and we could fail to capitalize on the market potential of such product candidates.</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In October 2019, we entered into a license and collaboration agreement with Novartis for the development and commercialization of our then preclinical product candidate, PLN-1474, and up to three integrin research targets. On February 17, 2023, Novartis exercised their right to terminate the Novartis Agreement as part of their new strategy focusing on a limited number of therapeutic areas. The termination took effect on April 18, 2023, whereupon all rights and licenses granted thereunder, including PLN-1474, the related IND, and the validated research target, reverted back to us. The payment obligations of Novartis with respect to future milestones, royalties and research and development funding also terminated.</w:t>
      </w:r>
    </w:p>
    <w:p>
      <w:pPr>
        <w:pStyle w:val="TextBody"/>
        <w:spacing w:lineRule="auto" w:line="288" w:before="120" w:after="120"/>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To the extent that we are unable to attract future collaborators, we may be forced to independently develop these product candidates, including funding preclinical or clinical trials, assuming marketing and distribution costs and defending intellectual property rights, or, in certain instances, abandon product candidates altogether, any of which could result in a change to our business plan and a material and adverse effect on our business, financial condition, results of operations and prospects.</w:t>
      </w:r>
    </w:p>
    <w:p>
      <w:pPr>
        <w:pStyle w:val="TextBody"/>
        <w:spacing w:lineRule="auto" w:line="288" w:before="120" w:after="283"/>
        <w:ind w:left="0" w:right="0" w:firstLine="1080"/>
        <w:rPr>
          <w:rFonts w:ascii="Times New Roman;sans-serif" w:hAnsi="Times New Roman;sans-serif"/>
          <w:b/>
          <w:i/>
          <w:color w:val="000000"/>
          <w:sz w:val="20"/>
        </w:rPr>
      </w:pPr>
      <w:r>
        <w:rPr>
          <w:rFonts w:ascii="Times New Roman;sans-serif" w:hAnsi="Times New Roman;sans-serif"/>
          <w:b/>
          <w:i/>
          <w:color w:val="000000"/>
          <w:sz w:val="20"/>
        </w:rPr>
        <w:t>We rely on third parties to conduct certain aspects of our preclinical studies and clinical trials. If these third parties do not successfully carry out their contractual duties, meet expected deadlines or comply with regulatory requirements, we may not be able to obtain regulatory approval of or commercialize any potential product candidates.</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We depend upon third parties to conduct certain aspects of our preclinical studies and clinical trials, under agreements with universities, medical institutions, CROs, strategic collaborators and others. We expect to have to negotiate budgets and contracts with such third parties, which may result in delays to our development timelines and increased costs.</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We will rely especially heavily on third parties over the course of our clinical trials, and, as a result, will have limited control over the clinical investigators and limited visibility into their day-to-day activities, including with respect to their compliance with the approved clinical protocol. Nevertheless, we are responsible for ensuring that each of our trials is conducted in accordance with the applicable protocol, legal and regulatory requirements and scientific standards, and our reliance on third parties does not relieve us of our regulatory responsibilities. We and these third parties are required to comply with GCP requirements, which are regulations and guidelines enforced by the FDA and comparable foreign regulatory authorities for product candidates in clinical development. Regulatory authorities enforce these GCP requirements through periodic inspections of trial sponsors, clinical investigators and trial sites. If we or any of these third parties fail to comply with applicable GCP requirements, the clinical data generated in our clinical trials may be deemed unreliable and the FDA or comparable foreign regulatory authorities may require us to suspend or terminate these trials or perform additional preclinical studies or clinical trials before approving our marketing applications. We cannot be certain that, upon inspection, such regulatory authorities will determine that any of our clinical trials comply with the GCP requirements.</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 xml:space="preserve">Any third parties conducting aspects of our preclinical studies or clinical trials will not be our employees and, except for remedies that may be available to us under our agreements with such third parties, we cannot control whether or not they devote sufficient time and resources to our preclinical studies and clinical programs. These third parties may also have relationships with other commercial entities, including our competitors, for whom they may also be conducting clinical trials or other product development activities, which could affect their performance on our behalf. If these third parties do not successfully carry out their contractual duties or obligations or meet expected deadlines, if they need to be replaced or if the quality or accuracy of the preclinical or clinical data they obtain is compromised due to the failure to adhere to our protocols or regulatory requirements or for other reasons or if due to federal or state orders or absenteeism due to the COVID-19 pandemic they are unable to meet their contractual and regulatory obligations, our development timelines, including clinical development </w:t>
      </w: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before="0" w:after="0"/>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timelines, may be extended, delayed or terminated and we may not be able to complete development of, obtain regulatory approval of or successfully commercialize our product candidates. As a result, our financial results and the commercial prospects for our product candidates would be harmed, our costs could increase and our ability to generate revenue could be delayed.</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If any of our relationships with these third-party CROs or others terminate, we may not be able to enter into arrangements with alternative CROs or other third parties or to do so on commercially reasonable terms.</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Switching or adding additional CROs involves additional cost and requires management time and focus. In addition, there is a natural transition period when a new CRO begins work. As a result, delays may occur, which can materially impact our ability to meet our desired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pStyle w:val="TextBody"/>
        <w:spacing w:lineRule="auto" w:line="288" w:before="120" w:after="283"/>
        <w:ind w:left="0" w:right="0" w:firstLine="1080"/>
        <w:rPr>
          <w:rFonts w:ascii="Times New Roman;sans-serif" w:hAnsi="Times New Roman;sans-serif"/>
          <w:b/>
          <w:i/>
          <w:color w:val="000000"/>
          <w:sz w:val="20"/>
        </w:rPr>
      </w:pPr>
      <w:r>
        <w:rPr>
          <w:rFonts w:ascii="Times New Roman;sans-serif" w:hAnsi="Times New Roman;sans-serif"/>
          <w:b/>
          <w:i/>
          <w:color w:val="000000"/>
          <w:sz w:val="20"/>
        </w:rPr>
        <w:t>We rely on third parties for tissue samples and other materials required for our research and development activities, and if we are unable to reach agreements with these third parties our research and development activities would be delayed.</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We rely on third parties, primarily hospitals, health clinics and academic institutions, for the provision of tissue samples and other materials required in our research and development activities. Obtaining these materials requires various approvals as well as reaching a commercial agreement on acceptable terms with the hospital or other provider of the materials. While we currently have agreements in place with the institutions from which we receive our tissue samples, we do not have any exclusive arrangements with such sources and there is no guarantee that we will be able to maintain or renew such agreements on commercially reasonable terms, if at all. If we were unable to maintain or renew such agreements, we would be forced to seek new arrangements with new hospitals, clinics or health institutions. If so, we may not be able to reach agreements with alternative partners or do so on terms acceptable to us. If we are unable to enter into such agreements, our research and development activities will be delayed and our ability to implement a key part of our development strategy will be compromised.</w:t>
      </w:r>
    </w:p>
    <w:p>
      <w:pPr>
        <w:pStyle w:val="TextBody"/>
        <w:spacing w:lineRule="auto" w:line="288" w:before="120" w:after="283"/>
        <w:ind w:left="0" w:right="0" w:firstLine="1080"/>
        <w:rPr>
          <w:rFonts w:ascii="Times New Roman;sans-serif" w:hAnsi="Times New Roman;sans-serif"/>
          <w:b/>
          <w:i/>
          <w:color w:val="000000"/>
          <w:sz w:val="20"/>
        </w:rPr>
      </w:pPr>
      <w:r>
        <w:rPr>
          <w:rFonts w:ascii="Times New Roman;sans-serif" w:hAnsi="Times New Roman;sans-serif"/>
          <w:b/>
          <w:i/>
          <w:color w:val="000000"/>
          <w:sz w:val="20"/>
        </w:rPr>
        <w:t>Because we rely on third-party manufacturing and supply vendors, including single-source vendors and vendors in foreign jurisdictions, including China, our supply of research and development, preclinical and clinical development materials may become limited or interrupted or may not be of satisfactory quantity or quality.</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third-party contract manufacturers to manufacture our product candidates for preclinical studies and clinical trials. We do not own manufacturing facilities for producing any clinical trial product supplies. There can be no assurance that our preclinical and clinical development product supplies will not be limited, interrupted, or of satisfactory quality or continue to be available at acceptable prices, including due to ongoing effects of the COVID-19 pandemic. In addition, we rely on vendors in foreign jurisdictions, including China for our clinical drug supply for bexotegrast. If this supply is interrupted for business or geopolitical reasons, the development of bexotegrast could be materially delayed. In particular, any replacement of our manufacturers could require significant time, effort and expertise because there may be a limited number of qualified replacements and the process to transfer technology and initiate manufacturing is complex and time consuming. </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cGMPs. In the event that any of our manufacturers fails to comply with such requirements or to perform its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third-party, which we may not be able to do on reasonable terms, if at all. In some cases, the technical skills or technology required to manufacture our product candidates may be unique or proprietary to the original manufacturer and we may have difficulty transferring such skills or technology to another third-party and a feasible alternative may not exist. These factors would increase our reliance on such manufacturer or require us to obtain a license from such manufacturer in order to have another third-party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to continue to rely on third-party manufacturers if we receive regulatory approval for bexotegrast or any other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w:t>
      </w: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before="0" w:after="0"/>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commercialize our product candidates successfully. Our or a third-party’s failure to execute on our manufacturing requirements and comply with cGMP could adversely affect our business in a number of ways, including:</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an inability to initiate or continue clinical trials of product candidates under development;</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delay in submitting regulatory applications, or receiving regulatory approvals, for product candidates;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loss of the cooperation of an existing or future collaborator;</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subjecting third-party manufacturing facilities or our manufacturing facilities to additional inspections by regulatory authorities;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requirements to cease distribution or to recall batches of our product candidates; and</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in the event of approval to market and commercialize a product candidate, an inability to meet commercial demands for our products.</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We rely on a sole supplier for the manufacture of bexotegrast. If this sole supplier is unable to supply to us in the quantities we require, or at all, or otherwise defaults on its supply obligations to us, we may not be able to obtain alternative supplies from other suppliers on acceptable terms, in a timely manner, or at all. We also do not have long-term supply agreements with any of our suppliers. Our current contracts with certain suppliers may be canceled or not extended by such suppliers and, therefore, do not afford us with protection against a reduction or interruption in supplies. Moreover, in the event any of these suppliers breach their contracts with us, our legal remedies associated with such a breach may be insufficient to compensate us for any damages we may suffer.</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In addition, we contract with fill and finishing providers with the appropriate expertise, facilities and scale to meet our needs. Failure to maintain cGMP can result in a contractor receiving FDA sanctions, which can impact our ability to operate or lead to delays in any clinical development programs. We believe that our current fill and finish contractor is operating in accordance with cGMP, but we can give no assurance that FDA or other regulatory agencies will not conclude that a lack of compliance exists. In addition, any delay in contracting for fill and finish services, or failure of the contract manufacturer to perform the services as needed, may delay any clinical trials, registration and launches, which could negatively affect our business. In the future, if we advance a biological product candidate into IND-enabling studies, we will need to identify and contract with suppliers who are able to produce biological product candidates and adhere to additional cGMP compliance obligations required for biologicals.</w:t>
      </w:r>
    </w:p>
    <w:p>
      <w:pPr>
        <w:pStyle w:val="TextBody"/>
        <w:spacing w:lineRule="auto" w:line="288" w:before="120" w:after="283"/>
        <w:ind w:left="0" w:right="0" w:firstLine="1080"/>
        <w:rPr>
          <w:rFonts w:ascii="Times New Roman;sans-serif" w:hAnsi="Times New Roman;sans-serif"/>
          <w:b/>
          <w:i/>
          <w:color w:val="000000"/>
          <w:sz w:val="20"/>
        </w:rPr>
      </w:pPr>
      <w:r>
        <w:rPr>
          <w:rFonts w:ascii="Times New Roman;sans-serif" w:hAnsi="Times New Roman;sans-serif"/>
          <w:b/>
          <w:i/>
          <w:color w:val="000000"/>
          <w:sz w:val="20"/>
        </w:rPr>
        <w:t>Future collaborations are expected to be important to our business. If we are unable to enter into new collaborations, or if these collaborations are not successful, our business could be adversely affected.</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A part of our strategy is to selectively evaluate partnerships in indications and geographies where we believe partners can add significant commercial and/or development capabilities. Further, we have limited capabilities for product development and do not yet have any capability for commercialization. Accordingly, we have in the past and may in the future enter into collaborations with other companies to provide us with important technologies and funding for our programs and technology.</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Any future collaborations we enter into may pose a number of risks, including the following:</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collaborators may have significant discretion in determining the efforts and resources that they will apply;</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collaborators may not perform their obligations as expected;</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collaborators may not pursue development and commercialization of any product candidates that achieve regulatory approval or may elect not to continue or renew development or commercialization programs or license arrangements based on clinical trial results, changes in the collaborators’ strategic focus or available funding, or external factors, such as a strategic transaction that may divert resources or create competing priorities;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 xml:space="preserve">collaborators could independently develop, or develop with third parties, products that compete directly or indirectly with our products and product candidates if the collaborators believe that </w:t>
      </w: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v:rect>
            </w:pict>
          </mc:Fallback>
        </mc:AlternateContent>
      </w:r>
    </w:p>
    <w:p>
      <w:pPr>
        <w:pStyle w:val="TextBody"/>
        <w:spacing w:before="0" w:after="0"/>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competitive products are more likely to be successfully developed or can be commercialized under terms that are more economically attractive than ours;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collaborators may fail to comply with applicable regulatory requirements regarding the development, manufacture, distribution or marketing of a product candidate or product;</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collaborators with marketing and distribution rights to one or more of our product candidates that achieve regulatory approval may not commit sufficient resources to the marketing and distribution of such product or products;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collaborators may not provide us with timely and accurate information regarding development progress and activity under any future license agreement, which could adversely impact our ability to report progress to our investors and otherwise plan development of our product candidates;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disagreements with collaborators, including disagreements over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collaborators may infringe the intellectual property rights of third parties, which may expose us to litigation and potential liability;</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if a collaborator of ours is involved in a business combination, the collaborator might deemphasize or terminate the development or commercialization of any product candidate licensed to it by us; and</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collaborations may be terminated by the collaborator, and, if terminated, we could be required to raise additional capital to pursue further development or commercialization of the applicable product candidates.</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If collaborations we enter into do not result in the successful discovery, development and commercialization of product candidates or if a future collaborator terminates its agreement with us, we may not receive any research funding or milestone or royalty payments under such collaboration. All of the risks relating to product development, regulatory approval and commercialization described in this Report also apply to the activities of our therapeutic collaborators.</w:t>
      </w:r>
    </w:p>
    <w:p>
      <w:pPr>
        <w:pStyle w:val="TextBody"/>
        <w:spacing w:before="120" w:after="283"/>
        <w:ind w:left="0" w:right="0" w:firstLine="1080"/>
        <w:rPr/>
      </w:pPr>
      <w:r>
        <w:rPr/>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 xml:space="preserve">We face significant competition in seeking appropriate collaborators for our product candidates, and the negotiation process is time-consuming and complex. In order for us to successfully establish a collaboration for one or more of our product candidates, potential collaborators must view these product candidates as economically valuable in markets they determine to be attractive in light of the terms that we are seeking and other available products for licensing by other companies. Collaborations are complex and time-consuming to negotiate and document. In addition, there have been a significant number of recent business combinations among large biopharmaceutical companies that have resulted in a reduced number of potential future collaborators.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have to curtail the development of a product </w:t>
      </w: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v:rect>
            </w:pict>
          </mc:Fallback>
        </mc:AlternateContent>
      </w:r>
    </w:p>
    <w:p>
      <w:pPr>
        <w:pStyle w:val="TextBody"/>
        <w:spacing w:before="0" w:after="0"/>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expertise and additional capital, which may not be available to us on acceptable terms, or at all. If we fail to enter into future collaborations or do not have sufficient funds or expertise to undertake the necessary development and commercialization activities, we may not be able to further develop our product candidates, bring them to market and generate revenue from sales of drugs or continue to develop our technology, and our business may be materially and adversely affected. Even if we are successful in our efforts to establish new strategic collaborations, the terms that we agree upon may not be favorable to us, and we may not be able to maintain such strategic collaborations if, for example, development or approval of a product candidate is delayed or sales of an approved product are disappointing. Any delay in entering into new strategic collaboration agreements related to our product candidates could delay the development and commercialization of our product candidates and reduce their competitiveness even if they reach the market.</w:t>
      </w:r>
    </w:p>
    <w:p>
      <w:pPr>
        <w:pStyle w:val="TextBody"/>
        <w:spacing w:lineRule="auto" w:line="288" w:before="120" w:after="283"/>
        <w:ind w:left="0" w:right="0" w:firstLine="1080"/>
        <w:rPr>
          <w:rFonts w:ascii="Times New Roman;sans-serif" w:hAnsi="Times New Roman;sans-serif"/>
          <w:b/>
          <w:i/>
          <w:color w:val="000000"/>
          <w:sz w:val="20"/>
        </w:rPr>
      </w:pPr>
      <w:r>
        <w:rPr>
          <w:rFonts w:ascii="Times New Roman;sans-serif" w:hAnsi="Times New Roman;sans-serif"/>
          <w:b/>
          <w:i/>
          <w:color w:val="000000"/>
          <w:sz w:val="20"/>
        </w:rPr>
        <w:t xml:space="preserve">Our suppliers and any future collaborators may need assurances that our financial resources and stability on a stand-alone basis are sufficient to satisfy their requirements for doing or continuing to do business with us. </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 xml:space="preserve">Our suppliers and any future collaborators may need assurances that our financial resources and stability on a stand-alone basis are sufficient to satisfy their requirements for doing or continuing to do business with us. If these parties are not satisfied with our financial resources and stability, it could have a material adverse effect on our ability to develop our drug candidates, enter into licenses or other agreements and on our business, financial condition or results of operations. </w:t>
      </w:r>
    </w:p>
    <w:p>
      <w:pPr>
        <w:pStyle w:val="TextBody"/>
        <w:spacing w:lineRule="auto" w:line="288" w:before="120" w:after="283"/>
        <w:ind w:left="0" w:right="0" w:firstLine="1080"/>
        <w:rPr>
          <w:rFonts w:ascii="Times New Roman;sans-serif" w:hAnsi="Times New Roman;sans-serif"/>
          <w:b/>
          <w:color w:val="000000"/>
          <w:sz w:val="20"/>
        </w:rPr>
      </w:pPr>
      <w:r>
        <w:rPr>
          <w:rFonts w:ascii="Times New Roman;sans-serif" w:hAnsi="Times New Roman;sans-serif"/>
          <w:b/>
          <w:color w:val="000000"/>
          <w:sz w:val="20"/>
        </w:rPr>
        <w:t>Risks Related to Managing Our Business and Operations</w:t>
      </w:r>
    </w:p>
    <w:p>
      <w:pPr>
        <w:pStyle w:val="TextBody"/>
        <w:spacing w:lineRule="auto" w:line="288" w:before="120" w:after="283"/>
        <w:ind w:left="0" w:right="0" w:firstLine="1080"/>
        <w:rPr>
          <w:rFonts w:ascii="Times New Roman;sans-serif" w:hAnsi="Times New Roman;sans-serif"/>
          <w:b/>
          <w:i/>
          <w:color w:val="000000"/>
          <w:sz w:val="20"/>
        </w:rPr>
      </w:pPr>
      <w:r>
        <w:rPr>
          <w:rFonts w:ascii="Times New Roman;sans-serif" w:hAnsi="Times New Roman;sans-serif"/>
          <w:b/>
          <w:i/>
          <w:color w:val="000000"/>
          <w:sz w:val="20"/>
        </w:rPr>
        <w:t>The outbreak of the coronavirus disease, COVID-19, could adversely impact our business, including our preclinical studies and clinical trials.</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The outbreak of COVID-19 and government measures taken in response thereto have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In response to the initial spread of COVID-19, we significantly limited access to our executive offices with the majority of our administrative employees continuing their work outside of our offices and limited the presence of our staff in the laboratory and in the administrative spaces to levels that adhere to social distancing protocols. As a result of the COVID-19 pandemic, we have experienced disruptions and may continue to experience disruptions that could severely impact our business, preclinical studies and clinical trials, including:</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delays or difficulties in commencing enrollment of patients in our clinical trials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the impact from potential delays, including potential difficulties in clinical site initiation and related processes such as in recruiting clinical site investigators and clinical site staff;</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diversion of healthcare resources, including employee resources, away from the conduct of preclinical studies and clinical trials;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interruption of key clinical trial activities, such as clinical trial site data monitoring, due to any future limitations on travel or interruption of clinical trial subject visits and study procedures that are deemed non-essential, which may impact the integrity of subject data and clinical study endpoints;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interruption or delays in the operations of the FDA or other regulatory authorities, which may impact review and approval timelines;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interruption of, or delays in receiving, supplies of our product candidates from our contract manufacturing organizations due to staffing shortages, production slowdowns or stoppages and disruptions in delivery systems;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interruptions in preclinical studies due to restricted or limited operations at our laboratory facility; and</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interruption or delays to our sourced discovery and clinical activities.</w:t>
      </w: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v:rect>
            </w:pict>
          </mc:Fallback>
        </mc:AlternateContent>
      </w:r>
    </w:p>
    <w:p>
      <w:pPr>
        <w:pStyle w:val="TextBody"/>
        <w:spacing w:before="0" w:after="0"/>
        <w:rPr/>
      </w:pPr>
      <w:r>
        <w:rPr/>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The COVID-19 pandemic continues to rapidly evolve and new variants and subvariants of the virus continue to emerge. The extent to which the outbreak impacts our business, preclinical studies and clinical trials will depend on future developments, which are highly uncertain and cannot be predicted with confidence, such as the ultimate geographic spread of the disease, the duration of the pandemic, renewed travel restrictions and social distancing in the United States and other countries, business closures or business disruptions and the effectiveness of actions taken in the United States and other countries to contain and treat the disease. The foregoing disruptions, and other continued disruptions to our business in connection with the COVID-19 pandemic, could have a material adverse impact on our business, financial condition or results of operations. In addition, the COVID-19 pandemic heightens many of the other risks and uncertainties discussed herein.</w:t>
      </w:r>
    </w:p>
    <w:p>
      <w:pPr>
        <w:pStyle w:val="TextBody"/>
        <w:spacing w:lineRule="auto" w:line="288" w:before="120" w:after="283"/>
        <w:ind w:left="0" w:right="0" w:firstLine="1080"/>
        <w:rPr>
          <w:rFonts w:ascii="Times New Roman;sans-serif" w:hAnsi="Times New Roman;sans-serif"/>
          <w:b/>
          <w:i/>
          <w:color w:val="000000"/>
          <w:sz w:val="20"/>
        </w:rPr>
      </w:pPr>
      <w:r>
        <w:rPr>
          <w:rFonts w:ascii="Times New Roman;sans-serif" w:hAnsi="Times New Roman;sans-serif"/>
          <w:b/>
          <w:i/>
          <w:color w:val="000000"/>
          <w:sz w:val="20"/>
        </w:rPr>
        <w:t>We may encounter difficulties in managing our growth, which could adversely affect our operations.</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As of March 31, 2023, we had 136 full-time employees. As our clinical development and commercialization plans and strategies develop, we will need to expand our managerial, clinical, regulatory, sales, marketing, financial, development, manufacturing and legal capabilities or contract with third parties to provide these capabilities for us. As our operations expand, we expect that we will need to manage additional relationships with various strategic collaborators, suppliers and other third parties. Our future growth would impose significant added responsibilities on members of management, including:</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identifying, recruiting, integrating, retaining and motivating additional employees;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managing our development and commercialization efforts effectively, including the clinical and FDA review process for bexotegrast and any other product candidates, while complying with our contractual obligations to contractors and other third parties; and</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improving our operational, financial and management controls, reporting systems and procedures.</w:t>
      </w:r>
    </w:p>
    <w:p>
      <w:pPr>
        <w:pStyle w:val="TextBody"/>
        <w:spacing w:lineRule="auto" w:line="288" w:before="0" w:after="120"/>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Our ability to continue to develop and, if approved, commercialize our product candidates will depend, in part, on our ability to effectively manage any future growth. Our management may also have to divert a disproportionate amount of its attention away from day-to-day activities in order to devote a substantial amount of time to managing these growth activities.</w:t>
      </w:r>
    </w:p>
    <w:p>
      <w:pPr>
        <w:pStyle w:val="TextBody"/>
        <w:spacing w:lineRule="auto" w:line="288" w:before="0" w:after="120"/>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We currently rely, and for the foreseeable future will continue to rely, in substantial part on certain independent organizations, advisors and consultants to provide certain services, including contract manufacturers and companies focused on research and development and discovery activities. There can be no assurance that the services of independent organizations, advisors and consultants will continue to be available to us on a timely basis when needed, or that we can find qualified replacements. In addition, if we are unable to effectively manage our outsourced activities or if the quality, accuracy or quantity of the services provided is compromised for any reason, our clinical trials may be extended, delayed or terminated, and we may not be able to obtain, or may be substantially delayed in obtaining, regulatory approval of our product candidates or otherwise advance our business. There can be no assurance that we will be able to manage our existing consultants or find other competent outside contractors and consultants on economically reasonable terms, or at all.</w:t>
      </w:r>
    </w:p>
    <w:p>
      <w:pPr>
        <w:pStyle w:val="TextBody"/>
        <w:spacing w:lineRule="auto" w:line="288" w:before="0" w:after="120"/>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If we are not able to effectively expand our organization by hiring new employees and expanding our groups of consultants and contractors, we may not be able to successfully implement the tasks necessary to further develop and commercialize bexotegrast or any other product candidates and, accordingly, may not achieve our research, development and commercialization goals.</w:t>
      </w:r>
    </w:p>
    <w:p>
      <w:pPr>
        <w:pStyle w:val="TextBody"/>
        <w:spacing w:lineRule="auto" w:line="288" w:before="0" w:after="120"/>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We may acquire additional technology and complementary businesses in the future. Acquisitions involve many risks, any of which could materially harm our business, including the diversion of management’s attention from core business concerns, failure to effectively exploit acquired technologies, failure to successfully integrate the acquired business or realize expected synergies or the loss of key employees from either our business or the acquired businesses.</w:t>
      </w:r>
    </w:p>
    <w:p>
      <w:pPr>
        <w:pStyle w:val="TextBody"/>
        <w:spacing w:lineRule="auto" w:line="288" w:before="120" w:after="283"/>
        <w:ind w:left="0" w:right="0" w:firstLine="1080"/>
        <w:rPr>
          <w:rFonts w:ascii="Times New Roman;sans-serif" w:hAnsi="Times New Roman;sans-serif"/>
          <w:b/>
          <w:i/>
          <w:color w:val="000000"/>
          <w:sz w:val="20"/>
        </w:rPr>
      </w:pPr>
      <w:r>
        <w:rPr>
          <w:rFonts w:ascii="Times New Roman;sans-serif" w:hAnsi="Times New Roman;sans-serif"/>
          <w:b/>
          <w:i/>
          <w:color w:val="000000"/>
          <w:sz w:val="20"/>
        </w:rPr>
        <w:t>If we lose key management personnel, or if we fail to recruit additional highly skilled personnel, our ability to develop current product candidates or identify and develop new product candidates will be impaired, could result in loss of markets or market share and could make us less competitive.</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Our ability to compete in the highly competitive biotechnology and biopharmaceutical industries depends upon our ability to attract and retain highly qualified managerial, scientific, and medical personnel. We are highly dependent on our management, scientific and medical personnel, including Bernard Coulie, M.D., Ph.D., our President and Chief Executive Officer, Keith Cummings, M.D., our Chief Financial Officer, Johannes (Hans) Hull, J.D., our Chief Business Officer and Éric Lefebvre, M.D., our Chief Medical Officer. The loss of the services of any of our executive officers, other key employees and other scientific and medical advisors, and our inability to find suitable replacements could result in delays in product development and harm our business.</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We conduct our operations at our facility in South San Francisco, California. This region is headquarters to many other biopharmaceutical companies, biotechnology companies and research institutions. Competition for skilled personnel in our market is intense and may limit our ability to hire and retain highly qualified personnel on acceptable terms or at all.</w:t>
      </w: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v:rect>
            </w:pict>
          </mc:Fallback>
        </mc:AlternateContent>
      </w:r>
    </w:p>
    <w:p>
      <w:pPr>
        <w:pStyle w:val="TextBody"/>
        <w:spacing w:before="0" w:after="0"/>
        <w:rPr/>
      </w:pPr>
      <w:r>
        <w:rPr/>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To induce valuable employees to remain at our company, in addition to salary and cash incentives, we have provided equity awards that vest over time. The value to employees of equity awards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Our key employees are at-will employees, which means that any of our employees could leave our employment at any time, with or without notice. We do not maintain “key person” insurance policies on the lives of these individuals or the lives of any of our other employees. Our success also depends on our ability to continue to attract, retain and motivate highly skilled junior, mid-level and senior scientific and medical personnel.</w:t>
      </w:r>
    </w:p>
    <w:p>
      <w:pPr>
        <w:pStyle w:val="TextBody"/>
        <w:spacing w:lineRule="auto" w:line="288" w:before="120" w:after="283"/>
        <w:ind w:left="0" w:right="0" w:firstLine="1080"/>
        <w:rPr>
          <w:rFonts w:ascii="Times New Roman;sans-serif" w:hAnsi="Times New Roman;sans-serif"/>
          <w:b/>
          <w:i/>
          <w:color w:val="000000"/>
          <w:sz w:val="20"/>
        </w:rPr>
      </w:pPr>
      <w:r>
        <w:rPr>
          <w:rFonts w:ascii="Times New Roman;sans-serif" w:hAnsi="Times New Roman;sans-serif"/>
          <w:b/>
          <w:i/>
          <w:color w:val="000000"/>
          <w:sz w:val="20"/>
        </w:rPr>
        <w:t>Our current operations are concentrated in one location, and we or the third parties upon whom we depend may be adversely affected by earthquakes or other natural disasters and our business continuity and disaster recovery plans may not adequately protect us from a serious disaster, including earthquakes, outbreak of disease or other natural disasters.</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Our current operations are located in our facilities in South San Francisco, California. Any unplanned event, such as flood, fire, explosion, earthquake, extreme weather condition, medical epidemics,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or other natural disasters could further disrupt our operations and have a material and adverse effect on our business, financial condition, results of operations and prospects. In addition, global climate change could result in certain types of natural disasters occurring more frequently or with more intense effects.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w:t>
      </w:r>
    </w:p>
    <w:p>
      <w:pPr>
        <w:pStyle w:val="TextBody"/>
        <w:spacing w:lineRule="auto" w:line="288" w:before="120" w:after="283"/>
        <w:ind w:left="0" w:right="0" w:firstLine="1080"/>
        <w:rPr>
          <w:rFonts w:ascii="Times New Roman;sans-serif" w:hAnsi="Times New Roman;sans-serif"/>
          <w:b/>
          <w:i/>
          <w:color w:val="000000"/>
          <w:sz w:val="20"/>
        </w:rPr>
      </w:pPr>
      <w:r>
        <w:rPr>
          <w:rFonts w:ascii="Times New Roman;sans-serif" w:hAnsi="Times New Roman;sans-serif"/>
          <w:b/>
          <w:i/>
          <w:color w:val="000000"/>
          <w:sz w:val="20"/>
        </w:rPr>
        <w:t>Our employees, independent contractors, consultants, commercial partners, collaborators and vendors may engage in misconduct or other improper activities, including noncompliance with regulatory standards and requirements.</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We are exposed to the risk of employee fraud or other illegal activity by our employees, independent contractors, consultants, commercial partners, collaborators, and vendors. Misconduct by these parties could include intentional, reckless and/or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will also increase. These laws may impact, among other things, our current activities with principal investigators and research patients, as well as proposed and future sales, marketing, and education programs. We adopted a code of business conduct and ethics, but it is not always possible to identify and deter misconduct by our employees, independent contractors, consultants, commercial partners and vendors,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actions are instituted against us and we are not successful in defending ourselves or asserting our rights, those actions could result in the imposition of civil, criminal and administrative penalties, damages, monetary fines, imprisonment, disgorgement, possible exclusion from participation in government healthcare programs, additional reporting obligations and oversight if we become subject to a corporate integrity agreement or other agreement to resolve allegations of non-compliance with these laws, contractual damages, reputational harm, diminished profits and future earnings and the curtailment of our operations.</w:t>
      </w:r>
    </w:p>
    <w:p>
      <w:pPr>
        <w:pStyle w:val="TextBody"/>
        <w:spacing w:lineRule="auto" w:line="288" w:before="120" w:after="283"/>
        <w:ind w:left="0" w:right="0" w:firstLine="1080"/>
        <w:rPr>
          <w:rFonts w:ascii="Times New Roman;sans-serif" w:hAnsi="Times New Roman;sans-serif"/>
          <w:b/>
          <w:i/>
          <w:color w:val="000000"/>
          <w:sz w:val="20"/>
        </w:rPr>
      </w:pPr>
      <w:r>
        <w:rPr>
          <w:rFonts w:ascii="Times New Roman;sans-serif" w:hAnsi="Times New Roman;sans-serif"/>
          <w:b/>
          <w:i/>
          <w:color w:val="000000"/>
          <w:sz w:val="20"/>
        </w:rPr>
        <w:t>We use and generate materials that may expose us to material liability.</w:t>
      </w: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v:rect>
            </w:pict>
          </mc:Fallback>
        </mc:AlternateContent>
      </w:r>
    </w:p>
    <w:p>
      <w:pPr>
        <w:pStyle w:val="TextBody"/>
        <w:spacing w:before="0" w:after="0"/>
        <w:rPr/>
      </w:pPr>
      <w:r>
        <w:rPr/>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Our research programs involve the use of hazardous materials and chemicals, which are generally handled by third parties. We are subject to foreign, federal, state, and local environmental and health and safety laws and regulations governing, among other matters, the use, manufacture, handling, storage and disposal of hazardous materials and waste products such as human tissue samples that may have the potential to transmit diseases. We may incur significant costs to comply with these current or future environmental and health and safety laws and regulations. In addition, we cannot completely eliminate the risk of contamination or injury from hazardous materials and may incur material liability as a result of such contamination or injury. In the event of an accident, an injured party may seek to hold us liable for any damages that result. Any liability could exceed the limits or fall outside the coverage of our workers’ compensation, property and business interruption insurance and we may not be able to maintain insurance on acceptable terms, if at all. We currently carry no insurance specifically covering environmental claims.</w:t>
      </w:r>
    </w:p>
    <w:p>
      <w:pPr>
        <w:pStyle w:val="TextBody"/>
        <w:spacing w:lineRule="auto" w:line="288" w:before="120" w:after="283"/>
        <w:ind w:left="0" w:right="0" w:firstLine="1080"/>
        <w:rPr>
          <w:rFonts w:ascii="Times New Roman;sans-serif" w:hAnsi="Times New Roman;sans-serif"/>
          <w:b/>
          <w:i/>
          <w:color w:val="000000"/>
          <w:sz w:val="20"/>
        </w:rPr>
      </w:pPr>
      <w:r>
        <w:rPr>
          <w:rFonts w:ascii="Times New Roman;sans-serif" w:hAnsi="Times New Roman;sans-serif"/>
          <w:b/>
          <w:i/>
          <w:color w:val="000000"/>
          <w:sz w:val="20"/>
        </w:rPr>
        <w:t>If we fail to comply with environmental, health and safety laws and regulations, we could become subject to fines or penalties or incur costs that could have a material adverse effect on the success of our business.</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We are subject to numerous environmental, health and safety laws and regulations, including those governing laboratory procedures and the handling, use, storage, treatment and disposal of hazardous materials and wastes. Our research and development activities involve the use of biological and hazardous materials and produce hazardous waste products. We generally contract with third parties for the disposal of these materials and wastes. We cannot eliminate the risk of contamination or injury from these materials,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We do not carry specific biological waste or hazardous waste insurance coverage, workers’ compensation or property and casualty and general liability insurance policies that include coverage for damages and fines arising from biological or hazardous waste exposure or contamination.</w:t>
      </w:r>
    </w:p>
    <w:p>
      <w:pPr>
        <w:pStyle w:val="TextBody"/>
        <w:spacing w:lineRule="auto" w:line="288" w:before="120" w:after="283"/>
        <w:ind w:left="0" w:right="0" w:firstLine="1080"/>
        <w:rPr>
          <w:rFonts w:ascii="Times New Roman;sans-serif" w:hAnsi="Times New Roman;sans-serif"/>
          <w:b/>
          <w:i/>
          <w:color w:val="000000"/>
          <w:sz w:val="20"/>
        </w:rPr>
      </w:pPr>
      <w:r>
        <w:rPr>
          <w:rFonts w:ascii="Times New Roman;sans-serif" w:hAnsi="Times New Roman;sans-serif"/>
          <w:b/>
          <w:i/>
          <w:color w:val="000000"/>
          <w:sz w:val="20"/>
        </w:rPr>
        <w:t>Compliance with governmental regulations regarding the treatment of animals used in research could increase our operating costs, which would adversely affect the commercialization of our products.</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The Animal Welfare Act, or AWA, is the federal law that covers the treatment of certain animals used in research. Currently, the AWA imposes a wide variety of specific regulations that govern the humane handling, care, treatment, and transportation of certain animals by producers and users of research animals, most notably relating to personnel, facilities, sanitation, cage size, and feeding, watering, and shipping conditions. Third parties with whom we contract are subject to registration, inspections, and reporting requirements under the AWA. Furthermore, some states have their own regulations, including general anti-cruelty legislation, which establish certain standards in handling animals. Comparable rules, regulations, and or obligations exist in many foreign jurisdictions. If we or our contractors fail to comply with regulations concerning the treatment of animals used in research, we may be subject to fines and penalties and adverse publicity, and our operations could be adversely affected.</w:t>
      </w:r>
    </w:p>
    <w:p>
      <w:pPr>
        <w:pStyle w:val="TextBody"/>
        <w:spacing w:lineRule="auto" w:line="288" w:before="120" w:after="283"/>
        <w:ind w:left="0" w:right="0" w:firstLine="1080"/>
        <w:rPr>
          <w:rFonts w:ascii="Times New Roman;sans-serif" w:hAnsi="Times New Roman;sans-serif"/>
          <w:b/>
          <w:i/>
          <w:color w:val="000000"/>
          <w:sz w:val="20"/>
        </w:rPr>
      </w:pPr>
      <w:r>
        <w:rPr>
          <w:rFonts w:ascii="Times New Roman;sans-serif" w:hAnsi="Times New Roman;sans-serif"/>
          <w:b/>
          <w:i/>
          <w:color w:val="000000"/>
          <w:sz w:val="20"/>
        </w:rPr>
        <w:t>Our ability to use our net operating loss carryforwards and certain tax credit carryforwards may be subject to limitation.</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2022, we had net operating loss carryforwards for U.S. federal and state income tax purposes of $220.2 million and $278.9 million, respectively, some of which will begin to expire in 2035. As of December 31, 2022, we also had available tax credit carryforwards for U.S. federal income tax purposes of $20.2 million, which begin to expire in 2036, and state income tax purposes of $5.6 million, which can be carried forward indefinitely. Under Section 382 of the Internal Revenue Code, as amended, or the Code, changes in our ownership may limit the amount of our net operating loss carryforwards and tax credit carryforwards that could be utilized annually to offset our future taxable income, if any. This limitation would generally apply in the event of a cumulative change in ownership of our company of more than 50 percentage points within a three-year period. Any such limitation may significantly reduce our ability to utilize our net operating loss </w:t>
      </w: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v:rect>
            </w:pict>
          </mc:Fallback>
        </mc:AlternateContent>
      </w:r>
    </w:p>
    <w:p>
      <w:pPr>
        <w:pStyle w:val="TextBody"/>
        <w:spacing w:before="0" w:after="0"/>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carryforwards and tax credit carryforwards before they expire. We have performed an analysis under Internal Revenue Code Sections 382 and 383 to determine the amount of our net operating loss carryforwards and research and development credit carryforwards that will be subject to annual limitation. This analysis concluded that we have experienced one or more such ownership changes prior to December 31, 2022, and the Company’s net operating losses and tax credit carryforwards generated prior to the identified ownership changes are subject to no permanent limitation under Sections 382 or 383. In addition, we may experience subsequent ownership changes as a result of future equity offerings or other changes in our stock ownership. Any such limitation could have a material adverse effect on our results of operations in future years. Our ability to utilize those net operating loss carryforwards could be limited by an “ownership change” as described above, which could result in increased tax liability to us. Net operating losses generated after December 31, 2017 are not subject to expiration, but may not be carried back to prior taxable years, except that net operating losses generated in 2018, 2019 and 2020 may be carried back five taxable years. Additionally, the deductibility of such U.S. federal net operating losses is limited to 80% of our taxable income in any taxable year beginning after December 31, 2020.</w:t>
      </w:r>
    </w:p>
    <w:p>
      <w:pPr>
        <w:pStyle w:val="TextBody"/>
        <w:spacing w:lineRule="auto" w:line="288" w:before="120" w:after="283"/>
        <w:ind w:left="0" w:right="0" w:firstLine="1080"/>
        <w:rPr>
          <w:rFonts w:ascii="Times New Roman;sans-serif" w:hAnsi="Times New Roman;sans-serif"/>
          <w:b/>
          <w:color w:val="000000"/>
          <w:sz w:val="20"/>
        </w:rPr>
      </w:pPr>
      <w:r>
        <w:rPr>
          <w:rFonts w:ascii="Times New Roman;sans-serif" w:hAnsi="Times New Roman;sans-serif"/>
          <w:b/>
          <w:color w:val="000000"/>
          <w:sz w:val="20"/>
        </w:rPr>
        <w:t>Risks Related to Our Common Stock</w:t>
      </w:r>
    </w:p>
    <w:p>
      <w:pPr>
        <w:pStyle w:val="TextBody"/>
        <w:spacing w:lineRule="auto" w:line="288" w:before="120" w:after="283"/>
        <w:ind w:left="0" w:right="0" w:firstLine="1080"/>
        <w:rPr>
          <w:rFonts w:ascii="Times New Roman;sans-serif" w:hAnsi="Times New Roman;sans-serif"/>
          <w:b/>
          <w:i/>
          <w:color w:val="000000"/>
          <w:sz w:val="20"/>
        </w:rPr>
      </w:pPr>
      <w:r>
        <w:rPr>
          <w:rFonts w:ascii="Times New Roman;sans-serif" w:hAnsi="Times New Roman;sans-serif"/>
          <w:b/>
          <w:i/>
          <w:color w:val="000000"/>
          <w:sz w:val="20"/>
        </w:rPr>
        <w:t>The price of our stock may be volatile, and you could lose all or part of your investment.</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The trading price of our common stock is likely to be highly volatile and could be subject to wide fluctuations in response to various factors, some of which are beyond our control, including limited trading volume. In addition to the factors discussed in this “Risk Factors” section and elsewhere in this Report, these factors include:</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the commencement, enrollment or results of our current Phase 2a clinical trials of bexotegrast and any other clinical trials for our product candidates conducted by us or our collaborators;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any delay in identifying and advancing a clinical candidate for our other development programs;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any delay in our regulatory filings for bexotegrast or our other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adverse results or delays in future clinical trials;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our decision to initiate a clinical trial, not to initiate a clinical trial or to terminate an existing clinical trial;</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adverse regulatory decisions, including failure to receive regulatory approval of bexotegrast or any other product candidate;</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changes in laws or regulations applicable to bexotegrast or any other product candidate, including but not limited to clinical trial requirements for approvals;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adverse developments concerning our manufacturers;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our inability to obtain adequate product supply for any approved product or inability to do so at acceptable prices;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our inability to establish collaborations, if needed;</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our failure to commercialize our product candidates, if approved;</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additions or departures of key scientific or management personnel;</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unanticipated serious safety concerns related to the use of bexotegrast or any other product candidate;</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introduction of new products or services offered by us or our competitors;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announcements of significant acquisitions, strategic partnerships, joint ventures or capital commitments by us or our competitors;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our ability to effectively manage our growth;</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actual or anticipated variations in quarterly operating results;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our cash position;</w:t>
      </w: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v:rect>
            </w:pict>
          </mc:Fallback>
        </mc:AlternateContent>
      </w:r>
    </w:p>
    <w:p>
      <w:pPr>
        <w:pStyle w:val="TextBody"/>
        <w:spacing w:before="0" w:after="0"/>
        <w:rPr/>
      </w:pPr>
      <w:r>
        <w:rPr/>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our failure to meet the estimates and projections of the investment community or that we may otherwise provide to the public;</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publication of research reports about us or our industry, or product candidates in particular, or positive or negative recommendations or withdrawal of research coverage by securities analysts;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changes in the market valuations of similar companies;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changes in the structure of the healthcare payment systems;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overall performance of the equity markets;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sales of our common stock by us or our stockholders in the future;</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trading volume of our common stock;</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changes in accounting practices;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ineffectiveness of our internal controls;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disputes or other developments relating to proprietary rights, including patents, litigation matters and our ability to obtain patent protection for our technologies;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significant lawsuits, including patent or stockholder litigation;</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general political and economic conditions; and</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other events or factors, many of which are beyond our control.</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In addition, the stock market in general, and the market for biopharmaceutical companies in particular, have experienced extreme price and volume fluctuations that have often been unrelated or disproportionate to the operating performance of these companies, including as a result of the COVID-19 pandemic, the Russian invasion of Ukraine and rising inflationary pressures. 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w:t>
      </w:r>
    </w:p>
    <w:p>
      <w:pPr>
        <w:pStyle w:val="TextBody"/>
        <w:spacing w:lineRule="auto" w:line="288" w:before="120" w:after="283"/>
        <w:ind w:left="0" w:right="0" w:firstLine="1080"/>
        <w:rPr>
          <w:rFonts w:ascii="Times New Roman;sans-serif" w:hAnsi="Times New Roman;sans-serif"/>
          <w:b/>
          <w:i/>
          <w:color w:val="000000"/>
          <w:sz w:val="20"/>
        </w:rPr>
      </w:pPr>
      <w:r>
        <w:rPr>
          <w:rFonts w:ascii="Times New Roman;sans-serif" w:hAnsi="Times New Roman;sans-serif"/>
          <w:b/>
          <w:i/>
          <w:color w:val="000000"/>
          <w:sz w:val="20"/>
        </w:rPr>
        <w:t>We do not intend to pay dividends on our common stock so any returns will be limited to the value of our stock.</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any cash dividends on our capital stock. We currently intend to retain all available funds and any future earnings to fund the development, operation and growth of our business and do not anticipate declaring or paying any cash dividends for the foreseeable future. Furthermore, future debt or other financing arrangements may contain terms prohibiting or limiting the amount of dividends that may be declared or paid on our common stock. Any return to stockholders will therefore be limited to the appreciation of their stock.</w:t>
      </w:r>
    </w:p>
    <w:p>
      <w:pPr>
        <w:pStyle w:val="TextBody"/>
        <w:spacing w:lineRule="auto" w:line="288" w:before="120" w:after="283"/>
        <w:ind w:left="0" w:right="0" w:firstLine="1080"/>
        <w:rPr>
          <w:rFonts w:ascii="Times New Roman;sans-serif" w:hAnsi="Times New Roman;sans-serif"/>
          <w:b/>
          <w:i/>
          <w:color w:val="000000"/>
          <w:sz w:val="20"/>
        </w:rPr>
      </w:pPr>
      <w:r>
        <w:rPr>
          <w:rFonts w:ascii="Times New Roman;sans-serif" w:hAnsi="Times New Roman;sans-serif"/>
          <w:b/>
          <w:i/>
          <w:color w:val="000000"/>
          <w:sz w:val="20"/>
        </w:rPr>
        <w:t>Our executive officers, directors and their affiliates and our principal stockholders own a significant percentage of our stock and will be able to exert significant control over matters subject to stockholder approval.</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Our executive officers, directors and our principal stockholders beneficially hold a significant portion of our voting stock. These stockholders, acting together, may be able to significantly influence matters requiring stockholder approval. For example, these stockholders would be able to significantly influence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pStyle w:val="TextBody"/>
        <w:spacing w:lineRule="auto" w:line="288" w:before="120" w:after="283"/>
        <w:ind w:left="0" w:right="0" w:firstLine="1080"/>
        <w:rPr>
          <w:rFonts w:ascii="Times New Roman;sans-serif" w:hAnsi="Times New Roman;sans-serif"/>
          <w:b/>
          <w:i/>
          <w:color w:val="000000"/>
          <w:sz w:val="20"/>
        </w:rPr>
      </w:pPr>
      <w:r>
        <w:rPr>
          <w:rFonts w:ascii="Times New Roman;sans-serif" w:hAnsi="Times New Roman;sans-serif"/>
          <w:b/>
          <w:i/>
          <w:color w:val="000000"/>
          <w:sz w:val="20"/>
        </w:rPr>
        <w:t>If there are substantial sales of shares of our common stock, the price of our common stock could decline.</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 xml:space="preserve">Shares of common stock that are either subject to outstanding options or reserved for future issuance under our existing equity compensation plans will become eligible for sale in the public market as they become vested. If these additional shares of common stock are sold, or if it is perceived that they will be sold, in the public market, the trading price of our common stock could decline. Additionally, the number of shares of our common stock reserved for issuance under our 2020 Stock Option and Incentive Plan will automatically increase on January 1 of each year by 5% of the total number of shares of our capital stock outstanding on December 31 of the preceding calendar year, or a lesser number of shares determined by our board of directors or compensation committee. Moreover, the number of shares of our common stock reserved for issuance under our 2020 Employee Stock Purchase Plan, or ESPP, will automatically increase on January 1 of each year by the lesser of </w:t>
      </w: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v:rect>
            </w:pict>
          </mc:Fallback>
        </mc:AlternateContent>
      </w:r>
    </w:p>
    <w:p>
      <w:pPr>
        <w:pStyle w:val="TextBody"/>
        <w:spacing w:before="0" w:after="0"/>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700,000 shares of common stock, 1% of the total number of shares of our capital stock outstanding on December 31 of the preceding calendar year, or a lesser number of shares determined by our board of directors or compensation committee. Unless our board of directors elects not to increase the number of shares available for future grant each year, our stockholders may experience additional dilution.</w:t>
      </w:r>
    </w:p>
    <w:p>
      <w:pPr>
        <w:pStyle w:val="TextBody"/>
        <w:spacing w:lineRule="auto" w:line="288" w:before="120" w:after="283"/>
        <w:ind w:left="0" w:right="0" w:firstLine="1080"/>
        <w:rPr>
          <w:rFonts w:ascii="Times New Roman;sans-serif" w:hAnsi="Times New Roman;sans-serif"/>
          <w:b/>
          <w:i/>
          <w:color w:val="000000"/>
          <w:sz w:val="20"/>
        </w:rPr>
      </w:pPr>
      <w:r>
        <w:rPr>
          <w:rFonts w:ascii="Times New Roman;sans-serif" w:hAnsi="Times New Roman;sans-serif"/>
          <w:b/>
          <w:i/>
          <w:color w:val="000000"/>
          <w:sz w:val="20"/>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and bylaws contain provisions that could delay or prevent a change of control of our company or changes in our board of directors that our stockholders might consider favorable. Some of these provisions include:</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a board of directors divided into three classes serving staggered three-year terms, such that not all members of the board will be elected at one time;</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a prohibition on stockholder action through written consent, which requires that all stockholder actions be taken at a meeting of our stockholders;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a requirement that special meetings of stockholders be called only by the board of directors acting pursuant to a resolution approved by the affirmative vote of a majority of the directors then in office;</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advance notice requirements for stockholder proposals and nominations for election to our board of directors;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a requirement of approval of not less than two-thirds of all outstanding shares of our voting stock to amend any bylaws by stockholder action or to amend specific provisions of our certificate of incorporation; and</w:t>
      </w:r>
    </w:p>
    <w:p>
      <w:pPr>
        <w:pStyle w:val="TextBody"/>
        <w:spacing w:lineRule="auto" w:line="288" w:before="120" w:after="283"/>
        <w:ind w:left="0" w:right="0" w:hanging="1260"/>
        <w:rPr/>
      </w:pPr>
      <w:r>
        <w:rPr>
          <w:color w:val="000000"/>
        </w:rPr>
        <w:t>•</w:t>
      </w:r>
      <w:r>
        <w:rPr>
          <w:rFonts w:ascii="Times New Roman;sans-serif" w:hAnsi="Times New Roman;sans-serif"/>
          <w:b w:val="false"/>
          <w:color w:val="000000"/>
          <w:sz w:val="20"/>
        </w:rPr>
        <w:t>the authority of the board of directors to issue preferred stock on terms determined by the board of directors without stockholder approval and which preferred stock may include rights superior to the rights of the holders of common stock.</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In addition, because we are incorporated in Delaware, we are governed by the provisions of Section 203 of the General Corporation Law of the State of Delaware, or the DGCL, which may prohibit certain business combinations with stockholders owning 15% or more of our outstanding voting stock. These anti-takeover provisions and other provisions in our certificate of incorporation and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stockholders to elect directors of their choosing or cause us to take other corporate actions our stockholders desire. Any delay or prevention of a change of control transaction or changes in our board of directors could cause the market price of our common stock to decline.</w:t>
      </w:r>
    </w:p>
    <w:p>
      <w:pPr>
        <w:pStyle w:val="TextBody"/>
        <w:spacing w:lineRule="auto" w:line="288" w:before="120" w:after="283"/>
        <w:ind w:left="0" w:right="0" w:firstLine="1080"/>
        <w:rPr/>
      </w:pPr>
      <w:r>
        <w:rPr>
          <w:rFonts w:ascii="Times New Roman;sans-serif" w:hAnsi="Times New Roman;sans-serif"/>
          <w:b/>
          <w:i/>
          <w:color w:val="231F20"/>
          <w:sz w:val="20"/>
        </w:rPr>
        <w:t>Our bylaws designate</w:t>
      </w:r>
      <w:r>
        <w:rPr>
          <w:color w:val="231F20"/>
        </w:rPr>
        <w:t xml:space="preserve"> </w:t>
      </w:r>
      <w:r>
        <w:rPr>
          <w:rFonts w:ascii="Times New Roman;sans-serif" w:hAnsi="Times New Roman;sans-serif"/>
          <w:b/>
          <w:i/>
          <w:color w:val="231F20"/>
          <w:sz w:val="20"/>
        </w:rPr>
        <w:t>certain</w:t>
      </w:r>
      <w:r>
        <w:rPr>
          <w:color w:val="231F20"/>
        </w:rPr>
        <w:t xml:space="preserve"> </w:t>
      </w:r>
      <w:r>
        <w:rPr>
          <w:rFonts w:ascii="Times New Roman;sans-serif" w:hAnsi="Times New Roman;sans-serif"/>
          <w:b/>
          <w:i/>
          <w:color w:val="231F20"/>
          <w:sz w:val="20"/>
        </w:rPr>
        <w:t>courts</w:t>
      </w:r>
      <w:r>
        <w:rPr>
          <w:color w:val="231F20"/>
        </w:rPr>
        <w:t xml:space="preserve"> </w:t>
      </w:r>
      <w:r>
        <w:rPr>
          <w:rFonts w:ascii="Times New Roman;sans-serif" w:hAnsi="Times New Roman;sans-serif"/>
          <w:b/>
          <w:i/>
          <w:color w:val="231F20"/>
          <w:sz w:val="20"/>
        </w:rPr>
        <w:t>as the exclusive</w:t>
      </w:r>
      <w:r>
        <w:rPr>
          <w:color w:val="231F20"/>
        </w:rPr>
        <w:t xml:space="preserve"> </w:t>
      </w:r>
      <w:r>
        <w:rPr>
          <w:rFonts w:ascii="Times New Roman;sans-serif" w:hAnsi="Times New Roman;sans-serif"/>
          <w:b/>
          <w:i/>
          <w:color w:val="231F20"/>
          <w:sz w:val="20"/>
        </w:rPr>
        <w:t>forum</w:t>
      </w:r>
      <w:r>
        <w:rPr>
          <w:color w:val="231F20"/>
        </w:rPr>
        <w:t xml:space="preserve"> </w:t>
      </w:r>
      <w:r>
        <w:rPr>
          <w:rFonts w:ascii="Times New Roman;sans-serif" w:hAnsi="Times New Roman;sans-serif"/>
          <w:b/>
          <w:i/>
          <w:color w:val="231F20"/>
          <w:sz w:val="20"/>
        </w:rPr>
        <w:t>for</w:t>
      </w:r>
      <w:r>
        <w:rPr>
          <w:color w:val="231F20"/>
        </w:rPr>
        <w:t xml:space="preserve"> </w:t>
      </w:r>
      <w:r>
        <w:rPr>
          <w:rFonts w:ascii="Times New Roman;sans-serif" w:hAnsi="Times New Roman;sans-serif"/>
          <w:b/>
          <w:i/>
          <w:color w:val="231F20"/>
          <w:sz w:val="20"/>
        </w:rPr>
        <w:t>certain</w:t>
      </w:r>
      <w:r>
        <w:rPr>
          <w:color w:val="231F20"/>
        </w:rPr>
        <w:t xml:space="preserve"> </w:t>
      </w:r>
      <w:r>
        <w:rPr>
          <w:rFonts w:ascii="Times New Roman;sans-serif" w:hAnsi="Times New Roman;sans-serif"/>
          <w:b/>
          <w:i/>
          <w:color w:val="231F20"/>
          <w:sz w:val="20"/>
        </w:rPr>
        <w:t>litigation</w:t>
      </w:r>
      <w:r>
        <w:rPr>
          <w:color w:val="231F20"/>
        </w:rPr>
        <w:t xml:space="preserve"> </w:t>
      </w:r>
      <w:r>
        <w:rPr>
          <w:rFonts w:ascii="Times New Roman;sans-serif" w:hAnsi="Times New Roman;sans-serif"/>
          <w:b/>
          <w:i/>
          <w:color w:val="231F20"/>
          <w:sz w:val="20"/>
        </w:rPr>
        <w:t>that</w:t>
      </w:r>
      <w:r>
        <w:rPr>
          <w:color w:val="231F20"/>
        </w:rPr>
        <w:t xml:space="preserve"> </w:t>
      </w:r>
      <w:r>
        <w:rPr>
          <w:rFonts w:ascii="Times New Roman;sans-serif" w:hAnsi="Times New Roman;sans-serif"/>
          <w:b/>
          <w:i/>
          <w:color w:val="231F20"/>
          <w:sz w:val="20"/>
        </w:rPr>
        <w:t>may</w:t>
      </w:r>
      <w:r>
        <w:rPr>
          <w:color w:val="231F20"/>
        </w:rPr>
        <w:t xml:space="preserve"> </w:t>
      </w:r>
      <w:r>
        <w:rPr>
          <w:rFonts w:ascii="Times New Roman;sans-serif" w:hAnsi="Times New Roman;sans-serif"/>
          <w:b/>
          <w:i/>
          <w:color w:val="231F20"/>
          <w:sz w:val="20"/>
        </w:rPr>
        <w:t>be initiated</w:t>
      </w:r>
      <w:r>
        <w:rPr>
          <w:color w:val="231F20"/>
        </w:rPr>
        <w:t xml:space="preserve"> </w:t>
      </w:r>
      <w:r>
        <w:rPr>
          <w:rFonts w:ascii="Times New Roman;sans-serif" w:hAnsi="Times New Roman;sans-serif"/>
          <w:b/>
          <w:i/>
          <w:color w:val="231F20"/>
          <w:sz w:val="20"/>
        </w:rPr>
        <w:t>by our stockholders,</w:t>
      </w:r>
      <w:r>
        <w:rPr>
          <w:color w:val="231F20"/>
        </w:rPr>
        <w:t xml:space="preserve"> </w:t>
      </w:r>
      <w:r>
        <w:rPr>
          <w:rFonts w:ascii="Times New Roman;sans-serif" w:hAnsi="Times New Roman;sans-serif"/>
          <w:b/>
          <w:i/>
          <w:color w:val="231F20"/>
          <w:sz w:val="20"/>
        </w:rPr>
        <w:t>which could limit</w:t>
      </w:r>
      <w:r>
        <w:rPr>
          <w:color w:val="231F20"/>
        </w:rPr>
        <w:t xml:space="preserve"> </w:t>
      </w:r>
      <w:r>
        <w:rPr>
          <w:rFonts w:ascii="Times New Roman;sans-serif" w:hAnsi="Times New Roman;sans-serif"/>
          <w:b/>
          <w:i/>
          <w:color w:val="231F20"/>
          <w:sz w:val="20"/>
        </w:rPr>
        <w:t>our stockholders’</w:t>
      </w:r>
      <w:r>
        <w:rPr>
          <w:color w:val="231F20"/>
        </w:rPr>
        <w:t xml:space="preserve"> </w:t>
      </w:r>
      <w:r>
        <w:rPr>
          <w:rFonts w:ascii="Times New Roman;sans-serif" w:hAnsi="Times New Roman;sans-serif"/>
          <w:b/>
          <w:i/>
          <w:color w:val="231F20"/>
          <w:sz w:val="20"/>
        </w:rPr>
        <w:t>ability</w:t>
      </w:r>
      <w:r>
        <w:rPr>
          <w:color w:val="231F20"/>
        </w:rPr>
        <w:t xml:space="preserve"> </w:t>
      </w:r>
      <w:r>
        <w:rPr>
          <w:rFonts w:ascii="Times New Roman;sans-serif" w:hAnsi="Times New Roman;sans-serif"/>
          <w:b/>
          <w:i/>
          <w:color w:val="231F20"/>
          <w:sz w:val="20"/>
        </w:rPr>
        <w:t>to litigate</w:t>
      </w:r>
      <w:r>
        <w:rPr>
          <w:color w:val="231F20"/>
        </w:rPr>
        <w:t xml:space="preserve"> </w:t>
      </w:r>
      <w:r>
        <w:rPr>
          <w:rFonts w:ascii="Times New Roman;sans-serif" w:hAnsi="Times New Roman;sans-serif"/>
          <w:b/>
          <w:i/>
          <w:color w:val="231F20"/>
          <w:sz w:val="20"/>
        </w:rPr>
        <w:t>disputes</w:t>
      </w:r>
      <w:r>
        <w:rPr>
          <w:color w:val="231F20"/>
        </w:rPr>
        <w:t xml:space="preserve"> </w:t>
      </w:r>
      <w:r>
        <w:rPr>
          <w:rFonts w:ascii="Times New Roman;sans-serif" w:hAnsi="Times New Roman;sans-serif"/>
          <w:b/>
          <w:i/>
          <w:color w:val="231F20"/>
          <w:sz w:val="20"/>
        </w:rPr>
        <w:t>with us in a different</w:t>
      </w:r>
      <w:r>
        <w:rPr>
          <w:color w:val="231F20"/>
        </w:rPr>
        <w:t xml:space="preserve"> </w:t>
      </w:r>
      <w:r>
        <w:rPr>
          <w:rFonts w:ascii="Times New Roman;sans-serif" w:hAnsi="Times New Roman;sans-serif"/>
          <w:b/>
          <w:i/>
          <w:color w:val="231F20"/>
          <w:sz w:val="20"/>
        </w:rPr>
        <w:t>judicial forum.</w:t>
      </w:r>
    </w:p>
    <w:p>
      <w:pPr>
        <w:pStyle w:val="TextBody"/>
        <w:spacing w:lineRule="auto" w:line="288" w:before="120" w:after="283"/>
        <w:ind w:left="0" w:right="0" w:firstLine="1080"/>
        <w:rPr/>
      </w:pPr>
      <w:r>
        <w:rPr>
          <w:rFonts w:ascii="Times New Roman;sans-serif" w:hAnsi="Times New Roman;sans-serif"/>
          <w:b w:val="false"/>
          <w:color w:val="231F20"/>
          <w:sz w:val="20"/>
        </w:rPr>
        <w:t>P</w:t>
      </w:r>
      <w:r>
        <w:rPr>
          <w:rFonts w:ascii="Times New Roman;sans-serif" w:hAnsi="Times New Roman;sans-serif"/>
          <w:b w:val="false"/>
          <w:color w:val="000000"/>
          <w:sz w:val="20"/>
        </w:rPr>
        <w:t xml:space="preserve">ursuant to our bylaws, unless we consent in writing to the selection of an alternative forum, the Court of Chancery of the State of Delaware will be the sole and exclusive forum for any state law claims for: (i) any derivative action or proceeding brought on our behalf; (ii) any action asserting a claim of breach of a fiduciary duty or other wrongdoing by any of our directors, officers, employees or agents to us or our stockholders; (iii) any action asserting a claim against us arising pursuant to any provision of the DGCL, our certificate of incorporation or our bylaws; (iv) any action to interpret, apply, enforce or determine the validity of our certificate of incorporation or bylaws; or (v) any action asserting a claim governed by the internal affairs doctrine, in each case subject to the Court of Chancery having personal jurisdiction over the indispensable parties named as defendants therein, or the Delaware forum provision. This exclusive forum provision will not apply to any </w:t>
      </w: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v:rect>
            </w:pict>
          </mc:Fallback>
        </mc:AlternateContent>
      </w:r>
    </w:p>
    <w:p>
      <w:pPr>
        <w:pStyle w:val="TextBody"/>
        <w:spacing w:before="0" w:after="0"/>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causes of action arising under the Securities Act or the Exchange Act or any other claim for which the federal courts have exclusive jurisdiction. Unless we consent in writing to the selection of an alternate forum, the federal district courts shall be the sole and exclusive forum for resolving any complaint asserting a cause of action arising under the Securities Act, or the federal forum provision. In addition, our bylaws provide that any person or entity purchasing or otherwise acquiring any interest in shares of our common stock is deemed to have notice of and consented to the Delaware forum provision and the federal forum provision; provided, however, that stockholders cannot and will not be deemed to have waived our compliance with the federal securities laws and the rules and regulations thereunder.</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The Delaware forum provision and the federal forum provision may impose additional litigation costs on stockholders who assert the provision is not enforceable and may impose more general additional litigation costs in pursuing any such claims, particularly if the stockholders do not reside in or near the State of Delaware or the State of California. In addition, these forum selection clauses in our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were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the provision is not enforceable or invalid. The Court of Chancery of the State of Delaware and the federal district courts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pStyle w:val="TextBody"/>
        <w:spacing w:lineRule="auto" w:line="288" w:before="120" w:after="283"/>
        <w:ind w:left="0" w:right="0" w:firstLine="1080"/>
        <w:rPr/>
      </w:pPr>
      <w:r>
        <w:rPr>
          <w:rFonts w:ascii="Times New Roman;sans-serif" w:hAnsi="Times New Roman;sans-serif"/>
          <w:b/>
          <w:color w:val="231F20"/>
          <w:sz w:val="20"/>
        </w:rPr>
        <w:t>General</w:t>
      </w:r>
      <w:r>
        <w:rPr>
          <w:color w:val="231F20"/>
        </w:rPr>
        <w:t xml:space="preserve"> </w:t>
      </w:r>
      <w:r>
        <w:rPr>
          <w:rFonts w:ascii="Times New Roman;sans-serif" w:hAnsi="Times New Roman;sans-serif"/>
          <w:b/>
          <w:color w:val="231F20"/>
          <w:sz w:val="20"/>
        </w:rPr>
        <w:t>Risk Factors</w:t>
      </w:r>
    </w:p>
    <w:p>
      <w:pPr>
        <w:pStyle w:val="TextBody"/>
        <w:spacing w:lineRule="auto" w:line="288" w:before="120" w:after="283"/>
        <w:ind w:left="0" w:right="0" w:firstLine="1080"/>
        <w:rPr/>
      </w:pPr>
      <w:r>
        <w:rPr>
          <w:rFonts w:ascii="Times New Roman;sans-serif" w:hAnsi="Times New Roman;sans-serif"/>
          <w:b/>
          <w:i/>
          <w:color w:val="231F20"/>
          <w:sz w:val="20"/>
        </w:rPr>
        <w:t>If</w:t>
      </w:r>
      <w:r>
        <w:rPr>
          <w:color w:val="231F20"/>
        </w:rPr>
        <w:t xml:space="preserve"> </w:t>
      </w:r>
      <w:r>
        <w:rPr>
          <w:rFonts w:ascii="Times New Roman;sans-serif" w:hAnsi="Times New Roman;sans-serif"/>
          <w:b/>
          <w:i/>
          <w:color w:val="231F20"/>
          <w:sz w:val="20"/>
        </w:rPr>
        <w:t>we fail</w:t>
      </w:r>
      <w:r>
        <w:rPr>
          <w:color w:val="231F20"/>
        </w:rPr>
        <w:t xml:space="preserve"> </w:t>
      </w:r>
      <w:r>
        <w:rPr>
          <w:rFonts w:ascii="Times New Roman;sans-serif" w:hAnsi="Times New Roman;sans-serif"/>
          <w:b/>
          <w:i/>
          <w:color w:val="231F20"/>
          <w:sz w:val="20"/>
        </w:rPr>
        <w:t>to maintain</w:t>
      </w:r>
      <w:r>
        <w:rPr>
          <w:color w:val="231F20"/>
        </w:rPr>
        <w:t xml:space="preserve"> </w:t>
      </w:r>
      <w:r>
        <w:rPr>
          <w:rFonts w:ascii="Times New Roman;sans-serif" w:hAnsi="Times New Roman;sans-serif"/>
          <w:b/>
          <w:i/>
          <w:color w:val="231F20"/>
          <w:sz w:val="20"/>
        </w:rPr>
        <w:t>an effective</w:t>
      </w:r>
      <w:r>
        <w:rPr>
          <w:color w:val="231F20"/>
        </w:rPr>
        <w:t xml:space="preserve"> </w:t>
      </w:r>
      <w:r>
        <w:rPr>
          <w:rFonts w:ascii="Times New Roman;sans-serif" w:hAnsi="Times New Roman;sans-serif"/>
          <w:b/>
          <w:i/>
          <w:color w:val="231F20"/>
          <w:sz w:val="20"/>
        </w:rPr>
        <w:t>system</w:t>
      </w:r>
      <w:r>
        <w:rPr>
          <w:color w:val="231F20"/>
        </w:rPr>
        <w:t xml:space="preserve"> </w:t>
      </w:r>
      <w:r>
        <w:rPr>
          <w:rFonts w:ascii="Times New Roman;sans-serif" w:hAnsi="Times New Roman;sans-serif"/>
          <w:b/>
          <w:i/>
          <w:color w:val="231F20"/>
          <w:sz w:val="20"/>
        </w:rPr>
        <w:t>of internal</w:t>
      </w:r>
      <w:r>
        <w:rPr>
          <w:color w:val="231F20"/>
        </w:rPr>
        <w:t xml:space="preserve"> </w:t>
      </w:r>
      <w:r>
        <w:rPr>
          <w:rFonts w:ascii="Times New Roman;sans-serif" w:hAnsi="Times New Roman;sans-serif"/>
          <w:b/>
          <w:i/>
          <w:color w:val="231F20"/>
          <w:sz w:val="20"/>
        </w:rPr>
        <w:t>control</w:t>
      </w:r>
      <w:r>
        <w:rPr>
          <w:color w:val="231F20"/>
        </w:rPr>
        <w:t xml:space="preserve"> </w:t>
      </w:r>
      <w:r>
        <w:rPr>
          <w:rFonts w:ascii="Times New Roman;sans-serif" w:hAnsi="Times New Roman;sans-serif"/>
          <w:b/>
          <w:i/>
          <w:color w:val="231F20"/>
          <w:sz w:val="20"/>
        </w:rPr>
        <w:t>over</w:t>
      </w:r>
      <w:r>
        <w:rPr>
          <w:color w:val="231F20"/>
        </w:rPr>
        <w:t xml:space="preserve"> </w:t>
      </w:r>
      <w:r>
        <w:rPr>
          <w:rFonts w:ascii="Times New Roman;sans-serif" w:hAnsi="Times New Roman;sans-serif"/>
          <w:b/>
          <w:i/>
          <w:color w:val="231F20"/>
          <w:sz w:val="20"/>
        </w:rPr>
        <w:t>financial</w:t>
      </w:r>
      <w:r>
        <w:rPr>
          <w:color w:val="231F20"/>
        </w:rPr>
        <w:t xml:space="preserve"> </w:t>
      </w:r>
      <w:r>
        <w:rPr>
          <w:rFonts w:ascii="Times New Roman;sans-serif" w:hAnsi="Times New Roman;sans-serif"/>
          <w:b/>
          <w:i/>
          <w:color w:val="231F20"/>
          <w:sz w:val="20"/>
        </w:rPr>
        <w:t>reporting,</w:t>
      </w:r>
      <w:r>
        <w:rPr>
          <w:color w:val="231F20"/>
        </w:rPr>
        <w:t xml:space="preserve"> </w:t>
      </w:r>
      <w:r>
        <w:rPr>
          <w:rFonts w:ascii="Times New Roman;sans-serif" w:hAnsi="Times New Roman;sans-serif"/>
          <w:b/>
          <w:i/>
          <w:color w:val="231F20"/>
          <w:sz w:val="20"/>
        </w:rPr>
        <w:t>we may</w:t>
      </w:r>
      <w:r>
        <w:rPr>
          <w:color w:val="231F20"/>
        </w:rPr>
        <w:t xml:space="preserve"> </w:t>
      </w:r>
      <w:r>
        <w:rPr>
          <w:rFonts w:ascii="Times New Roman;sans-serif" w:hAnsi="Times New Roman;sans-serif"/>
          <w:b/>
          <w:i/>
          <w:color w:val="231F20"/>
          <w:sz w:val="20"/>
        </w:rPr>
        <w:t>not be able</w:t>
      </w:r>
      <w:r>
        <w:rPr>
          <w:color w:val="231F20"/>
        </w:rPr>
        <w:t xml:space="preserve"> </w:t>
      </w:r>
      <w:r>
        <w:rPr>
          <w:rFonts w:ascii="Times New Roman;sans-serif" w:hAnsi="Times New Roman;sans-serif"/>
          <w:b/>
          <w:i/>
          <w:color w:val="231F20"/>
          <w:sz w:val="20"/>
        </w:rPr>
        <w:t>to accurately</w:t>
      </w:r>
      <w:r>
        <w:rPr>
          <w:color w:val="231F20"/>
        </w:rPr>
        <w:t xml:space="preserve"> </w:t>
      </w:r>
      <w:r>
        <w:rPr>
          <w:rFonts w:ascii="Times New Roman;sans-serif" w:hAnsi="Times New Roman;sans-serif"/>
          <w:b/>
          <w:i/>
          <w:color w:val="231F20"/>
          <w:sz w:val="20"/>
        </w:rPr>
        <w:t>report</w:t>
      </w:r>
      <w:r>
        <w:rPr>
          <w:color w:val="231F20"/>
        </w:rPr>
        <w:t xml:space="preserve"> </w:t>
      </w:r>
      <w:r>
        <w:rPr>
          <w:rFonts w:ascii="Times New Roman;sans-serif" w:hAnsi="Times New Roman;sans-serif"/>
          <w:b/>
          <w:i/>
          <w:color w:val="231F20"/>
          <w:sz w:val="20"/>
        </w:rPr>
        <w:t>our financial</w:t>
      </w:r>
      <w:r>
        <w:rPr>
          <w:color w:val="231F20"/>
        </w:rPr>
        <w:t xml:space="preserve"> </w:t>
      </w:r>
      <w:r>
        <w:rPr>
          <w:rFonts w:ascii="Times New Roman;sans-serif" w:hAnsi="Times New Roman;sans-serif"/>
          <w:b/>
          <w:i/>
          <w:color w:val="231F20"/>
          <w:sz w:val="20"/>
        </w:rPr>
        <w:t>results</w:t>
      </w:r>
      <w:r>
        <w:rPr>
          <w:color w:val="231F20"/>
        </w:rPr>
        <w:t xml:space="preserve"> </w:t>
      </w:r>
      <w:r>
        <w:rPr>
          <w:rFonts w:ascii="Times New Roman;sans-serif" w:hAnsi="Times New Roman;sans-serif"/>
          <w:b/>
          <w:i/>
          <w:color w:val="231F20"/>
          <w:sz w:val="20"/>
        </w:rPr>
        <w:t>or prevent</w:t>
      </w:r>
      <w:r>
        <w:rPr>
          <w:color w:val="231F20"/>
        </w:rPr>
        <w:t xml:space="preserve"> </w:t>
      </w:r>
      <w:r>
        <w:rPr>
          <w:rFonts w:ascii="Times New Roman;sans-serif" w:hAnsi="Times New Roman;sans-serif"/>
          <w:b/>
          <w:i/>
          <w:color w:val="231F20"/>
          <w:sz w:val="20"/>
        </w:rPr>
        <w:t>fraud. As a result,</w:t>
      </w:r>
      <w:r>
        <w:rPr>
          <w:color w:val="231F20"/>
        </w:rPr>
        <w:t xml:space="preserve"> </w:t>
      </w:r>
      <w:r>
        <w:rPr>
          <w:rFonts w:ascii="Times New Roman;sans-serif" w:hAnsi="Times New Roman;sans-serif"/>
          <w:b/>
          <w:i/>
          <w:color w:val="231F20"/>
          <w:sz w:val="20"/>
        </w:rPr>
        <w:t>stockholders</w:t>
      </w:r>
      <w:r>
        <w:rPr>
          <w:color w:val="231F20"/>
        </w:rPr>
        <w:t xml:space="preserve"> </w:t>
      </w:r>
      <w:r>
        <w:rPr>
          <w:rFonts w:ascii="Times New Roman;sans-serif" w:hAnsi="Times New Roman;sans-serif"/>
          <w:b/>
          <w:i/>
          <w:color w:val="231F20"/>
          <w:sz w:val="20"/>
        </w:rPr>
        <w:t>could lose</w:t>
      </w:r>
      <w:r>
        <w:rPr>
          <w:color w:val="231F20"/>
        </w:rPr>
        <w:t xml:space="preserve"> </w:t>
      </w:r>
      <w:r>
        <w:rPr>
          <w:rFonts w:ascii="Times New Roman;sans-serif" w:hAnsi="Times New Roman;sans-serif"/>
          <w:b/>
          <w:i/>
          <w:color w:val="231F20"/>
          <w:sz w:val="20"/>
        </w:rPr>
        <w:t>confidence</w:t>
      </w:r>
      <w:r>
        <w:rPr>
          <w:color w:val="231F20"/>
        </w:rPr>
        <w:t xml:space="preserve"> </w:t>
      </w:r>
      <w:r>
        <w:rPr>
          <w:rFonts w:ascii="Times New Roman;sans-serif" w:hAnsi="Times New Roman;sans-serif"/>
          <w:b/>
          <w:i/>
          <w:color w:val="231F20"/>
          <w:sz w:val="20"/>
        </w:rPr>
        <w:t>in our financial</w:t>
      </w:r>
      <w:r>
        <w:rPr>
          <w:color w:val="231F20"/>
        </w:rPr>
        <w:t xml:space="preserve"> </w:t>
      </w:r>
      <w:r>
        <w:rPr>
          <w:rFonts w:ascii="Times New Roman;sans-serif" w:hAnsi="Times New Roman;sans-serif"/>
          <w:b/>
          <w:i/>
          <w:color w:val="231F20"/>
          <w:sz w:val="20"/>
        </w:rPr>
        <w:t>and other</w:t>
      </w:r>
      <w:r>
        <w:rPr>
          <w:color w:val="231F20"/>
        </w:rPr>
        <w:t xml:space="preserve"> </w:t>
      </w:r>
      <w:r>
        <w:rPr>
          <w:rFonts w:ascii="Times New Roman;sans-serif" w:hAnsi="Times New Roman;sans-serif"/>
          <w:b/>
          <w:i/>
          <w:color w:val="231F20"/>
          <w:sz w:val="20"/>
        </w:rPr>
        <w:t>public</w:t>
      </w:r>
      <w:r>
        <w:rPr>
          <w:color w:val="231F20"/>
        </w:rPr>
        <w:t xml:space="preserve"> </w:t>
      </w:r>
      <w:r>
        <w:rPr>
          <w:rFonts w:ascii="Times New Roman;sans-serif" w:hAnsi="Times New Roman;sans-serif"/>
          <w:b/>
          <w:i/>
          <w:color w:val="231F20"/>
          <w:sz w:val="20"/>
        </w:rPr>
        <w:t>reporting,</w:t>
      </w:r>
      <w:r>
        <w:rPr>
          <w:color w:val="231F20"/>
        </w:rPr>
        <w:t xml:space="preserve"> </w:t>
      </w:r>
      <w:r>
        <w:rPr>
          <w:rFonts w:ascii="Times New Roman;sans-serif" w:hAnsi="Times New Roman;sans-serif"/>
          <w:b/>
          <w:i/>
          <w:color w:val="231F20"/>
          <w:sz w:val="20"/>
        </w:rPr>
        <w:t>which would harm our business</w:t>
      </w:r>
      <w:r>
        <w:rPr>
          <w:color w:val="231F20"/>
        </w:rPr>
        <w:t xml:space="preserve"> </w:t>
      </w:r>
      <w:r>
        <w:rPr>
          <w:rFonts w:ascii="Times New Roman;sans-serif" w:hAnsi="Times New Roman;sans-serif"/>
          <w:b/>
          <w:i/>
          <w:color w:val="231F20"/>
          <w:sz w:val="20"/>
        </w:rPr>
        <w:t>and the trading</w:t>
      </w:r>
      <w:r>
        <w:rPr>
          <w:color w:val="231F20"/>
        </w:rPr>
        <w:t xml:space="preserve"> </w:t>
      </w:r>
      <w:r>
        <w:rPr>
          <w:rFonts w:ascii="Times New Roman;sans-serif" w:hAnsi="Times New Roman;sans-serif"/>
          <w:b/>
          <w:i/>
          <w:color w:val="231F20"/>
          <w:sz w:val="20"/>
        </w:rPr>
        <w:t>price</w:t>
      </w:r>
      <w:r>
        <w:rPr>
          <w:color w:val="231F20"/>
        </w:rPr>
        <w:t xml:space="preserve"> </w:t>
      </w:r>
      <w:r>
        <w:rPr>
          <w:rFonts w:ascii="Times New Roman;sans-serif" w:hAnsi="Times New Roman;sans-serif"/>
          <w:b/>
          <w:i/>
          <w:color w:val="231F20"/>
          <w:sz w:val="20"/>
        </w:rPr>
        <w:t>of our common</w:t>
      </w:r>
      <w:r>
        <w:rPr>
          <w:color w:val="231F20"/>
        </w:rPr>
        <w:t xml:space="preserve"> </w:t>
      </w:r>
      <w:r>
        <w:rPr>
          <w:rFonts w:ascii="Times New Roman;sans-serif" w:hAnsi="Times New Roman;sans-serif"/>
          <w:b/>
          <w:i/>
          <w:color w:val="231F20"/>
          <w:sz w:val="20"/>
        </w:rPr>
        <w:t>stock.</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w:t>
      </w:r>
    </w:p>
    <w:p>
      <w:pPr>
        <w:pStyle w:val="TextBody"/>
        <w:spacing w:lineRule="auto" w:line="288" w:before="0" w:after="0"/>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 xml:space="preserve">We are required to disclose changes made in our internal controls and procedures on a quarterly basis and our management is required to assess the effectiveness of these controls annually. However, for as long as we are “non-accelerated filer,” as defined by the SEC, our independent registered public accounting firm is not required to attest to the effectiveness of our internal controls over financial reporting pursuant to Section 404. An independent assessment of the effectiveness of our internal controls over financial reporting could detect problems that our management’s assessment might not. </w:t>
      </w:r>
    </w:p>
    <w:p>
      <w:pPr>
        <w:pStyle w:val="TextBody"/>
        <w:spacing w:lineRule="auto" w:line="288" w:before="120" w:after="283"/>
        <w:ind w:left="0" w:right="0" w:firstLine="1080"/>
        <w:rPr/>
      </w:pPr>
      <w:r>
        <w:rPr>
          <w:rFonts w:ascii="Times New Roman;sans-serif" w:hAnsi="Times New Roman;sans-serif"/>
          <w:b/>
          <w:i/>
          <w:color w:val="231F20"/>
          <w:sz w:val="20"/>
        </w:rPr>
        <w:t>Our disclosure</w:t>
      </w:r>
      <w:r>
        <w:rPr>
          <w:color w:val="231F20"/>
        </w:rPr>
        <w:t xml:space="preserve"> </w:t>
      </w:r>
      <w:r>
        <w:rPr>
          <w:rFonts w:ascii="Times New Roman;sans-serif" w:hAnsi="Times New Roman;sans-serif"/>
          <w:b/>
          <w:i/>
          <w:color w:val="231F20"/>
          <w:sz w:val="20"/>
        </w:rPr>
        <w:t>controls</w:t>
      </w:r>
      <w:r>
        <w:rPr>
          <w:color w:val="231F20"/>
        </w:rPr>
        <w:t xml:space="preserve"> </w:t>
      </w:r>
      <w:r>
        <w:rPr>
          <w:rFonts w:ascii="Times New Roman;sans-serif" w:hAnsi="Times New Roman;sans-serif"/>
          <w:b/>
          <w:i/>
          <w:color w:val="231F20"/>
          <w:sz w:val="20"/>
        </w:rPr>
        <w:t>and procedures</w:t>
      </w:r>
      <w:r>
        <w:rPr>
          <w:color w:val="231F20"/>
        </w:rPr>
        <w:t xml:space="preserve"> </w:t>
      </w:r>
      <w:r>
        <w:rPr>
          <w:rFonts w:ascii="Times New Roman;sans-serif" w:hAnsi="Times New Roman;sans-serif"/>
          <w:b/>
          <w:i/>
          <w:color w:val="231F20"/>
          <w:sz w:val="20"/>
        </w:rPr>
        <w:t>may</w:t>
      </w:r>
      <w:r>
        <w:rPr>
          <w:color w:val="231F20"/>
        </w:rPr>
        <w:t xml:space="preserve"> </w:t>
      </w:r>
      <w:r>
        <w:rPr>
          <w:rFonts w:ascii="Times New Roman;sans-serif" w:hAnsi="Times New Roman;sans-serif"/>
          <w:b/>
          <w:i/>
          <w:color w:val="231F20"/>
          <w:sz w:val="20"/>
        </w:rPr>
        <w:t>not prevent</w:t>
      </w:r>
      <w:r>
        <w:rPr>
          <w:color w:val="231F20"/>
        </w:rPr>
        <w:t xml:space="preserve"> </w:t>
      </w:r>
      <w:r>
        <w:rPr>
          <w:rFonts w:ascii="Times New Roman;sans-serif" w:hAnsi="Times New Roman;sans-serif"/>
          <w:b/>
          <w:i/>
          <w:color w:val="231F20"/>
          <w:sz w:val="20"/>
        </w:rPr>
        <w:t>or detect</w:t>
      </w:r>
      <w:r>
        <w:rPr>
          <w:color w:val="231F20"/>
        </w:rPr>
        <w:t xml:space="preserve"> </w:t>
      </w:r>
      <w:r>
        <w:rPr>
          <w:rFonts w:ascii="Times New Roman;sans-serif" w:hAnsi="Times New Roman;sans-serif"/>
          <w:b/>
          <w:i/>
          <w:color w:val="231F20"/>
          <w:sz w:val="20"/>
        </w:rPr>
        <w:t>all</w:t>
      </w:r>
      <w:r>
        <w:rPr>
          <w:color w:val="231F20"/>
        </w:rPr>
        <w:t xml:space="preserve"> </w:t>
      </w:r>
      <w:r>
        <w:rPr>
          <w:rFonts w:ascii="Times New Roman;sans-serif" w:hAnsi="Times New Roman;sans-serif"/>
          <w:b/>
          <w:i/>
          <w:color w:val="231F20"/>
          <w:sz w:val="20"/>
        </w:rPr>
        <w:t>errors</w:t>
      </w:r>
      <w:r>
        <w:rPr>
          <w:color w:val="231F20"/>
        </w:rPr>
        <w:t xml:space="preserve"> </w:t>
      </w:r>
      <w:r>
        <w:rPr>
          <w:rFonts w:ascii="Times New Roman;sans-serif" w:hAnsi="Times New Roman;sans-serif"/>
          <w:b/>
          <w:i/>
          <w:color w:val="231F20"/>
          <w:sz w:val="20"/>
        </w:rPr>
        <w:t>or acts</w:t>
      </w:r>
      <w:r>
        <w:rPr>
          <w:color w:val="231F20"/>
        </w:rPr>
        <w:t xml:space="preserve"> </w:t>
      </w:r>
      <w:r>
        <w:rPr>
          <w:rFonts w:ascii="Times New Roman;sans-serif" w:hAnsi="Times New Roman;sans-serif"/>
          <w:b/>
          <w:i/>
          <w:color w:val="231F20"/>
          <w:sz w:val="20"/>
        </w:rPr>
        <w:t>of fraud.</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As a public reporting company, we are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pStyle w:val="TextBody"/>
        <w:spacing w:lineRule="auto" w:line="288" w:before="120" w:after="283"/>
        <w:ind w:left="0" w:right="0" w:firstLine="1080"/>
        <w:rPr/>
      </w:pPr>
      <w:r>
        <w:rPr>
          <w:rFonts w:ascii="Times New Roman;sans-serif" w:hAnsi="Times New Roman;sans-serif"/>
          <w:b/>
          <w:i/>
          <w:color w:val="231F20"/>
          <w:sz w:val="20"/>
        </w:rPr>
        <w:t>Our issuance</w:t>
      </w:r>
      <w:r>
        <w:rPr>
          <w:color w:val="231F20"/>
        </w:rPr>
        <w:t xml:space="preserve"> </w:t>
      </w:r>
      <w:r>
        <w:rPr>
          <w:rFonts w:ascii="Times New Roman;sans-serif" w:hAnsi="Times New Roman;sans-serif"/>
          <w:b/>
          <w:i/>
          <w:color w:val="231F20"/>
          <w:sz w:val="20"/>
        </w:rPr>
        <w:t>of additional</w:t>
      </w:r>
      <w:r>
        <w:rPr>
          <w:color w:val="231F20"/>
        </w:rPr>
        <w:t xml:space="preserve"> </w:t>
      </w:r>
      <w:r>
        <w:rPr>
          <w:rFonts w:ascii="Times New Roman;sans-serif" w:hAnsi="Times New Roman;sans-serif"/>
          <w:b/>
          <w:i/>
          <w:color w:val="231F20"/>
          <w:sz w:val="20"/>
        </w:rPr>
        <w:t>capital</w:t>
      </w:r>
      <w:r>
        <w:rPr>
          <w:color w:val="231F20"/>
        </w:rPr>
        <w:t xml:space="preserve"> </w:t>
      </w:r>
      <w:r>
        <w:rPr>
          <w:rFonts w:ascii="Times New Roman;sans-serif" w:hAnsi="Times New Roman;sans-serif"/>
          <w:b/>
          <w:i/>
          <w:color w:val="231F20"/>
          <w:sz w:val="20"/>
        </w:rPr>
        <w:t>stock</w:t>
      </w:r>
      <w:r>
        <w:rPr>
          <w:color w:val="231F20"/>
        </w:rPr>
        <w:t xml:space="preserve"> </w:t>
      </w:r>
      <w:r>
        <w:rPr>
          <w:rFonts w:ascii="Times New Roman;sans-serif" w:hAnsi="Times New Roman;sans-serif"/>
          <w:b/>
          <w:i/>
          <w:color w:val="231F20"/>
          <w:sz w:val="20"/>
        </w:rPr>
        <w:t>in connection</w:t>
      </w:r>
      <w:r>
        <w:rPr>
          <w:color w:val="231F20"/>
        </w:rPr>
        <w:t xml:space="preserve"> </w:t>
      </w:r>
      <w:r>
        <w:rPr>
          <w:rFonts w:ascii="Times New Roman;sans-serif" w:hAnsi="Times New Roman;sans-serif"/>
          <w:b/>
          <w:i/>
          <w:color w:val="231F20"/>
          <w:sz w:val="20"/>
        </w:rPr>
        <w:t>with financings,</w:t>
      </w:r>
      <w:r>
        <w:rPr>
          <w:color w:val="231F20"/>
        </w:rPr>
        <w:t xml:space="preserve"> </w:t>
      </w:r>
      <w:r>
        <w:rPr>
          <w:rFonts w:ascii="Times New Roman;sans-serif" w:hAnsi="Times New Roman;sans-serif"/>
          <w:b/>
          <w:i/>
          <w:color w:val="231F20"/>
          <w:sz w:val="20"/>
        </w:rPr>
        <w:t>acquisitions,</w:t>
      </w:r>
      <w:r>
        <w:rPr>
          <w:color w:val="231F20"/>
        </w:rPr>
        <w:t xml:space="preserve"> </w:t>
      </w:r>
      <w:r>
        <w:rPr>
          <w:rFonts w:ascii="Times New Roman;sans-serif" w:hAnsi="Times New Roman;sans-serif"/>
          <w:b/>
          <w:i/>
          <w:color w:val="231F20"/>
          <w:sz w:val="20"/>
        </w:rPr>
        <w:t>investments,</w:t>
      </w:r>
      <w:r>
        <w:rPr>
          <w:color w:val="231F20"/>
        </w:rPr>
        <w:t xml:space="preserve"> </w:t>
      </w:r>
      <w:r>
        <w:rPr>
          <w:rFonts w:ascii="Times New Roman;sans-serif" w:hAnsi="Times New Roman;sans-serif"/>
          <w:b/>
          <w:i/>
          <w:color w:val="231F20"/>
          <w:sz w:val="20"/>
        </w:rPr>
        <w:t>our stock incentive</w:t>
      </w:r>
      <w:r>
        <w:rPr>
          <w:color w:val="231F20"/>
        </w:rPr>
        <w:t xml:space="preserve"> </w:t>
      </w:r>
      <w:r>
        <w:rPr>
          <w:rFonts w:ascii="Times New Roman;sans-serif" w:hAnsi="Times New Roman;sans-serif"/>
          <w:b/>
          <w:i/>
          <w:color w:val="231F20"/>
          <w:sz w:val="20"/>
        </w:rPr>
        <w:t>plans or otherwise</w:t>
      </w:r>
      <w:r>
        <w:rPr>
          <w:color w:val="231F20"/>
        </w:rPr>
        <w:t xml:space="preserve"> </w:t>
      </w:r>
      <w:r>
        <w:rPr>
          <w:rFonts w:ascii="Times New Roman;sans-serif" w:hAnsi="Times New Roman;sans-serif"/>
          <w:b/>
          <w:i/>
          <w:color w:val="231F20"/>
          <w:sz w:val="20"/>
        </w:rPr>
        <w:t>will</w:t>
      </w:r>
      <w:r>
        <w:rPr>
          <w:color w:val="231F20"/>
        </w:rPr>
        <w:t xml:space="preserve"> </w:t>
      </w:r>
      <w:r>
        <w:rPr>
          <w:rFonts w:ascii="Times New Roman;sans-serif" w:hAnsi="Times New Roman;sans-serif"/>
          <w:b/>
          <w:i/>
          <w:color w:val="231F20"/>
          <w:sz w:val="20"/>
        </w:rPr>
        <w:t>dilute</w:t>
      </w:r>
      <w:r>
        <w:rPr>
          <w:color w:val="231F20"/>
        </w:rPr>
        <w:t xml:space="preserve"> </w:t>
      </w:r>
      <w:r>
        <w:rPr>
          <w:rFonts w:ascii="Times New Roman;sans-serif" w:hAnsi="Times New Roman;sans-serif"/>
          <w:b/>
          <w:i/>
          <w:color w:val="231F20"/>
          <w:sz w:val="20"/>
        </w:rPr>
        <w:t>all</w:t>
      </w:r>
      <w:r>
        <w:rPr>
          <w:color w:val="231F20"/>
        </w:rPr>
        <w:t xml:space="preserve"> </w:t>
      </w:r>
      <w:r>
        <w:rPr>
          <w:rFonts w:ascii="Times New Roman;sans-serif" w:hAnsi="Times New Roman;sans-serif"/>
          <w:b/>
          <w:i/>
          <w:color w:val="231F20"/>
          <w:sz w:val="20"/>
        </w:rPr>
        <w:t>other</w:t>
      </w:r>
      <w:r>
        <w:rPr>
          <w:color w:val="231F20"/>
        </w:rPr>
        <w:t xml:space="preserve"> </w:t>
      </w:r>
      <w:r>
        <w:rPr>
          <w:rFonts w:ascii="Times New Roman;sans-serif" w:hAnsi="Times New Roman;sans-serif"/>
          <w:b/>
          <w:i/>
          <w:color w:val="231F20"/>
          <w:sz w:val="20"/>
        </w:rPr>
        <w:t>stockholders.</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to issue additional capital stock in the future that will result in dilution to all other stockholders. We expect to continue to grant equity awards to employees, directors, and consultants under our stock incentive plans. In July 2022 </w:t>
      </w: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v:rect>
            </w:pict>
          </mc:Fallback>
        </mc:AlternateContent>
      </w:r>
    </w:p>
    <w:p>
      <w:pPr>
        <w:pStyle w:val="TextBody"/>
        <w:spacing w:before="0" w:after="0"/>
        <w:rPr/>
      </w:pPr>
      <w:r>
        <w:rPr/>
      </w:r>
    </w:p>
    <w:p>
      <w:pPr>
        <w:pStyle w:val="TextBody"/>
        <w:spacing w:lineRule="auto" w:line="288" w:before="120" w:after="283"/>
        <w:rPr/>
      </w:pPr>
      <w:r>
        <w:rPr>
          <w:rFonts w:ascii="Times New Roman;sans-serif" w:hAnsi="Times New Roman;sans-serif"/>
          <w:b w:val="false"/>
          <w:color w:val="000000"/>
          <w:sz w:val="20"/>
        </w:rPr>
        <w:t>and January 2023, we completed underwritten public offerings of our common stock. In July 2021, we entered into a Controlled Equity Offering</w:t>
      </w:r>
      <w:r>
        <w:rPr>
          <w:rFonts w:ascii="Times New Roman;sans-serif" w:hAnsi="Times New Roman;sans-serif"/>
          <w:b w:val="false"/>
          <w:color w:val="000000"/>
          <w:sz w:val="13"/>
        </w:rPr>
        <w:t xml:space="preserve">SM </w:t>
      </w:r>
      <w:r>
        <w:rPr>
          <w:rFonts w:ascii="Times New Roman;sans-serif" w:hAnsi="Times New Roman;sans-serif"/>
          <w:b w:val="false"/>
          <w:color w:val="000000"/>
          <w:sz w:val="20"/>
        </w:rPr>
        <w:t>Sales Agreement (the “Sales Agreement”) with Cantor Fitzgerald &amp; Co., as sales agent, pursuant to which we may issue and sell shares of common stock from time to time. On March 27, 2023, we filed a registration statement on Form S-3 (File No. 333-270862) which included a sales agreement prospectus registering the offer and sale of up to $150.0 million of shares under the Sales Agreement (the “Sales Agreement Prospectus”).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pStyle w:val="TextBody"/>
        <w:spacing w:lineRule="auto" w:line="288" w:before="120" w:after="283"/>
        <w:ind w:left="0" w:right="0" w:firstLine="1080"/>
        <w:rPr/>
      </w:pPr>
      <w:r>
        <w:rPr>
          <w:rFonts w:ascii="Times New Roman;sans-serif" w:hAnsi="Times New Roman;sans-serif"/>
          <w:b/>
          <w:i/>
          <w:color w:val="231F20"/>
          <w:sz w:val="20"/>
        </w:rPr>
        <w:t>If</w:t>
      </w:r>
      <w:r>
        <w:rPr>
          <w:color w:val="231F20"/>
        </w:rPr>
        <w:t xml:space="preserve"> </w:t>
      </w:r>
      <w:r>
        <w:rPr>
          <w:rFonts w:ascii="Times New Roman;sans-serif" w:hAnsi="Times New Roman;sans-serif"/>
          <w:b/>
          <w:i/>
          <w:color w:val="231F20"/>
          <w:sz w:val="20"/>
        </w:rPr>
        <w:t>securities</w:t>
      </w:r>
      <w:r>
        <w:rPr>
          <w:color w:val="231F20"/>
        </w:rPr>
        <w:t xml:space="preserve"> </w:t>
      </w:r>
      <w:r>
        <w:rPr>
          <w:rFonts w:ascii="Times New Roman;sans-serif" w:hAnsi="Times New Roman;sans-serif"/>
          <w:b/>
          <w:i/>
          <w:color w:val="231F20"/>
          <w:sz w:val="20"/>
        </w:rPr>
        <w:t>or industry</w:t>
      </w:r>
      <w:r>
        <w:rPr>
          <w:color w:val="231F20"/>
        </w:rPr>
        <w:t xml:space="preserve"> </w:t>
      </w:r>
      <w:r>
        <w:rPr>
          <w:rFonts w:ascii="Times New Roman;sans-serif" w:hAnsi="Times New Roman;sans-serif"/>
          <w:b/>
          <w:i/>
          <w:color w:val="231F20"/>
          <w:sz w:val="20"/>
        </w:rPr>
        <w:t>analysts</w:t>
      </w:r>
      <w:r>
        <w:rPr>
          <w:color w:val="231F20"/>
        </w:rPr>
        <w:t xml:space="preserve"> </w:t>
      </w:r>
      <w:r>
        <w:rPr>
          <w:rFonts w:ascii="Times New Roman;sans-serif" w:hAnsi="Times New Roman;sans-serif"/>
          <w:b/>
          <w:i/>
          <w:color w:val="231F20"/>
          <w:sz w:val="20"/>
        </w:rPr>
        <w:t>do not publish</w:t>
      </w:r>
      <w:r>
        <w:rPr>
          <w:color w:val="231F20"/>
        </w:rPr>
        <w:t xml:space="preserve"> </w:t>
      </w:r>
      <w:r>
        <w:rPr>
          <w:rFonts w:ascii="Times New Roman;sans-serif" w:hAnsi="Times New Roman;sans-serif"/>
          <w:b/>
          <w:i/>
          <w:color w:val="231F20"/>
          <w:sz w:val="20"/>
        </w:rPr>
        <w:t>research</w:t>
      </w:r>
      <w:r>
        <w:rPr>
          <w:color w:val="231F20"/>
        </w:rPr>
        <w:t xml:space="preserve"> </w:t>
      </w:r>
      <w:r>
        <w:rPr>
          <w:rFonts w:ascii="Times New Roman;sans-serif" w:hAnsi="Times New Roman;sans-serif"/>
          <w:b/>
          <w:i/>
          <w:color w:val="231F20"/>
          <w:sz w:val="20"/>
        </w:rPr>
        <w:t>or publish</w:t>
      </w:r>
      <w:r>
        <w:rPr>
          <w:color w:val="231F20"/>
        </w:rPr>
        <w:t xml:space="preserve"> </w:t>
      </w:r>
      <w:r>
        <w:rPr>
          <w:rFonts w:ascii="Times New Roman;sans-serif" w:hAnsi="Times New Roman;sans-serif"/>
          <w:b/>
          <w:i/>
          <w:color w:val="231F20"/>
          <w:sz w:val="20"/>
        </w:rPr>
        <w:t>inaccurate</w:t>
      </w:r>
      <w:r>
        <w:rPr>
          <w:color w:val="231F20"/>
        </w:rPr>
        <w:t xml:space="preserve"> </w:t>
      </w:r>
      <w:r>
        <w:rPr>
          <w:rFonts w:ascii="Times New Roman;sans-serif" w:hAnsi="Times New Roman;sans-serif"/>
          <w:b/>
          <w:i/>
          <w:color w:val="231F20"/>
          <w:sz w:val="20"/>
        </w:rPr>
        <w:t>or unfavorable</w:t>
      </w:r>
      <w:r>
        <w:rPr>
          <w:color w:val="231F20"/>
        </w:rPr>
        <w:t xml:space="preserve"> </w:t>
      </w:r>
      <w:r>
        <w:rPr>
          <w:rFonts w:ascii="Times New Roman;sans-serif" w:hAnsi="Times New Roman;sans-serif"/>
          <w:b/>
          <w:i/>
          <w:color w:val="231F20"/>
          <w:sz w:val="20"/>
        </w:rPr>
        <w:t>research about our business,</w:t>
      </w:r>
      <w:r>
        <w:rPr>
          <w:color w:val="231F20"/>
        </w:rPr>
        <w:t xml:space="preserve"> </w:t>
      </w:r>
      <w:r>
        <w:rPr>
          <w:rFonts w:ascii="Times New Roman;sans-serif" w:hAnsi="Times New Roman;sans-serif"/>
          <w:b/>
          <w:i/>
          <w:color w:val="231F20"/>
          <w:sz w:val="20"/>
        </w:rPr>
        <w:t>our stock</w:t>
      </w:r>
      <w:r>
        <w:rPr>
          <w:color w:val="231F20"/>
        </w:rPr>
        <w:t xml:space="preserve"> </w:t>
      </w:r>
      <w:r>
        <w:rPr>
          <w:rFonts w:ascii="Times New Roman;sans-serif" w:hAnsi="Times New Roman;sans-serif"/>
          <w:b/>
          <w:i/>
          <w:color w:val="231F20"/>
          <w:sz w:val="20"/>
        </w:rPr>
        <w:t>price</w:t>
      </w:r>
      <w:r>
        <w:rPr>
          <w:color w:val="231F20"/>
        </w:rPr>
        <w:t xml:space="preserve"> </w:t>
      </w:r>
      <w:r>
        <w:rPr>
          <w:rFonts w:ascii="Times New Roman;sans-serif" w:hAnsi="Times New Roman;sans-serif"/>
          <w:b/>
          <w:i/>
          <w:color w:val="231F20"/>
          <w:sz w:val="20"/>
        </w:rPr>
        <w:t>and trading</w:t>
      </w:r>
      <w:r>
        <w:rPr>
          <w:color w:val="231F20"/>
        </w:rPr>
        <w:t xml:space="preserve"> </w:t>
      </w:r>
      <w:r>
        <w:rPr>
          <w:rFonts w:ascii="Times New Roman;sans-serif" w:hAnsi="Times New Roman;sans-serif"/>
          <w:b/>
          <w:i/>
          <w:color w:val="231F20"/>
          <w:sz w:val="20"/>
        </w:rPr>
        <w:t>volume</w:t>
      </w:r>
      <w:r>
        <w:rPr>
          <w:color w:val="231F20"/>
        </w:rPr>
        <w:t xml:space="preserve"> </w:t>
      </w:r>
      <w:r>
        <w:rPr>
          <w:rFonts w:ascii="Times New Roman;sans-serif" w:hAnsi="Times New Roman;sans-serif"/>
          <w:b/>
          <w:i/>
          <w:color w:val="231F20"/>
          <w:sz w:val="20"/>
        </w:rPr>
        <w:t>could decline.</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common stock depends in part on the research and reports that securities or industry analysts publish about us or our business.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pStyle w:val="TextBody"/>
        <w:spacing w:lineRule="auto" w:line="288" w:before="120" w:after="283"/>
        <w:ind w:left="0" w:right="0" w:firstLine="1080"/>
        <w:rPr/>
      </w:pPr>
      <w:r>
        <w:rPr>
          <w:rFonts w:ascii="Times New Roman;sans-serif" w:hAnsi="Times New Roman;sans-serif"/>
          <w:b/>
          <w:i/>
          <w:color w:val="231F20"/>
          <w:sz w:val="20"/>
        </w:rPr>
        <w:t>We incur significant</w:t>
      </w:r>
      <w:r>
        <w:rPr>
          <w:color w:val="231F20"/>
        </w:rPr>
        <w:t xml:space="preserve"> </w:t>
      </w:r>
      <w:r>
        <w:rPr>
          <w:rFonts w:ascii="Times New Roman;sans-serif" w:hAnsi="Times New Roman;sans-serif"/>
          <w:b/>
          <w:i/>
          <w:color w:val="231F20"/>
          <w:sz w:val="20"/>
        </w:rPr>
        <w:t>increased</w:t>
      </w:r>
      <w:r>
        <w:rPr>
          <w:color w:val="231F20"/>
        </w:rPr>
        <w:t xml:space="preserve"> </w:t>
      </w:r>
      <w:r>
        <w:rPr>
          <w:rFonts w:ascii="Times New Roman;sans-serif" w:hAnsi="Times New Roman;sans-serif"/>
          <w:b/>
          <w:i/>
          <w:color w:val="231F20"/>
          <w:sz w:val="20"/>
        </w:rPr>
        <w:t>costs</w:t>
      </w:r>
      <w:r>
        <w:rPr>
          <w:color w:val="231F20"/>
        </w:rPr>
        <w:t xml:space="preserve"> </w:t>
      </w:r>
      <w:r>
        <w:rPr>
          <w:rFonts w:ascii="Times New Roman;sans-serif" w:hAnsi="Times New Roman;sans-serif"/>
          <w:b/>
          <w:i/>
          <w:color w:val="231F20"/>
          <w:sz w:val="20"/>
        </w:rPr>
        <w:t>as a result</w:t>
      </w:r>
      <w:r>
        <w:rPr>
          <w:color w:val="231F20"/>
        </w:rPr>
        <w:t xml:space="preserve"> </w:t>
      </w:r>
      <w:r>
        <w:rPr>
          <w:rFonts w:ascii="Times New Roman;sans-serif" w:hAnsi="Times New Roman;sans-serif"/>
          <w:b/>
          <w:i/>
          <w:color w:val="231F20"/>
          <w:sz w:val="20"/>
        </w:rPr>
        <w:t>of operating</w:t>
      </w:r>
      <w:r>
        <w:rPr>
          <w:color w:val="231F20"/>
        </w:rPr>
        <w:t xml:space="preserve"> </w:t>
      </w:r>
      <w:r>
        <w:rPr>
          <w:rFonts w:ascii="Times New Roman;sans-serif" w:hAnsi="Times New Roman;sans-serif"/>
          <w:b/>
          <w:i/>
          <w:color w:val="231F20"/>
          <w:sz w:val="20"/>
        </w:rPr>
        <w:t>as a public</w:t>
      </w:r>
      <w:r>
        <w:rPr>
          <w:color w:val="231F20"/>
        </w:rPr>
        <w:t xml:space="preserve"> </w:t>
      </w:r>
      <w:r>
        <w:rPr>
          <w:rFonts w:ascii="Times New Roman;sans-serif" w:hAnsi="Times New Roman;sans-serif"/>
          <w:b/>
          <w:i/>
          <w:color w:val="231F20"/>
          <w:sz w:val="20"/>
        </w:rPr>
        <w:t>company,</w:t>
      </w:r>
      <w:r>
        <w:rPr>
          <w:color w:val="231F20"/>
        </w:rPr>
        <w:t xml:space="preserve"> </w:t>
      </w:r>
      <w:r>
        <w:rPr>
          <w:rFonts w:ascii="Times New Roman;sans-serif" w:hAnsi="Times New Roman;sans-serif"/>
          <w:b/>
          <w:i/>
          <w:color w:val="231F20"/>
          <w:sz w:val="20"/>
        </w:rPr>
        <w:t>and our management</w:t>
      </w:r>
      <w:r>
        <w:rPr>
          <w:color w:val="231F20"/>
        </w:rPr>
        <w:t xml:space="preserve"> </w:t>
      </w:r>
      <w:r>
        <w:rPr>
          <w:rFonts w:ascii="Times New Roman;sans-serif" w:hAnsi="Times New Roman;sans-serif"/>
          <w:b/>
          <w:i/>
          <w:color w:val="231F20"/>
          <w:sz w:val="20"/>
        </w:rPr>
        <w:t>is required</w:t>
      </w:r>
      <w:r>
        <w:rPr>
          <w:color w:val="231F20"/>
        </w:rPr>
        <w:t xml:space="preserve"> </w:t>
      </w:r>
      <w:r>
        <w:rPr>
          <w:rFonts w:ascii="Times New Roman;sans-serif" w:hAnsi="Times New Roman;sans-serif"/>
          <w:b/>
          <w:i/>
          <w:color w:val="231F20"/>
          <w:sz w:val="20"/>
        </w:rPr>
        <w:t>to devote</w:t>
      </w:r>
      <w:r>
        <w:rPr>
          <w:color w:val="231F20"/>
        </w:rPr>
        <w:t xml:space="preserve"> </w:t>
      </w:r>
      <w:r>
        <w:rPr>
          <w:rFonts w:ascii="Times New Roman;sans-serif" w:hAnsi="Times New Roman;sans-serif"/>
          <w:b/>
          <w:i/>
          <w:color w:val="231F20"/>
          <w:sz w:val="20"/>
        </w:rPr>
        <w:t>substantial</w:t>
      </w:r>
      <w:r>
        <w:rPr>
          <w:color w:val="231F20"/>
        </w:rPr>
        <w:t xml:space="preserve"> </w:t>
      </w:r>
      <w:r>
        <w:rPr>
          <w:rFonts w:ascii="Times New Roman;sans-serif" w:hAnsi="Times New Roman;sans-serif"/>
          <w:b/>
          <w:i/>
          <w:color w:val="231F20"/>
          <w:sz w:val="20"/>
        </w:rPr>
        <w:t>time</w:t>
      </w:r>
      <w:r>
        <w:rPr>
          <w:color w:val="231F20"/>
        </w:rPr>
        <w:t xml:space="preserve"> </w:t>
      </w:r>
      <w:r>
        <w:rPr>
          <w:rFonts w:ascii="Times New Roman;sans-serif" w:hAnsi="Times New Roman;sans-serif"/>
          <w:b/>
          <w:i/>
          <w:color w:val="231F20"/>
          <w:sz w:val="20"/>
        </w:rPr>
        <w:t>to new compliance</w:t>
      </w:r>
      <w:r>
        <w:rPr>
          <w:color w:val="231F20"/>
        </w:rPr>
        <w:t xml:space="preserve"> </w:t>
      </w:r>
      <w:r>
        <w:rPr>
          <w:rFonts w:ascii="Times New Roman;sans-serif" w:hAnsi="Times New Roman;sans-serif"/>
          <w:b/>
          <w:i/>
          <w:color w:val="231F20"/>
          <w:sz w:val="20"/>
        </w:rPr>
        <w:t>initiatives.</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As a public company, we incur significant legal, accounting and other expenses. We are subject to the reporting requirements of the Exchange Act, which requires, among other things, that we file with the SEC annual, quarterly and current reports with respect to our business and financial condition. In addition, the Sarbanes-Oxley Act, as well as rules subsequently adopted by the SEC and the Nasdaq Stock Market, or Nasdaq, to implement provisions of the Sarbanes-Oxley Act, impose significant requirements on public companies, including requiring establishment and maintenance of effective disclosure and financial reporting controls and changes in corporate governance practices. Further, there are significant corporate governance and executive compensation related provisions in the Dodd-Frank Act that require the SEC to adopt additional rules and regulations in these areas such as “say on pay” and proxy access.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an adverse effect on our business.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pStyle w:val="TextBody"/>
        <w:spacing w:lineRule="auto" w:line="288" w:before="120" w:after="283"/>
        <w:ind w:left="0" w:right="0" w:firstLine="1080"/>
        <w:rPr/>
      </w:pPr>
      <w:r>
        <w:rPr>
          <w:rFonts w:ascii="Times New Roman;sans-serif" w:hAnsi="Times New Roman;sans-serif"/>
          <w:b/>
          <w:i/>
          <w:color w:val="231F20"/>
          <w:sz w:val="20"/>
        </w:rPr>
        <w:t>We may</w:t>
      </w:r>
      <w:r>
        <w:rPr>
          <w:color w:val="231F20"/>
        </w:rPr>
        <w:t xml:space="preserve"> </w:t>
      </w:r>
      <w:r>
        <w:rPr>
          <w:rFonts w:ascii="Times New Roman;sans-serif" w:hAnsi="Times New Roman;sans-serif"/>
          <w:b/>
          <w:i/>
          <w:color w:val="231F20"/>
          <w:sz w:val="20"/>
        </w:rPr>
        <w:t>incur substantial</w:t>
      </w:r>
      <w:r>
        <w:rPr>
          <w:color w:val="231F20"/>
        </w:rPr>
        <w:t xml:space="preserve"> </w:t>
      </w:r>
      <w:r>
        <w:rPr>
          <w:rFonts w:ascii="Times New Roman;sans-serif" w:hAnsi="Times New Roman;sans-serif"/>
          <w:b/>
          <w:i/>
          <w:color w:val="231F20"/>
          <w:sz w:val="20"/>
        </w:rPr>
        <w:t>costs</w:t>
      </w:r>
      <w:r>
        <w:rPr>
          <w:color w:val="231F20"/>
        </w:rPr>
        <w:t xml:space="preserve"> </w:t>
      </w:r>
      <w:r>
        <w:rPr>
          <w:rFonts w:ascii="Times New Roman;sans-serif" w:hAnsi="Times New Roman;sans-serif"/>
          <w:b/>
          <w:i/>
          <w:color w:val="231F20"/>
          <w:sz w:val="20"/>
        </w:rPr>
        <w:t>in our efforts</w:t>
      </w:r>
      <w:r>
        <w:rPr>
          <w:color w:val="231F20"/>
        </w:rPr>
        <w:t xml:space="preserve"> </w:t>
      </w:r>
      <w:r>
        <w:rPr>
          <w:rFonts w:ascii="Times New Roman;sans-serif" w:hAnsi="Times New Roman;sans-serif"/>
          <w:b/>
          <w:i/>
          <w:color w:val="231F20"/>
          <w:sz w:val="20"/>
        </w:rPr>
        <w:t>to comply</w:t>
      </w:r>
      <w:r>
        <w:rPr>
          <w:color w:val="231F20"/>
        </w:rPr>
        <w:t xml:space="preserve"> </w:t>
      </w:r>
      <w:r>
        <w:rPr>
          <w:rFonts w:ascii="Times New Roman;sans-serif" w:hAnsi="Times New Roman;sans-serif"/>
          <w:b/>
          <w:i/>
          <w:color w:val="231F20"/>
          <w:sz w:val="20"/>
        </w:rPr>
        <w:t>with evolving</w:t>
      </w:r>
      <w:r>
        <w:rPr>
          <w:color w:val="231F20"/>
        </w:rPr>
        <w:t xml:space="preserve"> </w:t>
      </w:r>
      <w:r>
        <w:rPr>
          <w:rFonts w:ascii="Times New Roman;sans-serif" w:hAnsi="Times New Roman;sans-serif"/>
          <w:b/>
          <w:i/>
          <w:color w:val="231F20"/>
          <w:sz w:val="20"/>
        </w:rPr>
        <w:t>global</w:t>
      </w:r>
      <w:r>
        <w:rPr>
          <w:color w:val="231F20"/>
        </w:rPr>
        <w:t xml:space="preserve"> </w:t>
      </w:r>
      <w:r>
        <w:rPr>
          <w:rFonts w:ascii="Times New Roman;sans-serif" w:hAnsi="Times New Roman;sans-serif"/>
          <w:b/>
          <w:i/>
          <w:color w:val="231F20"/>
          <w:sz w:val="20"/>
        </w:rPr>
        <w:t>data protection</w:t>
      </w:r>
      <w:r>
        <w:rPr>
          <w:color w:val="231F20"/>
        </w:rPr>
        <w:t xml:space="preserve"> </w:t>
      </w:r>
      <w:r>
        <w:rPr>
          <w:rFonts w:ascii="Times New Roman;sans-serif" w:hAnsi="Times New Roman;sans-serif"/>
          <w:b/>
          <w:i/>
          <w:color w:val="231F20"/>
          <w:sz w:val="20"/>
        </w:rPr>
        <w:t>laws and regulations,</w:t>
      </w:r>
      <w:r>
        <w:rPr>
          <w:color w:val="231F20"/>
        </w:rPr>
        <w:t xml:space="preserve"> </w:t>
      </w:r>
      <w:r>
        <w:rPr>
          <w:rFonts w:ascii="Times New Roman;sans-serif" w:hAnsi="Times New Roman;sans-serif"/>
          <w:b/>
          <w:i/>
          <w:color w:val="231F20"/>
          <w:sz w:val="20"/>
        </w:rPr>
        <w:t>and any failure</w:t>
      </w:r>
      <w:r>
        <w:rPr>
          <w:color w:val="231F20"/>
        </w:rPr>
        <w:t xml:space="preserve"> </w:t>
      </w:r>
      <w:r>
        <w:rPr>
          <w:rFonts w:ascii="Times New Roman;sans-serif" w:hAnsi="Times New Roman;sans-serif"/>
          <w:b/>
          <w:i/>
          <w:color w:val="231F20"/>
          <w:sz w:val="20"/>
        </w:rPr>
        <w:t>or perceived</w:t>
      </w:r>
      <w:r>
        <w:rPr>
          <w:color w:val="231F20"/>
        </w:rPr>
        <w:t xml:space="preserve"> </w:t>
      </w:r>
      <w:r>
        <w:rPr>
          <w:rFonts w:ascii="Times New Roman;sans-serif" w:hAnsi="Times New Roman;sans-serif"/>
          <w:b/>
          <w:i/>
          <w:color w:val="231F20"/>
          <w:sz w:val="20"/>
        </w:rPr>
        <w:t>failure</w:t>
      </w:r>
      <w:r>
        <w:rPr>
          <w:color w:val="231F20"/>
        </w:rPr>
        <w:t xml:space="preserve"> </w:t>
      </w:r>
      <w:r>
        <w:rPr>
          <w:rFonts w:ascii="Times New Roman;sans-serif" w:hAnsi="Times New Roman;sans-serif"/>
          <w:b/>
          <w:i/>
          <w:color w:val="231F20"/>
          <w:sz w:val="20"/>
        </w:rPr>
        <w:t>by us to comply</w:t>
      </w:r>
      <w:r>
        <w:rPr>
          <w:color w:val="231F20"/>
        </w:rPr>
        <w:t xml:space="preserve"> </w:t>
      </w:r>
      <w:r>
        <w:rPr>
          <w:rFonts w:ascii="Times New Roman;sans-serif" w:hAnsi="Times New Roman;sans-serif"/>
          <w:b/>
          <w:i/>
          <w:color w:val="231F20"/>
          <w:sz w:val="20"/>
        </w:rPr>
        <w:t>with such laws and regulations</w:t>
      </w:r>
      <w:r>
        <w:rPr>
          <w:color w:val="231F20"/>
        </w:rPr>
        <w:t xml:space="preserve"> </w:t>
      </w:r>
      <w:r>
        <w:rPr>
          <w:rFonts w:ascii="Times New Roman;sans-serif" w:hAnsi="Times New Roman;sans-serif"/>
          <w:b/>
          <w:i/>
          <w:color w:val="231F20"/>
          <w:sz w:val="20"/>
        </w:rPr>
        <w:t>may</w:t>
      </w:r>
      <w:r>
        <w:rPr>
          <w:color w:val="231F20"/>
        </w:rPr>
        <w:t xml:space="preserve"> </w:t>
      </w:r>
      <w:r>
        <w:rPr>
          <w:rFonts w:ascii="Times New Roman;sans-serif" w:hAnsi="Times New Roman;sans-serif"/>
          <w:b/>
          <w:i/>
          <w:color w:val="231F20"/>
          <w:sz w:val="20"/>
        </w:rPr>
        <w:t>harm our business</w:t>
      </w:r>
      <w:r>
        <w:rPr>
          <w:color w:val="231F20"/>
        </w:rPr>
        <w:t xml:space="preserve"> </w:t>
      </w:r>
      <w:r>
        <w:rPr>
          <w:rFonts w:ascii="Times New Roman;sans-serif" w:hAnsi="Times New Roman;sans-serif"/>
          <w:b/>
          <w:i/>
          <w:color w:val="231F20"/>
          <w:sz w:val="20"/>
        </w:rPr>
        <w:t>and operations.</w:t>
      </w:r>
    </w:p>
    <w:p>
      <w:pPr>
        <w:pStyle w:val="TextBody"/>
        <w:spacing w:lineRule="auto" w:line="288" w:before="0" w:after="120"/>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 xml:space="preserve">The global data protection landscape is rapidly evolving, and we may be or become subject to or affected by numerous federal, state and foreign laws and regulations, as well as regulatory guidance, governing the collection, use, disclosure, transfer, security and processing of personal data, such as information that we collect about participants and healthcare providers in connection with clinical trials. Implementation standards and enforcement practices are likely to remain uncertain for the foreseeable future, which may create uncertainty in our business, affect our or our service providers’ ability to operate in certain jurisdictions or to collect, store, transfer use and share personal data, result in liability or impose additional compliance or other costs on us. Any failure or perceived failure by us to comply with federal, state, or foreign laws or self-regulatory standards could result in negative publicity, diversion of management time and effort and proceedings against us by governmental entities or others. </w:t>
      </w:r>
    </w:p>
    <w:p>
      <w:pPr>
        <w:pStyle w:val="TextBody"/>
        <w:spacing w:lineRule="auto" w:line="288" w:before="0" w:after="120"/>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Numerous federal and state laws and regulations, including HIPAA and HITECH, govern the collection, dissemination, security, use and confidentiality of patient-identifiable health information or personal information. In the course of performing our business we obtain personally identifiable information (PII), including health-related information. Such laws and regulations relating to privacy, data protection, and consumer protection are evolving and subject to potentially differing interpretations. These requirements may be interpreted and applied in a manner that varies from one jurisdiction to another and/</w:t>
      </w: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v:rect>
            </w:pict>
          </mc:Fallback>
        </mc:AlternateContent>
      </w:r>
    </w:p>
    <w:p>
      <w:pPr>
        <w:pStyle w:val="TextBody"/>
        <w:spacing w:before="0" w:after="0"/>
        <w:rPr/>
      </w:pPr>
      <w:r>
        <w:rPr/>
      </w:r>
    </w:p>
    <w:p>
      <w:pPr>
        <w:pStyle w:val="TextBody"/>
        <w:spacing w:lineRule="auto" w:line="288" w:before="0" w:after="120"/>
        <w:rPr/>
      </w:pPr>
      <w:r>
        <w:rPr>
          <w:rFonts w:ascii="Times New Roman;sans-serif" w:hAnsi="Times New Roman;sans-serif"/>
          <w:b w:val="false"/>
          <w:color w:val="000000"/>
          <w:sz w:val="20"/>
        </w:rPr>
        <w:t>or may conflict with other laws or regulations. HIPAA establishes national privacy and security standards for the protection of individually identifiable health information, including protected health information (PHI) for certain covered entities, including healthcare providers that submit certain covered transactions electronically, as well as their ‘‘business associates.” Penalties for failure to comply with a requirement of HIPAA and HITECH vary significantly depending on the failure and could include civil monetary or criminal penalties. HIPAA also authorizes state attorneys general to file suit under HIPAA on behalf of state residents. Courts can award damages, costs and attorneys’ fees related to violations of HIPAA in such cases. While HIPAA does not create a private right of action allowing individuals to sue us in civil court for HIPAA violations, its standards have been used as the basis for a duty of care claim in state civil suits such as those for negligence or recklessness in the misuse or breach of PHI. The Department of Health and Human Services Office for Civil Rights (OCR) has recently increased its enforcement efforts on compliance with HIPAA, including the security regulations (Security Rule), bringing actions against entities which have failed to implement security measures sufficient to reduce risks to electronic protected health information or to conduct an accurate and thorough risk analysis, among other violations. HIPAA enforcement actions may lead to monetary penalties and costly and burdensome corrective action plans. Moreover, compliance with state laws related to health privacy may cause additional compliance costs. For instance, Washington State is finalizing the “My Health My Data Act” which will regulate “consumer health data” which is defined as “personal information that is linked or reasonably linkable to a consumer and that identifies a consumer’s past, present, or future physical or mental health.”</w:t>
      </w:r>
      <w:r>
        <w:rPr>
          <w:color w:val="000000"/>
        </w:rPr>
        <w:t xml:space="preserve"> </w:t>
      </w:r>
      <w:r>
        <w:rPr>
          <w:rFonts w:ascii="Times New Roman;sans-serif" w:hAnsi="Times New Roman;sans-serif"/>
          <w:b w:val="false"/>
          <w:color w:val="000000"/>
          <w:sz w:val="20"/>
        </w:rPr>
        <w:t>The “My Health My Data Act” provides exemptions for personal data used or shared in research, including data subject to 45 C.F.R. Parts 46, 50, and 56.</w:t>
      </w:r>
    </w:p>
    <w:p>
      <w:pPr>
        <w:pStyle w:val="TextBody"/>
        <w:spacing w:lineRule="auto" w:line="288" w:before="0" w:after="120"/>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California passed the California Consumer Protection Act of 2018, or the CCPA, which went into effect in January 2020 and provides data privacy rights for consumers and new operational requirements for companies, which may increase our compliance costs and potential liability. The CCPA gives California residents expanded rights to access and delete their personal information, opt out of certain personal information sharing, and receive detailed information about how their personal information is used. Failure to comply with the CCPA risks regulatory fines, and the CCPA grants a private right of action and statutory damages for an unauthorized access and exfiltration, theft, or disclosure of certain types of personal information resulting from the company’s violation of a duty to maintain reasonable security procedures and practices. The CCPA also provides authority to the California Attorney General to seek civil penalties for intentional violations of the CCPA. While there is currently an exception for protected health information that is subject to HIPAA and clinical trial regulations, as currently written, the CCPA may impact certain of our business activities. Additionally, this exception does not apply to the private cause of action afforded to individuals for information security incidents.</w:t>
      </w:r>
    </w:p>
    <w:p>
      <w:pPr>
        <w:pStyle w:val="TextBody"/>
        <w:spacing w:lineRule="auto" w:line="288" w:before="0" w:after="120"/>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In addition, the CCPA was expanded on January 1, 2023, when the California Privacy Rights Act of 2020, or the CPRA, became operative. The CPRA, among other things, gives California residents the ability to limit use of certain sensitive personal information, further restricts the use of cross-contextual advertising, establishes restrictions on the retention of personal information, expands the types of data breaches subject to the CCPA’s private right of action, provides for increased penalties for CPRA violations concerning California residents under the age of 16, and establishes a new California Privacy Protection Agency to implement and enforce the new law. Although there are limited exemptions for clinical trial data under the CCPA, the CCPA and other similar laws could impact our business activities depending on how it is interpreted. In the interim, the CPRA will require additional investment in compliance programs and potential modifications to business processes.</w:t>
      </w:r>
    </w:p>
    <w:p>
      <w:pPr>
        <w:pStyle w:val="TextBody"/>
        <w:spacing w:lineRule="auto" w:line="288" w:before="0" w:after="120"/>
        <w:ind w:left="0" w:right="0" w:firstLine="1080"/>
        <w:rPr/>
      </w:pPr>
      <w:r>
        <w:rPr>
          <w:rFonts w:ascii="Times New Roman;sans-serif" w:hAnsi="Times New Roman;sans-serif"/>
          <w:b w:val="false"/>
          <w:color w:val="000000"/>
          <w:sz w:val="20"/>
        </w:rPr>
        <w:t>The CCPA and CPRA could mark the beginning of a trend toward more stringent privacy legislation in the United States, as other states or the federal government may follow California’s lead and increase protections for U.S. residents. For example, on March 2, 2021, the Virginia Consumer Data Protection Act was signed into law, which went into effect on January 1, 2023, and on July 8, 2021, the Colorado Privacy Act, was signed into law, which will take effect on July 1, 2023.</w:t>
      </w:r>
      <w:r>
        <w:rPr>
          <w:color w:val="000000"/>
        </w:rPr>
        <w:t xml:space="preserve"> </w:t>
      </w:r>
      <w:r>
        <w:rPr>
          <w:rFonts w:ascii="Times New Roman;sans-serif" w:hAnsi="Times New Roman;sans-serif"/>
          <w:b w:val="false"/>
          <w:color w:val="000000"/>
          <w:sz w:val="20"/>
        </w:rPr>
        <w:t>On September 18, 2021, the Uniform Law Commission published the Uniform Personal Data Protection Act, which states may begin to adopt. The CCPA has already prompted a number of proposals for new federal and state privacy legislation that, if passed, could increase our potential liability, add layers of complexity to compliance in the U.S. market, increase our compliance costs and adversely affect our business.</w:t>
      </w:r>
    </w:p>
    <w:p>
      <w:pPr>
        <w:pStyle w:val="TextBody"/>
        <w:spacing w:lineRule="auto" w:line="288" w:before="0" w:after="120"/>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the Federal Trade Commission (FTC) and many state attorneys general are interpreting existing federal and state consumer protection laws to impose evolving standards for the collection, use, dissemination and security of health-related and other personal information. Courts may also adopt the standards for fair information practices promulgated by the FTC, which concern consumer notice, choice, security and access. Consumer protection laws require us to publish statements that describe how we handle personal information and choices individuals may have about the way we handle their personal information. If such information that we publish is considered untrue, we may be subject to government claims of unfair or deceptive trade practices, which could lead to significant liabilities and consequences. Furthermore, according to the FTC, violating consumers’ privacy rights or failing to take appropriate steps to keep consumers’ personal information secure may constitute unfair acts or practices in or affecting commerce in violation of Section 5 of the FTC Act. Additionally, the FTC recently published an advance notice of proposed rulemaking on commercial surveillance and data security, and is seeking comment on whether it should implement new trade regulation rules or other regulatory alternatives concerning the ways in </w:t>
      </w: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v:rect>
            </w:pict>
          </mc:Fallback>
        </mc:AlternateContent>
      </w:r>
    </w:p>
    <w:p>
      <w:pPr>
        <w:pStyle w:val="TextBody"/>
        <w:spacing w:before="0" w:after="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which companies (1) collect, aggregate, protect, use, analyze, and retain consumer data, as well as (2) transfer, share, sell, or otherwise monetize that data in ways that are unfair or deceptive.</w:t>
      </w:r>
    </w:p>
    <w:p>
      <w:pPr>
        <w:pStyle w:val="TextBody"/>
        <w:spacing w:lineRule="auto" w:line="288" w:before="0" w:after="120"/>
        <w:ind w:left="0" w:right="0" w:firstLine="1080"/>
        <w:rPr/>
      </w:pPr>
      <w:r>
        <w:rPr>
          <w:rFonts w:ascii="Times New Roman;sans-serif" w:hAnsi="Times New Roman;sans-serif"/>
          <w:b w:val="false"/>
          <w:color w:val="000000"/>
          <w:sz w:val="20"/>
        </w:rPr>
        <w:t>Our business relies on secure and continuous processing of information and the availability of our Information Technology (IT) networks and IT resources, as well as critical IT vendors that support our technology and data processing operations. Security breaches, computer malware and computer hacking attacks have become more prevalent across industries and may occur on our systems or those of our third-party service providers. Attacks upon information technology systems are increasing in their frequency, levels of persistence, sophistication and intensity, and are being conducted by sophisticated and organized groups and individuals with a wide range of motives and expertise. OCR,</w:t>
      </w:r>
      <w:r>
        <w:rPr>
          <w:color w:val="000000"/>
        </w:rPr>
        <w:t xml:space="preserve"> </w:t>
      </w:r>
      <w:r>
        <w:rPr>
          <w:rFonts w:ascii="Times New Roman;sans-serif" w:hAnsi="Times New Roman;sans-serif"/>
          <w:b w:val="false"/>
          <w:color w:val="000000"/>
          <w:sz w:val="20"/>
        </w:rPr>
        <w:t xml:space="preserve">pursuant to legislation passed in 2021, recently issued guidance on recognized security practices for covered entities and business associates. OCR indicated that recognized security practices will not be an aggravating factor in OCR investigations, but that implementation of recognized security practices strengthen an organization’s cybersecurity and regulatory posture, as well as possibly lessening enforcement penalties in a potential regulatory enforcement. </w:t>
      </w:r>
    </w:p>
    <w:p>
      <w:pPr>
        <w:pStyle w:val="TextBody"/>
        <w:spacing w:lineRule="auto" w:line="288" w:before="0" w:after="120"/>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We regularly monitor, defend against and respond to attacks to our networks and other information security incidents. Despite our information security efforts, our facilities, systems, and data, as well as those of our third party service providers, may be vulnerable to privacy and information security incidents such as data breaches, viruses or other malicious code, coordinated attacks, data loss, phishing attacks, ransomware, denial of service attacks, or other security or IT incidents caused by threat actors, technological vulnerabilities or human error. If we, or any of our IT support vendors, fail to comply with laws requiring the protection of sensitive personal information, or fail to safeguard and defend personal information or other critical data assets or IT systems, we may be subject to regulatory enforcement and fines as well as private civil actions. We may be required to expend significant resources in the response, containment, mitigation of cybersecurity incidents as well as in defense against claims that our information security was unreasonable or otherwise violated applicable laws or contractual obligations.</w:t>
      </w:r>
    </w:p>
    <w:p>
      <w:pPr>
        <w:pStyle w:val="TextBody"/>
        <w:spacing w:lineRule="auto" w:line="288" w:before="0" w:after="120"/>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our operations in the United States, which may be subject to healthcare and other laws relating to the privacy and security of health information and other personal data, we may seek to conduct clinical trials in the EEA and may become subject to additional EEA data privacy laws, regulations and guidelines. The General Data Protection Regulation, or EU GDPR, became effective on May 25, 2018, and deals with the collection, use, storage, disclosure, transfer or other processing of personal data, including personal health data, regarding individuals in the EEA. The EU GDPR imposes a broad range of strict requirements on companies subject to the EU GDPR, including requirements relating to having legal bases for processing personal data (i.e., data relating to identifiable individuals) and transferring such personal data outside the EEA, including to the United States, and providing details to those individuals regarding the processing of their personal data, keeping personal data secure, having data processing agreements with third parties who process personal data on our behalf, responding to individuals’ requests to exercise their rights in respect of their personal data, reporting certain security breaches involving personal data to the competent national data protection authority and affected individuals, appointing data protection officers, conducting data protection impact assessments and record-keeping. Further, national laws of member states of the EU may partially deviate from the EU GDPR and impose different obligations from country to country, so that we do not expect to operate in a uniform legal landscape in the EEA. In particular, as it relates to processing and transfer of genetic data and health data, the EU GDPR specifically allows national laws to impose additional and more specific requirements or restrictions, and European laws have historically differed quite substantially in this field, leading to additional uncertainty. </w:t>
      </w:r>
    </w:p>
    <w:p>
      <w:pPr>
        <w:pStyle w:val="TextBody"/>
        <w:spacing w:lineRule="auto" w:line="288" w:before="0" w:after="120"/>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 xml:space="preserve">The EU GDPR increases substantially the penalties to which we could be subject in the event of any non-compliance, including fines of up to €10,000,000 or up to 2% of our total worldwide annual turnover for certain comparatively minor offenses, or up to €20,000,000 or up to 4% of our total worldwide annual turnover, whichever is greater, for more serious offenses. The EU GDPR also confers a private right of action on data subjects and consumer associations to lodge complaints with supervisory authorities, seek judicial remedies, and obtain compensation for damages resulting from violations of the EU GDPR. If our efforts to comply with EU GDPR or other applicable EU laws and regulations are not successful, or are perceived to be unsuccessful, it could adversely affect our business in the EU. </w:t>
      </w:r>
    </w:p>
    <w:p>
      <w:pPr>
        <w:pStyle w:val="TextBody"/>
        <w:spacing w:lineRule="auto" w:line="288" w:before="0" w:after="120"/>
        <w:ind w:left="0" w:right="0" w:firstLine="1080"/>
        <w:rPr/>
      </w:pPr>
      <w:r>
        <w:rPr>
          <w:rFonts w:ascii="Times New Roman;sans-serif" w:hAnsi="Times New Roman;sans-serif"/>
          <w:b w:val="false"/>
          <w:color w:val="000000"/>
          <w:sz w:val="20"/>
        </w:rPr>
        <w:t>The EU GDPR also prohibits the transfer of personal data from the EEA to the United States and other countries that are not recognized as having “adequate” data protection laws by the European Commission unless the parties to the transfer have implemented specific safeguards to protect the transferred personal data. One of the primary safeguards allowing U.S. companies to import personal data from the EEA has been certification to the EU-U.S. Privacy Shield framework administered by the U.S. Department of Commerce. However,</w:t>
      </w:r>
      <w:r>
        <w:rPr>
          <w:color w:val="000000"/>
        </w:rPr>
        <w:t xml:space="preserve"> </w:t>
      </w:r>
      <w:r>
        <w:rPr>
          <w:rFonts w:ascii="Times New Roman;sans-serif" w:hAnsi="Times New Roman;sans-serif"/>
          <w:b w:val="false"/>
          <w:color w:val="000000"/>
          <w:sz w:val="20"/>
        </w:rPr>
        <w:t xml:space="preserve">the European Court of Justice, or the ECJ, issued a decision in July 2020 which invalidated the EU-U.S. Privacy Shield framework for international transfers (Schrems II) and imposed further restrictions on the use of standard contractual clauses (SCCs) including, a requirement for companies to carry out a transfer privacy impact assessment, which among other things, assesses laws governing access to personal data in the recipient country and considers whether supplementary measures that provide privacy protections additional to those provided under the SCCs will need to be implemented to ensure an essentially equivalent level of data protection to that afforded in the EU. Following that decision, the Swiss Federal Data Protection and Information Commissioner (FDPIC) took a similar view and considered </w:t>
      </w: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v:rect>
            </w:pict>
          </mc:Fallback>
        </mc:AlternateContent>
      </w:r>
    </w:p>
    <w:p>
      <w:pPr>
        <w:pStyle w:val="TextBody"/>
        <w:spacing w:before="0" w:after="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that data transfers based on the Swiss-U.S. Privacy Shield framework are no longer lawful (despite the fact that Schrems II is not directly applicable in Switzerland (unless the Swiss based company is subject to the EU GDPR) and the Swiss-U.S. Privacy Shield has not been officially invalidated).</w:t>
      </w:r>
    </w:p>
    <w:p>
      <w:pPr>
        <w:pStyle w:val="TextBody"/>
        <w:spacing w:lineRule="auto" w:line="288" w:before="0" w:after="120"/>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Further, the European Commission published new EU SCCs in June 2021, which place onerous obligations on the contracting parties. Therefore, until recently, there were few, if any, viable alternatives to the SCCs. However, on October 7, 2022, President Biden introduced an Executive Order to facilitate a new Trans-Atlantic Data Privacy Framework which will act as a successor to the invalidated EU-U.S. Privacy Shield. If approved by the European Commission and implemented, the agreement will facilitate the transatlantic flow of personal data and provide an alternative data transfer mechanism (in addition to SCCs) for companies transferring personal data from the EU to the U.S. However, before entities rely on the new Framework, there are still legislative and regulatory steps that must be undertaken both in the U.S. and in the EU. Therefore, at present, the new EU SCCs are still the primary safeguard available for personal data transfers from the EU to the U.S. As such, the current legal position could restrict our activities in the EEA/Switzerland, limit our ability to provide our products and services in the EEA/Switzerland, and/or increase our costs and obligations and impose limitations upon our ability to efficiently transfer personal data from the EEA/Switzerland to the United States.</w:t>
      </w:r>
    </w:p>
    <w:p>
      <w:pPr>
        <w:pStyle w:val="TextBody"/>
        <w:spacing w:lineRule="auto" w:line="288" w:before="0" w:after="120"/>
        <w:ind w:left="0" w:right="0" w:firstLine="1080"/>
        <w:rPr/>
      </w:pPr>
      <w:r>
        <w:rPr>
          <w:rFonts w:ascii="Times New Roman;sans-serif" w:hAnsi="Times New Roman;sans-serif"/>
          <w:b w:val="false"/>
          <w:color w:val="000000"/>
          <w:sz w:val="20"/>
        </w:rPr>
        <w:t>Following the U.K.’s departure from the EU (Brexit), the EU GDPR’s data protection obligations continue to apply to the UK in substantially unvaried form under the so-called “UK GDPR”. The UK GDPR exists alongside the UK Data Protection Act 2018 which implements certain derogations in the UK GDPR into UK law.</w:t>
      </w:r>
      <w:r>
        <w:rPr>
          <w:color w:val="000000"/>
        </w:rPr>
        <w:t xml:space="preserve"> </w:t>
      </w:r>
      <w:r>
        <w:rPr>
          <w:rFonts w:ascii="Times New Roman;sans-serif" w:hAnsi="Times New Roman;sans-serif"/>
          <w:b w:val="false"/>
          <w:color w:val="000000"/>
          <w:sz w:val="20"/>
        </w:rPr>
        <w:t>Under the UK GDPR, companies not established in the UK but who process personal data in relation to the offering of goods or services to individuals in the UK, or to monitor their behavior will be subject to the UK GDPR – the requirements of which are (at this time) largely aligned with those under the EU GDPR and as such, may lead to similar compliance and operational costs with potential fines of up to £17.5 million or 4% of global turnover. As a result, we are potentially exposed to two parallel data protection regimes, each of which authorizes fines and the potential for divergent enforcement actions. It should be noted that the UK GDPR also prohibits the transfer of personal data from the UK to other countries that are not recognized as having “adequate” data protection laws, including the U.S., in a similar manner to the EU. In addition, the UK Government has published its own form of SCCs, known as the International Data Transfer Agreement and International Data Transfer Addendum to the new EU SCCs. The UK Information Commissioner’s Office has also published its version of the transfer impact assessment and revised guidance on international transfers, although companies may choose to either use the EU style or UK style transfer impact assessment. In terms of international data transfers between the UK and US, it is understood that the UK and the US are negotiating an adequacy agreement.</w:t>
      </w:r>
    </w:p>
    <w:p>
      <w:pPr>
        <w:pStyle w:val="TextBody"/>
        <w:spacing w:lineRule="auto" w:line="288" w:before="0" w:after="120"/>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In the event we commence clinical trials in the EEA, the UK or Switzerland, applicable data protection laws may increase our responsibility and liability in relation to personal data that we process, and we may be required to put in place additional mechanisms and safeguards to ensure compliance, including as implemented by individual countries. Compliance with data protection laws in the EEA, the UK and Switzerland is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We expect that we will continue to face uncertainty as to whether our efforts to comply with any obligations under European privacy laws will be sufficient. If we are investigated by a European data protection authority, we may face fines and other penalties. Any such investigation or charges by European data protection authorities could have a negative effect on our existing business and on our ability to attract and retain new clients or biopharmaceutical partners. We may also experience hesitancy, reluctance, or refusal by European or multi-national clients or biopharmaceutical partners to continue to use our products and solutions due to the potential risk exposure as a result of the current (and, in particular, future) data protection obligations imposed on them by certain data protection authorities in interpretation of current law. Such clients or biopharmaceutical partners may also view any alternative approaches to compliance as being too costly, too burdensome, too legally uncertain, or otherwise objectionable and therefore decide not to do business with us. Any of the forgoing could materially harm our business, prospects, financial condition and results of operations.</w:t>
      </w:r>
    </w:p>
    <w:p>
      <w:pPr>
        <w:pStyle w:val="TextBody"/>
        <w:spacing w:lineRule="auto" w:line="288" w:before="120" w:after="283"/>
        <w:ind w:left="0" w:right="0" w:firstLine="1080"/>
        <w:rPr/>
      </w:pPr>
      <w:r>
        <w:rPr>
          <w:rFonts w:ascii="Times New Roman;sans-serif" w:hAnsi="Times New Roman;sans-serif"/>
          <w:b/>
          <w:i/>
          <w:color w:val="231F20"/>
          <w:sz w:val="20"/>
        </w:rPr>
        <w:t>Following Brexit, legal, political</w:t>
      </w:r>
      <w:r>
        <w:rPr>
          <w:color w:val="231F20"/>
        </w:rPr>
        <w:t xml:space="preserve"> </w:t>
      </w:r>
      <w:r>
        <w:rPr>
          <w:rFonts w:ascii="Times New Roman;sans-serif" w:hAnsi="Times New Roman;sans-serif"/>
          <w:b/>
          <w:i/>
          <w:color w:val="231F20"/>
          <w:sz w:val="20"/>
        </w:rPr>
        <w:t>and economic</w:t>
      </w:r>
      <w:r>
        <w:rPr>
          <w:color w:val="231F20"/>
        </w:rPr>
        <w:t xml:space="preserve"> </w:t>
      </w:r>
      <w:r>
        <w:rPr>
          <w:rFonts w:ascii="Times New Roman;sans-serif" w:hAnsi="Times New Roman;sans-serif"/>
          <w:b/>
          <w:i/>
          <w:color w:val="231F20"/>
          <w:sz w:val="20"/>
        </w:rPr>
        <w:t>uncertainty</w:t>
      </w:r>
      <w:r>
        <w:rPr>
          <w:color w:val="231F20"/>
        </w:rPr>
        <w:t xml:space="preserve"> </w:t>
      </w:r>
      <w:r>
        <w:rPr>
          <w:rFonts w:ascii="Times New Roman;sans-serif" w:hAnsi="Times New Roman;sans-serif"/>
          <w:b/>
          <w:i/>
          <w:color w:val="231F20"/>
          <w:sz w:val="20"/>
        </w:rPr>
        <w:t>surrounding the exit</w:t>
      </w:r>
      <w:r>
        <w:rPr>
          <w:color w:val="231F20"/>
        </w:rPr>
        <w:t xml:space="preserve"> </w:t>
      </w:r>
      <w:r>
        <w:rPr>
          <w:rFonts w:ascii="Times New Roman;sans-serif" w:hAnsi="Times New Roman;sans-serif"/>
          <w:b/>
          <w:i/>
          <w:color w:val="231F20"/>
          <w:sz w:val="20"/>
        </w:rPr>
        <w:t>of the U.K.</w:t>
      </w:r>
      <w:r>
        <w:rPr>
          <w:color w:val="231F20"/>
        </w:rPr>
        <w:t xml:space="preserve"> </w:t>
      </w:r>
      <w:r>
        <w:rPr>
          <w:rFonts w:ascii="Times New Roman;sans-serif" w:hAnsi="Times New Roman;sans-serif"/>
          <w:b/>
          <w:i/>
          <w:color w:val="231F20"/>
          <w:sz w:val="20"/>
        </w:rPr>
        <w:t>from</w:t>
      </w:r>
      <w:r>
        <w:rPr>
          <w:color w:val="231F20"/>
        </w:rPr>
        <w:t xml:space="preserve"> </w:t>
      </w:r>
      <w:r>
        <w:rPr>
          <w:rFonts w:ascii="Times New Roman;sans-serif" w:hAnsi="Times New Roman;sans-serif"/>
          <w:b/>
          <w:i/>
          <w:color w:val="231F20"/>
          <w:sz w:val="20"/>
        </w:rPr>
        <w:t>the EU may</w:t>
      </w:r>
      <w:r>
        <w:rPr>
          <w:color w:val="231F20"/>
        </w:rPr>
        <w:t xml:space="preserve"> </w:t>
      </w:r>
      <w:r>
        <w:rPr>
          <w:rFonts w:ascii="Times New Roman;sans-serif" w:hAnsi="Times New Roman;sans-serif"/>
          <w:b/>
          <w:i/>
          <w:color w:val="231F20"/>
          <w:sz w:val="20"/>
        </w:rPr>
        <w:t>be a source</w:t>
      </w:r>
      <w:r>
        <w:rPr>
          <w:color w:val="231F20"/>
        </w:rPr>
        <w:t xml:space="preserve"> </w:t>
      </w:r>
      <w:r>
        <w:rPr>
          <w:rFonts w:ascii="Times New Roman;sans-serif" w:hAnsi="Times New Roman;sans-serif"/>
          <w:b/>
          <w:i/>
          <w:color w:val="231F20"/>
          <w:sz w:val="20"/>
        </w:rPr>
        <w:t>of instability</w:t>
      </w:r>
      <w:r>
        <w:rPr>
          <w:color w:val="231F20"/>
        </w:rPr>
        <w:t xml:space="preserve"> </w:t>
      </w:r>
      <w:r>
        <w:rPr>
          <w:rFonts w:ascii="Times New Roman;sans-serif" w:hAnsi="Times New Roman;sans-serif"/>
          <w:b/>
          <w:i/>
          <w:color w:val="231F20"/>
          <w:sz w:val="20"/>
        </w:rPr>
        <w:t>in international</w:t>
      </w:r>
      <w:r>
        <w:rPr>
          <w:color w:val="231F20"/>
        </w:rPr>
        <w:t xml:space="preserve"> </w:t>
      </w:r>
      <w:r>
        <w:rPr>
          <w:rFonts w:ascii="Times New Roman;sans-serif" w:hAnsi="Times New Roman;sans-serif"/>
          <w:b/>
          <w:i/>
          <w:color w:val="231F20"/>
          <w:sz w:val="20"/>
        </w:rPr>
        <w:t>markets,</w:t>
      </w:r>
      <w:r>
        <w:rPr>
          <w:color w:val="231F20"/>
        </w:rPr>
        <w:t xml:space="preserve"> </w:t>
      </w:r>
      <w:r>
        <w:rPr>
          <w:rFonts w:ascii="Times New Roman;sans-serif" w:hAnsi="Times New Roman;sans-serif"/>
          <w:b/>
          <w:i/>
          <w:color w:val="231F20"/>
          <w:sz w:val="20"/>
        </w:rPr>
        <w:t>create</w:t>
      </w:r>
      <w:r>
        <w:rPr>
          <w:color w:val="231F20"/>
        </w:rPr>
        <w:t xml:space="preserve"> </w:t>
      </w:r>
      <w:r>
        <w:rPr>
          <w:rFonts w:ascii="Times New Roman;sans-serif" w:hAnsi="Times New Roman;sans-serif"/>
          <w:b/>
          <w:i/>
          <w:color w:val="231F20"/>
          <w:sz w:val="20"/>
        </w:rPr>
        <w:t>significant</w:t>
      </w:r>
      <w:r>
        <w:rPr>
          <w:color w:val="231F20"/>
        </w:rPr>
        <w:t xml:space="preserve"> </w:t>
      </w:r>
      <w:r>
        <w:rPr>
          <w:rFonts w:ascii="Times New Roman;sans-serif" w:hAnsi="Times New Roman;sans-serif"/>
          <w:b/>
          <w:i/>
          <w:color w:val="231F20"/>
          <w:sz w:val="20"/>
        </w:rPr>
        <w:t>currency</w:t>
      </w:r>
      <w:r>
        <w:rPr>
          <w:color w:val="231F20"/>
        </w:rPr>
        <w:t xml:space="preserve"> </w:t>
      </w:r>
      <w:r>
        <w:rPr>
          <w:rFonts w:ascii="Times New Roman;sans-serif" w:hAnsi="Times New Roman;sans-serif"/>
          <w:b/>
          <w:i/>
          <w:color w:val="231F20"/>
          <w:sz w:val="20"/>
        </w:rPr>
        <w:t>fluctuations,</w:t>
      </w:r>
      <w:r>
        <w:rPr>
          <w:color w:val="231F20"/>
        </w:rPr>
        <w:t xml:space="preserve"> </w:t>
      </w:r>
      <w:r>
        <w:rPr>
          <w:rFonts w:ascii="Times New Roman;sans-serif" w:hAnsi="Times New Roman;sans-serif"/>
          <w:b/>
          <w:i/>
          <w:color w:val="231F20"/>
          <w:sz w:val="20"/>
        </w:rPr>
        <w:t>adversely</w:t>
      </w:r>
      <w:r>
        <w:rPr>
          <w:color w:val="231F20"/>
        </w:rPr>
        <w:t xml:space="preserve"> </w:t>
      </w:r>
      <w:r>
        <w:rPr>
          <w:rFonts w:ascii="Times New Roman;sans-serif" w:hAnsi="Times New Roman;sans-serif"/>
          <w:b/>
          <w:i/>
          <w:color w:val="231F20"/>
          <w:sz w:val="20"/>
        </w:rPr>
        <w:t>affect</w:t>
      </w:r>
      <w:r>
        <w:rPr>
          <w:color w:val="231F20"/>
        </w:rPr>
        <w:t xml:space="preserve"> </w:t>
      </w:r>
      <w:r>
        <w:rPr>
          <w:rFonts w:ascii="Times New Roman;sans-serif" w:hAnsi="Times New Roman;sans-serif"/>
          <w:b/>
          <w:i/>
          <w:color w:val="231F20"/>
          <w:sz w:val="20"/>
        </w:rPr>
        <w:t>our operations in the U.K.</w:t>
      </w:r>
      <w:r>
        <w:rPr>
          <w:color w:val="231F20"/>
        </w:rPr>
        <w:t xml:space="preserve"> </w:t>
      </w:r>
      <w:r>
        <w:rPr>
          <w:rFonts w:ascii="Times New Roman;sans-serif" w:hAnsi="Times New Roman;sans-serif"/>
          <w:b/>
          <w:i/>
          <w:color w:val="231F20"/>
          <w:sz w:val="20"/>
        </w:rPr>
        <w:t>and pose additional</w:t>
      </w:r>
      <w:r>
        <w:rPr>
          <w:color w:val="231F20"/>
        </w:rPr>
        <w:t xml:space="preserve"> </w:t>
      </w:r>
      <w:r>
        <w:rPr>
          <w:rFonts w:ascii="Times New Roman;sans-serif" w:hAnsi="Times New Roman;sans-serif"/>
          <w:b/>
          <w:i/>
          <w:color w:val="231F20"/>
          <w:sz w:val="20"/>
        </w:rPr>
        <w:t>risks</w:t>
      </w:r>
      <w:r>
        <w:rPr>
          <w:color w:val="231F20"/>
        </w:rPr>
        <w:t xml:space="preserve"> </w:t>
      </w:r>
      <w:r>
        <w:rPr>
          <w:rFonts w:ascii="Times New Roman;sans-serif" w:hAnsi="Times New Roman;sans-serif"/>
          <w:b/>
          <w:i/>
          <w:color w:val="231F20"/>
          <w:sz w:val="20"/>
        </w:rPr>
        <w:t>to our business,</w:t>
      </w:r>
      <w:r>
        <w:rPr>
          <w:color w:val="231F20"/>
        </w:rPr>
        <w:t xml:space="preserve"> </w:t>
      </w:r>
      <w:r>
        <w:rPr>
          <w:rFonts w:ascii="Times New Roman;sans-serif" w:hAnsi="Times New Roman;sans-serif"/>
          <w:b/>
          <w:i/>
          <w:color w:val="231F20"/>
          <w:sz w:val="20"/>
        </w:rPr>
        <w:t>revenue,</w:t>
      </w:r>
      <w:r>
        <w:rPr>
          <w:color w:val="231F20"/>
        </w:rPr>
        <w:t xml:space="preserve"> </w:t>
      </w:r>
      <w:r>
        <w:rPr>
          <w:rFonts w:ascii="Times New Roman;sans-serif" w:hAnsi="Times New Roman;sans-serif"/>
          <w:b/>
          <w:i/>
          <w:color w:val="231F20"/>
          <w:sz w:val="20"/>
        </w:rPr>
        <w:t>financial</w:t>
      </w:r>
      <w:r>
        <w:rPr>
          <w:color w:val="231F20"/>
        </w:rPr>
        <w:t xml:space="preserve"> </w:t>
      </w:r>
      <w:r>
        <w:rPr>
          <w:rFonts w:ascii="Times New Roman;sans-serif" w:hAnsi="Times New Roman;sans-serif"/>
          <w:b/>
          <w:i/>
          <w:color w:val="231F20"/>
          <w:sz w:val="20"/>
        </w:rPr>
        <w:t>condition</w:t>
      </w:r>
      <w:r>
        <w:rPr>
          <w:color w:val="231F20"/>
        </w:rPr>
        <w:t xml:space="preserve"> </w:t>
      </w:r>
      <w:r>
        <w:rPr>
          <w:rFonts w:ascii="Times New Roman;sans-serif" w:hAnsi="Times New Roman;sans-serif"/>
          <w:b/>
          <w:i/>
          <w:color w:val="231F20"/>
          <w:sz w:val="20"/>
        </w:rPr>
        <w:t>and results</w:t>
      </w:r>
      <w:r>
        <w:rPr>
          <w:color w:val="231F20"/>
        </w:rPr>
        <w:t xml:space="preserve"> </w:t>
      </w:r>
      <w:r>
        <w:rPr>
          <w:rFonts w:ascii="Times New Roman;sans-serif" w:hAnsi="Times New Roman;sans-serif"/>
          <w:b/>
          <w:i/>
          <w:color w:val="231F20"/>
          <w:sz w:val="20"/>
        </w:rPr>
        <w:t>of operations.</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On January 31, 2020, the U.K. ceased being a Member State of the EU. The U.K. and the EU signed a EU-UK Trade and Cooperation Agreement, or TCA, which became effective on May 1, 2021. Such a withdrawal from the EU is unprecedented, and it is unclear how the restrictions on the U.K.’s access to the European single market for goods, capital, services and labor within the EU, or single market, and the wider commercial, legal and regulatory environment, will impact our current and future operations (including business activities conducted by third parties and contract manufacturers on our behalf) and clinical activities in the U.K.</w:t>
      </w:r>
    </w:p>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v:rect>
            </w:pict>
          </mc:Fallback>
        </mc:AlternateContent>
      </w:r>
    </w:p>
    <w:p>
      <w:pPr>
        <w:pStyle w:val="TextBody"/>
        <w:spacing w:before="0" w:after="0"/>
        <w:rPr/>
      </w:pPr>
      <w:r>
        <w:rPr/>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 xml:space="preserve">We may also face new regulatory costs and challenges that could have an adverse effect on our operations. Since the regulatory framework in the U.K. covering quality, safety and efficacy of pharmaceutical products, clinical trials, marketing authorization, commercial sales and distribution of pharmaceutical products is derived from EU Directives and Regulations, Brexit could materially impact the future regulatory regime with respect to the approval of our product candidates in the U.K., now that U.K. legislation may depart from EU legislation. For instance, now the transition period has expired, Great Britain will no longer be covered by the centralized procedure for obtaining an EEA-wide marketing authorization from the European Medicines Agency, or EMA, and a separate process , will be required for authorization of drug products covering the UK or Great Britain only. Any delay in obtaining, or an inability to obtain, any regulatory approvals, as a result of Brexit or otherwise, would prevent us from commercializing our product candidates in the U.K. and/or the EU and restrict our ability to generate revenue and achieve and sustain profitability. If any of these outcomes occur, we may be forced to restrict or delay efforts to seek regulatory approval in the U.K. and/or EU for our product candidates, which could significantly and materially harm our business. </w:t>
      </w:r>
    </w:p>
    <w:p>
      <w:pPr>
        <w:pStyle w:val="TextBody"/>
        <w:spacing w:lineRule="auto" w:line="268" w:before="0" w:after="0"/>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The TCA allows for future deviation from the current regulatory framework and it is not known if and/or when any deviations may occur, which may have an impact on development, manufacture, marketing authorization, commercial sales and distribution of pharmaceutical products. The U.K. Government and the EU recently adopted a new agreement, the “Windsor Framework,” which will replace the Northern Ireland Protocol. Once the Windsor Framework becomes law, the MHRA rather than the EMA will approve all medicines placed on the market in Northern Ireland.</w:t>
      </w:r>
    </w:p>
    <w:p>
      <w:pPr>
        <w:pStyle w:val="TextBody"/>
        <w:spacing w:lineRule="auto" w:line="288" w:before="120" w:after="283"/>
        <w:ind w:left="0" w:right="0" w:firstLine="1080"/>
        <w:rPr/>
      </w:pPr>
      <w:r>
        <w:rPr>
          <w:rFonts w:ascii="Times New Roman;sans-serif" w:hAnsi="Times New Roman;sans-serif"/>
          <w:b/>
          <w:i/>
          <w:color w:val="231F20"/>
          <w:sz w:val="20"/>
        </w:rPr>
        <w:t>Changes in U.S.</w:t>
      </w:r>
      <w:r>
        <w:rPr>
          <w:color w:val="231F20"/>
        </w:rPr>
        <w:t xml:space="preserve"> </w:t>
      </w:r>
      <w:r>
        <w:rPr>
          <w:rFonts w:ascii="Times New Roman;sans-serif" w:hAnsi="Times New Roman;sans-serif"/>
          <w:b/>
          <w:i/>
          <w:color w:val="231F20"/>
          <w:sz w:val="20"/>
        </w:rPr>
        <w:t>tax law could adversely</w:t>
      </w:r>
      <w:r>
        <w:rPr>
          <w:color w:val="231F20"/>
        </w:rPr>
        <w:t xml:space="preserve"> </w:t>
      </w:r>
      <w:r>
        <w:rPr>
          <w:rFonts w:ascii="Times New Roman;sans-serif" w:hAnsi="Times New Roman;sans-serif"/>
          <w:b/>
          <w:i/>
          <w:color w:val="231F20"/>
          <w:sz w:val="20"/>
        </w:rPr>
        <w:t>affect</w:t>
      </w:r>
      <w:r>
        <w:rPr>
          <w:color w:val="231F20"/>
        </w:rPr>
        <w:t xml:space="preserve"> </w:t>
      </w:r>
      <w:r>
        <w:rPr>
          <w:rFonts w:ascii="Times New Roman;sans-serif" w:hAnsi="Times New Roman;sans-serif"/>
          <w:b/>
          <w:i/>
          <w:color w:val="231F20"/>
          <w:sz w:val="20"/>
        </w:rPr>
        <w:t>our financial</w:t>
      </w:r>
      <w:r>
        <w:rPr>
          <w:color w:val="231F20"/>
        </w:rPr>
        <w:t xml:space="preserve"> </w:t>
      </w:r>
      <w:r>
        <w:rPr>
          <w:rFonts w:ascii="Times New Roman;sans-serif" w:hAnsi="Times New Roman;sans-serif"/>
          <w:b/>
          <w:i/>
          <w:color w:val="231F20"/>
          <w:sz w:val="20"/>
        </w:rPr>
        <w:t>condition</w:t>
      </w:r>
      <w:r>
        <w:rPr>
          <w:color w:val="231F20"/>
        </w:rPr>
        <w:t xml:space="preserve"> </w:t>
      </w:r>
      <w:r>
        <w:rPr>
          <w:rFonts w:ascii="Times New Roman;sans-serif" w:hAnsi="Times New Roman;sans-serif"/>
          <w:b/>
          <w:i/>
          <w:color w:val="231F20"/>
          <w:sz w:val="20"/>
        </w:rPr>
        <w:t>and results</w:t>
      </w:r>
      <w:r>
        <w:rPr>
          <w:color w:val="231F20"/>
        </w:rPr>
        <w:t xml:space="preserve"> </w:t>
      </w:r>
      <w:r>
        <w:rPr>
          <w:rFonts w:ascii="Times New Roman;sans-serif" w:hAnsi="Times New Roman;sans-serif"/>
          <w:b/>
          <w:i/>
          <w:color w:val="231F20"/>
          <w:sz w:val="20"/>
        </w:rPr>
        <w:t>of operations.</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The rules dealing with U.S. federal, state and local income taxation are constantly under review by persons involved in the legislative process and by the U.S. Internal Revenue Service and the U.S. Treasury Department. Changes to tax laws (which changes may have retroactive application) could adversely affect us or holders of our common stock. In recent years, many such changes have been made and changes are likely to continue to occur in the future. Future changes in U.S. tax laws could have a material adverse effect on our business, cash flow, financial condition or results of operations. We urge investors to consult with their legal and tax advisors regarding the implications of potential changes in U.S. tax laws on an investment in our common stock.</w:t>
      </w:r>
    </w:p>
    <w:p>
      <w:pPr>
        <w:pStyle w:val="TextBody"/>
        <w:spacing w:lineRule="auto" w:line="288" w:before="120" w:after="283"/>
        <w:ind w:left="0" w:right="0" w:firstLine="1080"/>
        <w:rPr/>
      </w:pPr>
      <w:r>
        <w:rPr>
          <w:rFonts w:ascii="Times New Roman;sans-serif" w:hAnsi="Times New Roman;sans-serif"/>
          <w:b/>
          <w:i/>
          <w:color w:val="231F20"/>
          <w:sz w:val="20"/>
        </w:rPr>
        <w:t>Our internal</w:t>
      </w:r>
      <w:r>
        <w:rPr>
          <w:color w:val="231F20"/>
        </w:rPr>
        <w:t xml:space="preserve"> </w:t>
      </w:r>
      <w:r>
        <w:rPr>
          <w:rFonts w:ascii="Times New Roman;sans-serif" w:hAnsi="Times New Roman;sans-serif"/>
          <w:b/>
          <w:i/>
          <w:color w:val="231F20"/>
          <w:sz w:val="20"/>
        </w:rPr>
        <w:t>computer</w:t>
      </w:r>
      <w:r>
        <w:rPr>
          <w:color w:val="231F20"/>
        </w:rPr>
        <w:t xml:space="preserve"> </w:t>
      </w:r>
      <w:r>
        <w:rPr>
          <w:rFonts w:ascii="Times New Roman;sans-serif" w:hAnsi="Times New Roman;sans-serif"/>
          <w:b/>
          <w:i/>
          <w:color w:val="231F20"/>
          <w:sz w:val="20"/>
        </w:rPr>
        <w:t>systems,</w:t>
      </w:r>
      <w:r>
        <w:rPr>
          <w:color w:val="231F20"/>
        </w:rPr>
        <w:t xml:space="preserve"> </w:t>
      </w:r>
      <w:r>
        <w:rPr>
          <w:rFonts w:ascii="Times New Roman;sans-serif" w:hAnsi="Times New Roman;sans-serif"/>
          <w:b/>
          <w:i/>
          <w:color w:val="231F20"/>
          <w:sz w:val="20"/>
        </w:rPr>
        <w:t>or those</w:t>
      </w:r>
      <w:r>
        <w:rPr>
          <w:color w:val="231F20"/>
        </w:rPr>
        <w:t xml:space="preserve"> </w:t>
      </w:r>
      <w:r>
        <w:rPr>
          <w:rFonts w:ascii="Times New Roman;sans-serif" w:hAnsi="Times New Roman;sans-serif"/>
          <w:b/>
          <w:i/>
          <w:color w:val="231F20"/>
          <w:sz w:val="20"/>
        </w:rPr>
        <w:t>of our collaborators</w:t>
      </w:r>
      <w:r>
        <w:rPr>
          <w:color w:val="231F20"/>
        </w:rPr>
        <w:t xml:space="preserve"> </w:t>
      </w:r>
      <w:r>
        <w:rPr>
          <w:rFonts w:ascii="Times New Roman;sans-serif" w:hAnsi="Times New Roman;sans-serif"/>
          <w:b/>
          <w:i/>
          <w:color w:val="231F20"/>
          <w:sz w:val="20"/>
        </w:rPr>
        <w:t>or other</w:t>
      </w:r>
      <w:r>
        <w:rPr>
          <w:color w:val="231F20"/>
        </w:rPr>
        <w:t xml:space="preserve"> </w:t>
      </w:r>
      <w:r>
        <w:rPr>
          <w:rFonts w:ascii="Times New Roman;sans-serif" w:hAnsi="Times New Roman;sans-serif"/>
          <w:b/>
          <w:i/>
          <w:color w:val="231F20"/>
          <w:sz w:val="20"/>
        </w:rPr>
        <w:t>contractors</w:t>
      </w:r>
      <w:r>
        <w:rPr>
          <w:color w:val="231F20"/>
        </w:rPr>
        <w:t xml:space="preserve"> </w:t>
      </w:r>
      <w:r>
        <w:rPr>
          <w:rFonts w:ascii="Times New Roman;sans-serif" w:hAnsi="Times New Roman;sans-serif"/>
          <w:b/>
          <w:i/>
          <w:color w:val="231F20"/>
          <w:sz w:val="20"/>
        </w:rPr>
        <w:t>or consultants,</w:t>
      </w:r>
      <w:r>
        <w:rPr>
          <w:color w:val="231F20"/>
        </w:rPr>
        <w:t xml:space="preserve"> </w:t>
      </w:r>
      <w:r>
        <w:rPr>
          <w:rFonts w:ascii="Times New Roman;sans-serif" w:hAnsi="Times New Roman;sans-serif"/>
          <w:b/>
          <w:i/>
          <w:color w:val="231F20"/>
          <w:sz w:val="20"/>
        </w:rPr>
        <w:t>may</w:t>
      </w:r>
      <w:r>
        <w:rPr>
          <w:color w:val="231F20"/>
        </w:rPr>
        <w:t xml:space="preserve"> </w:t>
      </w:r>
      <w:r>
        <w:rPr>
          <w:rFonts w:ascii="Times New Roman;sans-serif" w:hAnsi="Times New Roman;sans-serif"/>
          <w:b/>
          <w:i/>
          <w:color w:val="231F20"/>
          <w:sz w:val="20"/>
        </w:rPr>
        <w:t>fail or suffer</w:t>
      </w:r>
      <w:r>
        <w:rPr>
          <w:color w:val="231F20"/>
        </w:rPr>
        <w:t xml:space="preserve"> </w:t>
      </w:r>
      <w:r>
        <w:rPr>
          <w:rFonts w:ascii="Times New Roman;sans-serif" w:hAnsi="Times New Roman;sans-serif"/>
          <w:b/>
          <w:i/>
          <w:color w:val="231F20"/>
          <w:sz w:val="20"/>
        </w:rPr>
        <w:t>security</w:t>
      </w:r>
      <w:r>
        <w:rPr>
          <w:color w:val="231F20"/>
        </w:rPr>
        <w:t xml:space="preserve"> </w:t>
      </w:r>
      <w:r>
        <w:rPr>
          <w:rFonts w:ascii="Times New Roman;sans-serif" w:hAnsi="Times New Roman;sans-serif"/>
          <w:b/>
          <w:i/>
          <w:color w:val="231F20"/>
          <w:sz w:val="20"/>
        </w:rPr>
        <w:t>breaches,</w:t>
      </w:r>
      <w:r>
        <w:rPr>
          <w:color w:val="231F20"/>
        </w:rPr>
        <w:t xml:space="preserve"> </w:t>
      </w:r>
      <w:r>
        <w:rPr>
          <w:rFonts w:ascii="Times New Roman;sans-serif" w:hAnsi="Times New Roman;sans-serif"/>
          <w:b/>
          <w:i/>
          <w:color w:val="231F20"/>
          <w:sz w:val="20"/>
        </w:rPr>
        <w:t>which could result</w:t>
      </w:r>
      <w:r>
        <w:rPr>
          <w:color w:val="231F20"/>
        </w:rPr>
        <w:t xml:space="preserve"> </w:t>
      </w:r>
      <w:r>
        <w:rPr>
          <w:rFonts w:ascii="Times New Roman;sans-serif" w:hAnsi="Times New Roman;sans-serif"/>
          <w:b/>
          <w:i/>
          <w:color w:val="231F20"/>
          <w:sz w:val="20"/>
        </w:rPr>
        <w:t>in a material</w:t>
      </w:r>
      <w:r>
        <w:rPr>
          <w:color w:val="231F20"/>
        </w:rPr>
        <w:t xml:space="preserve"> </w:t>
      </w:r>
      <w:r>
        <w:rPr>
          <w:rFonts w:ascii="Times New Roman;sans-serif" w:hAnsi="Times New Roman;sans-serif"/>
          <w:b/>
          <w:i/>
          <w:color w:val="231F20"/>
          <w:sz w:val="20"/>
        </w:rPr>
        <w:t>disruption</w:t>
      </w:r>
      <w:r>
        <w:rPr>
          <w:color w:val="231F20"/>
        </w:rPr>
        <w:t xml:space="preserve"> </w:t>
      </w:r>
      <w:r>
        <w:rPr>
          <w:rFonts w:ascii="Times New Roman;sans-serif" w:hAnsi="Times New Roman;sans-serif"/>
          <w:b/>
          <w:i/>
          <w:color w:val="231F20"/>
          <w:sz w:val="20"/>
        </w:rPr>
        <w:t>of our product</w:t>
      </w:r>
      <w:r>
        <w:rPr>
          <w:color w:val="231F20"/>
        </w:rPr>
        <w:t xml:space="preserve"> </w:t>
      </w:r>
      <w:r>
        <w:rPr>
          <w:rFonts w:ascii="Times New Roman;sans-serif" w:hAnsi="Times New Roman;sans-serif"/>
          <w:b/>
          <w:i/>
          <w:color w:val="231F20"/>
          <w:sz w:val="20"/>
        </w:rPr>
        <w:t>development programs.</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Our internal computer systems and those of our current and any future collaborators, other contractors or consultants, and third-party suppliers (i.e. our supply chain) are vulnerable to damage from computer viruses, unauthorized access, natural disasters, terrorism, war and telecommunication and electrical failures. We exercise little or no direct control over how these third parties operate their networks, which increases our vulnerability to problems with their systems. While we have not experienced any such material system failure, accident or security breach to date, if such an event were to occur and cause interruptions in our information systems, it could result in a disruption of our development programs and our business operations, whether due to a loss of our trade secrets or other proprietary information or other similar disruptions. For example, the loss of clinical trial data from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We could be subject to risks caused by misappropriation, misuse, leakage, falsification or intentional or accidental release, exposure or loss of information maintained in the information systems and networks of our company and our vendors, including personal information of our employees and study subjects, and company and vendor confidential data. In addition, outside parties may attempt to penetrate our systems or those of our vendors or fraudulently induce our personnel or the personnel of our vendors to disclose sensitive information in order to gain access to our data and/or systems. We may experience threats to our data and systems, including malicious code and viruses, supply chain attacks, phishing and other cyberattacks. The number and complexity of these threats continue to increase over time. If a material breach of, or accidental or intentional loss of data from, our information technology systems or those of our vendors occurs, the market perception of the effectiveness of our security measures could be harmed and our reputation and credibility could be damaged. We could be required to expend significant amounts of money and other resources to repair or replace information systems or networks.</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could be subject to regulatory actions and/or claims made by individuals and groups in private litigation involving privacy issues related to data collection and use practices and other data privacy laws and regulations, including claims for misuse or inappropriate disclosure of data, as well as unfair or deceptive practices. Although we develop and maintain systems and controls designed to prevent these events from occurring, and we have a process to identify and mitigate threats, the development and maintenance of these systems, controls and processes is costly and requires ongoing monitoring and updating as technologies change and efforts to overcome security measures become increasingly sophisticated. </w:t>
      </w:r>
    </w:p>
    <w:p>
      <w:pPr>
        <w:pStyle w:val="HorizontalLine"/>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v:rect>
            </w:pict>
          </mc:Fallback>
        </mc:AlternateContent>
      </w:r>
    </w:p>
    <w:p>
      <w:pPr>
        <w:pStyle w:val="TextBody"/>
        <w:spacing w:before="0" w:after="0"/>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Moreover, despite our efforts, the possibility of these events occurring cannot be eliminated entirely. As we outsource more of our information systems to vendors, engage in more electronic transactions with payors and patients, and rely more on cloud- based information systems, the related security risks will increase and we will need to expend additional resources to protect our technology and information systems.</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In addition, there can be no assurance that our internal information technology systems or those of our third- party contractors, or our consultants’ efforts to implement adequate security and control measures, will be sufficient to protect us against breakdowns, service disruption, data deterioration or loss in the event of a system malfunction, or prevent data from being stolen or corrupted in the event of a cyberattack, security breach, industrial espionage attacks or insider threat attacks which could result in financial, legal, business or reputational harm.</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In addition, while we maintain, insurance policies that may cover certain liabilities in connection with a cybersecurity incident, we cannot be certain that the insurance coverage will be adequate for liabilities actually incurred, that insurance will continue to be available to us on commercially reasonable terms, or at all, or that any insurer will not deny coverage as to any future claim. The successful assertion of one or more large claims that exceed available insurance coverage, or the occurrence of changes in insurance policies, including premium increases or the imposition of large deductible or co-insurance requirements, could have a material adverse effect on our business, including its financial condition, results of operations and reputation.</w:t>
      </w:r>
    </w:p>
    <w:p>
      <w:pPr>
        <w:pStyle w:val="TextBody"/>
        <w:spacing w:lineRule="auto" w:line="288" w:before="120" w:after="283"/>
        <w:ind w:left="0" w:right="0" w:firstLine="1080"/>
        <w:rPr>
          <w:rFonts w:ascii="Times New Roman;sans-serif" w:hAnsi="Times New Roman;sans-serif"/>
          <w:b/>
          <w:i/>
          <w:color w:val="231F20"/>
          <w:sz w:val="20"/>
        </w:rPr>
      </w:pPr>
      <w:r>
        <w:rPr>
          <w:rFonts w:ascii="Times New Roman;sans-serif" w:hAnsi="Times New Roman;sans-serif"/>
          <w:b/>
          <w:i/>
          <w:color w:val="231F20"/>
          <w:sz w:val="20"/>
        </w:rPr>
        <w:t>Unfavorable global economic conditions could adversely affect our business, financial condition or results of operations.</w:t>
      </w:r>
    </w:p>
    <w:p>
      <w:pPr>
        <w:pStyle w:val="TextBody"/>
        <w:spacing w:lineRule="auto" w:line="268" w:before="0" w:after="0"/>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Our results of operations could be adversely affected by general conditions in the global economy and in the global financial markets. Portions of our future clinical trials may be conducted outside of the United States and unfavorable economic conditions resulting in the weakening of the U.S. dollar would make those clinical trials costlier to operate. Furthermore, the most recent global financial crisis caused extreme volatility and disruptions in the capital and credit markets. A severe or prolonged economic downturn, including due to the impact of the COVID-19 pandemic, Russian invasion of Ukraine, rising inflationary pressures and rising interest rates could result in a variety of risks to our business, including a reduced ability to raise additional capital when needed on acceptable terms, if at all. A weak or declining economy or international trade disputes could also strain our suppliers, some of which are located outside of the United States, possibly resulting in supply disruption. Any of the foregoing could harm our business and we cannot anticipate all of the ways in which the current economic climate and financial market conditions could adversely impact our business.</w:t>
      </w:r>
    </w:p>
    <w:p>
      <w:pPr>
        <w:pStyle w:val="TextBody"/>
        <w:spacing w:lineRule="auto" w:line="288" w:before="120" w:after="283"/>
        <w:ind w:left="0" w:right="0" w:firstLine="1080"/>
        <w:rPr>
          <w:rFonts w:ascii="Times New Roman;sans-serif" w:hAnsi="Times New Roman;sans-serif"/>
          <w:b/>
          <w:i/>
          <w:color w:val="231F20"/>
          <w:sz w:val="20"/>
        </w:rPr>
      </w:pPr>
      <w:r>
        <w:rPr>
          <w:rFonts w:ascii="Times New Roman;sans-serif" w:hAnsi="Times New Roman;sans-serif"/>
          <w:b/>
          <w:i/>
          <w:color w:val="231F20"/>
          <w:sz w:val="20"/>
        </w:rPr>
        <w:t>The increasing use of social media platforms presents new risks and challenges.</w:t>
      </w:r>
    </w:p>
    <w:p>
      <w:pPr>
        <w:pStyle w:val="TextBody"/>
        <w:spacing w:lineRule="auto" w:line="288" w:before="12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Social media is increasingly being used to communicate about our clinical development programs and the diseases our therapeutics are being developed to treat, and we intend to utilize appropriate social media in connection with our commercialization efforts following approval of our product candidates, if any. Social media practices in the biopharmaceutical industry continue to evolve and regulations and regulatory guidance relating to such use are evolving and not always clear. This evolution creates uncertainty and risk of noncompliance with regulations applicable to our business, resulting in potential regulatory actions against us, along with the potential for litigation related to off-label marketing or other prohibited activities. For example, patients may use social media channels to comment on their experience in an ongoing blinded clinical trial or to report an alleged adverse event. When such disclosures occur, there is a risk that trial enrollment may be adversely impacted, that we may fail to monitor and comply with applicable adverse event reporting obligations or that we may not be able to defend our business or the public’s legitimate interests in the face of the political and market pressures generated by social media due to restrictions on what we may say about our product candidates. There is also a risk of inappropriate disclosure of sensitive information or negative or inaccurate posts or comments about us on any social networking website. If any of these events were to occur or we otherwise fail to comply with applicable regulations, we could incur liability, face regulatory actions or incur other harm to our business.</w:t>
      </w:r>
    </w:p>
    <w:p>
      <w:pPr>
        <w:pStyle w:val="TextBody"/>
        <w:spacing w:lineRule="auto" w:line="288" w:before="120" w:after="283"/>
        <w:ind w:left="0" w:right="0" w:firstLine="1280"/>
        <w:jc w:val="both"/>
        <w:rPr/>
      </w:pPr>
      <w:r>
        <w:rPr>
          <w:rFonts w:ascii="Times New Roman;sans-serif" w:hAnsi="Times New Roman;sans-serif"/>
          <w:b/>
          <w:i/>
          <w:color w:val="231F20"/>
          <w:sz w:val="20"/>
        </w:rPr>
        <w:t>Our estimates</w:t>
      </w:r>
      <w:r>
        <w:rPr>
          <w:color w:val="231F20"/>
        </w:rPr>
        <w:t xml:space="preserve"> </w:t>
      </w:r>
      <w:r>
        <w:rPr>
          <w:rFonts w:ascii="Times New Roman;sans-serif" w:hAnsi="Times New Roman;sans-serif"/>
          <w:b/>
          <w:i/>
          <w:color w:val="231F20"/>
          <w:sz w:val="20"/>
        </w:rPr>
        <w:t>of market</w:t>
      </w:r>
      <w:r>
        <w:rPr>
          <w:color w:val="231F20"/>
        </w:rPr>
        <w:t xml:space="preserve"> </w:t>
      </w:r>
      <w:r>
        <w:rPr>
          <w:rFonts w:ascii="Times New Roman;sans-serif" w:hAnsi="Times New Roman;sans-serif"/>
          <w:b/>
          <w:i/>
          <w:color w:val="231F20"/>
          <w:sz w:val="20"/>
        </w:rPr>
        <w:t>opportunity</w:t>
      </w:r>
      <w:r>
        <w:rPr>
          <w:color w:val="231F20"/>
        </w:rPr>
        <w:t xml:space="preserve"> </w:t>
      </w:r>
      <w:r>
        <w:rPr>
          <w:rFonts w:ascii="Times New Roman;sans-serif" w:hAnsi="Times New Roman;sans-serif"/>
          <w:b/>
          <w:i/>
          <w:color w:val="231F20"/>
          <w:sz w:val="20"/>
        </w:rPr>
        <w:t>and forecasts</w:t>
      </w:r>
      <w:r>
        <w:rPr>
          <w:color w:val="231F20"/>
        </w:rPr>
        <w:t xml:space="preserve"> </w:t>
      </w:r>
      <w:r>
        <w:rPr>
          <w:rFonts w:ascii="Times New Roman;sans-serif" w:hAnsi="Times New Roman;sans-serif"/>
          <w:b/>
          <w:i/>
          <w:color w:val="231F20"/>
          <w:sz w:val="20"/>
        </w:rPr>
        <w:t>of market</w:t>
      </w:r>
      <w:r>
        <w:rPr>
          <w:color w:val="231F20"/>
        </w:rPr>
        <w:t xml:space="preserve"> </w:t>
      </w:r>
      <w:r>
        <w:rPr>
          <w:rFonts w:ascii="Times New Roman;sans-serif" w:hAnsi="Times New Roman;sans-serif"/>
          <w:b/>
          <w:i/>
          <w:color w:val="231F20"/>
          <w:sz w:val="20"/>
        </w:rPr>
        <w:t>growth may</w:t>
      </w:r>
      <w:r>
        <w:rPr>
          <w:color w:val="231F20"/>
        </w:rPr>
        <w:t xml:space="preserve"> </w:t>
      </w:r>
      <w:r>
        <w:rPr>
          <w:rFonts w:ascii="Times New Roman;sans-serif" w:hAnsi="Times New Roman;sans-serif"/>
          <w:b/>
          <w:i/>
          <w:color w:val="231F20"/>
          <w:sz w:val="20"/>
        </w:rPr>
        <w:t>prove</w:t>
      </w:r>
      <w:r>
        <w:rPr>
          <w:color w:val="231F20"/>
        </w:rPr>
        <w:t xml:space="preserve"> </w:t>
      </w:r>
      <w:r>
        <w:rPr>
          <w:rFonts w:ascii="Times New Roman;sans-serif" w:hAnsi="Times New Roman;sans-serif"/>
          <w:b/>
          <w:i/>
          <w:color w:val="231F20"/>
          <w:sz w:val="20"/>
        </w:rPr>
        <w:t>to be inaccurate,</w:t>
      </w:r>
      <w:r>
        <w:rPr>
          <w:color w:val="231F20"/>
        </w:rPr>
        <w:t xml:space="preserve"> </w:t>
      </w:r>
      <w:r>
        <w:rPr>
          <w:rFonts w:ascii="Times New Roman;sans-serif" w:hAnsi="Times New Roman;sans-serif"/>
          <w:b/>
          <w:i/>
          <w:color w:val="231F20"/>
          <w:sz w:val="20"/>
        </w:rPr>
        <w:t>and even if the markets</w:t>
      </w:r>
      <w:r>
        <w:rPr>
          <w:color w:val="231F20"/>
        </w:rPr>
        <w:t xml:space="preserve"> </w:t>
      </w:r>
      <w:r>
        <w:rPr>
          <w:rFonts w:ascii="Times New Roman;sans-serif" w:hAnsi="Times New Roman;sans-serif"/>
          <w:b/>
          <w:i/>
          <w:color w:val="231F20"/>
          <w:sz w:val="20"/>
        </w:rPr>
        <w:t>in which we compete</w:t>
      </w:r>
      <w:r>
        <w:rPr>
          <w:color w:val="231F20"/>
        </w:rPr>
        <w:t xml:space="preserve"> </w:t>
      </w:r>
      <w:r>
        <w:rPr>
          <w:rFonts w:ascii="Times New Roman;sans-serif" w:hAnsi="Times New Roman;sans-serif"/>
          <w:b/>
          <w:i/>
          <w:color w:val="231F20"/>
          <w:sz w:val="20"/>
        </w:rPr>
        <w:t>achieve</w:t>
      </w:r>
      <w:r>
        <w:rPr>
          <w:color w:val="231F20"/>
        </w:rPr>
        <w:t xml:space="preserve"> </w:t>
      </w:r>
      <w:r>
        <w:rPr>
          <w:rFonts w:ascii="Times New Roman;sans-serif" w:hAnsi="Times New Roman;sans-serif"/>
          <w:b/>
          <w:i/>
          <w:color w:val="231F20"/>
          <w:sz w:val="20"/>
        </w:rPr>
        <w:t>the forecasted</w:t>
      </w:r>
      <w:r>
        <w:rPr>
          <w:color w:val="231F20"/>
        </w:rPr>
        <w:t xml:space="preserve"> </w:t>
      </w:r>
      <w:r>
        <w:rPr>
          <w:rFonts w:ascii="Times New Roman;sans-serif" w:hAnsi="Times New Roman;sans-serif"/>
          <w:b/>
          <w:i/>
          <w:color w:val="231F20"/>
          <w:sz w:val="20"/>
        </w:rPr>
        <w:t>growth, our business</w:t>
      </w:r>
      <w:r>
        <w:rPr>
          <w:color w:val="231F20"/>
        </w:rPr>
        <w:t xml:space="preserve"> </w:t>
      </w:r>
      <w:r>
        <w:rPr>
          <w:rFonts w:ascii="Times New Roman;sans-serif" w:hAnsi="Times New Roman;sans-serif"/>
          <w:b/>
          <w:i/>
          <w:color w:val="231F20"/>
          <w:sz w:val="20"/>
        </w:rPr>
        <w:t>may</w:t>
      </w:r>
      <w:r>
        <w:rPr>
          <w:color w:val="231F20"/>
        </w:rPr>
        <w:t xml:space="preserve"> </w:t>
      </w:r>
      <w:r>
        <w:rPr>
          <w:rFonts w:ascii="Times New Roman;sans-serif" w:hAnsi="Times New Roman;sans-serif"/>
          <w:b/>
          <w:i/>
          <w:color w:val="231F20"/>
          <w:sz w:val="20"/>
        </w:rPr>
        <w:t>not grow at similar</w:t>
      </w:r>
      <w:r>
        <w:rPr>
          <w:color w:val="231F20"/>
        </w:rPr>
        <w:t xml:space="preserve"> </w:t>
      </w:r>
      <w:r>
        <w:rPr>
          <w:rFonts w:ascii="Times New Roman;sans-serif" w:hAnsi="Times New Roman;sans-serif"/>
          <w:b/>
          <w:i/>
          <w:color w:val="231F20"/>
          <w:sz w:val="20"/>
        </w:rPr>
        <w:t>rates, or at all.</w:t>
      </w:r>
    </w:p>
    <w:p>
      <w:pPr>
        <w:pStyle w:val="TextBody"/>
        <w:spacing w:lineRule="auto" w:line="276" w:before="0" w:after="0"/>
        <w:ind w:left="0" w:right="0" w:firstLine="482"/>
        <w:rPr>
          <w:rFonts w:ascii="Times New Roman;sans-serif" w:hAnsi="Times New Roman;sans-serif"/>
          <w:b w:val="false"/>
          <w:color w:val="000000"/>
          <w:sz w:val="20"/>
        </w:rPr>
      </w:pPr>
      <w:r>
        <w:rPr>
          <w:rFonts w:ascii="Times New Roman;sans-serif" w:hAnsi="Times New Roman;sans-serif"/>
          <w:b w:val="false"/>
          <w:color w:val="000000"/>
          <w:sz w:val="20"/>
        </w:rPr>
        <w:t>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 our size estimates and growth forecasts, our business may not grow at similar rates, or at all. Our growth is subject to many factors, including our success in implementing our business strategy, which is subject to many risks and uncertainties.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w:t>
      </w:r>
    </w:p>
    <w:p>
      <w:pPr>
        <w:pStyle w:val="TextBody"/>
        <w:spacing w:lineRule="auto" w:line="288" w:before="360" w:after="283"/>
        <w:ind w:left="0" w:right="0" w:hanging="720"/>
        <w:rPr>
          <w:rFonts w:ascii="Times New Roman;sans-serif" w:hAnsi="Times New Roman;sans-serif"/>
          <w:b/>
          <w:color w:val="000000"/>
          <w:sz w:val="20"/>
        </w:rPr>
      </w:pPr>
      <w:r>
        <w:rPr>
          <w:rFonts w:ascii="Times New Roman;sans-serif" w:hAnsi="Times New Roman;sans-serif"/>
          <w:b/>
          <w:color w:val="000000"/>
          <w:sz w:val="20"/>
        </w:rPr>
        <w:t>(a)     Unregistered Sales of Equity Securities</w:t>
      </w:r>
    </w:p>
    <w:p>
      <w:pPr>
        <w:pStyle w:val="TextBody"/>
        <w:spacing w:lineRule="auto" w:line="288" w:before="120" w:after="283"/>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HorizontalLine"/>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v:rect>
            </w:pict>
          </mc:Fallback>
        </mc:AlternateContent>
      </w:r>
    </w:p>
    <w:p>
      <w:pPr>
        <w:pStyle w:val="TextBody"/>
        <w:spacing w:before="0" w:after="0"/>
        <w:rPr/>
      </w:pPr>
      <w:r>
        <w:rPr/>
      </w:r>
    </w:p>
    <w:p>
      <w:pPr>
        <w:pStyle w:val="TextBody"/>
        <w:spacing w:lineRule="auto" w:line="288" w:before="360" w:after="283"/>
        <w:ind w:left="0" w:right="0" w:hanging="720"/>
        <w:rPr>
          <w:rFonts w:ascii="Times New Roman;sans-serif" w:hAnsi="Times New Roman;sans-serif"/>
          <w:b/>
          <w:color w:val="000000"/>
          <w:sz w:val="20"/>
        </w:rPr>
      </w:pPr>
      <w:r>
        <w:rPr>
          <w:rFonts w:ascii="Times New Roman;sans-serif" w:hAnsi="Times New Roman;sans-serif"/>
          <w:b/>
          <w:color w:val="000000"/>
          <w:sz w:val="20"/>
        </w:rPr>
        <w:t>(b)    Repurchase of Shares of Company Equity Securities</w:t>
      </w:r>
    </w:p>
    <w:p>
      <w:pPr>
        <w:pStyle w:val="TextBody"/>
        <w:spacing w:lineRule="auto" w:line="288" w:before="120" w:after="283"/>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spacing w:lineRule="auto" w:line="288" w:before="120" w:after="283"/>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lineRule="auto" w:line="288" w:before="120" w:after="283"/>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spacing w:lineRule="auto" w:line="288" w:before="120" w:after="283"/>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center"/>
        <w:tblInd w:w="0" w:type="dxa"/>
        <w:tblCellMar>
          <w:top w:w="28" w:type="dxa"/>
          <w:left w:w="28" w:type="dxa"/>
          <w:bottom w:w="28" w:type="dxa"/>
          <w:right w:w="28" w:type="dxa"/>
        </w:tblCellMar>
      </w:tblPr>
      <w:tblGrid>
        <w:gridCol w:w="286"/>
        <w:gridCol w:w="251"/>
        <w:gridCol w:w="253"/>
        <w:gridCol w:w="109"/>
        <w:gridCol w:w="109"/>
        <w:gridCol w:w="109"/>
        <w:gridCol w:w="2716"/>
        <w:gridCol w:w="2624"/>
        <w:gridCol w:w="3748"/>
      </w:tblGrid>
      <w:tr>
        <w:trPr/>
        <w:tc>
          <w:tcPr>
            <w:tcW w:w="286"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16" w:type="dxa"/>
            <w:tcBorders/>
            <w:shd w:fill="auto" w:val="clear"/>
            <w:vAlign w:val="center"/>
          </w:tcPr>
          <w:p>
            <w:pPr>
              <w:pStyle w:val="TableContents"/>
              <w:spacing w:before="0" w:after="283"/>
              <w:rPr>
                <w:sz w:val="4"/>
                <w:szCs w:val="4"/>
              </w:rPr>
            </w:pPr>
            <w:r>
              <w:rPr>
                <w:sz w:val="4"/>
                <w:szCs w:val="4"/>
              </w:rPr>
            </w:r>
          </w:p>
        </w:tc>
        <w:tc>
          <w:tcPr>
            <w:tcW w:w="2624" w:type="dxa"/>
            <w:tcBorders/>
            <w:shd w:fill="auto" w:val="clear"/>
            <w:vAlign w:val="center"/>
          </w:tcPr>
          <w:p>
            <w:pPr>
              <w:pStyle w:val="TableContents"/>
              <w:spacing w:before="0" w:after="283"/>
              <w:rPr>
                <w:sz w:val="4"/>
                <w:szCs w:val="4"/>
              </w:rPr>
            </w:pPr>
            <w:r>
              <w:rPr>
                <w:sz w:val="4"/>
                <w:szCs w:val="4"/>
              </w:rPr>
            </w:r>
          </w:p>
        </w:tc>
        <w:tc>
          <w:tcPr>
            <w:tcW w:w="3748" w:type="dxa"/>
            <w:tcBorders/>
            <w:shd w:fill="auto" w:val="clear"/>
            <w:vAlign w:val="center"/>
          </w:tcPr>
          <w:p>
            <w:pPr>
              <w:pStyle w:val="TableContents"/>
              <w:spacing w:before="0" w:after="283"/>
              <w:rPr>
                <w:sz w:val="4"/>
                <w:szCs w:val="4"/>
              </w:rPr>
            </w:pPr>
            <w:r>
              <w:rPr>
                <w:sz w:val="4"/>
                <w:szCs w:val="4"/>
              </w:rPr>
            </w:r>
          </w:p>
        </w:tc>
      </w:tr>
      <w:tr>
        <w:trPr/>
        <w:tc>
          <w:tcPr>
            <w:tcW w:w="7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7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
              <w:r>
                <w:rPr>
                  <w:rStyle w:val="InternetLink"/>
                  <w:rFonts w:ascii="Times New Roman;sans-serif" w:hAnsi="Times New Roman;sans-serif"/>
                  <w:b w:val="false"/>
                  <w:color w:val="0000FF"/>
                  <w:sz w:val="20"/>
                  <w:u w:val="single"/>
                </w:rPr>
                <w:t>Amended and Restated Certificate of Incorporation of the Registrant, as currently in effect (incorporated by reference to Exhibit 3.1 of the Registrant’s quarterly report on Form 10-Q (File No. 001-39303) filed on August 11, 2020).</w:t>
              </w:r>
            </w:hyperlink>
          </w:p>
        </w:tc>
      </w:tr>
      <w:tr>
        <w:trPr/>
        <w:tc>
          <w:tcPr>
            <w:tcW w:w="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
              <w:r>
                <w:rPr>
                  <w:rStyle w:val="InternetLink"/>
                </w:rPr>
                <w:t>Amended and Restated Bylaws of the Registrant, as currently in effect (incorporated by reference to Exhibit 3.1 of the Registrant’s Current Report on Form 8-K (File No. 001-39303) filed on September 1</w:t>
              </w:r>
            </w:hyperlink>
            <w:hyperlink r:id="rId4">
              <w:r>
                <w:rPr>
                  <w:rStyle w:val="InternetLink"/>
                </w:rPr>
                <w:t>6</w:t>
              </w:r>
            </w:hyperlink>
            <w:hyperlink r:id="rId5">
              <w:r>
                <w:rPr>
                  <w:rStyle w:val="InternetLink"/>
                </w:rPr>
                <w:t>, 2022).</w:t>
              </w:r>
            </w:hyperlink>
          </w:p>
        </w:tc>
      </w:tr>
      <w:tr>
        <w:trPr/>
        <w:tc>
          <w:tcPr>
            <w:tcW w:w="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6">
              <w:r>
                <w:rPr>
                  <w:rStyle w:val="InternetLink"/>
                  <w:rFonts w:ascii="Times New Roman;sans-serif" w:hAnsi="Times New Roman;sans-serif"/>
                  <w:b w:val="false"/>
                  <w:color w:val="0000FF"/>
                  <w:sz w:val="20"/>
                  <w:u w:val="single"/>
                </w:rPr>
                <w:t xml:space="preserve">Specimen Common Stock Certificate (incorporated by reference to Exhibit 4.1 of the Registrant’s Registration Statement on Form S-1, as amended (File No. 333-238146) filed on May 26, 2020). </w:t>
              </w:r>
            </w:hyperlink>
          </w:p>
          <w:p>
            <w:pPr>
              <w:pStyle w:val="TableContents"/>
              <w:spacing w:lineRule="auto" w:line="240" w:before="0" w:after="0"/>
              <w:jc w:val="left"/>
              <w:rPr>
                <w:color w:val="000000"/>
              </w:rPr>
            </w:pPr>
            <w:r>
              <w:rPr>
                <w:color w:val="000000"/>
              </w:rPr>
              <w:t> </w:t>
            </w:r>
          </w:p>
        </w:tc>
      </w:tr>
      <w:tr>
        <w:trPr/>
        <w:tc>
          <w:tcPr>
            <w:tcW w:w="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plrx-20230331xex311.htm">
              <w:r>
                <w:rPr>
                  <w:rStyle w:val="InternetLink"/>
                  <w:rFonts w:ascii="Times New Roman;sans-serif" w:hAnsi="Times New Roman;sans-serif"/>
                  <w:b w:val="false"/>
                  <w:color w:val="0000FF"/>
                  <w:sz w:val="20"/>
                  <w:u w:val="single"/>
                </w:rPr>
                <w:t>Certification of Chief Executive Officer required by Rule 13a-14(a) or Rule 15d-14(a) of the Securities Exchange Act of 1934, as adopted pursuant to Section 302 of the Sarbanes-Oxley Act of 2002.</w:t>
              </w:r>
            </w:hyperlink>
          </w:p>
        </w:tc>
      </w:tr>
      <w:tr>
        <w:trPr/>
        <w:tc>
          <w:tcPr>
            <w:tcW w:w="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plrx-20230331xex312.htm">
              <w:r>
                <w:rPr>
                  <w:rStyle w:val="InternetLink"/>
                  <w:rFonts w:ascii="Times New Roman;sans-serif" w:hAnsi="Times New Roman;sans-serif"/>
                  <w:b w:val="false"/>
                  <w:color w:val="0000FF"/>
                  <w:sz w:val="20"/>
                  <w:u w:val="single"/>
                </w:rPr>
                <w:t>Certification of Chief Financial Officer required by Rule 13a-14(a) or Rule 15d-14(a) of the Securities Exchange Act of 1934, as adopted pursuant to Section 302 of the Sarbanes-Oxley Act of 2002.</w:t>
              </w:r>
            </w:hyperlink>
          </w:p>
        </w:tc>
      </w:tr>
      <w:tr>
        <w:trPr/>
        <w:tc>
          <w:tcPr>
            <w:tcW w:w="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plrx-20230331xex321.htm">
              <w:r>
                <w:rPr>
                  <w:rStyle w:val="InternetLink"/>
                  <w:rFonts w:ascii="Times New Roman;sans-serif" w:hAnsi="Times New Roman;sans-serif"/>
                  <w:b w:val="false"/>
                  <w:color w:val="0000FF"/>
                  <w:sz w:val="20"/>
                  <w:u w:val="single"/>
                </w:rPr>
                <w:t>Certification of Chief Executive Officer and Chief Financial Officer pursuant to 18 U.S.C. Section 1350, as adopted pursuant to Section 906 of the Sarbanes-Oxley Act of 2002.</w:t>
              </w:r>
            </w:hyperlink>
          </w:p>
        </w:tc>
      </w:tr>
      <w:tr>
        <w:trPr/>
        <w:tc>
          <w:tcPr>
            <w:tcW w:w="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8"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r>
      <w:tr>
        <w:trPr/>
        <w:tc>
          <w:tcPr>
            <w:tcW w:w="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r>
      <w:tr>
        <w:trPr/>
        <w:tc>
          <w:tcPr>
            <w:tcW w:w="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Calculation Linkbase Document</w:t>
            </w:r>
          </w:p>
        </w:tc>
      </w:tr>
      <w:tr>
        <w:trPr/>
        <w:tc>
          <w:tcPr>
            <w:tcW w:w="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Document</w:t>
            </w:r>
          </w:p>
        </w:tc>
      </w:tr>
      <w:tr>
        <w:trPr/>
        <w:tc>
          <w:tcPr>
            <w:tcW w:w="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Label Linkbase Document</w:t>
            </w:r>
          </w:p>
        </w:tc>
      </w:tr>
      <w:tr>
        <w:trPr/>
        <w:tc>
          <w:tcPr>
            <w:tcW w:w="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Presentation Linkbase Document</w:t>
            </w:r>
          </w:p>
        </w:tc>
      </w:tr>
      <w:tr>
        <w:trPr/>
        <w:tc>
          <w:tcPr>
            <w:tcW w:w="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spacing w:lineRule="auto" w:line="288" w:before="0" w:after="0"/>
        <w:ind w:left="0" w:right="0" w:firstLine="126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w:t>
      </w:r>
    </w:p>
    <w:p>
      <w:pPr>
        <w:pStyle w:val="TextBody"/>
        <w:spacing w:lineRule="auto" w:line="288" w:before="0" w:after="0"/>
        <w:ind w:left="0" w:right="0" w:hanging="1080"/>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spacing w:lineRule="auto" w:line="288" w:before="0" w:after="0"/>
        <w:ind w:left="0" w:right="0" w:hanging="1080"/>
        <w:rPr>
          <w:rFonts w:ascii="Times New Roman;sans-serif" w:hAnsi="Times New Roman;sans-serif"/>
          <w:b w:val="false"/>
          <w:color w:val="000000"/>
          <w:sz w:val="20"/>
        </w:rPr>
      </w:pPr>
      <w:r>
        <w:rPr>
          <w:rFonts w:ascii="Times New Roman;sans-serif" w:hAnsi="Times New Roman;sans-serif"/>
          <w:b w:val="false"/>
          <w:color w:val="000000"/>
          <w:sz w:val="20"/>
        </w:rPr>
        <w:t>(1)    The certifications furnished in Exhibit 32.1 hereto are deemed to be furnished with this Quarterly Report on Form 10-Q and will not be deemed to be “filed” for purposes of Section 18 of the Securities Exchange Act of 1934, as amended, except to the extent that the Registrant specifically incorporates them by reference</w:t>
      </w:r>
    </w:p>
    <w:p>
      <w:pPr>
        <w:pStyle w:val="TextBody"/>
        <w:spacing w:before="0" w:after="0"/>
        <w:ind w:left="0" w:right="0" w:hanging="108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Act of 1934, the Registrant has duly caused this report to be signed on its behalf by the undersigned, thereunto duly authorized.</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9, 2023 </w:t>
      </w:r>
    </w:p>
    <w:tbl>
      <w:tblPr>
        <w:tblW w:w="6352" w:type="dxa"/>
        <w:jc w:val="left"/>
        <w:tblInd w:w="0" w:type="dxa"/>
        <w:tblCellMar>
          <w:top w:w="28" w:type="dxa"/>
          <w:left w:w="28" w:type="dxa"/>
          <w:bottom w:w="28" w:type="dxa"/>
          <w:right w:w="28" w:type="dxa"/>
        </w:tblCellMar>
      </w:tblPr>
      <w:tblGrid>
        <w:gridCol w:w="124"/>
        <w:gridCol w:w="109"/>
        <w:gridCol w:w="109"/>
        <w:gridCol w:w="134"/>
        <w:gridCol w:w="134"/>
        <w:gridCol w:w="136"/>
        <w:gridCol w:w="429"/>
        <w:gridCol w:w="429"/>
        <w:gridCol w:w="429"/>
        <w:gridCol w:w="1258"/>
        <w:gridCol w:w="1258"/>
        <w:gridCol w:w="180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1258" w:type="dxa"/>
            <w:tcBorders/>
            <w:shd w:fill="auto" w:val="clear"/>
            <w:vAlign w:val="center"/>
          </w:tcPr>
          <w:p>
            <w:pPr>
              <w:pStyle w:val="TableContents"/>
              <w:spacing w:before="0" w:after="283"/>
              <w:rPr>
                <w:sz w:val="4"/>
                <w:szCs w:val="4"/>
              </w:rPr>
            </w:pPr>
            <w:r>
              <w:rPr>
                <w:sz w:val="4"/>
                <w:szCs w:val="4"/>
              </w:rPr>
            </w:r>
          </w:p>
        </w:tc>
        <w:tc>
          <w:tcPr>
            <w:tcW w:w="1258" w:type="dxa"/>
            <w:tcBorders/>
            <w:shd w:fill="auto" w:val="clear"/>
            <w:vAlign w:val="center"/>
          </w:tcPr>
          <w:p>
            <w:pPr>
              <w:pStyle w:val="TableContents"/>
              <w:spacing w:before="0" w:after="283"/>
              <w:rPr>
                <w:sz w:val="4"/>
                <w:szCs w:val="4"/>
              </w:rPr>
            </w:pPr>
            <w:r>
              <w:rPr>
                <w:sz w:val="4"/>
                <w:szCs w:val="4"/>
              </w:rPr>
            </w:r>
          </w:p>
        </w:tc>
        <w:tc>
          <w:tcPr>
            <w:tcW w:w="180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6"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PLIANT THERAPEUTICS, INC.</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2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Bernard Coulie </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Bernard Coulie, M.D., Ph.D.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2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Keith Cummings </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Keith Cummings, M.D., M.B.A.</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(Principal Financial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v:rect>
            </w:pict>
          </mc:Fallback>
        </mc:AlternateContent>
      </w:r>
    </w:p>
    <w:p>
      <w:pPr>
        <w:pStyle w:val="TextBody"/>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 13a-14(a) OR 15d-14(a) OF</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SECURITIES EXCHANGE ACT OF 1934,</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SARBANES-OXLEY ACT OF 2002</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 Bernard Coulie, certify that:</w:t>
      </w:r>
    </w:p>
    <w:p>
      <w:pPr>
        <w:pStyle w:val="TextBody"/>
        <w:spacing w:lineRule="auto" w:line="288" w:before="200" w:after="283"/>
        <w:ind w:left="0" w:right="0" w:hanging="126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Pliant Therapeutics, Inc.;</w:t>
      </w:r>
    </w:p>
    <w:p>
      <w:pPr>
        <w:pStyle w:val="TextBody"/>
        <w:spacing w:lineRule="auto" w:line="288" w:before="200" w:after="283"/>
        <w:ind w:left="0" w:right="0" w:hanging="12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00" w:after="283"/>
        <w:ind w:left="0" w:right="0" w:hanging="12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00" w:after="283"/>
        <w:ind w:left="0" w:right="0" w:hanging="12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200" w:after="283"/>
        <w:ind w:left="0" w:right="0" w:hanging="144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00" w:after="283"/>
        <w:ind w:left="0" w:right="0" w:hanging="144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200" w:after="283"/>
        <w:ind w:left="0" w:right="0" w:hanging="144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200" w:after="283"/>
        <w:ind w:left="0" w:right="0" w:hanging="144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00" w:after="283"/>
        <w:ind w:left="0" w:right="0" w:hanging="12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00" w:after="283"/>
        <w:ind w:left="0" w:right="0" w:hanging="144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00" w:after="283"/>
        <w:ind w:left="0" w:right="0" w:hanging="144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9, 2023 </w:t>
      </w:r>
    </w:p>
    <w:tbl>
      <w:tblPr>
        <w:tblW w:w="3551" w:type="dxa"/>
        <w:jc w:val="left"/>
        <w:tblInd w:w="0" w:type="dxa"/>
        <w:tblCellMar>
          <w:top w:w="28" w:type="dxa"/>
          <w:left w:w="28" w:type="dxa"/>
          <w:bottom w:w="28" w:type="dxa"/>
          <w:right w:w="28" w:type="dxa"/>
        </w:tblCellMar>
      </w:tblPr>
      <w:tblGrid>
        <w:gridCol w:w="1153"/>
        <w:gridCol w:w="1010"/>
        <w:gridCol w:w="1016"/>
        <w:gridCol w:w="109"/>
        <w:gridCol w:w="109"/>
        <w:gridCol w:w="154"/>
      </w:tblGrid>
      <w:tr>
        <w:trPr/>
        <w:tc>
          <w:tcPr>
            <w:tcW w:w="1153" w:type="dxa"/>
            <w:tcBorders/>
            <w:shd w:fill="auto" w:val="clear"/>
            <w:vAlign w:val="center"/>
          </w:tcPr>
          <w:p>
            <w:pPr>
              <w:pStyle w:val="TableContents"/>
              <w:spacing w:before="0" w:after="283"/>
              <w:rPr>
                <w:sz w:val="4"/>
                <w:szCs w:val="4"/>
              </w:rPr>
            </w:pPr>
            <w:r>
              <w:rPr>
                <w:sz w:val="4"/>
                <w:szCs w:val="4"/>
              </w:rPr>
            </w:r>
          </w:p>
        </w:tc>
        <w:tc>
          <w:tcPr>
            <w:tcW w:w="1010" w:type="dxa"/>
            <w:tcBorders/>
            <w:shd w:fill="auto" w:val="clear"/>
            <w:vAlign w:val="center"/>
          </w:tcPr>
          <w:p>
            <w:pPr>
              <w:pStyle w:val="TableContents"/>
              <w:spacing w:before="0" w:after="283"/>
              <w:rPr>
                <w:sz w:val="4"/>
                <w:szCs w:val="4"/>
              </w:rPr>
            </w:pPr>
            <w:r>
              <w:rPr>
                <w:sz w:val="4"/>
                <w:szCs w:val="4"/>
              </w:rPr>
            </w:r>
          </w:p>
        </w:tc>
        <w:tc>
          <w:tcPr>
            <w:tcW w:w="10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Bernard Coulie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Bernard Coulie, M.D., Ph.D.</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 13a-14(a) OR 15d-14(a) OF</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SECURITIES EXCHANGE ACT OF 1934,</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SARBANES-OXLEY ACT OF 2002</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 Keith Cummings, certify that:</w:t>
      </w:r>
    </w:p>
    <w:p>
      <w:pPr>
        <w:pStyle w:val="TextBody"/>
        <w:spacing w:lineRule="auto" w:line="288" w:before="200" w:after="283"/>
        <w:ind w:left="0" w:right="0" w:hanging="144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Pliant Therapeutics, Inc.;</w:t>
      </w:r>
    </w:p>
    <w:p>
      <w:pPr>
        <w:pStyle w:val="TextBody"/>
        <w:spacing w:lineRule="auto" w:line="288" w:before="200" w:after="283"/>
        <w:ind w:left="0" w:right="0" w:hanging="144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00" w:after="283"/>
        <w:ind w:left="0" w:right="0" w:hanging="144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00" w:after="283"/>
        <w:ind w:left="0" w:right="0" w:hanging="144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200" w:after="283"/>
        <w:ind w:left="0" w:right="0" w:hanging="126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76" w:before="200" w:after="283"/>
        <w:ind w:left="0" w:right="0" w:hanging="126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68" w:before="200" w:after="283"/>
        <w:ind w:left="0" w:right="0" w:hanging="126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200" w:after="283"/>
        <w:ind w:left="0" w:right="0" w:hanging="126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00" w:after="283"/>
        <w:ind w:left="0" w:right="0" w:hanging="144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00" w:after="283"/>
        <w:ind w:left="0" w:right="0" w:hanging="126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00" w:after="283"/>
        <w:ind w:left="0" w:right="0" w:hanging="126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9, 2023 </w:t>
      </w:r>
    </w:p>
    <w:tbl>
      <w:tblPr>
        <w:tblW w:w="2907" w:type="dxa"/>
        <w:jc w:val="left"/>
        <w:tblInd w:w="0" w:type="dxa"/>
        <w:tblCellMar>
          <w:top w:w="28" w:type="dxa"/>
          <w:left w:w="28" w:type="dxa"/>
          <w:bottom w:w="28" w:type="dxa"/>
          <w:right w:w="28" w:type="dxa"/>
        </w:tblCellMar>
      </w:tblPr>
      <w:tblGrid>
        <w:gridCol w:w="917"/>
        <w:gridCol w:w="806"/>
        <w:gridCol w:w="812"/>
        <w:gridCol w:w="109"/>
        <w:gridCol w:w="109"/>
        <w:gridCol w:w="154"/>
      </w:tblGrid>
      <w:tr>
        <w:trPr/>
        <w:tc>
          <w:tcPr>
            <w:tcW w:w="917"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Keith Cummings</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Keith Cummings, M.D., MBA</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 AND CHIEF FINANCIAL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 set forth in Rule 13a-14(b) of the Securities Exchange Act of 1934, as amended, (the “Exchange Act”) and Section 1350 of Chapter 63 of Title 18 of the United States Code (18 U.S.C. §1350), Bernard Coulie, Chief Executive Officer of Pliant Therapeutics, Inc. (the “Company”), and Keith Cummings, Chief Financial Officer of the Company, each hereby certifies that, to the best of his knowledge:</w:t>
      </w:r>
    </w:p>
    <w:p>
      <w:pPr>
        <w:pStyle w:val="TextBody"/>
        <w:spacing w:lineRule="auto" w:line="288" w:before="240" w:after="283"/>
        <w:ind w:left="0" w:right="0" w:hanging="1080"/>
        <w:rPr>
          <w:rFonts w:ascii="Times New Roman;sans-serif" w:hAnsi="Times New Roman;sans-serif"/>
          <w:b w:val="false"/>
          <w:color w:val="000000"/>
          <w:sz w:val="20"/>
        </w:rPr>
      </w:pPr>
      <w:r>
        <w:rPr>
          <w:rFonts w:ascii="Times New Roman;sans-serif" w:hAnsi="Times New Roman;sans-serif"/>
          <w:b w:val="false"/>
          <w:color w:val="000000"/>
          <w:sz w:val="20"/>
        </w:rPr>
        <w:t>1.The Company’s Quarterly Report on Form 10-Q for the period ended March 31, 2023, to which this Certification is attached as Exhibit 32.1 (the “Periodic Report”), fully complies with the requirements of Section 13(a) or Section 15(d) of the Exchange Act; and</w:t>
      </w:r>
    </w:p>
    <w:p>
      <w:pPr>
        <w:pStyle w:val="TextBody"/>
        <w:spacing w:lineRule="auto" w:line="288" w:before="240" w:after="283"/>
        <w:ind w:left="0" w:right="0" w:hanging="1080"/>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Periodic Report fairly presents, in all material respects, the financial condition and results of operations of the Company.</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Dated: May 9, 2023 </w:t>
      </w:r>
    </w:p>
    <w:tbl>
      <w:tblPr>
        <w:tblW w:w="3551" w:type="dxa"/>
        <w:jc w:val="left"/>
        <w:tblInd w:w="0" w:type="dxa"/>
        <w:tblCellMar>
          <w:top w:w="28" w:type="dxa"/>
          <w:left w:w="28" w:type="dxa"/>
          <w:bottom w:w="28" w:type="dxa"/>
          <w:right w:w="28" w:type="dxa"/>
        </w:tblCellMar>
      </w:tblPr>
      <w:tblGrid>
        <w:gridCol w:w="1153"/>
        <w:gridCol w:w="1010"/>
        <w:gridCol w:w="1016"/>
        <w:gridCol w:w="109"/>
        <w:gridCol w:w="109"/>
        <w:gridCol w:w="154"/>
      </w:tblGrid>
      <w:tr>
        <w:trPr/>
        <w:tc>
          <w:tcPr>
            <w:tcW w:w="1153" w:type="dxa"/>
            <w:tcBorders/>
            <w:shd w:fill="auto" w:val="clear"/>
            <w:vAlign w:val="center"/>
          </w:tcPr>
          <w:p>
            <w:pPr>
              <w:pStyle w:val="TableContents"/>
              <w:spacing w:before="0" w:after="283"/>
              <w:rPr>
                <w:sz w:val="4"/>
                <w:szCs w:val="4"/>
              </w:rPr>
            </w:pPr>
            <w:r>
              <w:rPr>
                <w:sz w:val="4"/>
                <w:szCs w:val="4"/>
              </w:rPr>
            </w:r>
          </w:p>
        </w:tc>
        <w:tc>
          <w:tcPr>
            <w:tcW w:w="1010" w:type="dxa"/>
            <w:tcBorders/>
            <w:shd w:fill="auto" w:val="clear"/>
            <w:vAlign w:val="center"/>
          </w:tcPr>
          <w:p>
            <w:pPr>
              <w:pStyle w:val="TableContents"/>
              <w:spacing w:before="0" w:after="283"/>
              <w:rPr>
                <w:sz w:val="4"/>
                <w:szCs w:val="4"/>
              </w:rPr>
            </w:pPr>
            <w:r>
              <w:rPr>
                <w:sz w:val="4"/>
                <w:szCs w:val="4"/>
              </w:rPr>
            </w:r>
          </w:p>
        </w:tc>
        <w:tc>
          <w:tcPr>
            <w:tcW w:w="10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Bernard Coulie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Bernard Coulie, M.D., Ph.D.</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2906" w:type="dxa"/>
        <w:jc w:val="left"/>
        <w:tblInd w:w="0" w:type="dxa"/>
        <w:tblCellMar>
          <w:top w:w="28" w:type="dxa"/>
          <w:left w:w="28" w:type="dxa"/>
          <w:bottom w:w="28" w:type="dxa"/>
          <w:right w:w="28" w:type="dxa"/>
        </w:tblCellMar>
      </w:tblPr>
      <w:tblGrid>
        <w:gridCol w:w="917"/>
        <w:gridCol w:w="806"/>
        <w:gridCol w:w="811"/>
        <w:gridCol w:w="109"/>
        <w:gridCol w:w="109"/>
        <w:gridCol w:w="154"/>
      </w:tblGrid>
      <w:tr>
        <w:trPr/>
        <w:tc>
          <w:tcPr>
            <w:tcW w:w="917"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Keith Cummings</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Keith Cummings, M.D., MBA</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This certification accompanies the Form 10-Q to which it relates, is not deemed filed with the SEC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r>
        <w:br w:type="page"/>
      </w:r>
    </w:p>
    <w:p>
      <w:pPr>
        <w:pStyle w:val="TextBody"/>
        <w:spacing w:before="0" w:after="283"/>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746473/000156459020039327/plrx-ex31_301.htm" TargetMode="External"/><Relationship Id="rId3" Type="http://schemas.openxmlformats.org/officeDocument/2006/relationships/hyperlink" Target="https://www.sec.gov/Archives/edgar/data/0001746473/000119312520322128/d61993dex31.htm" TargetMode="External"/><Relationship Id="rId4" Type="http://schemas.openxmlformats.org/officeDocument/2006/relationships/hyperlink" Target="https://www.sec.gov/Archives/edgar/data/0001746473/000119312520322128/d61993dex31.htm" TargetMode="External"/><Relationship Id="rId5" Type="http://schemas.openxmlformats.org/officeDocument/2006/relationships/hyperlink" Target="https://www.sec.gov/Archives/edgar/data/0001746473/000119312520322128/d61993dex31.htm" TargetMode="External"/><Relationship Id="rId6" Type="http://schemas.openxmlformats.org/officeDocument/2006/relationships/hyperlink" Target="https://www.sec.gov/Archives/edgar/data/0001746473/000119312520150643/d729258dex4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Pages>
  <Words>53404</Words>
  <CharactersWithSpaces>351697</CharactersWithSpaces>
  <Paragraphs>2120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