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070" w:type="dxa"/>
        <w:jc w:val="left"/>
        <w:tblInd w:w="0" w:type="dxa"/>
        <w:tblLayout w:type="fixed"/>
        <w:tblCellMar>
          <w:top w:w="28" w:type="dxa"/>
          <w:left w:w="28" w:type="dxa"/>
          <w:bottom w:w="28" w:type="dxa"/>
          <w:right w:w="28" w:type="dxa"/>
        </w:tblCellMar>
      </w:tblPr>
      <w:tblGrid>
        <w:gridCol w:w="1540"/>
        <w:gridCol w:w="1350"/>
        <w:gridCol w:w="1369"/>
        <w:gridCol w:w="109"/>
        <w:gridCol w:w="109"/>
        <w:gridCol w:w="109"/>
        <w:gridCol w:w="433"/>
        <w:gridCol w:w="433"/>
        <w:gridCol w:w="61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331 Oyster Point Blvd., South 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86" w:type="dxa"/>
        <w:jc w:val="left"/>
        <w:tblInd w:w="0" w:type="dxa"/>
        <w:tblLayout w:type="fixed"/>
        <w:tblCellMar>
          <w:top w:w="28" w:type="dxa"/>
          <w:left w:w="28" w:type="dxa"/>
          <w:bottom w:w="28" w:type="dxa"/>
          <w:right w:w="28" w:type="dxa"/>
        </w:tblCellMar>
      </w:tblPr>
      <w:tblGrid>
        <w:gridCol w:w="1420"/>
        <w:gridCol w:w="1241"/>
        <w:gridCol w:w="1254"/>
        <w:gridCol w:w="270"/>
        <w:gridCol w:w="270"/>
        <w:gridCol w:w="271"/>
        <w:gridCol w:w="1157"/>
        <w:gridCol w:w="1157"/>
        <w:gridCol w:w="1646"/>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Series A Junior Participating Preferred Purchase Rights</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May 1, 2025, the registrant had 61,386,278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09"/>
        <w:gridCol w:w="314"/>
        <w:gridCol w:w="2452"/>
        <w:gridCol w:w="2452"/>
        <w:gridCol w:w="2460"/>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0">
              <w:r>
                <w:rPr>
                  <w:rStyle w:val="InternetLink"/>
                  <w:rFonts w:ascii="Times New Roman;sans-serif" w:hAnsi="Times New Roman;sans-serif"/>
                  <w:b/>
                  <w:color w:val="112ADB"/>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0">
              <w:r>
                <w:rPr>
                  <w:rStyle w:val="InternetLink"/>
                  <w:rFonts w:ascii="Times New Roman;sans-serif" w:hAnsi="Times New Roman;sans-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0">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
              <w:r>
                <w:rPr>
                  <w:rStyle w:val="InternetLink"/>
                  <w:rFonts w:ascii="Times New Roman;sans-serif" w:hAnsi="Times New Roman;sans-serif"/>
                  <w:b w:val="false"/>
                  <w:color w:val="000080"/>
                  <w:sz w:val="20"/>
                  <w:u w:val="single"/>
                </w:rPr>
                <w:t>Condensed Financial Statements</w:t>
              </w:r>
            </w:hyperlink>
            <w:r>
              <w:rPr>
                <w:rFonts w:ascii="Times New Roman;sans-serif" w:hAnsi="Times New Roman;sans-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3">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6">
              <w:r>
                <w:rPr>
                  <w:rStyle w:val="InternetLink"/>
                  <w:rFonts w:ascii="Times New Roman;sans-serif" w:hAnsi="Times New Roman;sans-serif"/>
                  <w:b w:val="false"/>
                  <w:color w:val="0E32E1"/>
                  <w:sz w:val="20"/>
                  <w:u w:val="single"/>
                </w:rPr>
                <w:t xml:space="preserve">Condensed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6">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9">
              <w:r>
                <w:rPr>
                  <w:rStyle w:val="InternetLink"/>
                  <w:rFonts w:ascii="Times New Roman;sans-serif" w:hAnsi="Times New Roman;sans-serif"/>
                  <w:b w:val="false"/>
                  <w:color w:val="0E32E1"/>
                  <w:sz w:val="20"/>
                  <w:u w:val="single"/>
                </w:rPr>
                <w:t xml:space="preserve">Condensed 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9">
              <w:r>
                <w:rPr>
                  <w:rStyle w:val="InternetLink"/>
                  <w:rFonts w:ascii="Times New Roman;sans-serif" w:hAnsi="Times New Roman;sans-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22">
              <w:r>
                <w:rPr>
                  <w:rStyle w:val="InternetLink"/>
                  <w:rFonts w:ascii="Times New Roman;sans-serif" w:hAnsi="Times New Roman;sans-serif"/>
                  <w:b w:val="false"/>
                  <w:color w:val="0E32E1"/>
                  <w:sz w:val="20"/>
                  <w:u w:val="single"/>
                </w:rPr>
                <w:t xml:space="preserve">Condensed 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22">
              <w:r>
                <w:rPr>
                  <w:rStyle w:val="InternetLink"/>
                  <w:rFonts w:ascii="Times New Roman;sans-serif" w:hAnsi="Times New Roman;sans-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25">
              <w:r>
                <w:rPr>
                  <w:rStyle w:val="InternetLink"/>
                  <w:rFonts w:ascii="Times New Roman;sans-serif" w:hAnsi="Times New Roman;sans-serif"/>
                  <w:b w:val="false"/>
                  <w:color w:val="0E32E1"/>
                  <w:sz w:val="20"/>
                  <w:u w:val="single"/>
                </w:rPr>
                <w:t>Condensed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25">
              <w:r>
                <w:rPr>
                  <w:rStyle w:val="InternetLink"/>
                  <w:rFonts w:ascii="Times New Roman;sans-serif" w:hAnsi="Times New Roman;sans-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28">
              <w:r>
                <w:rPr>
                  <w:rStyle w:val="InternetLink"/>
                  <w:rFonts w:ascii="Times New Roman;sans-serif" w:hAnsi="Times New Roman;sans-serif"/>
                  <w:b w:val="false"/>
                  <w:color w:val="0E32E1"/>
                  <w:sz w:val="20"/>
                  <w:u w:val="single"/>
                </w:rPr>
                <w:t xml:space="preserve">Notes to Condensed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28">
              <w:r>
                <w:rPr>
                  <w:rStyle w:val="InternetLink"/>
                  <w:rFonts w:ascii="Times New Roman;sans-serif" w:hAnsi="Times New Roman;sans-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79">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79">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79">
              <w:r>
                <w:rPr>
                  <w:rStyle w:val="InternetLink"/>
                  <w:rFonts w:ascii="Times New Roman;sans-serif" w:hAnsi="Times New Roman;sans-serif"/>
                  <w:b w:val="false"/>
                  <w:color w:val="112ADB"/>
                  <w:sz w:val="20"/>
                  <w:u w:val="single"/>
                </w:rPr>
                <w:t>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2">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2">
              <w:r>
                <w:rPr>
                  <w:rStyle w:val="InternetLink"/>
                  <w:rFonts w:ascii="Times New Roman;sans-serif" w:hAnsi="Times New Roman;sans-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12">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5">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5">
              <w:r>
                <w:rPr>
                  <w:rStyle w:val="InternetLink"/>
                  <w:rFonts w:ascii="Times New Roman;sans-serif" w:hAnsi="Times New Roman;sans-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15">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8">
              <w:r>
                <w:rPr>
                  <w:rStyle w:val="InternetLink"/>
                  <w:rFonts w:ascii="Times New Roman;sans-serif" w:hAnsi="Times New Roman;sans-serif"/>
                  <w:b/>
                  <w:color w:val="112ADB"/>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18">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18">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1">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1">
              <w:r>
                <w:rPr>
                  <w:rStyle w:val="InternetLink"/>
                  <w:rFonts w:ascii="Times New Roman;sans-serif" w:hAnsi="Times New Roman;sans-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21">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4">
              <w:r>
                <w:rPr>
                  <w:rStyle w:val="InternetLink"/>
                  <w:rFonts w:ascii="Times New Roman;sans-serif" w:hAnsi="Times New Roman;sans-serif"/>
                  <w:b w:val="false"/>
                  <w:color w:val="112ADB"/>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4">
              <w:r>
                <w:rPr>
                  <w:rStyle w:val="InternetLink"/>
                  <w:rFonts w:ascii="Times New Roman;sans-serif" w:hAnsi="Times New Roman;sans-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24">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7">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27">
              <w:r>
                <w:rPr>
                  <w:rStyle w:val="InternetLink"/>
                  <w:rFonts w:ascii="Times New Roman;sans-serif" w:hAnsi="Times New Roman;sans-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27">
              <w:r>
                <w:rPr>
                  <w:rStyle w:val="InternetLink"/>
                  <w:rFonts w:ascii="Times New Roman;sans-serif" w:hAnsi="Times New Roman;sans-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0">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0">
              <w:r>
                <w:rPr>
                  <w:rStyle w:val="InternetLink"/>
                  <w:rFonts w:ascii="Times New Roman;sans-serif" w:hAnsi="Times New Roman;sans-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30">
              <w:r>
                <w:rPr>
                  <w:rStyle w:val="InternetLink"/>
                  <w:rFonts w:ascii="Times New Roman;sans-serif" w:hAnsi="Times New Roman;sans-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3">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3">
              <w:r>
                <w:rPr>
                  <w:rStyle w:val="InternetLink"/>
                  <w:rFonts w:ascii="Times New Roman;sans-serif" w:hAnsi="Times New Roman;sans-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33">
              <w:r>
                <w:rPr>
                  <w:rStyle w:val="InternetLink"/>
                  <w:rFonts w:ascii="Times New Roman;sans-serif" w:hAnsi="Times New Roman;sans-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6">
              <w:r>
                <w:rPr>
                  <w:rStyle w:val="InternetLink"/>
                  <w:rFonts w:ascii="Times New Roman;sans-serif" w:hAnsi="Times New Roman;sans-serif"/>
                  <w:b w:val="false"/>
                  <w:color w:val="112ADB"/>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36">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36">
              <w:r>
                <w:rPr>
                  <w:rStyle w:val="InternetLink"/>
                  <w:rFonts w:ascii="Times New Roman;sans-serif" w:hAnsi="Times New Roman;sans-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42">
              <w:r>
                <w:rPr>
                  <w:rStyle w:val="InternetLink"/>
                  <w:rFonts w:ascii="Times New Roman;sans-serif" w:hAnsi="Times New Roman;sans-serif"/>
                  <w:b w:val="false"/>
                  <w:color w:val="112ADB"/>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42">
              <w:r>
                <w:rPr>
                  <w:rStyle w:val="InternetLink"/>
                  <w:rFonts w:ascii="Times New Roman;sans-serif" w:hAnsi="Times New Roman;sans-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42">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6b917f44f14967a13b7f5849d2e3b9_145">
              <w:r>
                <w:rPr>
                  <w:rStyle w:val="InternetLink"/>
                  <w:rFonts w:ascii="Times New Roman;sans-serif" w:hAnsi="Times New Roman;sans-serif"/>
                  <w:b w:val="false"/>
                  <w:color w:val="112ADB"/>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6b917f44f14967a13b7f5849d2e3b9_145">
              <w:r>
                <w:rPr>
                  <w:rStyle w:val="InternetLink"/>
                  <w:rFonts w:ascii="Times New Roman;sans-serif" w:hAnsi="Times New Roman;sans-serif"/>
                  <w:b w:val="false"/>
                  <w:color w:val="112ADB"/>
                  <w:sz w:val="20"/>
                  <w:u w:val="single"/>
                </w:rPr>
                <w:t>74</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preclinical and clinical trials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The anticipated timing and cost savings of, and estimated expenses associated with, our recently announced restructuring and workforce reduction;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6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6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 xml:space="preserve">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 </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our product candidates.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6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6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6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6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96"/>
        <w:gridCol w:w="2344"/>
        <w:gridCol w:w="2255"/>
        <w:gridCol w:w="211"/>
        <w:gridCol w:w="826"/>
        <w:gridCol w:w="109"/>
        <w:gridCol w:w="109"/>
        <w:gridCol w:w="109"/>
        <w:gridCol w:w="109"/>
        <w:gridCol w:w="218"/>
        <w:gridCol w:w="856"/>
        <w:gridCol w:w="163"/>
      </w:tblGrid>
      <w:tr>
        <w:trPr/>
        <w:tc>
          <w:tcPr>
            <w:tcW w:w="289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10,000,000 shares authorized at March 31, 2025 and December 31, 2024, 300,000 shares designated as Series A Junior Participating Preferred Stock at March 31, 2025 and none designated as Series A Junior Participating Preferred Stock at December 31, 2024; and none issued or outstanding at March 31, 2025 and December 31, 2024 (Note 8 and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300,000,000 shares authorized at March 31, 2025 and December 31, 2024; and 61,386,183 and 60,860,838 shares issued and outstanding at March 31, 2025 and December 31, 2024, respectively; (Note 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20"/>
        </w:rPr>
        <w:t>*The condensed balance sheet as of December 31, 2024 has been derived from the audited financial statements as of that date</w:t>
      </w:r>
      <w:r>
        <w:rPr>
          <w:rFonts w:ascii="Times New Roman;sans-serif" w:hAnsi="Times New Roman;sans-serif"/>
          <w:b w:val="false"/>
          <w:color w:val="000000"/>
          <w:sz w:val="18"/>
        </w:rPr>
        <w:t>.</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7926" w:type="dxa"/>
        <w:jc w:val="center"/>
        <w:tblInd w:w="0" w:type="dxa"/>
        <w:tblLayout w:type="fixed"/>
        <w:tblCellMar>
          <w:top w:w="28" w:type="dxa"/>
          <w:left w:w="28" w:type="dxa"/>
          <w:bottom w:w="28" w:type="dxa"/>
          <w:right w:w="28" w:type="dxa"/>
        </w:tblCellMar>
      </w:tblPr>
      <w:tblGrid>
        <w:gridCol w:w="1873"/>
        <w:gridCol w:w="1647"/>
        <w:gridCol w:w="1654"/>
        <w:gridCol w:w="240"/>
        <w:gridCol w:w="841"/>
        <w:gridCol w:w="109"/>
        <w:gridCol w:w="109"/>
        <w:gridCol w:w="109"/>
        <w:gridCol w:w="109"/>
        <w:gridCol w:w="240"/>
        <w:gridCol w:w="841"/>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61,222,676 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60,180,921 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(47,789)</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572" w:type="dxa"/>
        <w:jc w:val="center"/>
        <w:tblInd w:w="0" w:type="dxa"/>
        <w:tblLayout w:type="fixed"/>
        <w:tblCellMar>
          <w:top w:w="28" w:type="dxa"/>
          <w:left w:w="28" w:type="dxa"/>
          <w:bottom w:w="28" w:type="dxa"/>
          <w:right w:w="28" w:type="dxa"/>
        </w:tblCellMar>
      </w:tblPr>
      <w:tblGrid>
        <w:gridCol w:w="638"/>
        <w:gridCol w:w="311"/>
        <w:gridCol w:w="312"/>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50"/>
        <w:gridCol w:w="774"/>
        <w:gridCol w:w="182"/>
        <w:gridCol w:w="109"/>
        <w:gridCol w:w="109"/>
        <w:gridCol w:w="109"/>
        <w:gridCol w:w="211"/>
        <w:gridCol w:w="841"/>
        <w:gridCol w:w="109"/>
        <w:gridCol w:w="109"/>
        <w:gridCol w:w="109"/>
        <w:gridCol w:w="109"/>
        <w:gridCol w:w="215"/>
        <w:gridCol w:w="844"/>
        <w:gridCol w:w="112"/>
        <w:gridCol w:w="109"/>
        <w:gridCol w:w="109"/>
        <w:gridCol w:w="109"/>
        <w:gridCol w:w="10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 Gain/(Loss)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60,860,838 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61,386,183 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257,164 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45"/>
        <w:gridCol w:w="441"/>
        <w:gridCol w:w="442"/>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359"/>
        <w:gridCol w:w="818"/>
        <w:gridCol w:w="185"/>
        <w:gridCol w:w="109"/>
        <w:gridCol w:w="109"/>
        <w:gridCol w:w="109"/>
        <w:gridCol w:w="211"/>
        <w:gridCol w:w="849"/>
        <w:gridCol w:w="109"/>
        <w:gridCol w:w="109"/>
        <w:gridCol w:w="109"/>
        <w:gridCol w:w="109"/>
        <w:gridCol w:w="215"/>
        <w:gridCol w:w="843"/>
        <w:gridCol w:w="164"/>
      </w:tblGrid>
      <w:tr>
        <w:trPr/>
        <w:tc>
          <w:tcPr>
            <w:tcW w:w="7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60,318,542 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2"/>
        <w:gridCol w:w="2344"/>
        <w:gridCol w:w="2356"/>
        <w:gridCol w:w="226"/>
        <w:gridCol w:w="851"/>
        <w:gridCol w:w="116"/>
        <w:gridCol w:w="116"/>
        <w:gridCol w:w="116"/>
        <w:gridCol w:w="116"/>
        <w:gridCol w:w="226"/>
        <w:gridCol w:w="886"/>
        <w:gridCol w:w="170"/>
      </w:tblGrid>
      <w:tr>
        <w:trPr/>
        <w:tc>
          <w:tcPr>
            <w:tcW w:w="268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(accretion) on short-term investments and debt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issuances of common stock under benefit plans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 net of issuance costs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at beginning of period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reported in the balance sheets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 accounts payable and accrued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 related to leases: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Pliant Therapeutics, Inc. (the “Company” or “Pliant” or “we” or “our” or “us”) is a clinical-stage biopharmaceutical company focused on discovering and developing novel therapies for the treatment of fibrosis with an initial focus on treating fibrosis by inhibiting integrin-mediated activation of TGF-</w:t>
      </w:r>
      <w:r>
        <w:rPr>
          <w:rFonts w:ascii="Aptos;san-serif" w:hAnsi="Aptos;san-serif"/>
          <w:b w:val="false"/>
          <w:color w:val="000000"/>
          <w:sz w:val="22"/>
        </w:rPr>
        <w:t>β</w:t>
      </w:r>
      <w:r>
        <w:rPr>
          <w:rFonts w:ascii="Times New Roman;sans-serif" w:hAnsi="Times New Roman;sans-serif"/>
          <w:b w:val="false"/>
          <w:color w:val="000000"/>
          <w:sz w:val="20"/>
        </w:rPr>
        <w:t>.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BEACON-IPF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we announced that we were discontinuing the BEACON-IPF Phase 2b trial following a prespecified data review and recommendation by the trial’s independent Data Safety Monitoring Board (“DSMB”), as well as a secondary review and recommendation by an outside expert panel, due to an imbalance in safety events between the treatment and placebo groups. The Company plans to analyze the complete data from the BEACON-IPF trial and evaluate next steps for bexotegrast’s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2025 are not necessarily indicative of the results to be expected for the year ending December 31, 2025 or for any other interim period or for any other future year.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herein should be read in conjunction with the audited financial statements and related notes in the Company’s Annual Report on Form 10-K for the year ended December 31, 2024, filed with the SEC on March 3, 2025 (the “2024 10-K”).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months ended March 31, 2025, as compared to the significant accounting policies described in Note 2 of the "Notes to the Financial Statements" in the Company's audited financial statements included in its 2024 10-K.</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ASU 2023-09 is effective for fiscal years beginning after December 15, 2024 on a prospective basis and retrospective application is permitted. The Company is currently evaluating the impact of this standard on its disclosures and will adopt the ASU for its Annual Report on Form 10-K for the year ended December 31, 2025.</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for reasons including, but not limited to, managing liquidity, credit risk, duration and asset allocation and such investments represent cash available for current operations. As a result, short-term investments may include securities with maturities beyond twelve months that are classified within current assets in the condensed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March 31, 2025 and as of December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short-term investments and cash equivalents by significant investment category as of March 31, 2025 and December 31, 2024 (in thousands):</w:t>
      </w:r>
    </w:p>
    <w:tbl>
      <w:tblPr>
        <w:tblW w:w="11256" w:type="dxa"/>
        <w:jc w:val="left"/>
        <w:tblInd w:w="0" w:type="dxa"/>
        <w:tblLayout w:type="fixed"/>
        <w:tblCellMar>
          <w:top w:w="28" w:type="dxa"/>
          <w:left w:w="28" w:type="dxa"/>
          <w:bottom w:w="28" w:type="dxa"/>
          <w:right w:w="28" w:type="dxa"/>
        </w:tblCellMar>
      </w:tblPr>
      <w:tblGrid>
        <w:gridCol w:w="603"/>
        <w:gridCol w:w="201"/>
        <w:gridCol w:w="202"/>
        <w:gridCol w:w="140"/>
        <w:gridCol w:w="140"/>
        <w:gridCol w:w="141"/>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March 31, 2025 and December 31, 2024. The Company evaluates transfers between levels at the end of each reporting period and there have been no transfers between fair value measurement levels during the three months ended March 31, 2025. In addition, there were no assets or liabilities measured at fair value on a non-recurring basis as of March 31, 2025 and December 31, 2024.</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short-term investments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166" w:type="dxa"/>
        <w:jc w:val="left"/>
        <w:tblInd w:w="0" w:type="dxa"/>
        <w:tblLayout w:type="fixed"/>
        <w:tblCellMar>
          <w:top w:w="28" w:type="dxa"/>
          <w:left w:w="28" w:type="dxa"/>
          <w:bottom w:w="28" w:type="dxa"/>
          <w:right w:w="28" w:type="dxa"/>
        </w:tblCellMar>
      </w:tblPr>
      <w:tblGrid>
        <w:gridCol w:w="1108"/>
        <w:gridCol w:w="974"/>
        <w:gridCol w:w="978"/>
        <w:gridCol w:w="352"/>
        <w:gridCol w:w="1205"/>
        <w:gridCol w:w="182"/>
        <w:gridCol w:w="109"/>
        <w:gridCol w:w="109"/>
        <w:gridCol w:w="109"/>
        <w:gridCol w:w="396"/>
        <w:gridCol w:w="1355"/>
        <w:gridCol w:w="289"/>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$0.4 million and $0.5 million for the three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8034" w:type="dxa"/>
        <w:jc w:val="left"/>
        <w:tblInd w:w="0" w:type="dxa"/>
        <w:tblLayout w:type="fixed"/>
        <w:tblCellMar>
          <w:top w:w="28" w:type="dxa"/>
          <w:left w:w="28" w:type="dxa"/>
          <w:bottom w:w="28" w:type="dxa"/>
          <w:right w:w="28" w:type="dxa"/>
        </w:tblCellMar>
      </w:tblPr>
      <w:tblGrid>
        <w:gridCol w:w="1421"/>
        <w:gridCol w:w="1251"/>
        <w:gridCol w:w="1257"/>
        <w:gridCol w:w="392"/>
        <w:gridCol w:w="1145"/>
        <w:gridCol w:w="202"/>
        <w:gridCol w:w="109"/>
        <w:gridCol w:w="109"/>
        <w:gridCol w:w="109"/>
        <w:gridCol w:w="438"/>
        <w:gridCol w:w="1281"/>
        <w:gridCol w:w="320"/>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7121" w:type="dxa"/>
        <w:jc w:val="left"/>
        <w:tblInd w:w="0" w:type="dxa"/>
        <w:tblLayout w:type="fixed"/>
        <w:tblCellMar>
          <w:top w:w="28" w:type="dxa"/>
          <w:left w:w="28" w:type="dxa"/>
          <w:bottom w:w="28" w:type="dxa"/>
          <w:right w:w="28" w:type="dxa"/>
        </w:tblCellMar>
      </w:tblPr>
      <w:tblGrid>
        <w:gridCol w:w="1093"/>
        <w:gridCol w:w="959"/>
        <w:gridCol w:w="963"/>
        <w:gridCol w:w="392"/>
        <w:gridCol w:w="1145"/>
        <w:gridCol w:w="202"/>
        <w:gridCol w:w="109"/>
        <w:gridCol w:w="109"/>
        <w:gridCol w:w="109"/>
        <w:gridCol w:w="396"/>
        <w:gridCol w:w="1355"/>
        <w:gridCol w:w="28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entered into an Amended Loan Agreement with Oxford Finance LLC (the “Lender” or “Oxford”) which upsized our existing Term Loan facility to a total size of $150.0 million aggregate principal amount (the “Term Loans”), of which $50.0 million is subject to the Lender’s sole discretion. The availability of additional Term Loans is contingent upon the continued operation of the BEACON-IPF study and results thereto. Pursuant to the Amended Loan Agreement, we drew an additional Term Loan of $20.0 million and given the discontinuation of the BEACON-IPF trial, we do not expect to have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additional borrowing under the Oxford Agreement. See Note 7 of the "Notes to the Financial Statements" in the Company's audited financial statements included in the 2024 10-K for more information.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which may be extended to July 1, 2029 (subject to certain conditions set forth in the Amended Loan Agreement), the Company is required to repay the Term Loans in consecutive equal monthly payments of principal, together with applicable interest, in arrears. Interest on the Term Loans is paid on a monthly basis. All unpaid principal and accrued and unpaid interest with respect to each Term Loan will be due and payable in full on March 1, 2029, which may be extended to March 1, 2030 (subject to certain conditions set forth in the Amended Loan Agreement). Accrued interest as of March 31, 2025 and December 31, 2024 is included in other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make a final payment of 5.50% (or 7.25% if the amortization date of the Term Loans has been extended to July 1, 2029 (as discussed above))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term loans as of March 31, 2025 was measured using Level 3 inputs and approximates the carrying value recorded to the balance sheet. The effective interest rate for the term loans are 10.61% and 11.93% for the three months ended March 31, 2025 and 2024, respectively. Interest expense during the three months ended March 31, 2025 and 2024 was $0.8 million and $0.4 million, respectively.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March 31, 2025 are as follows (in thousands):</w:t>
      </w:r>
    </w:p>
    <w:tbl>
      <w:tblPr>
        <w:tblW w:w="5306"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347"/>
        <w:gridCol w:w="1185"/>
        <w:gridCol w:w="253"/>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Preferred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March 31, 2025 and December 31, 2024, the Company was authorized to issue 10,000,000 shares of preferred stock and there was no outstanding preferred stock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Amended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222"/>
        <w:gridCol w:w="1949"/>
        <w:gridCol w:w="1960"/>
        <w:gridCol w:w="634"/>
        <w:gridCol w:w="578"/>
        <w:gridCol w:w="515"/>
        <w:gridCol w:w="109"/>
        <w:gridCol w:w="109"/>
        <w:gridCol w:w="109"/>
        <w:gridCol w:w="653"/>
        <w:gridCol w:w="586"/>
        <w:gridCol w:w="781"/>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6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10,028,579 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1,347,160 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932,634 </w:t>
            </w:r>
          </w:p>
        </w:tc>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5,012,617 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4,212,229 </w:t>
            </w:r>
          </w:p>
        </w:tc>
        <w:tc>
          <w:tcPr>
            <w:tcW w:w="7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1,753,367 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1,294,745 </w:t>
            </w:r>
          </w:p>
        </w:tc>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2022 Inducement Plan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1,185,000 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1,460,000 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2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19,326,723 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16,200,412 </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Stockholder Rights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2025, the Company's board of directors adopted a stockholder rights agreement and declared a dividend of one right (each, a “Right”) for each outstanding share of our common stock to stockholders of record at the close of business on March 25, 2025. Each Right entitles its holder, subject to the terms of the Rights Agreement (as defined below), to purchase from the Company one one-thousandth of a share of Series A Junior Participating Preferred Stock, par value $0.0001 per share, of the Company at an exercise price of $12.64 per Right, subject to adjustment. The description and terms of the Rights are set forth in a Rights Agreement, dated as of March 12, 2025 (the “Rights Agreement”), by and between the Company and Computershare Trust Company, N.A., a federally chartered trust company, as rights agent. Subject to certain exceptions, Rights become exercisable and trade separately from our common stock only upon the earlier of (i) the close of business on the tenth business day following the public announcement of an Acquiring Person (as defined in the Rights Agreement) beneficially owning 20%, when referring to a passive investor, and 10%, when referring to a person that is not a passive investor, or more of our common stock, and (ii) the close of business on the tenth business day after the commencement of a tender offer or exchange offer that, if consummated, would result in a person or group becoming an Acquiring Person. The Rights will expire on March 11, 2026, unless such Rights are earlier redeemed, exchanged or terminated, as provided in the Rights Agreement.</w:t>
      </w:r>
    </w:p>
    <w:p>
      <w:pPr>
        <w:pStyle w:val="TextBody"/>
        <w:bidi w:val="0"/>
        <w:spacing w:lineRule="auto" w:line="288" w:before="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Agreement is intended to reduce the likelihood that any entity, person or group is able to gain control of the Company through open market accumulation without paying all stockholders an appropriate control premium or providing the board of directors sufficient opportunity to make informed judgments and take actions that are in the best interests of the Company and all stockholders. The Rights Agreement is not intended to interfere with any merger or other business combination approved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nonqualified stock options or other awards including stock appreciation rights and restricted stock awards.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6998" w:type="dxa"/>
        <w:jc w:val="left"/>
        <w:tblInd w:w="0" w:type="dxa"/>
        <w:tblLayout w:type="fixed"/>
        <w:tblCellMar>
          <w:top w:w="28" w:type="dxa"/>
          <w:left w:w="28" w:type="dxa"/>
          <w:bottom w:w="28" w:type="dxa"/>
          <w:right w:w="28" w:type="dxa"/>
        </w:tblCellMar>
      </w:tblPr>
      <w:tblGrid>
        <w:gridCol w:w="1121"/>
        <w:gridCol w:w="983"/>
        <w:gridCol w:w="986"/>
        <w:gridCol w:w="505"/>
        <w:gridCol w:w="505"/>
        <w:gridCol w:w="505"/>
        <w:gridCol w:w="278"/>
        <w:gridCol w:w="278"/>
        <w:gridCol w:w="278"/>
        <w:gridCol w:w="456"/>
        <w:gridCol w:w="456"/>
        <w:gridCol w:w="647"/>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86.82% - 86.99%</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85.28% - 86.42%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4.11% - 4.45%</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4.04% - 4.28%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5.99 - 6.08</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5.99 - 6.06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$1.54 - $12.63</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$15.19 - $17.44</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144" w:type="dxa"/>
        <w:jc w:val="left"/>
        <w:tblInd w:w="0" w:type="dxa"/>
        <w:tblLayout w:type="fixed"/>
        <w:tblCellMar>
          <w:top w:w="28" w:type="dxa"/>
          <w:left w:w="28" w:type="dxa"/>
          <w:bottom w:w="28" w:type="dxa"/>
          <w:right w:w="28" w:type="dxa"/>
        </w:tblCellMar>
      </w:tblPr>
      <w:tblGrid>
        <w:gridCol w:w="1500"/>
        <w:gridCol w:w="1316"/>
        <w:gridCol w:w="1324"/>
        <w:gridCol w:w="540"/>
        <w:gridCol w:w="541"/>
        <w:gridCol w:w="231"/>
        <w:gridCol w:w="109"/>
        <w:gridCol w:w="109"/>
        <w:gridCol w:w="109"/>
        <w:gridCol w:w="307"/>
        <w:gridCol w:w="898"/>
        <w:gridCol w:w="161"/>
        <w:gridCol w:w="109"/>
        <w:gridCol w:w="109"/>
        <w:gridCol w:w="109"/>
        <w:gridCol w:w="419"/>
        <w:gridCol w:w="419"/>
        <w:gridCol w:w="421"/>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1,948,680 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10,028,579 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2025</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5,163,216 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2025</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10,028,579 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there were $50.3 million of unrecognized compensation costs that are expected to be recognized over the weighted-average period of 2.9 years related to stock options. Aggregate intrinsic value represents the difference between the fair value of the underlying common stock and the exercise price as of March 31, 2025.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three years.</w:t>
      </w:r>
    </w:p>
    <w:tbl>
      <w:tblPr>
        <w:tblW w:w="9820" w:type="dxa"/>
        <w:jc w:val="left"/>
        <w:tblInd w:w="0" w:type="dxa"/>
        <w:tblLayout w:type="fixed"/>
        <w:tblCellMar>
          <w:top w:w="28" w:type="dxa"/>
          <w:left w:w="28" w:type="dxa"/>
          <w:bottom w:w="28" w:type="dxa"/>
          <w:right w:w="28" w:type="dxa"/>
        </w:tblCellMar>
      </w:tblPr>
      <w:tblGrid>
        <w:gridCol w:w="1554"/>
        <w:gridCol w:w="1366"/>
        <w:gridCol w:w="1370"/>
        <w:gridCol w:w="609"/>
        <w:gridCol w:w="609"/>
        <w:gridCol w:w="611"/>
        <w:gridCol w:w="109"/>
        <w:gridCol w:w="109"/>
        <w:gridCol w:w="109"/>
        <w:gridCol w:w="726"/>
        <w:gridCol w:w="2119"/>
        <w:gridCol w:w="529"/>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2024</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932,634 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813,841 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(370,437)</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March 31, 2025</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1,347,160 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$18.9 million of unrecognized stock-based compensation expense related to outstanding RSUs expected to be recognized over a weighted-average period of 2.3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units (“PSUs”) were granted in 2022 and vested upon the achievement of market and performance conditions. Market conditions include the Company's total shareholder return (“TSR”) relative to the Nasdaq Biotechnology Index over the term of the award ending on June 30, 2024. Additionally, the number of shares of common stock issued upon vesting will range from 0% to 200% of the PSUs based on achievement of certain targets.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TSR PSUs were derived from a Monte Carlo simulation model that used the following key assumptions: </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period for the PSUs associated with TSR concluded on the last trading day of the second quarter 2024 and in July 2024, upon certification of the TSR results by the compensation committee of the board of directors, the award recipients vested in a total of 155,292 shares of common stock, representing 55% achievement. Such 155,292 shares of common stock were issued to award recipients as of September 30, 2024. There were no outstanding PSUs as of March 31, 2025.</w:t>
      </w:r>
    </w:p>
    <w:p>
      <w:pPr>
        <w:pStyle w:val="TextBody"/>
        <w:bidi w:val="0"/>
        <w:spacing w:before="120" w:after="283"/>
        <w:ind w:left="0" w:right="0" w:firstLine="45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$19.3 thousand and $100.0 thousand in stock-based compensation expense for the three months ended March 31, 2025 and 2024, respectively. During the three months ended March 31, 2025, 149,987 shares of common stock were issued under the 2020 ESPP with 1,753,367 shares remaining available for issuance under the 2020 ESPP. The Company used Black-Scholes option pricing model to estimate stock-based compensation expense for the 2020 ESPP with the following assumptions:</w:t>
      </w:r>
    </w:p>
    <w:p>
      <w:pPr>
        <w:pStyle w:val="TextBody"/>
        <w:bidi w:val="0"/>
        <w:spacing w:before="120" w:after="283"/>
        <w:jc w:val="left"/>
        <w:rPr/>
      </w:pPr>
      <w:r>
        <w:rPr/>
      </w:r>
    </w:p>
    <w:tbl>
      <w:tblPr>
        <w:tblW w:w="5905"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280"/>
        <w:gridCol w:w="280"/>
        <w:gridCol w:w="280"/>
        <w:gridCol w:w="278"/>
        <w:gridCol w:w="278"/>
        <w:gridCol w:w="278"/>
        <w:gridCol w:w="278"/>
        <w:gridCol w:w="278"/>
        <w:gridCol w:w="39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5.27%</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209.54%</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63.92%</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months ended March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6396" w:type="dxa"/>
        <w:jc w:val="center"/>
        <w:tblInd w:w="0" w:type="dxa"/>
        <w:tblLayout w:type="fixed"/>
        <w:tblCellMar>
          <w:top w:w="28" w:type="dxa"/>
          <w:left w:w="28" w:type="dxa"/>
          <w:bottom w:w="28" w:type="dxa"/>
          <w:right w:w="28" w:type="dxa"/>
        </w:tblCellMar>
      </w:tblPr>
      <w:tblGrid>
        <w:gridCol w:w="1246"/>
        <w:gridCol w:w="1097"/>
        <w:gridCol w:w="1106"/>
        <w:gridCol w:w="109"/>
        <w:gridCol w:w="109"/>
        <w:gridCol w:w="109"/>
        <w:gridCol w:w="246"/>
        <w:gridCol w:w="720"/>
        <w:gridCol w:w="127"/>
        <w:gridCol w:w="127"/>
        <w:gridCol w:w="127"/>
        <w:gridCol w:w="127"/>
        <w:gridCol w:w="246"/>
        <w:gridCol w:w="720"/>
        <w:gridCol w:w="180"/>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Segments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and operating segment, which is the business of developing and commercializing novel therapies for patients. The Company’s chief executive officer, who is the chief operating decision maker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pStyle w:val="TextBody"/>
        <w:bidi w:val="0"/>
        <w:spacing w:lineRule="auto" w:line="288" w:before="12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All long-lived assets are maintained in the United States of America.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CODM is regularly provided with more detailed expense information than what is included in our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tbl>
      <w:tblPr>
        <w:tblW w:w="10205" w:type="dxa"/>
        <w:jc w:val="left"/>
        <w:tblInd w:w="0" w:type="dxa"/>
        <w:tblLayout w:type="fixed"/>
        <w:tblCellMar>
          <w:top w:w="28" w:type="dxa"/>
          <w:left w:w="28" w:type="dxa"/>
          <w:bottom w:w="28" w:type="dxa"/>
          <w:right w:w="28" w:type="dxa"/>
        </w:tblCellMar>
      </w:tblPr>
      <w:tblGrid>
        <w:gridCol w:w="2714"/>
        <w:gridCol w:w="2348"/>
        <w:gridCol w:w="2360"/>
        <w:gridCol w:w="109"/>
        <w:gridCol w:w="109"/>
        <w:gridCol w:w="109"/>
        <w:gridCol w:w="211"/>
        <w:gridCol w:w="721"/>
        <w:gridCol w:w="109"/>
        <w:gridCol w:w="109"/>
        <w:gridCol w:w="109"/>
        <w:gridCol w:w="109"/>
        <w:gridCol w:w="211"/>
        <w:gridCol w:w="721"/>
        <w:gridCol w:w="156"/>
      </w:tblGrid>
      <w:tr>
        <w:trPr/>
        <w:tc>
          <w:tcPr>
            <w:tcW w:w="2714"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 clinical trial and third party contracting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expenses - research and development (excluding stock-based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costs (excluding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 include total stock-based compensation and research and development costs related to other pipeline programs and other non-program costs (excluding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2023, the Company entered into a lease agreement with HCP BTC, LLC, a Delaware limited liability company (“the Landlord”) for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 then prevailing market rates for a comparable property. Future lease payments are approximately $41.1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Additionally, the Company provided a letter of credit to the Landlord in the amount of $1.4 million in connection with the Oyster Point Lease, which is classified as restricted cash as of March 31, 2025.</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March 31, 2025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7069"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78"/>
        <w:gridCol w:w="278"/>
        <w:gridCol w:w="278"/>
        <w:gridCol w:w="278"/>
        <w:gridCol w:w="278"/>
        <w:gridCol w:w="278"/>
        <w:gridCol w:w="278"/>
        <w:gridCol w:w="278"/>
        <w:gridCol w:w="39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months ended March 31, 2025 and 2024. Lease expenses for each of the three months ended March 31, 2025 and 2024 are as follows (in thousands):</w:t>
      </w:r>
    </w:p>
    <w:tbl>
      <w:tblPr>
        <w:tblW w:w="4777"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46"/>
        <w:gridCol w:w="720"/>
        <w:gridCol w:w="127"/>
        <w:gridCol w:w="127"/>
        <w:gridCol w:w="127"/>
        <w:gridCol w:w="127"/>
        <w:gridCol w:w="246"/>
        <w:gridCol w:w="720"/>
        <w:gridCol w:w="180"/>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under Section 401(k) of the Internal Revenue Code covering substantially all full-time U.S. employees. Employee contributions are voluntary and are determined on an individual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maximum allowable under federal tax regulations. The Company made contributions to the plan of $0.7 million for the three months ended March 31, 2025 and $0.3 million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Net Loss Per Share Attributable to Common Stockholders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6532" w:type="dxa"/>
        <w:jc w:val="left"/>
        <w:tblInd w:w="0" w:type="dxa"/>
        <w:tblLayout w:type="fixed"/>
        <w:tblCellMar>
          <w:top w:w="28" w:type="dxa"/>
          <w:left w:w="28" w:type="dxa"/>
          <w:bottom w:w="28" w:type="dxa"/>
          <w:right w:w="28" w:type="dxa"/>
        </w:tblCellMar>
      </w:tblPr>
      <w:tblGrid>
        <w:gridCol w:w="1073"/>
        <w:gridCol w:w="946"/>
        <w:gridCol w:w="950"/>
        <w:gridCol w:w="750"/>
        <w:gridCol w:w="331"/>
        <w:gridCol w:w="278"/>
        <w:gridCol w:w="278"/>
        <w:gridCol w:w="278"/>
        <w:gridCol w:w="278"/>
        <w:gridCol w:w="678"/>
        <w:gridCol w:w="298"/>
        <w:gridCol w:w="394"/>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10,028,579 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7,659,860 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1,201,724 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11,375,739 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8,861,584 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2025, we announced a reduction in workforce that will impact approximately 45% of current employees. We expect to recognize approximately $3.6 million in total for severance and related benefits for employees which should be substantially complete by the end of the second quarter of 2025. We are continuing to evaluate the full impact of the reduction in force and may also incur additional costs due to events that occur as a result of, or that are associated with, the reduction in 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2024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2024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is an oral, small molecule, dual selective inhibitor of αvβ6 and αvβ1 integrins that we are developing for the treatment of idiopathic pulmonary fibrosis, or IPF. We have recently discontinued BEACON-IPF trial, a global Phase 2b trial in patients with idiopathic pulmonary fibrosis (IPF). While an imbalance in unadjudicated IPF-related adverse events between the treatment and placebo groups led to the discontinuation of the trial, early evidence of efficacy on the forced vital capacity (FVC) endpoint was also observed. The Company plans to analyze the complete data from the BEACON-IPF trial and evaluate next steps for bexotegrast’s development.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United States Food and Drug Administration, or FDA, clearance of an investigational new drug application, or IND, for PLN-101095, a small molecule, dual selective inhibitor of integrins αvβ8 and αvβ1 for the treatment of solid tumors that are resistant to immune checkpoint inhibitors. We are currently enrolling the fourth of five potential dose cohorts in a Phase 1 open-label dose-escalation trial of PLN-101095 as monotherapy and in combination with pembrolizumab in patients with solid tumors that are resistant to immune checkpoint inhibitors.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Phase 1-ready program PLN-101325, is in development for treatment of muscular dystrophies, including Duchenne muscular dystrophy. PLN-101325 is a monoclonal antibody designed to act as an allosteric agonist of integrin α7β1. PLN-101325 has received a clinical trial approval (CTA) in Australia.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developed PLN-1474, an oral, small molecule selective inhibitor of αvß1 for the treatment of liver fibrosis associated with nonalcoholic steatohepatitis, or MASH. Global rights to PLN-1474, which we previously licensed to Novartis in 2019, were returned to Pliant in 2023 upon termination of our collaboration and license agreement with Novartis (the “Novartis Agreement”).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First Quarter and Recent Developments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 xml:space="preserve">BEACON-IPF close-out activities continue with topline data expected in the second quarter of 2025. </w:t>
      </w:r>
      <w:r>
        <w:rPr>
          <w:rFonts w:ascii="Times New Roman;sans-serif" w:hAnsi="Times New Roman;sans-serif"/>
          <w:b w:val="false"/>
          <w:color w:val="000000"/>
          <w:sz w:val="20"/>
        </w:rPr>
        <w:t xml:space="preserve">Following the termination of the BEACON-IPF Phase 2b/3 trial evaluating bexotegrast in patients with idiopathic pulmonary fibrosis (IPF), the Company continues the formal close out of the global trial. Topline data from the BEACON-IPF trial is expected in the second quarter of 2025. </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 xml:space="preserve">Results from a Phase 2a positron emission tomography (PET) imaging trial published in the </w:t>
      </w:r>
      <w:r>
        <w:rPr>
          <w:rFonts w:ascii="Times New Roman;sans-serif" w:hAnsi="Times New Roman;sans-serif"/>
          <w:b/>
          <w:i/>
          <w:color w:val="000000"/>
          <w:sz w:val="20"/>
        </w:rPr>
        <w:t>American Journal of Respiratory and Critical Care Medicine</w:t>
      </w:r>
      <w:r>
        <w:rPr>
          <w:color w:val="000000"/>
        </w:rPr>
        <w:t xml:space="preserve"> </w:t>
      </w:r>
      <w:r>
        <w:rPr>
          <w:rFonts w:ascii="Times New Roman;sans-serif" w:hAnsi="Times New Roman;sans-serif"/>
          <w:b/>
          <w:color w:val="000000"/>
          <w:sz w:val="20"/>
        </w:rPr>
        <w:t>(AJRCCM).</w:t>
      </w:r>
      <w:r>
        <w:rPr>
          <w:color w:val="000000"/>
        </w:rPr>
        <w:t xml:space="preserve"> </w:t>
      </w:r>
      <w:r>
        <w:rPr>
          <w:rFonts w:ascii="Times New Roman;sans-serif" w:hAnsi="Times New Roman;sans-serif"/>
          <w:b w:val="false"/>
          <w:color w:val="000000"/>
          <w:sz w:val="20"/>
        </w:rPr>
        <w:t>The publication reviews the previously reported positive results from the first interventional, single-center double-blind, placebo-controlled Phase 2 trial of bexotegrast using PET and magnetic resonance imaging to evaluate collagen deposition in the lungs of 10 patients with IPF.</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t xml:space="preserve">Oncology </w:t>
      </w:r>
      <w:r>
        <w:rPr>
          <w:rFonts w:ascii="Times New Roman;sans-serif" w:hAnsi="Times New Roman;sans-serif"/>
          <w:b/>
          <w:color w:val="000000"/>
          <w:sz w:val="20"/>
          <w:u w:val="single"/>
        </w:rPr>
        <w:t>Program</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 xml:space="preserve">Interim Phase 1 data from a trial of PLN-101095 and pembrolizumab demonstrated antitumor activity with confirmed partial responses in three of six patients treated with the highest dose tested to date. </w:t>
      </w:r>
      <w:r>
        <w:rPr>
          <w:rFonts w:ascii="Times New Roman;sans-serif" w:hAnsi="Times New Roman;sans-serif"/>
          <w:b w:val="false"/>
          <w:color w:val="000000"/>
          <w:sz w:val="20"/>
        </w:rPr>
        <w:t xml:space="preserve">Topline data from the first three cohorts of the ongoing Phase 1 dose escalation trial of PLN-101095 in combination with pembrolizumab showed confirmed partial responses in solid tumors that are resistant to immune checkpoint inhibitors. Of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treated at the 1000 mg dose administered orally twice daily (BID), three patients, suffering from non-small cell lung cancer (NSCLC), cholangiocarcinoma and melanoma, experienced confirmed partial response assessed by iRECIST criteria associated with 74%, 48% and 42% reductions in tumor size, respectively. PLN-101095 was generally well tolerated across all doses tested. The trial is currently enrolling the fourth of five potential cohorts, evaluating PLN-101095 at 1000 mg administered three times daily (TID).</w:t>
      </w:r>
    </w:p>
    <w:p>
      <w:pPr>
        <w:pStyle w:val="TextBody"/>
        <w:bidi w:val="0"/>
        <w:spacing w:lineRule="auto" w:line="288" w:before="12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Corporate Highlights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Strategic realignment of workforce and operations underway.</w:t>
      </w:r>
      <w:r>
        <w:rPr>
          <w:color w:val="000000"/>
        </w:rPr>
        <w:t xml:space="preserve"> </w:t>
      </w:r>
      <w:r>
        <w:rPr>
          <w:rFonts w:ascii="Times New Roman;sans-serif" w:hAnsi="Times New Roman;sans-serif"/>
          <w:b w:val="false"/>
          <w:color w:val="000000"/>
          <w:sz w:val="20"/>
        </w:rPr>
        <w:t>On May 1, 2025, the Company announced a strategic realignment of its operations including an approximately 45% reduction in its workforce as well as other cost-saving actions. The process is expected to extend the cash runway to support execution of clinical trials, including any late-stage clinical trials, and is expected to be substantially completed by the second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$56.2 million and $47.0 million for the three months ended March 31, 2025 and 2024, respectively. As of March 31, 2025, we had an accumulated deficit of $766.2 million and cash, cash equivalents, and short-term investments of $307.1 million. We expect to continue to incur net losses for the foreseeable future as we:</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facilities expenses, which include expenses for rent and other facility related costs;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other expenses and other allocations associated with 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March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5"/>
        <w:gridCol w:w="1994"/>
        <w:gridCol w:w="2007"/>
        <w:gridCol w:w="219"/>
        <w:gridCol w:w="748"/>
        <w:gridCol w:w="112"/>
        <w:gridCol w:w="112"/>
        <w:gridCol w:w="112"/>
        <w:gridCol w:w="112"/>
        <w:gridCol w:w="219"/>
        <w:gridCol w:w="748"/>
        <w:gridCol w:w="112"/>
        <w:gridCol w:w="109"/>
        <w:gridCol w:w="109"/>
        <w:gridCol w:w="109"/>
        <w:gridCol w:w="211"/>
        <w:gridCol w:w="616"/>
        <w:gridCol w:w="161"/>
      </w:tblGrid>
      <w:tr>
        <w:trPr/>
        <w:tc>
          <w:tcPr>
            <w:tcW w:w="2395"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expenses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and other allocations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 These expenses primarily relate to outside consultants, clinical research organizations and contract manufacturing organization. When we refer to the research and development expenses associated with a specific product candidate or preclinical program, these refer exclusively to the allocated third-party expenses associated with that product candidate.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discontinuation of the BEACON-IPF Phase 2b/3 trial in IPF, we expect research and development expenses to decrease in the near term as we curtail spending on the BEACON-IPF trial. While we plan to analyze data from the BEACON-IPF trial and evaluate next steps for bexotegrast's development, in the near term we will re-prioritize our development of product candidates that are in earlier, less capital-intensive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remain relatively consistent for the foreseeable future.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cash equivalents, and short-term investments, and realized gains and losses on short-term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executed under the Oxford Loan Agreement that we entered into in May 2022 and amended in March 2024 (the "Amended Loan Agreement"). Borrowings under the Amended Loan Agreement bear interest at a rate per annum equal to 1-month term Secured Overnight Financing Rate (SOFR) plus 5.25%, subject to an agreed upon floor of 8.75%.</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7301" w:type="dxa"/>
        <w:jc w:val="center"/>
        <w:tblInd w:w="0" w:type="dxa"/>
        <w:tblLayout w:type="fixed"/>
        <w:tblCellMar>
          <w:top w:w="28" w:type="dxa"/>
          <w:left w:w="28" w:type="dxa"/>
          <w:bottom w:w="28" w:type="dxa"/>
          <w:right w:w="28" w:type="dxa"/>
        </w:tblCellMar>
      </w:tblPr>
      <w:tblGrid>
        <w:gridCol w:w="1211"/>
        <w:gridCol w:w="1065"/>
        <w:gridCol w:w="1069"/>
        <w:gridCol w:w="212"/>
        <w:gridCol w:w="802"/>
        <w:gridCol w:w="109"/>
        <w:gridCol w:w="109"/>
        <w:gridCol w:w="109"/>
        <w:gridCol w:w="109"/>
        <w:gridCol w:w="212"/>
        <w:gridCol w:w="802"/>
        <w:gridCol w:w="109"/>
        <w:gridCol w:w="109"/>
        <w:gridCol w:w="109"/>
        <w:gridCol w:w="109"/>
        <w:gridCol w:w="211"/>
        <w:gridCol w:w="69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March 31, 2025 and 2024 (in thousands):</w:t>
      </w:r>
    </w:p>
    <w:p>
      <w:pPr>
        <w:pStyle w:val="TextBody"/>
        <w:bidi w:val="0"/>
        <w:spacing w:before="0" w:after="120"/>
        <w:jc w:val="center"/>
        <w:rPr/>
      </w:pPr>
      <w:r>
        <w:rPr/>
      </w:r>
    </w:p>
    <w:tbl>
      <w:tblPr>
        <w:tblW w:w="9778" w:type="dxa"/>
        <w:jc w:val="left"/>
        <w:tblInd w:w="0" w:type="dxa"/>
        <w:tblLayout w:type="fixed"/>
        <w:tblCellMar>
          <w:top w:w="28" w:type="dxa"/>
          <w:left w:w="28" w:type="dxa"/>
          <w:bottom w:w="28" w:type="dxa"/>
          <w:right w:w="28" w:type="dxa"/>
        </w:tblCellMar>
      </w:tblPr>
      <w:tblGrid>
        <w:gridCol w:w="2135"/>
        <w:gridCol w:w="1876"/>
        <w:gridCol w:w="1883"/>
        <w:gridCol w:w="226"/>
        <w:gridCol w:w="772"/>
        <w:gridCol w:w="116"/>
        <w:gridCol w:w="116"/>
        <w:gridCol w:w="116"/>
        <w:gridCol w:w="116"/>
        <w:gridCol w:w="226"/>
        <w:gridCol w:w="772"/>
        <w:gridCol w:w="116"/>
        <w:gridCol w:w="109"/>
        <w:gridCol w:w="109"/>
        <w:gridCol w:w="109"/>
        <w:gridCol w:w="211"/>
        <w:gridCol w:w="61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Program-specific external expenses:</w:t>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 clinical trial and third party contracting costs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pipeline programs - clinical trial and third party contracting costs</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program-specific external expenses</w:t>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internal expenses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and other allocations</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internal expenses</w:t>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2025 increased $6.3 million, primarily due to acceleration of close-out activities for BEACON-IPF and employee-related expenses, driven by increased headcount.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March 31, 2025 increased $0.3 million, primarily due to an increase in professional service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remain relatively consistent for the foreseeable future.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decreased $2.3 million due to lower investment balances due to continued funding of operating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March 31, 2025 increased $0.4 million due to additional borrowings under the Amended Loan Agreement executed March 11,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$307.1 million of cash, cash equivalents and short-term investments. Our short-term investments consist of U.S. Treasury securities, U.S. Government agency securities and highly rated, investment-grade corporate debt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entered into an Amended Loan Agreement with Oxford Finance LLC (or the “Lender” or “Oxford”) which upsized our existing Term Loan facility to a total size of $150.0 million of available non-dilutive capital. Pursuant to the Amended Loan Agreement, we drew an additional Term Loan of $20.0 million. Given the discontinuation of the BEACON-IPF trial, we do not expect to have access to additional borrowing under the Oxford Agreement. See Note 7 to the Notes to our 2024 Form 10-K for more information. </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As of the date of this Report, we have not issued any shares pursuant to any at-the-market offerings, including pursuant to the Sales Agreement, but may do so at a future date.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 including but not limited to the European Medicines Agency (EMA) and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In addition, the discontinuation of the BEACON-IPF trial may intensify the risk that we will be unable to access capital on favorable terms, or at all, as and when needed.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6084" w:type="dxa"/>
        <w:jc w:val="center"/>
        <w:tblInd w:w="0" w:type="dxa"/>
        <w:tblLayout w:type="fixed"/>
        <w:tblCellMar>
          <w:top w:w="28" w:type="dxa"/>
          <w:left w:w="28" w:type="dxa"/>
          <w:bottom w:w="28" w:type="dxa"/>
          <w:right w:w="28" w:type="dxa"/>
        </w:tblCellMar>
      </w:tblPr>
      <w:tblGrid>
        <w:gridCol w:w="1254"/>
        <w:gridCol w:w="1104"/>
        <w:gridCol w:w="1107"/>
        <w:gridCol w:w="212"/>
        <w:gridCol w:w="802"/>
        <w:gridCol w:w="109"/>
        <w:gridCol w:w="109"/>
        <w:gridCol w:w="109"/>
        <w:gridCol w:w="109"/>
        <w:gridCol w:w="212"/>
        <w:gridCol w:w="802"/>
        <w:gridCol w:w="155"/>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increased $18.6 million, primarily due to higher spending related to third-party vendors to support acceleration of close-out activities for the BEACON-IPF study.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Investing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over the same period of prior year as maturities of marketable securities exceeded related purchases during the three months ended March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$21.3 million, primarily due to net proceeds of $20.0 million from the additional Term Loans entered into during the current three months ended March 31, 2024 associated with the Amended Loan Agreement.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have a non-cancelable operating lease for office and laboratory space for a period of seven years through March 31, 2031. Refer to Note 14 and Note 15 to our financial statements appearing elsewhere in this Report for a discussion of material obligations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restricted cash and short-term investments of $307.1 million as of March 31, 2025 which consisted of bank deposits, highly liquid money market funds and short-term investments in U.S. treasury securities, U.S. government agency securities and corporate debt securities. Under the Amended Loan Agreement, we had a $30.0 million term loan outstanding as of March 31, 2025 which is subject to the movement in interest rates.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2025, the design and operation of our disclosure controls and procedures were effective at a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identified in connection with the evaluation required by Rule 13a-15(d) and 15d-15(d) under the Exchange Act that occurred during the quarter ended March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net losses since our inception and have financed our operations principally through equity and debt financing and our prior collaboration with Novartis. We continue to incur significant research and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related to our ongoing operations. Our net loss was $56.2 million and $47.0 million for the three months ended March 31, 2025 and 2024, respectively. As of March 31, 2025, we had an accumulated deficit of $766.2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as we: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product candidates through clinical development, and, if successful, later-stage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strike/>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clinical trials of our product candidates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and such funding may be more difficult to obtain given the discontinuation of the BEACON-IPF trial.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approximately $307.1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borrowed and in the future may borrow additional capital from institutional and commercial banking sources to fund future growth or potentially pursuant to new arrangements with different lenders. We have borrowed capital under our Amended and Restated Loan and Security Agreement with Oxford Finance LLC, or Amended Loan Agreement. Following our discontinuation of BEACON-IPF, we do not expect to be eligible to borrow additional term loans under the Amended Loan Agreement, given that the availability of two term loans is subject to the satisfaction of certain conditions related to the BEACON-IPF clinical trial and the availability of the third term loan is at the sole discretion of the lender. In addition, we expect to continue to opportunistically seek access to the equity capital markets to support our development efforts and operations. However, we cannot be certain that additional funding will be available on acceptable terms, or at all, and such availability may be limited in the future given the discontinuation of the BEACON-IPF trial.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Amended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Amended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Loan Agreement, Oxford has been granted a security interest in substantially all of our assets, excluding intellectual property (but including the right to payments and proceeds of intellectual property, with such exclusion of intellectual property subject to change pursuant to the terms of the Amended Loan Agreement), and a negative pledge on substantially all of our intellectual property, subject to customary exceptions. If an event of default occurs under the Amended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Amended Loan Agreement may limit our flexibility in raising capital for other purposes. Because substantially all of our assets are pledged to secure the Amended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Amended Loan Agreement, we may be limited in our business activities and access to credit or may default under the Amended Loan Agreement. Provisions in the Amended Loan Agreement impose certain restrictions or require prior approval on our ability, and the ability of certain of our subsidiaries to,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Amended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Amended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general market conditions or extraordinary external events, such as recessions, inflationary and labor market pressures, changes in domestic policies, volatility and uncertainty, as well as potential volatility in the global trade markets or interest rates;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March 2025, we announced that we were discontinuing the BEACON-IPF Phase 2b trial following a prespecified data review and recommendation by the trial’s independent DSMB, as well as a secondary review and recommendation by an outside expert panel.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pPr>
      <w:r>
        <w:rPr>
          <w:rFonts w:ascii="Times New Roman;sans-serif" w:hAnsi="Times New Roman;sans-serif"/>
          <w:b w:val="false"/>
          <w:color w:val="242424"/>
          <w:sz w:val="20"/>
        </w:rPr>
        <w:t>We are currently conducting a Phase 1 clinical trial of PLN-101095 in solid tumors, and PLN-101325 development for treatmen</w:t>
      </w:r>
      <w:r>
        <w:rPr>
          <w:rFonts w:ascii="Times New Roman;sans-serif" w:hAnsi="Times New Roman;sans-serif"/>
          <w:b w:val="false"/>
          <w:color w:val="000000"/>
          <w:sz w:val="20"/>
        </w:rPr>
        <w:t>t of muscular dystrophies is Phase-1 ready. We have no products that are approved for commercial sale and may never be able to develop marketable products. If any of our product candidates encounter safety or efficacy problems, development delays, regulatory issues or other problems, our development plans and business would be significantly harmed. In that regard, in March 2025, we announced that we were discontinuing the BEACON-IPF Phase 2b trial following a prespecified data review and recommendation by the trial’s independent DSMB, as well as a secondary review and recommendation by an outside expert panel.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in March 2025, we announced that we were discontinuing the BEACON-IPF Phase 2b trial following a prespecified data review and recommendation by the trial’s independent DSMB, as well as a secondary review and recommendation by an outside expert panel.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IRBs, DSMBs or others in connection with such findings. </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or inability to perform by our third-party vendors, including vendors in foreign jurisdictions including China;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standards that the FDA and comparable foreign regulatory authorities use when regulating us require judgment and can change, which makes it difficult to predict with certainty how they will be applied. Although we are initially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regulators,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and dose selection administered in our planned clinical trials, which may delay or prevent us from initiating our clinical trials with our originally intended trial design or impact our ability to demonstrate favorable safety or efficacy traits;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may also encounter unexpected drug-drug interactions in our ongoing or planned trials, and may be required to further test our candidates, including additional drug-drug interaction studies, which may be expensive, time 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or availability of patients to participate in our trials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are initially developing bexotegrast for the treatment of IPF and PSC, each of which is an orphan indication. In the United States, IPF is estimated to affect approximately 150,000 patients, while PSC is estimated to affect approximately 30,000 to 45,000 patients. As a result, we may encounter difficulties enrolling subjects in our clinical trials of 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Further, in December 2023, the FDA published a final rule, “Institutional Review Board Waiver or Alteration of Informed Consent for Minimal Risk Clinical Investigations,” which allows exceptions from informed consent requirements when a clinical investigation poses no more than minimal risk to the human subject and includes appropriate safeguards to protect the rights, safety, and welfare of human subjects. The FDA’s new guidance and rulemaking present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 For example, in March 2025, we announced that we were discontinuing the BEACON-IPF Phase 2b trial following a prespecified data review and recommendation by the trial’s independent DSMB, as well as a secondary review and recommendation by an outside expert panel.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In June 2023, the FDA published draft guidance, which seeks to unify standards for clinical trial data for International Council for Harmonisation of Technical Requirements of Pharmaceuticals for Human Use, 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 or U.K. to justify the investment needed for its development; and (3) there exists no satisfactory method of diagnosis, prevention or treatment of such condition authorized for marketing in the EU or 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 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we may be unable to obtain and maintain orphan drug designation for our other product candidates, and even if we obtain such designation,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Food, Drug, and Cosmetic Act, or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including our adaptive trial,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and other product candidates continue clinical development and as additional product candidates may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Eli Lily &amp; Company,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The biopharmaceutical industry is subject to extensive regulatory obligations and policies that may be subject to significant and abrupt change, including due to judicial challenges, election cycles, and resulting regulatory updates and changes in policy priorities.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In June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the U.S. Department of Health and Human Services (HHS), the Centers for Medicare and Medicaid Services (CMS) and other agencies with significant oversight of the biopharmaceutical industry.</w:t>
      </w:r>
      <w:r>
        <w:rPr>
          <w:color w:val="000000"/>
        </w:rPr>
        <w:t xml:space="preserve"> </w:t>
      </w:r>
      <w:r>
        <w:rPr>
          <w:rFonts w:ascii="Times New Roman;sans-serif" w:hAnsi="Times New Roman;sans-serif"/>
          <w:b w:val="false"/>
          <w:color w:val="000000"/>
          <w:sz w:val="20"/>
        </w:rPr>
        <w:t>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federal agency priorities, leadership, policies, rulemaking, communications, spending, and staffing may be significantly impacted by election cycles. For example, the current U.S. presidential administration has committed to significantly reduce government spending through cuts to federal healthcare programs and reductions in the workforces of key government agencies, such as HHS, FDA, and CMS. Efforts by the current administration to further limit federal agency budgets may result in reduced agency workforces and/or changes in agency operations, which may lead to slower response times and longer review periods, potentially affecting our ability to progress development of our product candidates or obtain regulatory approval for our product candidates.</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positive HTA assessment in jurisdictions where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the 2024 Form 10-K.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the 2024 Form 10-K. For example, in August 2022, former President Biden signed into law the Inflation Reduction Act, or IRA, which implements substantial changes to the Medicare program, including drug pricing reforms and changes to the Medicare Part D benefit design.</w:t>
      </w:r>
    </w:p>
    <w:p>
      <w:pPr>
        <w:pStyle w:val="TextBody"/>
        <w:bidi w:val="0"/>
        <w:spacing w:lineRule="auto" w:line="288" w:before="60" w:after="283"/>
        <w:ind w:left="0" w:right="0" w:firstLine="450"/>
        <w:jc w:val="left"/>
        <w:rPr/>
      </w:pPr>
      <w:r>
        <w:rPr>
          <w:rFonts w:ascii="Times New Roman;sans-serif" w:hAnsi="Times New Roman;sans-serif"/>
          <w:b w:val="false"/>
          <w:color w:val="000000"/>
          <w:sz w:val="20"/>
        </w:rPr>
        <w:t>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that are selected by CMS and covered under Medicare Parts B and D following a price negotiation process with the agency. Under the current statute,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However, the current administration has expressed interest in working with Congress to align the treatment of small molecule prescription drugs with that of biological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and may seek obtain orphan drug designation for other product candidates, this aspect of the IRA could have a negative impact on our ability to rely on the orphan drug exclusion to the "maximum fair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 CMS has taken steps to implement various drug pricing provisions of the IRA. This includes, without limitation, releasing the negotiated maximum prices, which will be effective in 2026, for the first ten drugs that were subject to the IRA’s negotiation process, releasing quarterly lists of Medicare Part B products that are subject to adjusted coinsurance rates based on the inflationary rebate provisions of the IRA, and announcing a list of 15 additional drugs that will be subject to price negotiations during 2025.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HHS,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and/or executive or administrative action. However, we expect these initiatives to increase pressure on drug pricing. Further, certain broader legislation that is not targeted to the healthcare industry may nonetheless adversely affect our profitability. Moreover, the healthcare regulatory landscape can also be affected by election cycles and any resulting changes in healthcare policy priorities.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As of January 2025, Regulation No 2021/2282 on Health Technology Assessment (HTA Regulation) is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 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Thus, we may not be able to meaningfully protect our trade secrets. It is our policy to require our employees, consultants, outside scientific collaborators, sponsored researchers and other advisors to execute confidentiality agreements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 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 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2045,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Court of Justice of the EU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trade policies or challenging macroeconomic conditions, including the effects of health epidemics and pandemics, such as COVID-19. In addition, we rely on vendors in foreign jurisdictions, including China for our clinical drug supply for bexotegrast. The tensions between the United States and China have led to a series of tariffs and sanctions being imposed by the United States on imports from China mainland, as well as other business restrictions. Geopolitical developments may lead to further developments with respect to the imposition or threat of imposition of trade policies, tariffs, export controls, capital controls, taxes and other limitations on cross-border operations.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seeking appropriate collaborators for our product candidates, and the negotiation process is time 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 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 In addition, on May 1, 2025, we announced a strategic restructuring that is expected to reduce our workforce by approximately 45% of our total employees. The restructuring, which we expect to substantially complete by the end of the second quarter of 2025, is intended to reduce our costs and preserve cash reserves following the discontinuation of BEACON-IPF. However, this restructuring may increase our dependence on the remaining key members of our senior management and executive team and could result in other unintended consequences and costs, such as the loss of institutional knowledge and expertise, decreased morale or attrition among our remaining employees, and the risk that we may not achieve the anticipated benefits of the reduction in force.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 These challenges may be intensified following our discontinuation of BEACON-IPF and our recently announced workforce reduction, any of which could harm our ability to attract and retain qualified management, scientific and medical personnel who are critical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net operating loss carryforwards for U.S. federal and state income tax purposes of $318.7 million and $397.9 million, respectively, some of which will begin to expire in 2035. As of December 31, 2024, we also had available tax credit carryforwards for U.S. federal income tax purposes of $40.5 million, which begin to expire in 2036, and state income tax purposes of $9.1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2024, and the Company’s net operating losses and tax credit carryforwards generated prior to the identified ownership changes are subject to no permanent limitation under Sections 382 or 383. In addition, we may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commencement, enrollment or results of preclinical and clinical trials for our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a positive health technology assessment recommendation;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structure of the healthcare payment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the Amended Loan Agreement contains, and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our stockholder rights plan,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stockholder rights plan also may have certain anti-takeover effects. Specifically, the rights issued pursuant to the plan will cause substantial dilution to a person or group that acquires beneficial ownership of more than a specified percentage of our outstanding common stock without the prior approval of our Board of Directors. The rights plan is not intended to interfere with any merger or other business combination approved by the Board, but the rights plan may deter certain parties from pursuing strategic transactions involving us, including potential acquisitions.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Our disclosure controls and procedures may not prevent or detect all errors or acts 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depends in part on the research and reports that securities or industry analysts publish about us or our business. If one or more of the analysts who covers us downgrades our stock or publishes inaccurate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HHS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color w:val="000000"/>
        </w:rPr>
      </w:pPr>
      <w:r>
        <w:rPr>
          <w:color w:val="000000"/>
        </w:rPr>
        <w:t>“</w:t>
      </w:r>
      <w:r>
        <w:rPr>
          <w:rFonts w:ascii="Times New Roman;sans-serif" w:hAnsi="Times New Roman;sans-serif"/>
          <w:b w:val="false"/>
          <w:color w:val="000000"/>
          <w:sz w:val="20"/>
        </w:rPr>
        <w:t>personal information that is linked or reasonably linkable to a consumer and that identifies a consumer’s past, present, or future physical or mental health.” The “My Health My Data Act” provides exemptions for PHI as well as personal data used or shared in research, including data subject to 45 C.F.R. Parts 46, 50, and 56. Nevada has also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CMS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and the CPRA established a new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 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the FTC asserts are unfair or deceptive in the coming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increasing in their frequency, levels of persistence, sophistication and intensity, and are being conducted by sophisticated and organized groups and individuals with a wide range of motives and expertise. HHS, pursuant to legislation passed in 2021, issued guidance on recognized security practices for covered entities and business associates. HHS indicated that recognized security practices will not be an aggravating factor in HHS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ICFs);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Changes in U.S. tax law could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the Israel-Hamas conflict and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Use of social media platforms presents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2025, Johannes "Hans" Hull, our Chief Business Officer, adopted a trading plan, or the Hull 10b5-1 Sales Plan, intended to satisfy the affirmative defense of Rule 10b5-1(c) under the Exchange Act. Under the Hull 10b5-1 Sales Plan, which goes into effect on May 4, 2025, an aggregate of 104,327 shares of the Company’s common stock (the “Hull Authorized Shares”) may be sold. The Hull 10b5-1 Sales Plan, which was entered into during an open trading window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insider trading policy, will be in effect until the earlier of (1) May 31, 2026, or (2) the date on which all Hull Authorized Shares have been sold under the Hull 10b5-1 Sales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3"/>
        <w:gridCol w:w="230"/>
        <w:gridCol w:w="232"/>
        <w:gridCol w:w="109"/>
        <w:gridCol w:w="109"/>
        <w:gridCol w:w="109"/>
        <w:gridCol w:w="2759"/>
        <w:gridCol w:w="2634"/>
        <w:gridCol w:w="3760"/>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Amended and Restated Bylaws of the Registrant, as currently in effect (incorporated by reference to Exhibit 3.1 of the Registrant’s Current Report on Form 8-K (File No. 001-39303) filed on September 27, 2024).</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u w:val="single"/>
                </w:rPr>
                <w:t xml:space="preserve">Certificate of Designation of Series A Junior Participating Preferred Stock (incorporated by reference to Exhibit 3.1 of the </w:t>
              </w:r>
            </w:hyperlink>
            <w:hyperlink r:id="rId8">
              <w:r>
                <w:rPr>
                  <w:rStyle w:val="InternetLink"/>
                  <w:rFonts w:ascii="Times New Roman;sans-serif" w:hAnsi="Times New Roman;sans-serif"/>
                  <w:b w:val="false"/>
                  <w:color w:val="000080"/>
                  <w:sz w:val="20"/>
                  <w:u w:val="single"/>
                </w:rPr>
                <w:t>R</w:t>
              </w:r>
            </w:hyperlink>
            <w:hyperlink r:id="rId9">
              <w:r>
                <w:rPr>
                  <w:rStyle w:val="InternetLink"/>
                  <w:rFonts w:ascii="Times New Roman;sans-serif" w:hAnsi="Times New Roman;sans-serif"/>
                  <w:b w:val="false"/>
                  <w:color w:val="000080"/>
                  <w:sz w:val="20"/>
                  <w:u w:val="single"/>
                </w:rPr>
                <w:t xml:space="preserve">egistrant’s Current Form on 8-K (File No. 001-39303) filed March 13, 2025). </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Stockholder Rights Agreement, dated as of March 12, 2025, by and between the Company and Computershare Trust Company, N.A., as rights agent (which includes the Form of Rights Certificate as Exhibit B thereto) (incorporated by reference to Exhibit 4.1 to the Company’s Registration Statement on Form 8-A, filed with the Securities and Exchange Commission on March 13, 2025, File No. 001-39303)</w:t>
              </w:r>
            </w:hyperlink>
            <w:r>
              <w:rPr>
                <w:rFonts w:ascii="Times New Roman;sans-serif" w:hAnsi="Times New Roman;sans-serif"/>
                <w:b w:val="false"/>
                <w:color w:val="000000"/>
                <w:sz w:val="20"/>
              </w:rPr>
              <w: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101.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101.htm">
              <w:r>
                <w:rPr>
                  <w:rStyle w:val="InternetLink"/>
                  <w:rFonts w:ascii="Times New Roman;sans-serif" w:hAnsi="Times New Roman;sans-serif"/>
                  <w:b w:val="false"/>
                  <w:color w:val="0000FF"/>
                  <w:sz w:val="20"/>
                  <w:u w:val="single"/>
                </w:rPr>
                <w:t>Amended and Restated Non-Employee Director Compensation Policy</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331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2025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75" w:after="283"/>
        <w:jc w:val="center"/>
        <w:rPr>
          <w:rFonts w:ascii="Times New Roman;sans-serif" w:hAnsi="Times New Roman;sans-serif"/>
          <w:b/>
          <w:color w:val="000000"/>
          <w:sz w:val="28"/>
        </w:rPr>
      </w:pPr>
      <w:r>
        <w:rPr>
          <w:rFonts w:ascii="Times New Roman;sans-serif" w:hAnsi="Times New Roman;sans-serif"/>
          <w:b/>
          <w:color w:val="000000"/>
          <w:sz w:val="28"/>
        </w:rPr>
        <w:t>PLIANT THERAPEUTICS, INC.</w:t>
      </w:r>
    </w:p>
    <w:p>
      <w:pPr>
        <w:pStyle w:val="TextBody"/>
        <w:bidi w:val="0"/>
        <w:spacing w:lineRule="auto" w:line="288" w:before="5" w:after="283"/>
        <w:jc w:val="center"/>
        <w:rPr>
          <w:rFonts w:ascii="Times New Roman;sans-serif" w:hAnsi="Times New Roman;sans-serif"/>
          <w:b/>
          <w:color w:val="000000"/>
          <w:sz w:val="28"/>
        </w:rPr>
      </w:pPr>
      <w:r>
        <w:rPr>
          <w:rFonts w:ascii="Times New Roman;sans-serif" w:hAnsi="Times New Roman;sans-serif"/>
          <w:b/>
          <w:color w:val="000000"/>
          <w:sz w:val="28"/>
        </w:rPr>
        <w:t>NON-EMPLOYEE DIRECTOR COMPENSATION POLICY</w:t>
      </w:r>
    </w:p>
    <w:p>
      <w:pPr>
        <w:pStyle w:val="TextBody"/>
        <w:bidi w:val="0"/>
        <w:spacing w:lineRule="auto" w:line="288" w:before="274" w:after="283"/>
        <w:jc w:val="both"/>
        <w:rPr/>
      </w:pPr>
      <w:r>
        <w:rPr>
          <w:rFonts w:ascii="Times New Roman;sans-serif" w:hAnsi="Times New Roman;sans-serif"/>
          <w:b w:val="false"/>
          <w:color w:val="000000"/>
          <w:sz w:val="24"/>
        </w:rPr>
        <w:t>The purpose of this Non-Employee Director Compensation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Pliant Therapeutics,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to provide a total compensation package that enables the Company to attract and retain, on a long-term basis, high-caliber directors who are not employees or officers of the Company or its subsidiaries (“</w:t>
      </w:r>
      <w:r>
        <w:rPr>
          <w:color w:val="000000"/>
          <w:u w:val="single"/>
        </w:rPr>
        <w:t xml:space="preserve"> </w:t>
      </w:r>
      <w:r>
        <w:rPr>
          <w:rFonts w:ascii="Times New Roman;sans-serif" w:hAnsi="Times New Roman;sans-serif"/>
          <w:b w:val="false"/>
          <w:color w:val="000000"/>
          <w:sz w:val="24"/>
          <w:u w:val="single"/>
        </w:rPr>
        <w:t>Outside Director</w:t>
      </w:r>
      <w:r>
        <w:rPr>
          <w:rFonts w:ascii="Times New Roman;sans-serif" w:hAnsi="Times New Roman;sans-serif"/>
          <w:b w:val="false"/>
          <w:color w:val="000000"/>
          <w:sz w:val="24"/>
        </w:rPr>
        <w:t xml:space="preserve">s”). </w:t>
      </w:r>
      <w:r>
        <w:rPr>
          <w:rFonts w:ascii="Times New Roman;sans-serif" w:hAnsi="Times New Roman;sans-serif"/>
          <w:b w:val="false"/>
          <w:color w:val="000000"/>
          <w:sz w:val="23"/>
        </w:rPr>
        <w:t xml:space="preserve">This Policy was reviewed and updated by the Board of Directors of the Company on March 27, 2025. </w:t>
      </w:r>
      <w:r>
        <w:rPr>
          <w:rFonts w:ascii="Times New Roman;sans-serif" w:hAnsi="Times New Roman;sans-serif"/>
          <w:b w:val="false"/>
          <w:color w:val="000000"/>
          <w:sz w:val="24"/>
        </w:rPr>
        <w:t>In furtherance of the purpose stated above, all Outside Directors shall be paid compensation for services provided to the Company as set forth below:</w:t>
      </w:r>
    </w:p>
    <w:p>
      <w:pPr>
        <w:pStyle w:val="TextBody"/>
        <w:bidi w:val="0"/>
        <w:spacing w:lineRule="auto" w:line="288" w:before="240" w:after="283"/>
        <w:ind w:left="0" w:right="0" w:hanging="722"/>
        <w:jc w:val="left"/>
        <w:rPr/>
      </w:pPr>
      <w:r>
        <w:rPr>
          <w:rFonts w:ascii="Times New Roman;sans-serif" w:hAnsi="Times New Roman;sans-serif"/>
          <w:b/>
          <w:color w:val="000000"/>
          <w:sz w:val="24"/>
        </w:rPr>
        <w:t>I.</w:t>
      </w:r>
      <w:r>
        <w:rPr>
          <w:rFonts w:ascii="Times New Roman;sans-serif" w:hAnsi="Times New Roman;sans-serif"/>
          <w:b/>
          <w:color w:val="000000"/>
          <w:sz w:val="24"/>
          <w:u w:val="single"/>
        </w:rPr>
        <w:t>Cash Retainers</w:t>
      </w:r>
    </w:p>
    <w:p>
      <w:pPr>
        <w:pStyle w:val="TextBody"/>
        <w:bidi w:val="0"/>
        <w:spacing w:lineRule="auto" w:line="288" w:before="243" w:after="283"/>
        <w:ind w:left="0" w:right="0" w:firstLine="717"/>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Retainer for Board Membership</w:t>
      </w:r>
      <w:r>
        <w:rPr>
          <w:rFonts w:ascii="Times New Roman;sans-serif" w:hAnsi="Times New Roman;sans-serif"/>
          <w:b w:val="false"/>
          <w:color w:val="000000"/>
          <w:sz w:val="24"/>
        </w:rPr>
        <w:t>: $40,000 for general availability and participation in meetings and conference calls of our Board of Directors, to be paid quarterly in arrears, pro-rated based on the number of actual days served by the director during such calendar quarter. No additional compensation for attending individual Board meetings.</w:t>
      </w:r>
    </w:p>
    <w:p>
      <w:pPr>
        <w:pStyle w:val="TextBody"/>
        <w:bidi w:val="0"/>
        <w:spacing w:lineRule="auto" w:line="288" w:before="240" w:after="283"/>
        <w:ind w:left="0" w:right="0" w:hanging="72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Annual Retainers for Committee Membership</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Chairperson:    $20,000</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member:    $10,000</w:t>
      </w:r>
    </w:p>
    <w:p>
      <w:pPr>
        <w:pStyle w:val="TextBody"/>
        <w:bidi w:val="0"/>
        <w:spacing w:lineRule="auto" w:line="28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Committee Chairperson:    $15,000</w:t>
      </w:r>
    </w:p>
    <w:p>
      <w:pPr>
        <w:pStyle w:val="TextBody"/>
        <w:bidi w:val="0"/>
        <w:spacing w:lineRule="auto" w:line="520" w:before="23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Committee member:    $7,500 Nominating and Corporate Governance Committee Chairperson:    $10,000 Nominating and Corporate Governance Committee member:    $5,000 Research and Development Committee Chairperson:    $15,000</w:t>
      </w:r>
    </w:p>
    <w:p>
      <w:pPr>
        <w:pStyle w:val="TextBody"/>
        <w:bidi w:val="0"/>
        <w:spacing w:lineRule="atLeast"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Research and Development Committee member:    $7,500</w:t>
      </w:r>
    </w:p>
    <w:p>
      <w:pPr>
        <w:pStyle w:val="TextBody"/>
        <w:bidi w:val="0"/>
        <w:spacing w:lineRule="auto" w:line="288" w:before="237" w:after="283"/>
        <w:ind w:left="0" w:right="0" w:firstLine="717"/>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Retainer for Non-Executive Chairperson or Lead Director of the Board</w:t>
      </w:r>
      <w:r>
        <w:rPr>
          <w:color w:val="000000"/>
        </w:rPr>
        <w:t xml:space="preserve"> </w:t>
      </w:r>
      <w:r>
        <w:rPr>
          <w:rFonts w:ascii="Times New Roman;sans-serif" w:hAnsi="Times New Roman;sans-serif"/>
          <w:b w:val="false"/>
          <w:color w:val="000000"/>
          <w:sz w:val="24"/>
          <w:u w:val="single"/>
        </w:rPr>
        <w:t>of Directors</w:t>
      </w:r>
      <w:r>
        <w:rPr>
          <w:rFonts w:ascii="Times New Roman;sans-serif" w:hAnsi="Times New Roman;sans-serif"/>
          <w:b w:val="false"/>
          <w:color w:val="000000"/>
          <w:sz w:val="24"/>
        </w:rPr>
        <w:t>: $30,000 to acknowledge the additional responsibilities and time commitment of the Chairperson role, or in the absence of a Chairperson, of the Outside Director designated Lead Director.</w:t>
      </w:r>
    </w:p>
    <w:p>
      <w:pPr>
        <w:pStyle w:val="TextBody"/>
        <w:bidi w:val="0"/>
        <w:spacing w:lineRule="auto" w:line="288" w:before="244" w:after="283"/>
        <w:ind w:left="0" w:right="0" w:hanging="722"/>
        <w:jc w:val="left"/>
        <w:rPr/>
      </w:pPr>
      <w:r>
        <w:rPr>
          <w:rFonts w:ascii="Times New Roman;sans-serif" w:hAnsi="Times New Roman;sans-serif"/>
          <w:b/>
          <w:color w:val="000000"/>
          <w:sz w:val="24"/>
        </w:rPr>
        <w:t>II.</w:t>
      </w:r>
      <w:r>
        <w:rPr>
          <w:rFonts w:ascii="Times New Roman;sans-serif" w:hAnsi="Times New Roman;sans-serif"/>
          <w:b/>
          <w:color w:val="000000"/>
          <w:sz w:val="24"/>
          <w:u w:val="single"/>
        </w:rPr>
        <w:t>Equity Retainers</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grants of equity retainer awards to Outside Directors pursuant to this Policy will be automatic and nondiscretionary and will be made in accordance with the following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48030"/>
                <wp:effectExtent l="0" t="0" r="0" b="0"/>
                <wp:wrapNone/>
                <wp:docPr id="75" name="Frame7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lineRule="auto" w:line="288" w:before="163" w:after="283"/>
        <w:ind w:left="0" w:right="0" w:firstLine="717"/>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Value</w:t>
      </w:r>
      <w:r>
        <w:rPr>
          <w:rFonts w:ascii="Times New Roman;sans-serif" w:hAnsi="Times New Roman;sans-serif"/>
          <w:b w:val="false"/>
          <w:color w:val="000000"/>
          <w:sz w:val="24"/>
        </w:rPr>
        <w:t>. For purposes of this Policy, “</w:t>
      </w:r>
      <w:r>
        <w:rPr>
          <w:rFonts w:ascii="Times New Roman;sans-serif" w:hAnsi="Times New Roman;sans-serif"/>
          <w:b w:val="false"/>
          <w:color w:val="000000"/>
          <w:sz w:val="24"/>
          <w:u w:val="single"/>
        </w:rPr>
        <w:t>Value</w:t>
      </w:r>
      <w:r>
        <w:rPr>
          <w:color w:val="000000"/>
        </w:rPr>
        <w:t xml:space="preserve">” </w:t>
      </w:r>
      <w:r>
        <w:rPr>
          <w:rFonts w:ascii="Times New Roman;sans-serif" w:hAnsi="Times New Roman;sans-serif"/>
          <w:b w:val="false"/>
          <w:color w:val="000000"/>
          <w:sz w:val="24"/>
        </w:rPr>
        <w:t>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(A) the closing market price on The Nasdaq Global Market (or such other market on which the Company’s Common Stock is then principally listed) of one share of the Company’s Common Stock on the effective date of grant, or if no closing price is reported for such date, the closing price on the last date preceding such date for which a closing price is reported and (B) the aggregate number of shares pursuant to such award.</w:t>
      </w:r>
    </w:p>
    <w:p>
      <w:pPr>
        <w:pStyle w:val="TextBody"/>
        <w:bidi w:val="0"/>
        <w:spacing w:lineRule="auto" w:line="288" w:before="238" w:after="283"/>
        <w:ind w:left="0" w:right="0" w:firstLine="717"/>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Sale Event Acceleration</w:t>
      </w:r>
      <w:r>
        <w:rPr>
          <w:rFonts w:ascii="Times New Roman;sans-serif" w:hAnsi="Times New Roman;sans-serif"/>
          <w:b w:val="false"/>
          <w:color w:val="000000"/>
          <w:sz w:val="24"/>
        </w:rPr>
        <w:t>. In the event of a Sale Event (as defined in the Company’s 2020 Stock Option and Incentive Plan (the “</w:t>
      </w:r>
      <w:r>
        <w:rPr>
          <w:rFonts w:ascii="Times New Roman;sans-serif" w:hAnsi="Times New Roman;sans-serif"/>
          <w:b w:val="false"/>
          <w:color w:val="000000"/>
          <w:sz w:val="24"/>
          <w:u w:val="single"/>
        </w:rPr>
        <w:t>2020 Plan</w:t>
      </w:r>
      <w:r>
        <w:rPr>
          <w:color w:val="000000"/>
        </w:rPr>
        <w:t>”</w:t>
      </w:r>
      <w:r>
        <w:rPr>
          <w:rFonts w:ascii="Times New Roman;sans-serif" w:hAnsi="Times New Roman;sans-serif"/>
          <w:b w:val="false"/>
          <w:color w:val="000000"/>
          <w:sz w:val="24"/>
        </w:rPr>
        <w:t>)), the equity retainer awards granted to Outside Directors pursuant to this Policy shall become 100% vested and exercisable.</w:t>
      </w:r>
    </w:p>
    <w:p>
      <w:pPr>
        <w:pStyle w:val="TextBody"/>
        <w:bidi w:val="0"/>
        <w:spacing w:lineRule="auto" w:line="288" w:before="243" w:after="283"/>
        <w:ind w:left="0" w:right="0" w:firstLine="717"/>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Initial Grant</w:t>
      </w:r>
      <w:r>
        <w:rPr>
          <w:rFonts w:ascii="Times New Roman;sans-serif" w:hAnsi="Times New Roman;sans-serif"/>
          <w:b w:val="false"/>
          <w:color w:val="000000"/>
          <w:sz w:val="24"/>
        </w:rPr>
        <w:t>. Upon initial election or appointment to the Board of Directors, each new Outside Director will receive an initial, one-time grant of a non-statutory stock option to purchase shares of the Company’s Common Stock. The grant will consist of the lesser of the number of options that would result in a grant date Value of $500,000, based on the average closing market price calculated over a trailing 30 day period, or 60,000 options (the “</w:t>
      </w:r>
      <w:r>
        <w:rPr>
          <w:rFonts w:ascii="Times New Roman;sans-serif" w:hAnsi="Times New Roman;sans-serif"/>
          <w:b w:val="false"/>
          <w:color w:val="000000"/>
          <w:sz w:val="24"/>
          <w:u w:val="single"/>
        </w:rPr>
        <w:t>Initial Grant</w:t>
      </w:r>
      <w:r>
        <w:rPr>
          <w:color w:val="000000"/>
        </w:rPr>
        <w:t>”</w:t>
      </w:r>
      <w:r>
        <w:rPr>
          <w:rFonts w:ascii="Times New Roman;sans-serif" w:hAnsi="Times New Roman;sans-serif"/>
          <w:b w:val="false"/>
          <w:color w:val="000000"/>
          <w:sz w:val="24"/>
        </w:rPr>
        <w:t>) with an exercise price per share equal to the closing price of a share of the Company’s Common Stock on the date of grant and a term of ten years, that vests substantially equal monthly installments over three years beginning on the grant date; provided, however, that all vesting ceases if the director resigns from our Board of Directors or otherwise ceases to serve as a director, unless the Board of Directors determines that the circumstances warrant continuation of vesting. If any Initial Grant to an Outside Director is to become effective as of the date of the Company’s initial public offering, it shall have an exercise price per share equal to the per share “price to the public” (or equivalent) set forth on the cover page for the final prospectus relating to the Company’s initial public offering. This Initial Grant applies to Outside Directors who are first elected or appointed to, and who were not previously serving on, the Board of Directors effective as of or subsequent to the Company’s initial public offering.</w:t>
      </w:r>
    </w:p>
    <w:p>
      <w:pPr>
        <w:pStyle w:val="TextBody"/>
        <w:bidi w:val="0"/>
        <w:spacing w:lineRule="auto" w:line="288" w:before="241" w:after="283"/>
        <w:ind w:left="0" w:right="0" w:firstLine="717"/>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Annual Grant</w:t>
      </w:r>
      <w:r>
        <w:rPr>
          <w:rFonts w:ascii="Times New Roman;sans-serif" w:hAnsi="Times New Roman;sans-serif"/>
          <w:b w:val="false"/>
          <w:color w:val="000000"/>
          <w:sz w:val="24"/>
        </w:rPr>
        <w:t>. On the date of the Company’s Annual Meeting of Stockholders, each Outside Director who will continue as a member of the Board of Directors following such Annual Meeting of Stockholders will receive a grant of a non-statutory stock option to purchase shares of the Company’s Common Stock. The grant will consist of the lesser of the number of options that would result in a grant date Value of $250,000, based on the average closing market price calculated over a trailing 30 day period on the date of such Annual Meeting, or 30,000 options (the “</w:t>
      </w:r>
      <w:r>
        <w:rPr>
          <w:rFonts w:ascii="Times New Roman;sans-serif" w:hAnsi="Times New Roman;sans-serif"/>
          <w:b w:val="false"/>
          <w:color w:val="000000"/>
          <w:sz w:val="24"/>
          <w:u w:val="single"/>
        </w:rPr>
        <w:t>Annual Grant</w:t>
      </w:r>
      <w:r>
        <w:rPr>
          <w:color w:val="000000"/>
        </w:rPr>
        <w:t>”</w:t>
      </w:r>
      <w:r>
        <w:rPr>
          <w:rFonts w:ascii="Times New Roman;sans-serif" w:hAnsi="Times New Roman;sans-serif"/>
          <w:b w:val="false"/>
          <w:color w:val="000000"/>
          <w:sz w:val="24"/>
        </w:rPr>
        <w:t>) with an exercise price per share equal to the closing price of a share of the Company’s Common Stock on the date of grant and a term of ten years, with 25% of the Annual Grant vesting on the first day of each calendar quarter following the grant date for three calendar quarters and the remaining 25% of the Annual Grant vesting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8030"/>
                <wp:effectExtent l="0" t="0" r="0" b="0"/>
                <wp:wrapNone/>
                <wp:docPr id="76" name="Frame7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lineRule="auto" w:line="288" w:before="241" w:after="283"/>
        <w:jc w:val="left"/>
        <w:rPr>
          <w:color w:val="000000"/>
        </w:rPr>
      </w:pPr>
      <w:r>
        <w:rPr>
          <w:color w:val="000000"/>
        </w:rPr>
        <w:t>    </w:t>
      </w:r>
      <w:r>
        <w:rPr>
          <w:rFonts w:ascii="Times New Roman;sans-serif" w:hAnsi="Times New Roman;sans-serif"/>
          <w:b w:val="false"/>
          <w:color w:val="000000"/>
          <w:sz w:val="24"/>
        </w:rPr>
        <w:t xml:space="preserve">A new Outside Director appointed outside of the Company’s Annual Meeting of Stockholders will receive a pro-rated Annual Grant based on the number of days he or she serves as an Outside Director prior to the Company’s next Annual Meeting of Stockholders. </w:t>
      </w:r>
    </w:p>
    <w:p>
      <w:pPr>
        <w:pStyle w:val="TextBody"/>
        <w:bidi w:val="0"/>
        <w:spacing w:lineRule="auto" w:line="288" w:before="241" w:after="283"/>
        <w:ind w:left="0" w:right="0" w:hanging="722"/>
        <w:jc w:val="left"/>
        <w:rPr/>
      </w:pPr>
      <w:r>
        <w:rPr>
          <w:rFonts w:ascii="Times New Roman;sans-serif" w:hAnsi="Times New Roman;sans-serif"/>
          <w:b/>
          <w:color w:val="000000"/>
          <w:sz w:val="24"/>
        </w:rPr>
        <w:t>III.</w:t>
      </w:r>
      <w:r>
        <w:rPr>
          <w:rFonts w:ascii="Times New Roman;sans-serif" w:hAnsi="Times New Roman;sans-serif"/>
          <w:b/>
          <w:color w:val="000000"/>
          <w:sz w:val="24"/>
          <w:u w:val="single"/>
        </w:rPr>
        <w:t>Expenses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will reimburse all reasonable out-of-pocket expenses incurred by Outside Directors in attending meetings of the Board of Directors or any Committee thereof.</w:t>
      </w:r>
    </w:p>
    <w:p>
      <w:pPr>
        <w:pStyle w:val="TextBody"/>
        <w:bidi w:val="0"/>
        <w:spacing w:lineRule="auto" w:line="288" w:before="163" w:after="283"/>
        <w:ind w:left="0" w:right="0" w:hanging="722"/>
        <w:jc w:val="left"/>
        <w:rPr/>
      </w:pPr>
      <w:r>
        <w:rPr>
          <w:rFonts w:ascii="Times New Roman;sans-serif" w:hAnsi="Times New Roman;sans-serif"/>
          <w:b/>
          <w:color w:val="000000"/>
          <w:sz w:val="24"/>
        </w:rPr>
        <w:t>IV.</w:t>
      </w:r>
      <w:r>
        <w:rPr>
          <w:rFonts w:ascii="Times New Roman;sans-serif" w:hAnsi="Times New Roman;sans-serif"/>
          <w:b/>
          <w:color w:val="000000"/>
          <w:sz w:val="24"/>
          <w:u w:val="single"/>
        </w:rPr>
        <w:t>Maximum Annual Compensation</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amount of compensation, including both equity compensation and cash compensation, paid to any Outside Director in a calendar year period shall not exceed (i)</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$1,000,000 in the first calendar year an individual becomes an Outside Director and (ii) $750,000 in any other year (or in each case, such other limits as may be set forth in Section 3(b) of the 2020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pStyle w:val="TextBody"/>
        <w:bidi w:val="0"/>
        <w:spacing w:lineRule="auto" w:line="288" w:before="238" w:after="283"/>
        <w:jc w:val="both"/>
        <w:rPr/>
      </w:pPr>
      <w:r>
        <w:rPr>
          <w:rFonts w:ascii="Times New Roman;sans-serif" w:hAnsi="Times New Roman;sans-serif"/>
          <w:b/>
          <w:color w:val="000000"/>
          <w:sz w:val="24"/>
        </w:rPr>
        <w:t>Date Policy Approved</w:t>
      </w:r>
      <w:r>
        <w:rPr>
          <w:rFonts w:ascii="Times New Roman;sans-serif" w:hAnsi="Times New Roman;sans-serif"/>
          <w:b w:val="false"/>
          <w:color w:val="000000"/>
          <w:sz w:val="24"/>
        </w:rPr>
        <w:t>: March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8030"/>
                <wp:effectExtent l="0" t="0" r="0" b="0"/>
                <wp:wrapNone/>
                <wp:docPr id="77" name="Frame7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2025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March 31, 2025,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8, 2025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6" w:type="dxa"/>
        <w:jc w:val="left"/>
        <w:tblInd w:w="0" w:type="dxa"/>
        <w:tblLayout w:type="fixed"/>
        <w:tblCellMar>
          <w:top w:w="28" w:type="dxa"/>
          <w:left w:w="28" w:type="dxa"/>
          <w:bottom w:w="28" w:type="dxa"/>
          <w:right w:w="28" w:type="dxa"/>
        </w:tblCellMar>
      </w:tblPr>
      <w:tblGrid>
        <w:gridCol w:w="917"/>
        <w:gridCol w:w="806"/>
        <w:gridCol w:w="81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6473/000156459020039327/plrx-ex31_301.htm" TargetMode="External"/><Relationship Id="rId3" Type="http://schemas.openxmlformats.org/officeDocument/2006/relationships/hyperlink" Target="https://www.sec.gov/Archives/edgar/data/0001746473/000156459020039327/plrx-ex31_301.htm" TargetMode="External"/><Relationship Id="rId4" Type="http://schemas.openxmlformats.org/officeDocument/2006/relationships/hyperlink" Target="https://www.sec.gov/ix?doc=/Archives/edgar/data/1746473/000174647324000153/plrx-20240924.htm" TargetMode="External"/><Relationship Id="rId5" Type="http://schemas.openxmlformats.org/officeDocument/2006/relationships/hyperlink" Target="https://www.sec.gov/ix?doc=/Archives/edgar/data/1746473/000174647324000153/plrx-20240924.htm" TargetMode="External"/><Relationship Id="rId6" Type="http://schemas.openxmlformats.org/officeDocument/2006/relationships/hyperlink" Target="https://www.sec.gov/Archives/edgar/data/1746473/000119312525053509/d860128dex31.htm" TargetMode="External"/><Relationship Id="rId7" Type="http://schemas.openxmlformats.org/officeDocument/2006/relationships/hyperlink" Target="https://www.sec.gov/Archives/edgar/data/1746473/000119312525053509/d860128dex31.htm" TargetMode="External"/><Relationship Id="rId8" Type="http://schemas.openxmlformats.org/officeDocument/2006/relationships/hyperlink" Target="https://www.sec.gov/Archives/edgar/data/1746473/000119312525053509/d860128dex31.htm" TargetMode="External"/><Relationship Id="rId9" Type="http://schemas.openxmlformats.org/officeDocument/2006/relationships/hyperlink" Target="https://www.sec.gov/Archives/edgar/data/1746473/000119312525053509/d860128dex31.htm" TargetMode="External"/><Relationship Id="rId10" Type="http://schemas.openxmlformats.org/officeDocument/2006/relationships/hyperlink" Target="https://www.sec.gov/Archives/edgar/data/1746473/000119312520150643/d729258dex41.htm" TargetMode="External"/><Relationship Id="rId11" Type="http://schemas.openxmlformats.org/officeDocument/2006/relationships/hyperlink" Target="https://www.sec.gov/Archives/edgar/data/0001746473/000119312520150643/d729258dex41.htm" TargetMode="External"/><Relationship Id="rId12" Type="http://schemas.openxmlformats.org/officeDocument/2006/relationships/hyperlink" Target="https://www.sec.gov/Archives/edgar/data/1746473/000119312525053509/d860128dex41.htm" TargetMode="External"/><Relationship Id="rId13" Type="http://schemas.openxmlformats.org/officeDocument/2006/relationships/hyperlink" Target="https://www.sec.gov/Archives/edgar/data/1746473/000119312525053509/d860128d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54543</Words>
  <Characters>305916</Characters>
  <CharactersWithSpaces>358900</CharactersWithSpaces>
  <Paragraphs>2202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