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3974746.xml.htm"/>
      <w:bookmarkStart w:id="1" w:name="kswkform4_178397474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Iannone Robert</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PLIANT THERAPEUTICS,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331 OYSTER POINT BOULEVARD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SOUTH SAN FRANCISCO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94080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PLIANT THERAPEUTICS, INC.</w:t>
              </w:r>
            </w:hyperlink>
            <w:r>
              <w:rPr/>
              <w:t xml:space="preserve"> [ </w:t>
            </w:r>
            <w:r>
              <w:rPr>
                <w:rFonts w:ascii="Times;serif" w:hAnsi="Times;serif"/>
                <w:color w:val="0000FF"/>
                <w:sz w:val="24"/>
                <w:shd w:fill="FFFFFF" w:val="clear"/>
              </w:rPr>
              <w:t>PLRX</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07/09/2026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1.13</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07/09/2026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60,000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07/09/2036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60,000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60,000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1/36th of the shares subject to such option vest and become exercisable in substantially equal installments on each monthly anniversary of July 9, 2026, subject to the Reporting Person's continuous service to the Issuer on each such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Jennifer Woo,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37329" TargetMode="External"/><Relationship Id="rId5" Type="http://schemas.openxmlformats.org/officeDocument/2006/relationships/hyperlink" Target="http://www.sec.gov/cgi-bin/browse-edgar?action=getcompany&amp;CIK=000174647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610</Words>
  <Characters>3326</Characters>
  <CharactersWithSpaces>3873</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