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For the transition period from</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001-39303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PLIANT THERAPEUTICS,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070" w:type="dxa"/>
        <w:jc w:val="left"/>
        <w:tblInd w:w="0" w:type="dxa"/>
        <w:tblLayout w:type="fixed"/>
        <w:tblCellMar>
          <w:top w:w="28" w:type="dxa"/>
          <w:left w:w="28" w:type="dxa"/>
          <w:bottom w:w="28" w:type="dxa"/>
          <w:right w:w="28" w:type="dxa"/>
        </w:tblCellMar>
      </w:tblPr>
      <w:tblGrid>
        <w:gridCol w:w="1540"/>
        <w:gridCol w:w="1350"/>
        <w:gridCol w:w="1369"/>
        <w:gridCol w:w="109"/>
        <w:gridCol w:w="109"/>
        <w:gridCol w:w="109"/>
        <w:gridCol w:w="433"/>
        <w:gridCol w:w="433"/>
        <w:gridCol w:w="61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331 Oyster Point Blvd., South 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(650) 481-6770</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11" w:type="dxa"/>
        <w:jc w:val="left"/>
        <w:tblInd w:w="0" w:type="dxa"/>
        <w:tblLayout w:type="fixed"/>
        <w:tblCellMar>
          <w:top w:w="28" w:type="dxa"/>
          <w:left w:w="28" w:type="dxa"/>
          <w:bottom w:w="28" w:type="dxa"/>
          <w:right w:w="28" w:type="dxa"/>
        </w:tblCellMar>
      </w:tblPr>
      <w:tblGrid>
        <w:gridCol w:w="1175"/>
        <w:gridCol w:w="1027"/>
        <w:gridCol w:w="1038"/>
        <w:gridCol w:w="270"/>
        <w:gridCol w:w="270"/>
        <w:gridCol w:w="271"/>
        <w:gridCol w:w="1157"/>
        <w:gridCol w:w="1157"/>
        <w:gridCol w:w="1646"/>
      </w:tblGrid>
      <w:tr>
        <w:trPr/>
        <w:tc>
          <w:tcPr>
            <w:tcW w:w="117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853" w:type="dxa"/>
        <w:jc w:val="left"/>
        <w:tblInd w:w="0" w:type="dxa"/>
        <w:tblLayout w:type="fixed"/>
        <w:tblCellMar>
          <w:top w:w="28" w:type="dxa"/>
          <w:left w:w="28" w:type="dxa"/>
          <w:bottom w:w="28" w:type="dxa"/>
          <w:right w:w="28" w:type="dxa"/>
        </w:tblCellMar>
      </w:tblPr>
      <w:tblGrid>
        <w:gridCol w:w="891"/>
        <w:gridCol w:w="783"/>
        <w:gridCol w:w="785"/>
        <w:gridCol w:w="285"/>
        <w:gridCol w:w="285"/>
        <w:gridCol w:w="286"/>
        <w:gridCol w:w="109"/>
        <w:gridCol w:w="109"/>
        <w:gridCol w:w="109"/>
        <w:gridCol w:w="769"/>
        <w:gridCol w:w="769"/>
        <w:gridCol w:w="772"/>
        <w:gridCol w:w="264"/>
        <w:gridCol w:w="264"/>
        <w:gridCol w:w="37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Yes ☐ No ☒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1, 2024, the registrant had 60,801,425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12" w:type="dxa"/>
        <w:jc w:val="left"/>
        <w:tblInd w:w="0" w:type="dxa"/>
        <w:tblLayout w:type="fixed"/>
        <w:tblCellMar>
          <w:top w:w="28" w:type="dxa"/>
          <w:left w:w="28" w:type="dxa"/>
          <w:bottom w:w="28" w:type="dxa"/>
          <w:right w:w="28" w:type="dxa"/>
        </w:tblCellMar>
      </w:tblPr>
      <w:tblGrid>
        <w:gridCol w:w="353"/>
        <w:gridCol w:w="309"/>
        <w:gridCol w:w="314"/>
        <w:gridCol w:w="2452"/>
        <w:gridCol w:w="2452"/>
        <w:gridCol w:w="2460"/>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0">
              <w:r>
                <w:rPr>
                  <w:rStyle w:val="InternetLink"/>
                  <w:rFonts w:ascii="Times New Roman;sans-serif" w:hAnsi="Times New Roman;sans-serif"/>
                  <w:b/>
                  <w:color w:val="112ADB"/>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0">
              <w:r>
                <w:rPr>
                  <w:rStyle w:val="InternetLink"/>
                  <w:rFonts w:ascii="Times New Roman;sans-serif" w:hAnsi="Times New Roman;sans-serif"/>
                  <w:b w:val="false"/>
                  <w:color w:val="0E32E1"/>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0">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
              <w:r>
                <w:rPr>
                  <w:rStyle w:val="InternetLink"/>
                  <w:rFonts w:ascii="Times New Roman;sans-serif" w:hAnsi="Times New Roman;sans-serif"/>
                  <w:b w:val="false"/>
                  <w:color w:val="000080"/>
                  <w:sz w:val="20"/>
                  <w:u w:val="single"/>
                </w:rPr>
                <w:t>Condensed Financial Statements</w:t>
              </w:r>
            </w:hyperlink>
            <w:r>
              <w:rPr>
                <w:rFonts w:ascii="Times New Roman;sans-serif" w:hAnsi="Times New Roman;sans-serif"/>
                <w:b w:val="false"/>
                <w:color w:val="0E32E1"/>
                <w:sz w:val="20"/>
                <w:u w:val="single"/>
              </w:rPr>
              <w:t xml:space="preserve"> (Unaudited)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3">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6">
              <w:r>
                <w:rPr>
                  <w:rStyle w:val="InternetLink"/>
                  <w:rFonts w:ascii="Times New Roman;sans-serif" w:hAnsi="Times New Roman;sans-serif"/>
                  <w:b w:val="false"/>
                  <w:color w:val="0E32E1"/>
                  <w:sz w:val="20"/>
                  <w:u w:val="single"/>
                </w:rPr>
                <w:t xml:space="preserve">Condensed 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6">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9">
              <w:r>
                <w:rPr>
                  <w:rStyle w:val="InternetLink"/>
                  <w:rFonts w:ascii="Times New Roman;sans-serif" w:hAnsi="Times New Roman;sans-serif"/>
                  <w:b w:val="false"/>
                  <w:color w:val="0E32E1"/>
                  <w:sz w:val="20"/>
                  <w:u w:val="single"/>
                </w:rPr>
                <w:t xml:space="preserve">Condensed Statements of Operations and Comprehensive Loss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9">
              <w:r>
                <w:rPr>
                  <w:rStyle w:val="InternetLink"/>
                  <w:rFonts w:ascii="Times New Roman;sans-serif" w:hAnsi="Times New Roman;sans-serif"/>
                  <w:b w:val="false"/>
                  <w:color w:val="112ADB"/>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22">
              <w:r>
                <w:rPr>
                  <w:rStyle w:val="InternetLink"/>
                  <w:rFonts w:ascii="Times New Roman;sans-serif" w:hAnsi="Times New Roman;sans-serif"/>
                  <w:b w:val="false"/>
                  <w:color w:val="0E32E1"/>
                  <w:sz w:val="20"/>
                  <w:u w:val="single"/>
                </w:rPr>
                <w:t xml:space="preserve">Condensed Statements of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22">
              <w:r>
                <w:rPr>
                  <w:rStyle w:val="InternetLink"/>
                  <w:rFonts w:ascii="Times New Roman;sans-serif" w:hAnsi="Times New Roman;sans-serif"/>
                  <w:b w:val="false"/>
                  <w:color w:val="112ADB"/>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25">
              <w:r>
                <w:rPr>
                  <w:rStyle w:val="InternetLink"/>
                  <w:rFonts w:ascii="Times New Roman;sans-serif" w:hAnsi="Times New Roman;sans-serif"/>
                  <w:b w:val="false"/>
                  <w:color w:val="0E32E1"/>
                  <w:sz w:val="20"/>
                  <w:u w:val="single"/>
                </w:rPr>
                <w:t>Condensed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25">
              <w:r>
                <w:rPr>
                  <w:rStyle w:val="InternetLink"/>
                  <w:rFonts w:ascii="Times New Roman;sans-serif" w:hAnsi="Times New Roman;sans-serif"/>
                  <w:b w:val="false"/>
                  <w:color w:val="112ADB"/>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28">
              <w:r>
                <w:rPr>
                  <w:rStyle w:val="InternetLink"/>
                  <w:rFonts w:ascii="Times New Roman;sans-serif" w:hAnsi="Times New Roman;sans-serif"/>
                  <w:b w:val="false"/>
                  <w:color w:val="0E32E1"/>
                  <w:sz w:val="20"/>
                  <w:u w:val="single"/>
                </w:rPr>
                <w:t xml:space="preserve">Notes to Condensed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28">
              <w:r>
                <w:rPr>
                  <w:rStyle w:val="InternetLink"/>
                  <w:rFonts w:ascii="Times New Roman;sans-serif" w:hAnsi="Times New Roman;sans-serif"/>
                  <w:b w:val="false"/>
                  <w:color w:val="112ADB"/>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82">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82">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82">
              <w:r>
                <w:rPr>
                  <w:rStyle w:val="InternetLink"/>
                  <w:rFonts w:ascii="Times New Roman;sans-serif" w:hAnsi="Times New Roman;sans-serif"/>
                  <w:b w:val="false"/>
                  <w:color w:val="112ADB"/>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12">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12">
              <w:r>
                <w:rPr>
                  <w:rStyle w:val="InternetLink"/>
                  <w:rFonts w:ascii="Times New Roman;sans-serif" w:hAnsi="Times New Roman;sans-serif"/>
                  <w:b w:val="false"/>
                  <w:color w:val="0E32E1"/>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12">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15">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15">
              <w:r>
                <w:rPr>
                  <w:rStyle w:val="InternetLink"/>
                  <w:rFonts w:ascii="Times New Roman;sans-serif" w:hAnsi="Times New Roman;sans-serif"/>
                  <w:b w:val="false"/>
                  <w:color w:val="0E32E1"/>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15">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18">
              <w:r>
                <w:rPr>
                  <w:rStyle w:val="InternetLink"/>
                  <w:rFonts w:ascii="Times New Roman;sans-serif" w:hAnsi="Times New Roman;sans-serif"/>
                  <w:b/>
                  <w:color w:val="112ADB"/>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18">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18">
              <w:r>
                <w:rPr>
                  <w:rStyle w:val="InternetLink"/>
                  <w:rFonts w:ascii="Times New Roman;sans-serif" w:hAnsi="Times New Roman;sans-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21">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21">
              <w:r>
                <w:rPr>
                  <w:rStyle w:val="InternetLink"/>
                  <w:rFonts w:ascii="Times New Roman;sans-serif" w:hAnsi="Times New Roman;sans-serif"/>
                  <w:b w:val="false"/>
                  <w:color w:val="0E32E1"/>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21">
              <w:r>
                <w:rPr>
                  <w:rStyle w:val="InternetLink"/>
                  <w:rFonts w:ascii="Times New Roman;sans-serif" w:hAnsi="Times New Roman;sans-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24">
              <w:r>
                <w:rPr>
                  <w:rStyle w:val="InternetLink"/>
                  <w:rFonts w:ascii="Times New Roman;sans-serif" w:hAnsi="Times New Roman;sans-serif"/>
                  <w:b w:val="false"/>
                  <w:color w:val="112ADB"/>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24">
              <w:r>
                <w:rPr>
                  <w:rStyle w:val="InternetLink"/>
                  <w:rFonts w:ascii="Times New Roman;sans-serif" w:hAnsi="Times New Roman;sans-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24">
              <w:r>
                <w:rPr>
                  <w:rStyle w:val="InternetLink"/>
                  <w:rFonts w:ascii="Times New Roman;sans-serif" w:hAnsi="Times New Roman;sans-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27">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27">
              <w:r>
                <w:rPr>
                  <w:rStyle w:val="InternetLink"/>
                  <w:rFonts w:ascii="Times New Roman;sans-serif" w:hAnsi="Times New Roman;sans-serif"/>
                  <w:b w:val="false"/>
                  <w:color w:val="0E32E1"/>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27">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0">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0">
              <w:r>
                <w:rPr>
                  <w:rStyle w:val="InternetLink"/>
                  <w:rFonts w:ascii="Times New Roman;sans-serif" w:hAnsi="Times New Roman;sans-serif"/>
                  <w:b w:val="false"/>
                  <w:color w:val="0E32E1"/>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30">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3">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3">
              <w:r>
                <w:rPr>
                  <w:rStyle w:val="InternetLink"/>
                  <w:rFonts w:ascii="Times New Roman;sans-serif" w:hAnsi="Times New Roman;sans-serif"/>
                  <w:b w:val="false"/>
                  <w:color w:val="0E32E1"/>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33">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6">
              <w:r>
                <w:rPr>
                  <w:rStyle w:val="InternetLink"/>
                  <w:rFonts w:ascii="Times New Roman;sans-serif" w:hAnsi="Times New Roman;sans-serif"/>
                  <w:b w:val="false"/>
                  <w:color w:val="112ADB"/>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36">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36">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42">
              <w:r>
                <w:rPr>
                  <w:rStyle w:val="InternetLink"/>
                  <w:rFonts w:ascii="Times New Roman;sans-serif" w:hAnsi="Times New Roman;sans-serif"/>
                  <w:b w:val="false"/>
                  <w:color w:val="112ADB"/>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42">
              <w:r>
                <w:rPr>
                  <w:rStyle w:val="InternetLink"/>
                  <w:rFonts w:ascii="Times New Roman;sans-serif" w:hAnsi="Times New Roman;sans-serif"/>
                  <w:b w:val="false"/>
                  <w:color w:val="0E32E1"/>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42">
              <w:r>
                <w:rPr>
                  <w:rStyle w:val="InternetLink"/>
                  <w:rFonts w:ascii="Times New Roman;sans-serif" w:hAnsi="Times New Roman;sans-serif"/>
                  <w:b w:val="false"/>
                  <w:color w:val="112ADB"/>
                  <w:sz w:val="20"/>
                  <w:u w:val="single"/>
                </w:rPr>
                <w:t>73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7b2137882d482da2c2d98bb9157f9c_145">
              <w:r>
                <w:rPr>
                  <w:rStyle w:val="InternetLink"/>
                  <w:rFonts w:ascii="Times New Roman;sans-serif" w:hAnsi="Times New Roman;sans-serif"/>
                  <w:b w:val="false"/>
                  <w:color w:val="112ADB"/>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7b2137882d482da2c2d98bb9157f9c_145">
              <w:r>
                <w:rPr>
                  <w:rStyle w:val="InternetLink"/>
                  <w:rFonts w:ascii="Times New Roman;sans-serif" w:hAnsi="Times New Roman;sans-serif"/>
                  <w:b w:val="false"/>
                  <w:color w:val="112ADB"/>
                  <w:sz w:val="20"/>
                  <w:u w:val="single"/>
                </w:rPr>
                <w:t>74</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success, cost and timing of our product development activities and clinical trials of our lead product candidate, bexotegrast (PLN-74809), including our expectations that the implementation of BEACON-IPF,, a 52-week, randomized, double-blind, placebo-controlled Phase 2b trial in patients with idiopathic pulmonary fibrosis (IPF), as a pivotal adaptive Phase 2b/3 trial design will significantly shorten bexotegrast’s late-stage development compared to standalone Phase 2b and Phase 3 trials, and our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II, Item 1A -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business is highly dependent on the success of our lead product candidate, bexotegrast and any other product candidates that we advance into the clinic. All of our product candidates will require significant additional preclinical and clinical development before we may be able to seek regulatory approval for and launch a product commercially.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We may fail to secure an appropriate reimbursement price or a positive health technology assessment.</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may be adversely impacted due to disruptions caused by marketplace conditions, including the effects of health epidemics and pandemics, such as COVID-19, or other geopolitical conditions.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effects of health epidemics and pandemics, such as COVID-19 could adversely impact our business, including our preclinical studies and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Effective December 31, 2023, we became a large accelerated filer and no longer qualify as a smaller reporting company, which will increase our costs and demands on management.</w:t>
      </w:r>
    </w:p>
    <w:p>
      <w:pPr>
        <w:pStyle w:val="TextBody"/>
        <w:bidi w:val="0"/>
        <w:spacing w:before="120" w:after="12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55"/>
        <w:gridCol w:w="2342"/>
        <w:gridCol w:w="2272"/>
        <w:gridCol w:w="211"/>
        <w:gridCol w:w="826"/>
        <w:gridCol w:w="109"/>
        <w:gridCol w:w="109"/>
        <w:gridCol w:w="109"/>
        <w:gridCol w:w="109"/>
        <w:gridCol w:w="223"/>
        <w:gridCol w:w="875"/>
        <w:gridCol w:w="165"/>
      </w:tblGrid>
      <w:tr>
        <w:trPr/>
        <w:tc>
          <w:tcPr>
            <w:tcW w:w="285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 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(Note 14)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 (Note 14)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10,000,000 shares authorized at June 30, 2024 and December 31, 2023, and none issued or outstanding at June 30, 2024 and December 31, 2023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300,000,000 shares authorized at June 30, 2024 and December 31, 2023; and 60,425,144 and 59,921,002 shares issued and outstanding at June 30, 2024 and December 31, 2023, respectively; (Note 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20"/>
        </w:rPr>
        <w:t>*The condensed balance sheet as of December 31, 2023 has been derived from the audited financial statements as of that date</w:t>
      </w:r>
      <w:r>
        <w:rPr>
          <w:rFonts w:ascii="Times New Roman;sans-serif" w:hAnsi="Times New Roman;sans-serif"/>
          <w:b w:val="false"/>
          <w:color w:val="000000"/>
          <w:sz w:val="18"/>
        </w:rPr>
        <w:t>.</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1648"/>
        <w:gridCol w:w="1367"/>
        <w:gridCol w:w="1378"/>
        <w:gridCol w:w="240"/>
        <w:gridCol w:w="841"/>
        <w:gridCol w:w="109"/>
        <w:gridCol w:w="109"/>
        <w:gridCol w:w="109"/>
        <w:gridCol w:w="109"/>
        <w:gridCol w:w="240"/>
        <w:gridCol w:w="841"/>
        <w:gridCol w:w="109"/>
        <w:gridCol w:w="109"/>
        <w:gridCol w:w="109"/>
        <w:gridCol w:w="109"/>
        <w:gridCol w:w="211"/>
        <w:gridCol w:w="894"/>
        <w:gridCol w:w="109"/>
        <w:gridCol w:w="109"/>
        <w:gridCol w:w="109"/>
        <w:gridCol w:w="109"/>
        <w:gridCol w:w="240"/>
        <w:gridCol w:w="841"/>
        <w:gridCol w:w="156"/>
      </w:tblGrid>
      <w:tr>
        <w:trPr/>
        <w:tc>
          <w:tcPr>
            <w:tcW w:w="164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60,382,796 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59,172,869 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60,281,859 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57,623,842 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(79,023)</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29"/>
        <w:gridCol w:w="421"/>
        <w:gridCol w:w="423"/>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373"/>
        <w:gridCol w:w="852"/>
        <w:gridCol w:w="193"/>
        <w:gridCol w:w="109"/>
        <w:gridCol w:w="109"/>
        <w:gridCol w:w="109"/>
        <w:gridCol w:w="211"/>
        <w:gridCol w:w="848"/>
        <w:gridCol w:w="109"/>
        <w:gridCol w:w="109"/>
        <w:gridCol w:w="109"/>
        <w:gridCol w:w="109"/>
        <w:gridCol w:w="215"/>
        <w:gridCol w:w="843"/>
        <w:gridCol w:w="164"/>
      </w:tblGrid>
      <w:tr>
        <w:trPr/>
        <w:tc>
          <w:tcPr>
            <w:tcW w:w="72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 Gain/(Loss)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59,921,002 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60,318,542 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60,425,144 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392,678 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63"/>
        <w:gridCol w:w="444"/>
        <w:gridCol w:w="445"/>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297"/>
        <w:gridCol w:w="890"/>
        <w:gridCol w:w="155"/>
        <w:gridCol w:w="109"/>
        <w:gridCol w:w="109"/>
        <w:gridCol w:w="109"/>
        <w:gridCol w:w="211"/>
        <w:gridCol w:w="846"/>
        <w:gridCol w:w="109"/>
        <w:gridCol w:w="109"/>
        <w:gridCol w:w="109"/>
        <w:gridCol w:w="109"/>
        <w:gridCol w:w="215"/>
        <w:gridCol w:w="843"/>
        <w:gridCol w:w="163"/>
      </w:tblGrid>
      <w:tr>
        <w:trPr/>
        <w:tc>
          <w:tcPr>
            <w:tcW w:w="7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48,941,254 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9,583,334 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58,978,902 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offering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59,222,685 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533,065 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240" w:after="283"/>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34" w:type="dxa"/>
        <w:jc w:val="left"/>
        <w:tblInd w:w="0" w:type="dxa"/>
        <w:tblLayout w:type="fixed"/>
        <w:tblCellMar>
          <w:top w:w="28" w:type="dxa"/>
          <w:left w:w="28" w:type="dxa"/>
          <w:bottom w:w="28" w:type="dxa"/>
          <w:right w:w="28" w:type="dxa"/>
        </w:tblCellMar>
      </w:tblPr>
      <w:tblGrid>
        <w:gridCol w:w="2535"/>
        <w:gridCol w:w="2226"/>
        <w:gridCol w:w="2244"/>
        <w:gridCol w:w="196"/>
        <w:gridCol w:w="811"/>
        <w:gridCol w:w="109"/>
        <w:gridCol w:w="109"/>
        <w:gridCol w:w="109"/>
        <w:gridCol w:w="109"/>
        <w:gridCol w:w="211"/>
        <w:gridCol w:w="721"/>
        <w:gridCol w:w="154"/>
      </w:tblGrid>
      <w:tr>
        <w:trPr/>
        <w:tc>
          <w:tcPr>
            <w:tcW w:w="253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 (accretion) on short-term investments and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issuances of common stock under benefit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offering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in a public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reported in the balance sheets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 shown in the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on short-term 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 related to leases: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 (the “Company” or "Pliant" or “we” or “our” or “us”) is a late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Offering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$269.8 million, net of underwriting discounts, commissions and offering expenses payable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and six months ended June 30, 2024 are not necessarily indicative of the results to be expected for the year ending December 31, 2024 or for any other interim period or for any other future year.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herein should be read in conjunction with the audited financial statements and related notes in the Company’s Annual Report on Form 10-K for the year ended December 31, 2023, filed with the SEC on February 27, 2024 (the “2023 10-K”).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operating lease right-of-use (“ROU”) assets and liabilities, accruals and prepayments for research and development costs, income taxes and uncertain tax positions. The Company assesses estimates on an ongoing basis, however, actual results could materially differ from those estimates.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accounting policies during the three and six months ended June 30, 2024, as compared to the significant accounting policies described in Note 2 of the "Notes to the Financial Statements" in the Company's audited financial statements included in its 2023 10-K.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Recently Announced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Entities must adopt the changes to the segment reporting guidance on a retrospective basis, and early adoption is permitted. The Company is currently evaluating the impact of this standard on its disclosures and will adopt the ASU for its 2024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Company is currently evaluating the impact of this standard on its disclosures and will adopt the ASU for its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gains or losses recognized in the statements of operations and comprehensive loss.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 Money Market Funds are classified as Level 1 in the fair value hierarchy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to the condensed balance sheets using Level 3 inputs as of June 30, 2024 and as of December 31,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Money Market Funds, U.S. Treasury securities, U.S. government agency securities and corporate debt securities by significant investment category as of June 30, 2024 and December 31, 2023 (in thousands):</w:t>
      </w:r>
    </w:p>
    <w:tbl>
      <w:tblPr>
        <w:tblW w:w="11151" w:type="dxa"/>
        <w:jc w:val="left"/>
        <w:tblInd w:w="0" w:type="dxa"/>
        <w:tblLayout w:type="fixed"/>
        <w:tblCellMar>
          <w:top w:w="28" w:type="dxa"/>
          <w:left w:w="28" w:type="dxa"/>
          <w:bottom w:w="28" w:type="dxa"/>
          <w:right w:w="28" w:type="dxa"/>
        </w:tblCellMar>
      </w:tblPr>
      <w:tblGrid>
        <w:gridCol w:w="423"/>
        <w:gridCol w:w="201"/>
        <w:gridCol w:w="202"/>
        <w:gridCol w:w="165"/>
        <w:gridCol w:w="165"/>
        <w:gridCol w:w="166"/>
        <w:gridCol w:w="109"/>
        <w:gridCol w:w="109"/>
        <w:gridCol w:w="109"/>
        <w:gridCol w:w="196"/>
        <w:gridCol w:w="736"/>
        <w:gridCol w:w="109"/>
        <w:gridCol w:w="109"/>
        <w:gridCol w:w="109"/>
        <w:gridCol w:w="109"/>
        <w:gridCol w:w="207"/>
        <w:gridCol w:w="428"/>
        <w:gridCol w:w="116"/>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securities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790"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7"/>
        <w:gridCol w:w="428"/>
        <w:gridCol w:w="116"/>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sell certain of its short-term securities prior to their stated maturities for reasons including, but not limited to, managing liquidity, credit risk, duration and asset allocation.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June 30, 2024 and December 31, 2023. The Company evaluates transfers between levels at the end of each reporting period and there have been no transfers between fair value measurement levels during the six months ended June 30, 2024. In addition, there were no assets or liabilities measured at fair value on a non-recurring basis as of June 30, 2024 and December 31,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accretion income and amortization expense on Money Market Funds and U.S. Treasury, U.S. government agency and corporate debt securities to interest and other income (expense), net in its condensed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032" w:type="dxa"/>
        <w:jc w:val="left"/>
        <w:tblInd w:w="0" w:type="dxa"/>
        <w:tblLayout w:type="fixed"/>
        <w:tblCellMar>
          <w:top w:w="28" w:type="dxa"/>
          <w:left w:w="28" w:type="dxa"/>
          <w:bottom w:w="28" w:type="dxa"/>
          <w:right w:w="28" w:type="dxa"/>
        </w:tblCellMar>
      </w:tblPr>
      <w:tblGrid>
        <w:gridCol w:w="1108"/>
        <w:gridCol w:w="974"/>
        <w:gridCol w:w="978"/>
        <w:gridCol w:w="325"/>
        <w:gridCol w:w="1112"/>
        <w:gridCol w:w="168"/>
        <w:gridCol w:w="109"/>
        <w:gridCol w:w="109"/>
        <w:gridCol w:w="109"/>
        <w:gridCol w:w="396"/>
        <w:gridCol w:w="1355"/>
        <w:gridCol w:w="289"/>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$0.6 million and $1.1 million for the three and six months ended June 30, 2024, and $0.4 million and $0.9 million for the three and six months ended June 30,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7901" w:type="dxa"/>
        <w:jc w:val="left"/>
        <w:tblInd w:w="0" w:type="dxa"/>
        <w:tblLayout w:type="fixed"/>
        <w:tblCellMar>
          <w:top w:w="28" w:type="dxa"/>
          <w:left w:w="28" w:type="dxa"/>
          <w:bottom w:w="28" w:type="dxa"/>
          <w:right w:w="28" w:type="dxa"/>
        </w:tblCellMar>
      </w:tblPr>
      <w:tblGrid>
        <w:gridCol w:w="1424"/>
        <w:gridCol w:w="1249"/>
        <w:gridCol w:w="1256"/>
        <w:gridCol w:w="325"/>
        <w:gridCol w:w="1112"/>
        <w:gridCol w:w="168"/>
        <w:gridCol w:w="109"/>
        <w:gridCol w:w="109"/>
        <w:gridCol w:w="109"/>
        <w:gridCol w:w="396"/>
        <w:gridCol w:w="1355"/>
        <w:gridCol w:w="289"/>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6987" w:type="dxa"/>
        <w:jc w:val="left"/>
        <w:tblInd w:w="0" w:type="dxa"/>
        <w:tblLayout w:type="fixed"/>
        <w:tblCellMar>
          <w:top w:w="28" w:type="dxa"/>
          <w:left w:w="28" w:type="dxa"/>
          <w:bottom w:w="28" w:type="dxa"/>
          <w:right w:w="28" w:type="dxa"/>
        </w:tblCellMar>
      </w:tblPr>
      <w:tblGrid>
        <w:gridCol w:w="1093"/>
        <w:gridCol w:w="959"/>
        <w:gridCol w:w="963"/>
        <w:gridCol w:w="362"/>
        <w:gridCol w:w="1056"/>
        <w:gridCol w:w="187"/>
        <w:gridCol w:w="109"/>
        <w:gridCol w:w="109"/>
        <w:gridCol w:w="109"/>
        <w:gridCol w:w="396"/>
        <w:gridCol w:w="1355"/>
        <w:gridCol w:w="289"/>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as amended in October 2022, we entered into a term loan facility (the “Oxford Loan Agreement”) with Oxford Finance LLC (the "Lender") for up to $100.0 million. In connection with the Oxford Loan Agreement, we granted a security interest in substantially all of our current and future assets. There are no warrants or financial covenants associated with the Oxford Loan Agreement. At closing, we entered into a term loan for $10.0 million and we decided not to draw upon the additional $65.0 million that became available to us over the course of 2023 as certain conditions related to the development of bexotegrast and one of our preclinical product candidates were satisfied. As of December 31, 2023, the time period to draw upon the additional $65.0 million had lapsed.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11, 2024, we entered into an Amended and Restated Loan and Security Agreement (the “Amended Loan Agreement”) with the Lender to borrow a series of term loans up to an aggregate principal amount of $150.0 million (the “Term Loans”), of which $50.0 million is subject to the Lender’s sole discretion.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Amended Loan Agreement, we drew an initial Term Loan of $30.0 million, inclusive of $10.0 million in principal amount previously outstanding under the Oxford Loan Agreement. We may borrow up to an additional $70.0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Term Loans at our option upon the satisfaction of certain conditions related to the development of bexotegrast. In connection with the Amended Loan Agreement, the Company granted the Lender a security interest in substantially all of the Company’s assets now owned or hereafter acquired, excluding intellectual property to the extent the aggregate amount of Term Loans advanced and outstanding does not exceed $50.0 million (but including the right to payments and proceeds of intellectual property) and certain customary exceptions.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amount outstanding under the Term Loans will accrue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 subject to an agreed upon floor of 8.75%. Beginning on July 1, 2028, which may be extended to July 1, 2029 (subject to certain conditions set forth in the Amended Loan Agreement), the Company is required to repay the Term Loans in consecutive equal monthly payments of principal, together with applicable interest, in arrears. All unpaid principal and accrued and unpaid interest with respect to each Term Loan will be due and payable in full on March 1, 2029, which may be extended to March 1, 2030 (subject to certain conditions set forth in the Amended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required to make a final payment of 5.50% (or 7.25% if the amortization date of the Term Loans has been extended to July 1, 2029 (as discussed above)) of the original principal amount of the Term Loans that were drawn, payable at maturity or upon any earlier acceleration or prepayment of the Term Loans. The Company may prepay the Term Loans in whole or in part, subject to a prepayment fee equal to (i) if prepaid on or before the first anniversary date of the funding date of such Term Loan, 3.00% of the principal amount of the applicable Term Loan prepaid, (ii) if prepaid after the first anniversary and on or before the second anniversary of the funding date of such Term Loan, 2.00% of the principal amount of the applicable Term Loan prepaid, and (iii) if prepaid after the second anniversary and on or before the third anniversary of the funding date of such Term Loan prepaid, 1.00% of the principal amount of the applicable Term Loan prepaid.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contains representations and warranties, affirmative, and negative covenants, and events of default that are customary for loans of this type. The occurrence of an event of default could result in the acceleration of the obligations under the Amended Loan Agreement, termination of the Term Loan commitments and the right by the Lender to foreclose on the collateral securing the obligations. During the existence of an event of default, the Term Loans would accrue interest at a rate per annum equal to 5.00% above the otherwise applicable interest rate.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term loan as of June 30, 2024 was measured using Level 3 inputs and approximates the carrying value recorded to the balance sheet. The effective interest rate for the term loan is 11.60% and 11.79% for the three and six months ended June 30, 2024 and 12.69% for the three and six months ended June 30, 2023. Interest expense during the three and six months ended June 30, 2024 was $0.9 million and $1.3 million, respectively and during the three and six months ended June 30, 2023 was $0.3 million and $0.6 million, respectively.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June 30, 2024 are as follows (in thousands):</w:t>
      </w:r>
    </w:p>
    <w:tbl>
      <w:tblPr>
        <w:tblW w:w="5171" w:type="dxa"/>
        <w:jc w:val="left"/>
        <w:tblInd w:w="0" w:type="dxa"/>
        <w:tblLayout w:type="fixed"/>
        <w:tblCellMar>
          <w:top w:w="28" w:type="dxa"/>
          <w:left w:w="28" w:type="dxa"/>
          <w:bottom w:w="28" w:type="dxa"/>
          <w:right w:w="28" w:type="dxa"/>
        </w:tblCellMar>
      </w:tblPr>
      <w:tblGrid>
        <w:gridCol w:w="1156"/>
        <w:gridCol w:w="1012"/>
        <w:gridCol w:w="1026"/>
        <w:gridCol w:w="109"/>
        <w:gridCol w:w="109"/>
        <w:gridCol w:w="109"/>
        <w:gridCol w:w="320"/>
        <w:gridCol w:w="1096"/>
        <w:gridCol w:w="234"/>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Novartis Collaboration and License Agreement (the "Novartis Agreement")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2019, we entered into the Novartis Agreement with Novartis Institutes for BioMedical Research, Inc. (“Novartis”) for the development and commercialization of our preclinical product candidate, PLN-1474, and up to three additional integrin research targets. We assessed the Novartis Agreement in accordance with ASC 606 and determined that Novartis was a customer and identified the following performance obligations: (1) to provide worldwide license rights to PLN-1474, (2) to provide research and development services for PLN-1474, (3) to provide non-exclusive license rights to integrin research targets, and (4) to provide research and development services on integrin research targets.</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2023, Novartis exercised their right to terminate the Novartis Agreement. The termination took effect on April 18, 2023, and effective upon the termination, all rights and licenses granted to Novartis under the Novartis Agreement, including PLN-1474, the related investigational new drug (“IND”), and the validated research target, reverted back to us. The payment obligations of Novartis with respect to future milestones, royalties and research and development funding were also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associated with the Novartis Agreement for the three and six months ended June 30, 2024 were nil, and $0.2 million and $1.6 million for the three and six months ended June 30, 2023, respectively, which consisted of revenue generated from research and development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Preferred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June 30, 2024 and December 31, 2023, the Company was authorized to issue 10,000,000 shares of preferred stock and there was no outstanding preferred stock as of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was authorized to issue 300,000,000 shares of common stock at a par value of $0.0001 per share. The common stock has the following rights and privileges: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shares of common stock are entitled to one vote for each share of common stock held at any meeting of stockholders and at the time of any written action in lieu of a meeting.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Oxford Loan Agreement restrict our ability to declare and pay dividends.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373"/>
        <w:gridCol w:w="2082"/>
        <w:gridCol w:w="2093"/>
        <w:gridCol w:w="540"/>
        <w:gridCol w:w="541"/>
        <w:gridCol w:w="344"/>
        <w:gridCol w:w="109"/>
        <w:gridCol w:w="109"/>
        <w:gridCol w:w="109"/>
        <w:gridCol w:w="597"/>
        <w:gridCol w:w="570"/>
        <w:gridCol w:w="738"/>
      </w:tblGrid>
      <w:tr>
        <w:trPr/>
        <w:tc>
          <w:tcPr>
            <w:tcW w:w="237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6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 awards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8,230,237 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1,180,746 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155,292 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328,752 </w:t>
            </w:r>
          </w:p>
        </w:tc>
        <w:tc>
          <w:tcPr>
            <w:tcW w:w="73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4,153,746 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2,882,239 </w:t>
            </w:r>
          </w:p>
        </w:tc>
        <w:tc>
          <w:tcPr>
            <w:tcW w:w="73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1,336,085 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805,756 </w:t>
            </w:r>
          </w:p>
        </w:tc>
        <w:tc>
          <w:tcPr>
            <w:tcW w:w="73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2022 Inducement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15,636,106 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12,544,982 </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outstanding based on level of achievement of 55% as measured on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Equity Incentive Plans and Stock-Based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2020 Plan provides for the grant of incentive stock options, nonqualified stock options or other awards including stock appreciation rights, restricted stock awards and restricted stock units to the Company’s employees, officers, directors, advisors and consultants.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board of directors adopted the 2022 Inducement Plan ( “Inducement Plan”), under which the Company may grant nonqualified stock options or other awards including stock appreciation rights and restricted stock awards.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Black-Scholes option pricing model to estimate stock-based compensation expense for stock option awards with the following assumptions:</w:t>
      </w:r>
    </w:p>
    <w:tbl>
      <w:tblPr>
        <w:tblW w:w="10205" w:type="dxa"/>
        <w:jc w:val="left"/>
        <w:tblInd w:w="0" w:type="dxa"/>
        <w:tblLayout w:type="fixed"/>
        <w:tblCellMar>
          <w:top w:w="28" w:type="dxa"/>
          <w:left w:w="28" w:type="dxa"/>
          <w:bottom w:w="28" w:type="dxa"/>
          <w:right w:w="28" w:type="dxa"/>
        </w:tblCellMar>
      </w:tblPr>
      <w:tblGrid>
        <w:gridCol w:w="1028"/>
        <w:gridCol w:w="880"/>
        <w:gridCol w:w="883"/>
        <w:gridCol w:w="477"/>
        <w:gridCol w:w="470"/>
        <w:gridCol w:w="459"/>
        <w:gridCol w:w="247"/>
        <w:gridCol w:w="247"/>
        <w:gridCol w:w="247"/>
        <w:gridCol w:w="477"/>
        <w:gridCol w:w="470"/>
        <w:gridCol w:w="459"/>
        <w:gridCol w:w="109"/>
        <w:gridCol w:w="109"/>
        <w:gridCol w:w="109"/>
        <w:gridCol w:w="586"/>
        <w:gridCol w:w="418"/>
        <w:gridCol w:w="402"/>
        <w:gridCol w:w="222"/>
        <w:gridCol w:w="222"/>
        <w:gridCol w:w="222"/>
        <w:gridCol w:w="432"/>
        <w:gridCol w:w="425"/>
        <w:gridCol w:w="605"/>
      </w:tblGrid>
      <w:tr>
        <w:trPr/>
        <w:tc>
          <w:tcPr>
            <w:tcW w:w="102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85.58% - 86.46%</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81.16% - 81.66%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85.28% - 86.46%</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80.97% - 81.66%</w:t>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4.17% - 4.60%</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3.44% - 3.88%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4.04% - 4.60%</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3.42% - 4.18%</w:t>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5.31 - 6.08</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5.31 - 6.07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5.31 - 6.08</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5.31 - 6.08</w:t>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$11.51 - $15.36</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$22.33 - $26.50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$11.51 - $17.44</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$21.94 - $34.65</w:t>
            </w:r>
          </w:p>
        </w:tc>
      </w:tr>
      <w:tr>
        <w:trPr/>
        <w:tc>
          <w:tcPr>
            <w:tcW w:w="2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tbl>
      <w:tblPr>
        <w:tblW w:w="9889" w:type="dxa"/>
        <w:jc w:val="left"/>
        <w:tblInd w:w="0" w:type="dxa"/>
        <w:tblLayout w:type="fixed"/>
        <w:tblCellMar>
          <w:top w:w="28" w:type="dxa"/>
          <w:left w:w="28" w:type="dxa"/>
          <w:bottom w:w="28" w:type="dxa"/>
          <w:right w:w="28" w:type="dxa"/>
        </w:tblCellMar>
      </w:tblPr>
      <w:tblGrid>
        <w:gridCol w:w="1446"/>
        <w:gridCol w:w="1268"/>
        <w:gridCol w:w="1276"/>
        <w:gridCol w:w="488"/>
        <w:gridCol w:w="488"/>
        <w:gridCol w:w="231"/>
        <w:gridCol w:w="109"/>
        <w:gridCol w:w="109"/>
        <w:gridCol w:w="109"/>
        <w:gridCol w:w="307"/>
        <w:gridCol w:w="898"/>
        <w:gridCol w:w="161"/>
        <w:gridCol w:w="109"/>
        <w:gridCol w:w="109"/>
        <w:gridCol w:w="109"/>
        <w:gridCol w:w="419"/>
        <w:gridCol w:w="419"/>
        <w:gridCol w:w="421"/>
        <w:gridCol w:w="109"/>
        <w:gridCol w:w="109"/>
        <w:gridCol w:w="109"/>
        <w:gridCol w:w="211"/>
        <w:gridCol w:w="72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2,134,869 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(225,175)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(632,944)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8,230,237 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3,973,720 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2024</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8,230,237 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there were $53.8 million of unrecognized compensation costs that are expected to be recognized over the weighted-average period of 2.7 years related to stock options. Aggregate intrinsic value represents the difference between the fair value of the underlying common stock and the exercise price as of June 30, 2024.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two years or three years. The following table sets forth the outstanding RSUs and related activity for the three and six months ended June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9820" w:type="dxa"/>
        <w:jc w:val="left"/>
        <w:tblInd w:w="0" w:type="dxa"/>
        <w:tblLayout w:type="fixed"/>
        <w:tblCellMar>
          <w:top w:w="28" w:type="dxa"/>
          <w:left w:w="28" w:type="dxa"/>
          <w:bottom w:w="28" w:type="dxa"/>
          <w:right w:w="28" w:type="dxa"/>
        </w:tblCellMar>
      </w:tblPr>
      <w:tblGrid>
        <w:gridCol w:w="1554"/>
        <w:gridCol w:w="1366"/>
        <w:gridCol w:w="1370"/>
        <w:gridCol w:w="609"/>
        <w:gridCol w:w="609"/>
        <w:gridCol w:w="611"/>
        <w:gridCol w:w="109"/>
        <w:gridCol w:w="109"/>
        <w:gridCol w:w="109"/>
        <w:gridCol w:w="726"/>
        <w:gridCol w:w="2119"/>
        <w:gridCol w:w="529"/>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2023</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594,336 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(210,085)</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June 30, 2024</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1,180,746 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$19.1 million of unrecognized stock-based compensation expense related to outstanding RSUs expected to be recognized over a weighted-average period of 1.8 years.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Performance-based restricted stock units (“PSUs”) vest upon the achievement of market and performance conditions. Market conditions include the Company's total shareholder return (“TSR”) relative to the NASDAQ Biotechnology Index over the term of the award ending on June 30, 2024. Additionally, the number of shares of common stock issued upon vesting will range from 0% to 200% of the PSUs based on achievement of certain targets.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TSR PSUs were derived from a Monte Carlo simulation model that used the following key assumptions: </w:t>
      </w:r>
    </w:p>
    <w:tbl>
      <w:tblPr>
        <w:tblW w:w="5024" w:type="dxa"/>
        <w:jc w:val="left"/>
        <w:tblInd w:w="0" w:type="dxa"/>
        <w:tblLayout w:type="fixed"/>
        <w:tblCellMar>
          <w:top w:w="28" w:type="dxa"/>
          <w:left w:w="28" w:type="dxa"/>
          <w:bottom w:w="28" w:type="dxa"/>
          <w:right w:w="28" w:type="dxa"/>
        </w:tblCellMar>
      </w:tblPr>
      <w:tblGrid>
        <w:gridCol w:w="1287"/>
        <w:gridCol w:w="1130"/>
        <w:gridCol w:w="1137"/>
        <w:gridCol w:w="109"/>
        <w:gridCol w:w="109"/>
        <w:gridCol w:w="109"/>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period for the PSUs associated with TSR concluded on the last trading day of the second quarter 2024 and in July 2024, upon certification of the TSR results by the compensation committee of the board of directors, the award recipients vested in a total of 155,292 shares of common stock, representing 55% achievement. The 155,292 PSUs were outstanding as of June 30, 2024 with a weighted average grant date fair value of $29.15 per share. There were no additional grants, forfeitures or vesting of the PSUs associated with market conditions during the six months ended June 30,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$0.2 million of unrecognized stock-based compensation expense related to outstanding PSUs expected to be recognized over a weighted-average period of 0.1 years.</w:t>
      </w:r>
    </w:p>
    <w:p>
      <w:pPr>
        <w:pStyle w:val="TextBody"/>
        <w:bidi w:val="0"/>
        <w:spacing w:before="0" w:after="0"/>
        <w:ind w:left="0" w:right="0" w:firstLine="45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Company's 2020 Employee Stock Purchase Plan (the “2020 ESPP”).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$0.3 million in stock-based compensation expense for the three and six months ended June 30, 2024 and $0.1 million and $0.3 million for the three and six months ended June 30, 2023, respectively. During the three and six months ended June 30, 2024, 68,882 shares of common stock were issued under the 2020 ESPP with 1,336,085 shares remaining available for issuance under the 2020 ESPP. The Company used Black-Scholes option pricing model to estimate stock-based compensation expense for the 2020 ESPP with the following assumptions: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6622"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307"/>
        <w:gridCol w:w="309"/>
        <w:gridCol w:w="626"/>
        <w:gridCol w:w="251"/>
        <w:gridCol w:w="251"/>
        <w:gridCol w:w="251"/>
        <w:gridCol w:w="307"/>
        <w:gridCol w:w="309"/>
        <w:gridCol w:w="730"/>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and 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69.15 </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expense for the Company’s stock-based awards for the three and six months ended June 30, 2024 and 2023 (in thousands):</w:t>
      </w:r>
    </w:p>
    <w:tbl>
      <w:tblPr>
        <w:tblW w:w="8999" w:type="dxa"/>
        <w:jc w:val="center"/>
        <w:tblInd w:w="0" w:type="dxa"/>
        <w:tblLayout w:type="fixed"/>
        <w:tblCellMar>
          <w:top w:w="28" w:type="dxa"/>
          <w:left w:w="28" w:type="dxa"/>
          <w:bottom w:w="28" w:type="dxa"/>
          <w:right w:w="28" w:type="dxa"/>
        </w:tblCellMar>
      </w:tblPr>
      <w:tblGrid>
        <w:gridCol w:w="1246"/>
        <w:gridCol w:w="1097"/>
        <w:gridCol w:w="1106"/>
        <w:gridCol w:w="109"/>
        <w:gridCol w:w="109"/>
        <w:gridCol w:w="109"/>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Operating Lease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2023, the Company entered into a lease agreement with HCP BTC, LLC, a Delaware limited liability company (“the Landlord”) for a premise consisting of approximately 100,904 square feet of office and laboratory space located at Oyster Point Blvd, South San Francisco, California (the “Oyster Point Lease”), which the Company intends to use as single unified Company headquarters. The lease term of approximately seven years will start upon the Landlord’s substantial completion of tenant improvements, and may be extended for a period of eight years at then prevailing market rates for a comparable property. Future lease payments are approximately $43.4 million which represent the non-cancellable periods of the lease. We excluded extension options that are not reasonably certain to be exercised from our lease terms. Our lease payments consist primarily of fixed rental payments for the right to use the underlying leased assets over the lease term. Additionally, the Company provided a letter of credit to the Landlord in the amount of $1.4 million in connection with the Oyster Point Lease, which has been recognized as restricted cash as of June 30, 2024.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Though the Oyster Point Lease will be accounted for as a single contract, the office space was occupied in March 2024 while the laboratory space was occupied in June 2024. Accordingly, the Company measured and allocated consideration to each lease component. The Company has recognized a right-of-use asset ("ROU") or aggregate lease liability of $29.8 million as of June 30, 2024, weighted average discount of 9.30%, the Company's estimated incremental borrowing rate during the three and six months ended June 30, 2024.</w:t>
      </w:r>
    </w:p>
    <w:p>
      <w:pPr>
        <w:pStyle w:val="TextBody"/>
        <w:bidi w:val="0"/>
        <w:spacing w:before="12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undiscounted future non-cancellable lease payments of the Company's operating lease liability as of June 30, 2024 were as follows (in thousands):</w:t>
      </w:r>
    </w:p>
    <w:tbl>
      <w:tblPr>
        <w:tblW w:w="5382" w:type="dxa"/>
        <w:jc w:val="left"/>
        <w:tblInd w:w="0" w:type="dxa"/>
        <w:tblLayout w:type="fixed"/>
        <w:tblCellMar>
          <w:top w:w="28" w:type="dxa"/>
          <w:left w:w="28" w:type="dxa"/>
          <w:bottom w:w="28" w:type="dxa"/>
          <w:right w:w="28" w:type="dxa"/>
        </w:tblCellMar>
      </w:tblPr>
      <w:tblGrid>
        <w:gridCol w:w="1322"/>
        <w:gridCol w:w="1158"/>
        <w:gridCol w:w="1165"/>
        <w:gridCol w:w="109"/>
        <w:gridCol w:w="109"/>
        <w:gridCol w:w="109"/>
        <w:gridCol w:w="274"/>
        <w:gridCol w:w="936"/>
        <w:gridCol w:w="200"/>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30,058 </w:t>
            </w:r>
          </w:p>
        </w:tc>
        <w:tc>
          <w:tcPr>
            <w:tcW w:w="2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discount rates related to the Company's operating leases were as follows:</w:t>
      </w:r>
    </w:p>
    <w:tbl>
      <w:tblPr>
        <w:tblW w:w="6729"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42"/>
        <w:gridCol w:w="242"/>
        <w:gridCol w:w="242"/>
        <w:gridCol w:w="242"/>
        <w:gridCol w:w="242"/>
        <w:gridCol w:w="242"/>
        <w:gridCol w:w="242"/>
        <w:gridCol w:w="242"/>
        <w:gridCol w:w="342"/>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three and six months ended June 30, 2024 and 2023. Lease expenses for each of the three and six months ended June 30, 2024 and 2023 are as follows (in thousands):</w:t>
      </w:r>
    </w:p>
    <w:tbl>
      <w:tblPr>
        <w:tblW w:w="687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251"/>
        <w:gridCol w:w="735"/>
        <w:gridCol w:w="130"/>
        <w:gridCol w:w="130"/>
        <w:gridCol w:w="130"/>
        <w:gridCol w:w="130"/>
        <w:gridCol w:w="251"/>
        <w:gridCol w:w="556"/>
        <w:gridCol w:w="130"/>
        <w:gridCol w:w="214"/>
        <w:gridCol w:w="626"/>
        <w:gridCol w:w="110"/>
        <w:gridCol w:w="110"/>
        <w:gridCol w:w="110"/>
        <w:gridCol w:w="110"/>
        <w:gridCol w:w="214"/>
        <w:gridCol w:w="626"/>
        <w:gridCol w:w="1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Defined Contribution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$0.5 million and $0.8 million for the three and six months ended June 30, 2024 and $0.3 million and $0.6 million for the three and six months ended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Net Loss Per Share Attributable to Common Stockholders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2629"/>
        <w:gridCol w:w="2214"/>
        <w:gridCol w:w="2215"/>
        <w:gridCol w:w="661"/>
        <w:gridCol w:w="315"/>
        <w:gridCol w:w="220"/>
        <w:gridCol w:w="220"/>
        <w:gridCol w:w="220"/>
        <w:gridCol w:w="220"/>
        <w:gridCol w:w="661"/>
        <w:gridCol w:w="315"/>
        <w:gridCol w:w="315"/>
      </w:tblGrid>
      <w:tr>
        <w:trPr/>
        <w:tc>
          <w:tcPr>
            <w:tcW w:w="262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8,230,237 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6,633,160 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1,180,746 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1,160,986 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9,566,275 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7,794,146 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*Represents TSR based PSUs outstanding based on level of achievement of 55% as measured on June 30, 2024.</w:t>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financial statements and related notes appearing elsewhere in this Report, as well as our audited financial statements and related notes included in our 2023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2023 10-K.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late-stage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bexotegrast (PLN-74809), is an oral, small molecule, dual selective inhibitor of αvß6 and αvß1 integrins that we are developing for the treatment of idiopathic pulmonary fibrosis, or IPF, and primary sclerosing cholangitis, or PSC. We announced positive data from our Phase 2a INTEGRIS-IPF trial in May 2023 and positive long-term data from our Phase 2a INTEGRIS-PSC trial in July 2024. We are currently conducting BEACON-IPF, a 52-week, randomized, double-blind, placebo-controlled adaptive Phase 2b/3 trial in patients with IPF.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received FDA clearance of investigational new drug application, or IND, for our third clinical program to date, PLN-101095, a small molecule, dual selective inhibitor of integrins αvß8 and αvß1 for the treatment of solid tumors that are resistant to immune checkpoint inhibitors. We are currently dosing the third of five dose cohorts in a Phase 1 open label dose-escalation trial of PLN-101095 as monotherapy and in combination with pembrolizumab in patients with solid tumors that are resistant to immune checkpoint inhibitors. Preliminary data is expected in late 2024 or early 2025.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fourth program, PLN-101325, is in development for treatment of muscular dystrophies, including Duchenne muscular dystrophy. PLN-101325 is a monoclonal antibody designed to act as an allosteric agonist of integrin α7ß1. In the first quarter of 2024, we received regulatory clearance for the conduct of a first-in-human Phase 1 clinical study of PLN-101325.</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Highlights</w:t>
      </w:r>
    </w:p>
    <w:p>
      <w:pPr>
        <w:pStyle w:val="TextBody"/>
        <w:bidi w:val="0"/>
        <w:spacing w:lineRule="auto" w:line="288" w:before="120" w:after="283"/>
        <w:ind w:left="0" w:right="0" w:firstLine="450"/>
        <w:jc w:val="left"/>
        <w:rPr>
          <w:rFonts w:ascii="Times New Roman;sans-serif" w:hAnsi="Times New Roman;sans-serif"/>
          <w:b/>
          <w:color w:val="000000"/>
          <w:sz w:val="20"/>
          <w:u w:val="single"/>
        </w:rPr>
      </w:pPr>
      <w:r>
        <w:rPr>
          <w:rFonts w:ascii="Times New Roman;sans-serif" w:hAnsi="Times New Roman;sans-serif"/>
          <w:b/>
          <w:color w:val="000000"/>
          <w:sz w:val="20"/>
          <w:u w:val="single"/>
        </w:rPr>
        <w:t>Bexotegrast Highlights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Results from a 12-week Phase 2a PET imaging trial of bexotegrast in IPF showed reduced total lung collagen and improved forced vital capacity (FVC), suggesting potential for reversal of fibrosis. </w:t>
      </w:r>
      <w:r>
        <w:rPr>
          <w:rFonts w:ascii="Times New Roman;sans-serif" w:hAnsi="Times New Roman;sans-serif"/>
          <w:b w:val="false"/>
          <w:color w:val="000000"/>
          <w:sz w:val="20"/>
        </w:rPr>
        <w:t xml:space="preserve">Results from this randomized, double-blind, placebo-controlled trial (NCT05621252) showed that bexotegrast at a once-daily dose of 160 mg was well tolerated over 12 weeks of treatment and demonstrated reduced total lung collagen as measured by positron emission tomography (PET) imaging, improvements in FVC and reduced cough severity across all time points compared to placebo. These results provide further support of bexotegrast’s antifibrotic mechanism of action and suggest the potential for reversal of fibrosis.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Enrollment remains on track in BEACON-IPF, a pivotal adaptive Phase 2b/3 trial of bexotegrast in patients with idiopathic pulmonary fibrosis (IPF)</w:t>
      </w:r>
      <w:r>
        <w:rPr>
          <w:rFonts w:ascii="Times New Roman;sans-serif" w:hAnsi="Times New Roman;sans-serif"/>
          <w:b w:val="false"/>
          <w:color w:val="000000"/>
          <w:sz w:val="20"/>
        </w:rPr>
        <w:t xml:space="preserve">. The BEACON-IPF Phase 2b trial is a 52-week, multinational, randomized, dose-ranging, double-blind, placebo-controlled trial evaluating bexotegrast at once-daily doses of 160 mg or 320 mg in 360 patients with IPF. Enrollment is expected to be complete in the first quarter of 2025 with data anticipated in mid-2026.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INTEGRIS-IPF Phase 2a trial results published in the American Journal of Respiratory and Critical Care Medicine (AJRCCM). </w:t>
      </w:r>
      <w:r>
        <w:rPr>
          <w:rFonts w:ascii="Times New Roman;sans-serif" w:hAnsi="Times New Roman;sans-serif"/>
          <w:b w:val="false"/>
          <w:color w:val="000000"/>
          <w:sz w:val="20"/>
        </w:rPr>
        <w:t>Also known as the “</w:t>
      </w:r>
      <w:r>
        <w:rPr>
          <w:rFonts w:ascii="Times New Roman;sans-serif" w:hAnsi="Times New Roman;sans-serif"/>
          <w:b w:val="false"/>
          <w:i/>
          <w:color w:val="000000"/>
          <w:sz w:val="20"/>
        </w:rPr>
        <w:t>Blue Journal</w:t>
      </w:r>
      <w:r>
        <w:rPr>
          <w:color w:val="000000"/>
        </w:rPr>
        <w:t>”</w:t>
      </w:r>
      <w:r>
        <w:rPr>
          <w:rFonts w:ascii="Times New Roman;sans-serif" w:hAnsi="Times New Roman;sans-serif"/>
          <w:b w:val="false"/>
          <w:color w:val="000000"/>
          <w:sz w:val="20"/>
        </w:rPr>
        <w:t xml:space="preserve">, AJRCCM is a leading peer-reviewed journal published by the American Thoracic Society. The publication </w:t>
      </w:r>
      <w:r>
        <w:rPr>
          <w:rFonts w:ascii="Times New Roman;sans-serif" w:hAnsi="Times New Roman;sans-serif"/>
          <w:b w:val="false"/>
          <w:i/>
          <w:color w:val="000000"/>
          <w:sz w:val="20"/>
        </w:rPr>
        <w:t>Bexotegrast in Patients with Idiopathic Pulmonary Fibrosis: The INTEGRIS-IPF Study</w:t>
      </w:r>
      <w:r>
        <w:rPr>
          <w:color w:val="000000"/>
        </w:rPr>
        <w:t xml:space="preserve"> </w:t>
      </w:r>
      <w:r>
        <w:rPr>
          <w:rFonts w:ascii="Times New Roman;sans-serif" w:hAnsi="Times New Roman;sans-serif"/>
          <w:b w:val="false"/>
          <w:color w:val="000000"/>
          <w:sz w:val="20"/>
        </w:rPr>
        <w:t>reviews the previously reported positive results from the multinational, randomized, double-blind, placebo-controlled INTEGRIS-IPF Phase 2a trial that enrolled 119 patients with IPF.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Positive long-term data from the INTEGRIS-PSC 320 mg cohort showed bexotegrast was well tolerated up to 40 weeks of treatment and demonstrated continued improvements across multiple fibrotic and cholestatic endpoints</w:t>
      </w:r>
      <w:r>
        <w:rPr>
          <w:rFonts w:ascii="Times New Roman;sans-serif" w:hAnsi="Times New Roman;sans-serif"/>
          <w:b w:val="false"/>
          <w:color w:val="000000"/>
          <w:sz w:val="20"/>
        </w:rPr>
        <w:t xml:space="preserve">. The 24-week Phase 2a data readout from the 320 mg dose group showed bexotegrast was well tolerated up to 40 weeks of treatment and showed improvement in liver stiffness, statistically significant reduction in alkaline phosphatase (ALP) and evidence of continued improvement in hepatocyte function and bile flow. Pliant recently met with U.S. Food and Drug Administration (FDA), with the Agency expressing support for a 52-week, dose-ranging Phase 2b trial employing non-invasive endpoints. Pliant continues to evaluate the best path forward for this program. </w:t>
      </w:r>
    </w:p>
    <w:p>
      <w:pPr>
        <w:pStyle w:val="TextBody"/>
        <w:bidi w:val="0"/>
        <w:spacing w:lineRule="auto" w:line="288" w:before="120" w:after="283"/>
        <w:jc w:val="left"/>
        <w:rPr/>
      </w:pPr>
      <w:r>
        <w:rPr>
          <w:rFonts w:ascii="Times New Roman;sans-serif" w:hAnsi="Times New Roman;sans-serif"/>
          <w:b/>
          <w:color w:val="000000"/>
          <w:sz w:val="20"/>
          <w:u w:val="single"/>
          <w:shd w:fill="FFFFFF" w:val="clear"/>
        </w:rPr>
        <w:br/>
        <w:t>Pipeline</w:t>
      </w:r>
      <w:r>
        <w:rPr>
          <w:color w:val="000000"/>
          <w:u w:val="single"/>
        </w:rPr>
        <w:t xml:space="preserve"> </w:t>
      </w:r>
      <w:r>
        <w:rPr>
          <w:rFonts w:ascii="Times New Roman;sans-serif" w:hAnsi="Times New Roman;sans-serif"/>
          <w:b/>
          <w:color w:val="000000"/>
          <w:sz w:val="20"/>
          <w:u w:val="single"/>
        </w:rPr>
        <w:t>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Phase 1 trial of PLN-101095 in solid tumors is progressing with dosing of the third of five cohorts. </w:t>
      </w:r>
      <w:r>
        <w:rPr>
          <w:rFonts w:ascii="Times New Roman;sans-serif" w:hAnsi="Times New Roman;sans-serif"/>
          <w:b w:val="false"/>
          <w:color w:val="000000"/>
          <w:sz w:val="20"/>
        </w:rPr>
        <w:t>PLN-101095 is an oral, small molecule, dual selective inhibitor of αvβ8 and αvβ1 integrins designed to block TGF-β activation in the tumor microenvironment. The Company is currently enrolling the third of five cohorts in the Phase 1 open label, dose-escalation trial of PLN-101095 as monotherapy and in combination with pembrolizumab in patients with solid tumors that are resistant to immune checkpoint inhibitors. Preliminary data is expected in late 2024 or early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PLN-101325 applications beyond muscular dystrophies.</w:t>
      </w:r>
      <w:r>
        <w:rPr>
          <w:color w:val="000000"/>
        </w:rPr>
        <w:t xml:space="preserve"> </w:t>
      </w:r>
      <w:r>
        <w:rPr>
          <w:rFonts w:ascii="Times New Roman;sans-serif" w:hAnsi="Times New Roman;sans-serif"/>
          <w:b w:val="false"/>
          <w:color w:val="000000"/>
          <w:sz w:val="20"/>
        </w:rPr>
        <w:t>PLN-101325 is a monoclonal antibody that acts as an allosteric agonist of integrin α7β1, currently in development for treatment of muscular dystrophies. Based on preclinical data, PLN-101325 may have the potential to treat additional indications in organ systems outside of muscle. The Company is currently generating additional evidence in support of potential expansion of the scope of PLN-101325 prior to initiating a Phase 1 trial.</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Corporate 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 xml:space="preserve">Appointment of Steve Krognes to the Company’s Board of Directors. </w:t>
      </w:r>
      <w:r>
        <w:rPr>
          <w:rFonts w:ascii="Times New Roman;sans-serif" w:hAnsi="Times New Roman;sans-serif"/>
          <w:b w:val="false"/>
          <w:color w:val="000000"/>
          <w:sz w:val="20"/>
        </w:rPr>
        <w:t>Mr. Krognes brings over 30 years of financial and corporate strategy experience in leading and guiding life science companies across all stages of development. Most recently, Mr. Krognes served as Chief Financial Officer of Denali Therapeutics.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operating losses. Our net loss was $55.9 million and $41.2 million for the three months ended June 30, 2024 and 2023, respectively. Our net loss for the six months ended June 30, 2024 and 2023 was $102.8 million and $78.7 million, respectively. As of June 30, 2024, we had an accumulated deficit of $602.6 million and cash, cash equivalents, and short-term investments of $438.1 million. We expect to continue to incur net losses for the foreseeable future, and we expect our research and development expenses, general and administrative expenses, and capital expenditures will increase in connection with our ongoing activities, as we:</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expand our operational, financial and management systems and increase personnel to support our clinical development, manufacturing and commercialization efforts and our operations as a public company;</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invest in or in-license other technologies or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Components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generated any revenue from product sales and do not expect to do so in the near future. Our revenue to date has been derived from a Collaboration and License Agreement with Novartis, or the "Novartis Agreement," that was executed in 2019.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Novartis Agreement, we received an upfront license fee payment of $50.0 million for the worldwide, exclusive license to PLN-1474, an αvß1 inhibitor developed by Pliant to target metabolic dysfunction-associated steatohepatitis, or MASH, and an additional $29.0 million upon the achievement of specified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milestones. As part of a broad strategic realignment, Novartis has discontinued clinical development in MASH and, as a result, discontinued development of PLN-1474. In February 2023, Novartis issued a termination notice for the collaboration and license agreement, and returned global rights to Pliant for PLN-1474.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termination of the Novartis Agreement, we are no longer eligible to receive additional milestone or royalty payments under the arrangement; however, we continued to earn research and development services revenues through the effective termination date of April 18, 2023. We recognized nil and $0.2 million in revenues for performing research and development activities associated with PLN-1474 and integrin research targets in the three months ended June 30, 2024 and 2023, respectively.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costs associated with technology and intellectual property licenses; and</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facilities and other allocated expenses, which include expenses for rent and other facility related costs and other supplies.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and cash equivalents, and short-term investments, and realized gains and losses on investments.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is derived from a term loan under the Oxford Loan Agreement that we entered into in May 2022. On March 11, 2024, we entered into an Amended and Restated Loan and Security Agreement (the “Amended Loan Agreement”) with the Lender to borrow up to $150.0 million. Borrowings under the Amended Loan Agreement bear interest at a rate per annum equal to 1-month term Secured Overnight Financing Rate (SOFR) plus 5.25%, subject to an agreed upon floor of 8.75%.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2024 and 2023 (in thousands)</w:t>
      </w:r>
    </w:p>
    <w:tbl>
      <w:tblPr>
        <w:tblW w:w="7392" w:type="dxa"/>
        <w:jc w:val="center"/>
        <w:tblInd w:w="0" w:type="dxa"/>
        <w:tblLayout w:type="fixed"/>
        <w:tblCellMar>
          <w:top w:w="28" w:type="dxa"/>
          <w:left w:w="28" w:type="dxa"/>
          <w:bottom w:w="28" w:type="dxa"/>
          <w:right w:w="28" w:type="dxa"/>
        </w:tblCellMar>
      </w:tblPr>
      <w:tblGrid>
        <w:gridCol w:w="1208"/>
        <w:gridCol w:w="1064"/>
        <w:gridCol w:w="1073"/>
        <w:gridCol w:w="211"/>
        <w:gridCol w:w="796"/>
        <w:gridCol w:w="109"/>
        <w:gridCol w:w="109"/>
        <w:gridCol w:w="109"/>
        <w:gridCol w:w="109"/>
        <w:gridCol w:w="211"/>
        <w:gridCol w:w="796"/>
        <w:gridCol w:w="109"/>
        <w:gridCol w:w="109"/>
        <w:gridCol w:w="109"/>
        <w:gridCol w:w="109"/>
        <w:gridCol w:w="211"/>
        <w:gridCol w:w="79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revenue of $0.2 million is attributable to the termination of the Novartis Agreement that went into effect in April 2023.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three months ended June 30, 2024 and 2023 (in thousands):</w:t>
      </w:r>
    </w:p>
    <w:tbl>
      <w:tblPr>
        <w:tblW w:w="10205" w:type="dxa"/>
        <w:jc w:val="center"/>
        <w:tblInd w:w="0" w:type="dxa"/>
        <w:tblLayout w:type="fixed"/>
        <w:tblCellMar>
          <w:top w:w="28" w:type="dxa"/>
          <w:left w:w="28" w:type="dxa"/>
          <w:bottom w:w="28" w:type="dxa"/>
          <w:right w:w="28" w:type="dxa"/>
        </w:tblCellMar>
      </w:tblPr>
      <w:tblGrid>
        <w:gridCol w:w="2304"/>
        <w:gridCol w:w="2026"/>
        <w:gridCol w:w="2034"/>
        <w:gridCol w:w="212"/>
        <w:gridCol w:w="726"/>
        <w:gridCol w:w="109"/>
        <w:gridCol w:w="109"/>
        <w:gridCol w:w="109"/>
        <w:gridCol w:w="109"/>
        <w:gridCol w:w="212"/>
        <w:gridCol w:w="726"/>
        <w:gridCol w:w="109"/>
        <w:gridCol w:w="109"/>
        <w:gridCol w:w="109"/>
        <w:gridCol w:w="109"/>
        <w:gridCol w:w="211"/>
        <w:gridCol w:w="721"/>
        <w:gridCol w:w="161"/>
      </w:tblGrid>
      <w:tr>
        <w:trPr/>
        <w:tc>
          <w:tcPr>
            <w:tcW w:w="230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three months ended June 30, 2024 increased $12.6 million, primarily due to BEACON-IPF, a Phase 2b study of bexotegrast in patients with IPF, and related manufacturing activities.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June 30, 2024 increased $0.4 million, primarily due to a marginal increase in professional service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increased $0.8 million, attributable to higher interest income due to increased yields on short-term investments.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June 30, 2024 increased $0.5 million due to additional borrowings under the Amended Loan Agreement executed March 11, 2024. </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120"/>
        <w:jc w:val="center"/>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 (in thousands)</w:t>
      </w:r>
    </w:p>
    <w:tbl>
      <w:tblPr>
        <w:tblW w:w="7497" w:type="dxa"/>
        <w:jc w:val="center"/>
        <w:tblInd w:w="0" w:type="dxa"/>
        <w:tblLayout w:type="fixed"/>
        <w:tblCellMar>
          <w:top w:w="28" w:type="dxa"/>
          <w:left w:w="28" w:type="dxa"/>
          <w:bottom w:w="28" w:type="dxa"/>
          <w:right w:w="28" w:type="dxa"/>
        </w:tblCellMar>
      </w:tblPr>
      <w:tblGrid>
        <w:gridCol w:w="1208"/>
        <w:gridCol w:w="1064"/>
        <w:gridCol w:w="1073"/>
        <w:gridCol w:w="211"/>
        <w:gridCol w:w="901"/>
        <w:gridCol w:w="109"/>
        <w:gridCol w:w="109"/>
        <w:gridCol w:w="109"/>
        <w:gridCol w:w="109"/>
        <w:gridCol w:w="211"/>
        <w:gridCol w:w="796"/>
        <w:gridCol w:w="109"/>
        <w:gridCol w:w="109"/>
        <w:gridCol w:w="109"/>
        <w:gridCol w:w="109"/>
        <w:gridCol w:w="211"/>
        <w:gridCol w:w="79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revenue of $1.6 million is attributable to the termination of the Novartis Agreement that went into effect in April 2023.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six months ended June 30, 2024 and 2023 (in thousands):</w:t>
      </w:r>
    </w:p>
    <w:tbl>
      <w:tblPr>
        <w:tblW w:w="10205" w:type="dxa"/>
        <w:jc w:val="center"/>
        <w:tblInd w:w="0" w:type="dxa"/>
        <w:tblLayout w:type="fixed"/>
        <w:tblCellMar>
          <w:top w:w="28" w:type="dxa"/>
          <w:left w:w="28" w:type="dxa"/>
          <w:bottom w:w="28" w:type="dxa"/>
          <w:right w:w="28" w:type="dxa"/>
        </w:tblCellMar>
      </w:tblPr>
      <w:tblGrid>
        <w:gridCol w:w="2310"/>
        <w:gridCol w:w="2032"/>
        <w:gridCol w:w="2040"/>
        <w:gridCol w:w="211"/>
        <w:gridCol w:w="721"/>
        <w:gridCol w:w="109"/>
        <w:gridCol w:w="109"/>
        <w:gridCol w:w="109"/>
        <w:gridCol w:w="109"/>
        <w:gridCol w:w="211"/>
        <w:gridCol w:w="721"/>
        <w:gridCol w:w="109"/>
        <w:gridCol w:w="109"/>
        <w:gridCol w:w="109"/>
        <w:gridCol w:w="109"/>
        <w:gridCol w:w="211"/>
        <w:gridCol w:w="721"/>
        <w:gridCol w:w="155"/>
      </w:tblGrid>
      <w:tr>
        <w:trPr/>
        <w:tc>
          <w:tcPr>
            <w:tcW w:w="231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six months ended June 30, 2024 increased $20.5 million, primarily due to BEACON-IPF, a Phase 2b study of bexotegrast in patients with IPF, employee-related expenses driven by increased headcount, and an increase in depreciation of lab equipment and costs of equipment and supplies. These costs were partially offset by a decrease in preclinical manufacturing costs associated with activities that were substantially complete in 2023, and the Phase 2a clinical trial of bexotegrast in patients with primary sclerosing cholangitis (PSC) has reached its close-out stage in the first quarter of 2024.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six months ended June 30, 2024 increased $1.5 million, primarily attributable to employee-related costs, driven by increased headcount.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increased $0.2 million, attributable to higher interest income due to increased yields and an increase in short-term investments due to current year financing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six months ended June 30, 2024 increased $0.7 million due to additional borrowings under the Amended Loan Agreement executed March 11,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$438.1 million of cash, cash equivalents and short-term investments. Our short-term investments consist of U.S. Treasury securities, U.S. Government agency securities and highly rated, investment-grade corporate debt securities. </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entered into the Oxford Loan Agreement with Oxford Finance LLC the (or the “Lender” or “Oxford”) which upsized our existing term loan facility to a total size of $150.0 million of available non-dilutive capital. Pursuant to the Oxford Loan Agreement, we drew an additional Term Loan of $20.0 million and may borrow up to $70.0 million at our option upon the satisfaction of certain conditions related to the development of bexotegrast. A further $50.0 million may be made available to us at the sole discretion of Lender. See Note 7 to the Notes to our condensed financial statements of this Report for more information.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completed an underwritten public offering of 9,583,334 shares of common stock, including the exercise in full of the underwriters' option to purchase 1,250,000 additional shares of common stock. The shares were offered at a price to the public of $30.00 per share, resulting in aggregate proceeds of approximately $269.8 million, net of underwriting discounts, commissions and offering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capital resources, together with the funds available to us under the Amended Loan Agreement,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During the third quarter of 2021, we entered into a Controlled Equity Offering</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As of the date of this Report, we have not issued any shares pursuant to any at-the-market offerings, including pursuant to the Sales Agreement, but may do so at a future date.</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120" w:after="120"/>
        <w:ind w:left="0" w:right="0" w:hanging="54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health epidemics and pandemics, such as COVID-19, or other geopolitical conditions;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U.S. Food and Drug Administration, or FDA, and other comparable foreign regulatory authorities including but not limited to the European Medicines Agency (EMA), the U.K.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any intellectual property disputes, including patent infringement actions brought by third parties against us 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of operating as a public company and the financial impact of current and future laws, regulations and ordinances.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or royalty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licensing or royalty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tbl>
      <w:tblPr>
        <w:tblW w:w="6803" w:type="dxa"/>
        <w:jc w:val="center"/>
        <w:tblInd w:w="0" w:type="dxa"/>
        <w:tblLayout w:type="fixed"/>
        <w:tblCellMar>
          <w:top w:w="28" w:type="dxa"/>
          <w:left w:w="28" w:type="dxa"/>
          <w:bottom w:w="28" w:type="dxa"/>
          <w:right w:w="28" w:type="dxa"/>
        </w:tblCellMar>
      </w:tblPr>
      <w:tblGrid>
        <w:gridCol w:w="1519"/>
        <w:gridCol w:w="1338"/>
        <w:gridCol w:w="1342"/>
        <w:gridCol w:w="211"/>
        <w:gridCol w:w="796"/>
        <w:gridCol w:w="109"/>
        <w:gridCol w:w="109"/>
        <w:gridCol w:w="109"/>
        <w:gridCol w:w="109"/>
        <w:gridCol w:w="211"/>
        <w:gridCol w:w="79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273,487 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increased $20.5 million compared to the six months ended June 30, 2023, driven by an increase in net loss of $24.1 million, which was partially offset by the receipt of accreted value associated with maturities on our short-term investment portfolio during the six months ended June 30,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(Used in) Investing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increased over the same period of prior year as maturities of marketable securities exceeded related purchases during the six months ended June 30, 2024, while purchases exceeded maturities during the six months ended June 30, 2023 as a result of the public offering of common stock in January 2023.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$251.0 million primarily due to net proceeds of $270.3 million from the Company's January 2023 underwritten public offering, which was partially offset by additional Term Loans entered into during the current six months ended June 30, 2024 associated with the Amended Loan agreement.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Except as mentioned below, there have been no material changes to our contractual obligations and other commitments as of June 30, 2024, as compared to those disclosed in the 2023 10-K.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we had various non-cancelable operating leases for office space and equipment, which expire between June 30, 2024 and June 2031. Refer to Note 13 and 14 in the notes to condensed unaudited financial statements of this Report for a discussion of material obligations and commitments.</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Notes to Condensed Unaudited Financial Statements of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and cash equivalents and short-term investments of $438.1 million as of June 30, 2024 which consisted of bank deposits, highly liquid money market funds and short-term investments in U.S. treasury securities, U.S. government agency securities and corporate debt securities. Under the Amended Loan Agreement, we had a $30.0 million term loan outstanding as of June 30, 2024 which is subject to the movement in interest rates. Due to the short-term maturities of our cash equivalents and short-term investments, an immediate 100 basis point change in interest rates would not have a material effect on the fair market value of our cash equivalents or short-term investments.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highly rated, investment-grade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2024, the design and operation of our disclosure controls and procedures were effective at a reasonable assurance level.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controls over financial reporting identified in connection with the evaluation required by Rule 13a-15(d) and 15d-15(d) under the Exchange Act that occurred during the quarter ended June 30, 2024 that has materially affected, or is reasonably likely to materially affect, our internal control over financial reporting.</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bidi w:val="0"/>
        <w:spacing w:lineRule="auto" w:line="288" w:before="12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$55.9 million and $41.2 million for the three months ended June 30, 2024 and 2023, respectively. Our net loss was $102.8 million and $78.7 million for the six months ended June 30, 2024 and 2023, respectively. As of June 30, 2024, we had an accumulated deficit of $602.6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anticipate that our expenses will increase substantially if, and as, we: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advance our lead product candidate, bexotegrast, and our other product candidates through clinical development, and, if successful, later-stage clinical trials;</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discover and develop new product candidates;</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COVID-19;</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and manufacturing efforts;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continue to build out our organization to engage in such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approximately $438.1 million in cash, cash equivalents, and short-term investments. Based on our current operating plan, we believe that our existing cash, cash equivalents and short-term investments will be sufficient to fund our anticipated operating expenses and capital expenditure requirements for the next 12 months and beyond.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Oxford Loan Agreement, Oxford has been granted a security interest in substantially all of our assets, excluding intellectual property (but including the right to payments and proceeds of intellectual property) and such exclusion of intellectual property is subject to change per the terms of the Oxford Loan Agreement),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comply with certain financial and operating restrictions in the Oxford Loan Agreement, we may be limited in our business activities and access to credit or may default under the Oxford Loan Agreement. Provisions in the Oxford Loan Agreement impose certain restrictions or require prior approval on our ability, and the ability of certain of our subsidiaries to, among other things: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Incur additional debt;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Guarantee the indebtedness of others or our subsidiaries;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Create liens or encumbrances;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Enter into transactions with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Pay cash dividends and make distributions;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Redeem or repurchase capital shares;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Prepay other indebtedness;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Acquire new companies and merge or consolidate.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general market conditions or extraordinary external events, such as recessions or the effects of health epidemics and pandemics, such as COVID-19 pandemic;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on the success of our lead product candidate, bexotegrast and any other product candidates that we advance into the clinic. Our product candidates will require significant additional development before we may be able to seek regulatory approval for and launch a product commercially.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a Phase 2b trial of bexotegrast in IPF and a Phase 2a trial in PSC and have no products that are approved for commercial sale and may never be able to develop marketable products. If bexotegrast or any of our other product candidates encounter safety or efficacy problems, development delays, regulatory issues or other problems, our development plans and business would be significantly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in submitting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in enrolling subjects in clinical trials, including due to operational challenges, competition with other clinical trials or the effects of health epidemics and pandemics, such as the COVID-19 pandemic;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high drop-out rates or screening failures of subjects from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inability to compete with other therapies;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poor efficacy of our product candidates during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is designed to discover and develop targeted treatments for fibrosis with an initial focus on the antagonism of tissue-specific TGF-β signaling through the inhibition of integrins known to mediate the release of activated TGF-β in fibrotic tissue. However,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As a result, we may never succeed in developing a marketable product.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receive the necessary regulatory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development of competing products in the same disease state;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manufacturing costs, formulation issues, pricing or reimbursement issues, or other factors that make a product candidate uneconomical;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or inability to perform by third party vendors, including vendors foreign jurisdictions including China;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new EU Clinical Trials Regulation (EU) No 536/2014 (CTR) has amended the system of approval for clinical trials in the EU and has established a new clinical trials portal and database for application for authorizations, called the Clinical Trials Information System (CTIS). The CTR provides a three-year transition period; by January 31, 2025 all ongoing clinical trials in the EU will be subject to the provisions of the CTR. In addition, on June 18, 2024, new CTIS transparency rules came into effect, requiring scheduled publication of certain key clinical trial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regulators or institutional review boards, or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we may fail to comply with the deadline for transition to CTIS under the new EU Clinical Trial Regulation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clinical trials to date, bexotegrast has been generally well tolerated.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patient eligibility and exclusion criteria defined in the protocol;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willingness or availability of patients to participate in our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proximity of patients to trial sites;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bexotegrast due, in part, to the small size of these patient populations. Our clinical trials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Further, in December 2023, FDA published a final rule, “Institutional Review Board Waiver or Alteration of Informed Consent for Minimal Risk Clinical Investigations,” which allows exceptions from informed consent requirements when a clinical investigation poses no more than minimal risk to the human subject and includes appropriate safeguards to protect the rights, safety, and welfare of human subjects.The FDA’s new guidance and rulemaking present evolving requirements for informed consent which may affect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or execution of a clinical trial can determine whether its results will support marketing approval, and flaws in the design or execution of a clinical trial may not become apparent until the clinical trial is well advanced.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Further, requirements regarding clinical trial data may evolve. In June 2023, the FDA published draft guidance, which seeks to unify standards for clinical trial data for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in the EU, and Regulation 50G of the Human Medicines Regulation 2012 in the U.K,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EU/U.K. to justify the investment needed for its development; and (3) there exists no satisfactory method of diagnosis, prevention or treatment of such condition authorized for marketing in the EU/U.K.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w:t>
      </w:r>
      <w:r>
        <w:rPr>
          <w:color w:val="000000"/>
        </w:rPr>
        <w:t xml:space="preserve"> </w:t>
      </w:r>
      <w:r>
        <w:rPr>
          <w:rFonts w:ascii="Times New Roman;sans-serif" w:hAnsi="Times New Roman;sans-serif"/>
          <w:b w:val="false"/>
          <w:color w:val="000000"/>
          <w:sz w:val="20"/>
        </w:rPr>
        <w:t>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IPF and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 Any changes to the orphan drug provisions could change our opportunities for, or likelihood of success in obtaining, orphan drug exclusivity and would materially adversely affect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financial and human resources and intend to initially focus on research programs and product candidates for a limited set of indications. As a result, we may forgo or delay pursuit of opportunities with other product candidates or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indications that later prove to have greater commercial potential or a greater likelihood of success. In addition, we seek to accelerate our development timelines, including by initiating certain clinical trials of our product candidates, including our adaptive trial,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inability to bring a product candidate to the market;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decreased demand for our products;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fines, injunctions or criminal penalties;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substantial monetary awards to trial participants;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decline in our share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Morphic Therapeutics, Inc., Novartis AG, Scholar Rock, Inc., and Takeda Pharmaceutical Company.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biopharmaceutical industry is subject to extensive regulatory obligations and policies that are subject to change, including due to judicial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judicial scrutiny. Any resulting changes in regulation may result in unexpected delays, increased costs, or other negative impacts on our business that are difficult to predict.</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efficacy and potential advantages compared to alternative treatments;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positive HTA assessment in jurisdictions where required;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or pricing unfavorable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payers, including Medicare, may question the coverage of, and challenge or seek to lower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or by future laws, regulations, or guidance seeking to limit prescription drug prices.</w:t>
      </w:r>
      <w:r>
        <w:rPr>
          <w:color w:val="000000"/>
        </w:rPr>
        <w:t xml:space="preserve"> </w:t>
      </w:r>
      <w:r>
        <w:rPr>
          <w:rFonts w:ascii="Times New Roman;sans-serif" w:hAnsi="Times New Roman;sans-serif"/>
          <w:b w:val="false"/>
          <w:color w:val="000000"/>
          <w:sz w:val="20"/>
        </w:rPr>
        <w:t xml:space="preserve">If we are unable to promptly obtain coverage and adequate reimbursement rates from both government-funded and private payers for any approved products that we develop, or if net prices are reduced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our Annual Report on Form 10-K for the year ended December 31, 2023.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our Annual Report on Form 10-K for the year ended December 31, 2023. For example, in August 2022, President Biden signed into law the IRA, which implements substantial changes to the Medicare program, including drug pricing reforms and changes to the Medicare Part D benefit design. 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that are selected by the Centers for Medicare and Medicaid Services (CMS) and covered under Medicare Parts B and D following a price negotiation process with the agency. For a drug product to be considered a qualifying single source drug that may be selected by CMS for price negotiation under the “maximum fair price” program, at least seven years must have elapsed since the biological product was licensed by the FDA. For a biological product to be considered a qualifying single source drug that may be selected by CMS for price negotiation, at least eleven years must have elapsed since the biological product was licensed by the FDA..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IRA explicitly excludes from price negotiation orphan drugs designated for only one rare disease or condition and for which the only active approved indication is for such disease or condition. Those drugs with multiple orphan designations are not excluded from drug price negotiation. As we are developing bexotegrast in multiple orphan indications, this aspect of the IRA could have a negative impact on our ability to rely on the orphan drug exclusion to the "maximum fair price" program.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 CMS, has taken steps to implement various drug pricing provisions of the IRA. This includes, without limitation, issuing new guidance on June 30, 2023 detailing the requirements and parameters of the first round of price negotiations, to take place during 2023 and 2024, for products subject to the “maximum fair price” provision that would become effective in 2026 and, on August 29, 2023, releasing the initial list of 10 drugs subject to price negotiations. While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U.S. Department of Health and Human Services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Further, certain broader legislation that is not targeted to the healthcare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From January 2025, Regulation No 2021/2282 on Health Technology Assessment (HTA Regulation) will become applicable in the EU. The HTA Regulation intends to foster cooperation among EU member states in assessing health technologies and provide the basis for cooperation at EU level for joint clinical assessments.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America Invents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2044, without taking into account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CJEU has recently narrowed the availability of patent term extension for second medical use therefore affecting the scope of patent protection available.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and Northern Ireland.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(SPCs).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challenging macroeconomic conditions, including the effects of health epidemics and pandemics, such as COVID-19.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loss of the cooperation of an existing or future collaborator;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Global health pandemics, including the effects of health epidemics and pandemics, such as COVID-19, could adversely impact our business, including our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outbreak of COVID-19 and government measures taken in response thereto had a significant impact, both direct and indirect, on businesses and commerce. As a result of COVID-19, we experienced disruptions that negatively impacted our business,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resurgences of COVID-19 or other pandemics may result in renewed travel restrictions and social distancing in the United States and other countries, business closures or business disruptions. Any such disruptions could have a material adverse impact on our business, financial condition or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166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programs involve the use of hazardous materials and chemicals, which are generally handled by third parties. We are subject to foreign, federal, state, and local environmental and health and safety laws and regulations governing,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net operating loss carryforwards for U.S. federal and state income tax purposes of $241.5 million and $397.6 million, respectively, some of which will begin to expire in 2035. As of December 31, 2023, we also had available tax credit carryforwards for U.S. federal income tax purposes of $31.5 million, which begin to expire in 2036, and state income tax purposes of $7.1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annual limitation. This analysis concluded that we have experienced one or more such ownership changes prior to December 31, 2023,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commencement, enrollment or results of our current Phase 2a and Phase 2b clinical trials of bexotegrast and any other clinical trials for our product candidates conducted by us or our collaborators;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results or delays in future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developments concerning our manufacturers;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secure a positive health technology assessment recommendation;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failure to commercialize our product candidates, if approved;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the structure of the healthcare payment systems;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the Russian invasion of Ukraine, the Israel-Hamas conflict and related global escalation of geopolitical tensions,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Effective December 31, 2023, we became a large accelerated filer and no longer qualify as a smaller reporting company, which increases our costs and demands on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market value of our common stock held by our non-affiliates as of June 30, 2023, we are no longer considered a smaller reporting company and are considered a “large accelerated filer” effective as of December 31, 2023. Thus, we are subject to accelerated filing deadlines as well as the requirements of Section 404(b) of the Sarbanes-Oxley Act of 2002, which require our independent registered public accounting firm to formally attest to the effectiveness of our internal control over financial reporting. We have devoted, and expect to continue to devote, significant time and effort to implement and comply with the additional standards, rules and regulations that apply to us. Compliance with the additional requirements of being a large accelerated filer will also increase our legal, accounting and financial compliance costs.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due to the complexity and logistical difficulty of implementing the standards, rules and regulations that now apply to our business,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P</w:t>
      </w:r>
      <w:r>
        <w:rPr>
          <w:rFonts w:ascii="Times New Roman;sans-serif" w:hAnsi="Times New Roman;sans-serif"/>
          <w:b w:val="false"/>
          <w:color w:val="000000"/>
          <w:sz w:val="20"/>
        </w:rPr>
        <w:t xml:space="preserve">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pPr>
      <w:r>
        <w:rPr>
          <w:rFonts w:ascii="Times New Roman;sans-serif" w:hAnsi="Times New Roman;sans-serif"/>
          <w:b/>
          <w:color w:val="231F20"/>
          <w:sz w:val="20"/>
        </w:rPr>
        <w:t>General</w:t>
      </w:r>
      <w:r>
        <w:rPr>
          <w:color w:val="231F20"/>
        </w:rPr>
        <w:t xml:space="preserve"> </w:t>
      </w:r>
      <w:r>
        <w:rPr>
          <w:rFonts w:ascii="Times New Roman;sans-serif" w:hAnsi="Times New Roman;sans-serif"/>
          <w:b/>
          <w:color w:val="231F20"/>
          <w:sz w:val="20"/>
        </w:rPr>
        <w:t>Risk Factors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Nasdaq. </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Our disclosure</w:t>
      </w:r>
      <w:r>
        <w:rPr>
          <w:color w:val="231F20"/>
        </w:rPr>
        <w:t xml:space="preserve"> </w:t>
      </w:r>
      <w:r>
        <w:rPr>
          <w:rFonts w:ascii="Times New Roman;sans-serif" w:hAnsi="Times New Roman;sans-serif"/>
          <w:b/>
          <w:i/>
          <w:color w:val="231F20"/>
          <w:sz w:val="20"/>
        </w:rPr>
        <w:t>controls</w:t>
      </w:r>
      <w:r>
        <w:rPr>
          <w:color w:val="231F20"/>
        </w:rPr>
        <w:t xml:space="preserve"> </w:t>
      </w:r>
      <w:r>
        <w:rPr>
          <w:rFonts w:ascii="Times New Roman;sans-serif" w:hAnsi="Times New Roman;sans-serif"/>
          <w:b/>
          <w:i/>
          <w:color w:val="231F20"/>
          <w:sz w:val="20"/>
        </w:rPr>
        <w:t>and procedures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not prevent</w:t>
      </w:r>
      <w:r>
        <w:rPr>
          <w:color w:val="231F20"/>
        </w:rPr>
        <w:t xml:space="preserve"> </w:t>
      </w:r>
      <w:r>
        <w:rPr>
          <w:rFonts w:ascii="Times New Roman;sans-serif" w:hAnsi="Times New Roman;sans-serif"/>
          <w:b/>
          <w:i/>
          <w:color w:val="231F20"/>
          <w:sz w:val="20"/>
        </w:rPr>
        <w:t>or detect</w:t>
      </w:r>
      <w:r>
        <w:rPr>
          <w:color w:val="231F20"/>
        </w:rPr>
        <w:t xml:space="preserve"> </w:t>
      </w:r>
      <w:r>
        <w:rPr>
          <w:rFonts w:ascii="Times New Roman;sans-serif" w:hAnsi="Times New Roman;sans-serif"/>
          <w:b/>
          <w:i/>
          <w:color w:val="231F20"/>
          <w:sz w:val="20"/>
        </w:rPr>
        <w:t>all</w:t>
      </w:r>
      <w:r>
        <w:rPr>
          <w:color w:val="231F20"/>
        </w:rPr>
        <w:t xml:space="preserve"> </w:t>
      </w:r>
      <w:r>
        <w:rPr>
          <w:rFonts w:ascii="Times New Roman;sans-serif" w:hAnsi="Times New Roman;sans-serif"/>
          <w:b/>
          <w:i/>
          <w:color w:val="231F20"/>
          <w:sz w:val="20"/>
        </w:rPr>
        <w:t>errors</w:t>
      </w:r>
      <w:r>
        <w:rPr>
          <w:color w:val="231F20"/>
        </w:rPr>
        <w:t xml:space="preserve"> </w:t>
      </w:r>
      <w:r>
        <w:rPr>
          <w:rFonts w:ascii="Times New Roman;sans-serif" w:hAnsi="Times New Roman;sans-serif"/>
          <w:b/>
          <w:i/>
          <w:color w:val="231F20"/>
          <w:sz w:val="20"/>
        </w:rPr>
        <w:t>or acts</w:t>
      </w:r>
      <w:r>
        <w:rPr>
          <w:color w:val="231F20"/>
        </w:rPr>
        <w:t xml:space="preserve"> </w:t>
      </w:r>
      <w:r>
        <w:rPr>
          <w:rFonts w:ascii="Times New Roman;sans-serif" w:hAnsi="Times New Roman;sans-serif"/>
          <w:b/>
          <w:i/>
          <w:color w:val="231F20"/>
          <w:sz w:val="20"/>
        </w:rPr>
        <w:t>of fraud.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r>
        <w:rPr>
          <w:rFonts w:ascii="Times New Roman;sans-serif" w:hAnsi="Times New Roman;sans-serif"/>
          <w:b/>
          <w:i/>
          <w:color w:val="231F20"/>
          <w:sz w:val="20"/>
        </w:rPr>
        <w: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issue additional capital stock in the future that will result in dilution to all other stockholders. We expect to continue to grant equity awards to employees, directors, and consultants under our stock incentive plans. In July 2022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January 2023, we completed underwritten public offerings of our common stock. In July 2021, we entered into the</w:t>
      </w:r>
      <w:r>
        <w:rPr>
          <w:color w:val="000000"/>
        </w:rPr>
        <w:t xml:space="preserve"> </w:t>
      </w:r>
      <w:r>
        <w:rPr>
          <w:rFonts w:ascii="Times New Roman;sans-serif" w:hAnsi="Times New Roman;sans-serif"/>
          <w:b w:val="false"/>
          <w:color w:val="000000"/>
          <w:sz w:val="20"/>
        </w:rPr>
        <w:t>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HHS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research, including data subject to 45 C.F.R. Parts 46, 50, and 56. Nevada also recently enacted a consumer health data privacy bill, and additional states may adopt health-specific privacy laws that could impact our business activities depending on how they are interpreted.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Centers for Medicare and Medicaid Services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The impact on the information blocking rules to our business is currently unclear.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passed the California Consumer Protection Act of 2018, or the CCPA, which went into effect in January 2020 and provides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Additionally, this exception does not apply to the private cause of action afforded to individuals for information security incidents.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CCPA was expanded on January 1, 2023, when the California Privacy Rights Act of 2020, or the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established a new California Privacy Protection Agency to implement the law through additional regulations and to enforce the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Multiple other states have followed California and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Federal Trade Commission (FTC) and many state attorneys general are interpreting existing federal and state consumer protection laws to impose evolving standards for the collection, use, dissemination and security of health-related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are unfair or deceptive in the coming years.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pursuant to legislation passed in 2021,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ICFs); (ii) requirements to process personal data 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 individuals’ data protection rights; and (v) an obligation to report certain personal data breaches to the competent data protection authority and affected individuals.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Court of Justice of the EU (CJEU) in its Schrems II judgement limited how organizations could lawfully transfer personal data from the EEA to the U.S. by invalidating the EU-U.S. 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(DPF). Entities relying on EU SCCs for transfers to the U.S. are also able to rely on the analysis in the Adequacy Decision as support for their TIA regarding the equivalence of U.S. national security safeguards and redress.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(ILAP) and the International Recognition Procedure. The ILAP is an accelerated assessment procedure for marketing authorization applications facilitating the early interaction with pricing authorities and HTA bodies which aims to enable companies to enter the U.K. market faster. On January 1, 2024, the MHRA also launched a new International Recognition Procedure for Great Britain (England, Scotland and Wales) marketing authorization applications whereby the MHRA will, when considering such applications, recognize the approval of medicines by trusted reference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regulators in Australia, Canada, Switzerland, Singapore, Japan, United States and EU following its own abbreviated assessment.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On March 24, 2024, the U.K. Government and the EU adopted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w:t>
      </w:r>
      <w:r>
        <w:rPr>
          <w:color w:val="000000"/>
        </w:rPr>
        <w:t xml:space="preserve"> </w:t>
      </w:r>
      <w:r>
        <w:rPr>
          <w:rFonts w:ascii="Times New Roman;sans-serif" w:hAnsi="Times New Roman;sans-serif"/>
          <w:b w:val="false"/>
          <w:color w:val="000000"/>
          <w:sz w:val="20"/>
        </w:rPr>
        <w:t>These new measures will be implemented on January 1, 2025. The new U.K. Government, elected on July 4, 2024, has committed to implement the Windsor Framework.</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Changes in U.S.</w:t>
      </w:r>
      <w:r>
        <w:rPr>
          <w:color w:val="231F20"/>
        </w:rPr>
        <w:t xml:space="preserve"> </w:t>
      </w:r>
      <w:r>
        <w:rPr>
          <w:rFonts w:ascii="Times New Roman;sans-serif" w:hAnsi="Times New Roman;sans-serif"/>
          <w:b/>
          <w:i/>
          <w:color w:val="231F20"/>
          <w:sz w:val="20"/>
        </w:rPr>
        <w:t>tax law could adversely</w:t>
      </w:r>
      <w:r>
        <w:rPr>
          <w:color w:val="231F20"/>
        </w:rPr>
        <w:t xml:space="preserve"> </w:t>
      </w:r>
      <w:r>
        <w:rPr>
          <w:rFonts w:ascii="Times New Roman;sans-serif" w:hAnsi="Times New Roman;sans-serif"/>
          <w:b/>
          <w:i/>
          <w:color w:val="231F20"/>
          <w:sz w:val="20"/>
        </w:rPr>
        <w:t>affect</w:t>
      </w:r>
      <w:r>
        <w:rPr>
          <w:color w:val="231F20"/>
        </w:rPr>
        <w:t xml:space="preserve"> </w:t>
      </w:r>
      <w:r>
        <w:rPr>
          <w:rFonts w:ascii="Times New Roman;sans-serif" w:hAnsi="Times New Roman;sans-serif"/>
          <w:b/>
          <w:i/>
          <w:color w:val="231F20"/>
          <w:sz w:val="20"/>
        </w:rPr>
        <w:t>our financial</w:t>
      </w:r>
      <w:r>
        <w:rPr>
          <w:color w:val="231F20"/>
        </w:rPr>
        <w:t xml:space="preserve"> </w:t>
      </w:r>
      <w:r>
        <w:rPr>
          <w:rFonts w:ascii="Times New Roman;sans-serif" w:hAnsi="Times New Roman;sans-serif"/>
          <w:b/>
          <w:i/>
          <w:color w:val="231F20"/>
          <w:sz w:val="20"/>
        </w:rPr>
        <w:t>condition</w:t>
      </w:r>
      <w:r>
        <w:rPr>
          <w:color w:val="231F20"/>
        </w:rPr>
        <w:t xml:space="preserve"> </w:t>
      </w:r>
      <w:r>
        <w:rPr>
          <w:rFonts w:ascii="Times New Roman;sans-serif" w:hAnsi="Times New Roman;sans-serif"/>
          <w:b/>
          <w:i/>
          <w:color w:val="231F20"/>
          <w:sz w:val="20"/>
        </w:rPr>
        <w:t>and results</w:t>
      </w:r>
      <w:r>
        <w:rPr>
          <w:color w:val="231F20"/>
        </w:rPr>
        <w:t xml:space="preserve"> </w:t>
      </w:r>
      <w:r>
        <w:rPr>
          <w:rFonts w:ascii="Times New Roman;sans-serif" w:hAnsi="Times New Roman;sans-serif"/>
          <w:b/>
          <w:i/>
          <w:color w:val="231F20"/>
          <w:sz w:val="20"/>
        </w:rPr>
        <w:t>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geopolitical events, such as the Russian invasion of Ukraine, the Israel-Hamas conflict and related global escalation of geopolitical tensions,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The increasing use of social media platforms presents new risks and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three months ended June 30, 2024, as such terms are defined under Item 408(a) of Regulation S-K.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86"/>
        <w:gridCol w:w="251"/>
        <w:gridCol w:w="253"/>
        <w:gridCol w:w="109"/>
        <w:gridCol w:w="109"/>
        <w:gridCol w:w="109"/>
        <w:gridCol w:w="2716"/>
        <w:gridCol w:w="2624"/>
        <w:gridCol w:w="3748"/>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the Registrant, as currently in effect (incorporated by reference to Exhibit 3.1 of the Registrant’s quarterly report on Form 10-Q (File No. 001-39303) filed on August 11, 2020).</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Second Amended and Restated Bylaws of the Registrant, as currently in effect (incorporated by reference to Exhibit 3.1 of the Registrant’s Current Report on Form 8-K (File No. 001-39303) filed on September 16, 2022).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 xml:space="preserve">Specimen Common Stock Certificate (incorporated by reference to Exhibit 4.1 of the Registrant’s Registration Statement on Form S-1, as amended (File No. 333-238146) filed on May 26, 2020). </w:t>
              </w:r>
            </w:hyperlink>
          </w:p>
          <w:p>
            <w:pPr>
              <w:pStyle w:val="TableContents"/>
              <w:bidi w:val="0"/>
              <w:spacing w:lineRule="auto" w:line="240" w:before="0" w:after="0"/>
              <w:jc w:val="left"/>
              <w:rPr>
                <w:color w:val="000000"/>
              </w:rPr>
            </w:pPr>
            <w:r>
              <w:rPr>
                <w:color w:val="000000"/>
              </w:rPr>
              <w:t> </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630x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630xex311.htm">
              <w:r>
                <w:rPr>
                  <w:rStyle w:val="InternetLink"/>
                  <w:rFonts w:ascii="Times New Roman;sans-serif" w:hAnsi="Times New Roman;sans-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630x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630xex312.htm">
              <w:r>
                <w:rPr>
                  <w:rStyle w:val="InternetLink"/>
                  <w:rFonts w:ascii="Times New Roman;sans-serif" w:hAnsi="Times New Roman;sans-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630x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630xex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7, 2024 </w:t>
      </w:r>
    </w:p>
    <w:tbl>
      <w:tblPr>
        <w:tblW w:w="635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7, 2024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7, 2024 </w:t>
      </w:r>
    </w:p>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June 30, 2024,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7, 2024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06" w:type="dxa"/>
        <w:jc w:val="left"/>
        <w:tblInd w:w="0" w:type="dxa"/>
        <w:tblLayout w:type="fixed"/>
        <w:tblCellMar>
          <w:top w:w="28" w:type="dxa"/>
          <w:left w:w="28" w:type="dxa"/>
          <w:bottom w:w="28" w:type="dxa"/>
          <w:right w:w="28" w:type="dxa"/>
        </w:tblCellMar>
      </w:tblPr>
      <w:tblGrid>
        <w:gridCol w:w="917"/>
        <w:gridCol w:w="806"/>
        <w:gridCol w:w="81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6473/000156459020039327/plrx-ex31_301.htm" TargetMode="External"/><Relationship Id="rId3" Type="http://schemas.openxmlformats.org/officeDocument/2006/relationships/hyperlink" Target="https://www.sec.gov/Archives/edgar/data/0001746473/000156459020039327/plrx-ex31_301.htm" TargetMode="External"/><Relationship Id="rId4" Type="http://schemas.openxmlformats.org/officeDocument/2006/relationships/hyperlink" Target="https://www.sec.gov/ix?doc=/Archives/edgar/data/0001746473/000119312522246364/d400254d8k.htm" TargetMode="External"/><Relationship Id="rId5" Type="http://schemas.openxmlformats.org/officeDocument/2006/relationships/hyperlink" Target="https://www.sec.gov/ix?doc=/Archives/edgar/data/0001746473/000119312522246364/d400254d8k.htm" TargetMode="External"/><Relationship Id="rId6" Type="http://schemas.openxmlformats.org/officeDocument/2006/relationships/hyperlink" Target="https://www.sec.gov/Archives/edgar/data/1746473/000119312520150643/d729258dex41.htm" TargetMode="External"/><Relationship Id="rId7" Type="http://schemas.openxmlformats.org/officeDocument/2006/relationships/hyperlink" Target="https://www.sec.gov/Archives/edgar/data/0001746473/000119312520150643/d729258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53955</Words>
  <Characters>302688</Characters>
  <CharactersWithSpaces>355017</CharactersWithSpaces>
  <Paragraphs>2403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