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054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400" w:lineRule="exact"/>
        <w:rPr>
          <w:sz w:val="24"/>
          <w:szCs w:val="24"/>
          <w:color w:val="auto"/>
        </w:rPr>
      </w:pPr>
    </w:p>
    <w:p>
      <w:pPr>
        <w:ind w:left="820" w:hanging="794"/>
        <w:spacing w:after="0"/>
        <w:tabs>
          <w:tab w:leader="none" w:pos="82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8"/>
          <w:szCs w:val="18"/>
          <w:b w:val="1"/>
          <w:bCs w:val="1"/>
          <w:color w:val="auto"/>
        </w:rPr>
        <w:t>QUARTERLY REPORT PURSUANT TO SECTION 13 OR 15(d) OF THE SECURITIES EXCHANGE ACT OF 1934</w:t>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39" w:lineRule="exact"/>
        <w:rPr>
          <w:sz w:val="24"/>
          <w:szCs w:val="24"/>
          <w:color w:val="auto"/>
        </w:rPr>
      </w:pPr>
    </w:p>
    <w:p>
      <w:pPr>
        <w:ind w:left="820" w:hanging="794"/>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9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3947795</wp:posOffset>
            </wp:positionH>
            <wp:positionV relativeFrom="paragraph">
              <wp:posOffset>-7620</wp:posOffset>
            </wp:positionV>
            <wp:extent cx="723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001-39303</w:t>
      </w:r>
    </w:p>
    <w:p>
      <w:pPr>
        <w:spacing w:after="0" w:line="1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PLIANT THERAPEUTICS, INC.</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480" w:type="dxa"/>
        <w:tblCellMar>
          <w:top w:w="0" w:type="dxa"/>
          <w:left w:w="0" w:type="dxa"/>
          <w:bottom w:w="0" w:type="dxa"/>
          <w:right w:w="0" w:type="dxa"/>
        </w:tblCellMar>
      </w:tblPr>
      <w:tr>
        <w:trPr>
          <w:trHeight w:val="225"/>
        </w:trPr>
        <w:tc>
          <w:tcPr>
            <w:tcW w:w="438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right"/>
              <w:ind w:right="41"/>
              <w:spacing w:after="0"/>
              <w:rPr>
                <w:sz w:val="20"/>
                <w:szCs w:val="20"/>
                <w:color w:val="auto"/>
              </w:rPr>
            </w:pPr>
            <w:r>
              <w:rPr>
                <w:rFonts w:ascii="Arial" w:cs="Arial" w:eastAsia="Arial" w:hAnsi="Arial"/>
                <w:sz w:val="18"/>
                <w:szCs w:val="18"/>
                <w:b w:val="1"/>
                <w:bCs w:val="1"/>
                <w:color w:val="auto"/>
              </w:rPr>
              <w:t>47-4272481</w:t>
            </w:r>
          </w:p>
        </w:tc>
      </w:tr>
      <w:tr>
        <w:trPr>
          <w:trHeight w:val="186"/>
        </w:trPr>
        <w:tc>
          <w:tcPr>
            <w:tcW w:w="4380" w:type="dxa"/>
            <w:vAlign w:val="bottom"/>
          </w:tcPr>
          <w:p>
            <w:pPr>
              <w:jc w:val="center"/>
              <w:ind w:right="1899"/>
              <w:spacing w:after="0"/>
              <w:rPr>
                <w:sz w:val="20"/>
                <w:szCs w:val="20"/>
                <w:color w:val="auto"/>
              </w:rPr>
            </w:pPr>
            <w:r>
              <w:rPr>
                <w:rFonts w:ascii="Arial" w:cs="Arial" w:eastAsia="Arial" w:hAnsi="Arial"/>
                <w:sz w:val="14"/>
                <w:szCs w:val="14"/>
                <w:b w:val="1"/>
                <w:bCs w:val="1"/>
                <w:color w:val="auto"/>
                <w:w w:val="93"/>
              </w:rPr>
              <w:t>(State or other jurisdiction of</w:t>
            </w:r>
          </w:p>
        </w:tc>
        <w:tc>
          <w:tcPr>
            <w:tcW w:w="3140" w:type="dxa"/>
            <w:vAlign w:val="bottom"/>
          </w:tcPr>
          <w:p>
            <w:pPr>
              <w:jc w:val="center"/>
              <w:ind w:left="1941"/>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438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incorporation or organization)</w:t>
            </w:r>
          </w:p>
        </w:tc>
        <w:tc>
          <w:tcPr>
            <w:tcW w:w="3140" w:type="dxa"/>
            <w:vAlign w:val="bottom"/>
          </w:tcPr>
          <w:p>
            <w:pPr>
              <w:jc w:val="center"/>
              <w:ind w:left="194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438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260 Littlefield Avenue</w:t>
            </w:r>
          </w:p>
        </w:tc>
        <w:tc>
          <w:tcPr>
            <w:tcW w:w="3140" w:type="dxa"/>
            <w:vAlign w:val="bottom"/>
          </w:tcPr>
          <w:p>
            <w:pPr>
              <w:spacing w:after="0"/>
              <w:rPr>
                <w:sz w:val="20"/>
                <w:szCs w:val="20"/>
                <w:color w:val="auto"/>
              </w:rPr>
            </w:pPr>
          </w:p>
        </w:tc>
      </w:tr>
      <w:tr>
        <w:trPr>
          <w:trHeight w:val="225"/>
        </w:trPr>
        <w:tc>
          <w:tcPr>
            <w:tcW w:w="4380" w:type="dxa"/>
            <w:vAlign w:val="bottom"/>
          </w:tcPr>
          <w:p>
            <w:pPr>
              <w:jc w:val="center"/>
              <w:ind w:right="1919"/>
              <w:spacing w:after="0"/>
              <w:rPr>
                <w:sz w:val="20"/>
                <w:szCs w:val="20"/>
                <w:color w:val="auto"/>
              </w:rPr>
            </w:pPr>
            <w:r>
              <w:rPr>
                <w:rFonts w:ascii="Arial" w:cs="Arial" w:eastAsia="Arial" w:hAnsi="Arial"/>
                <w:sz w:val="18"/>
                <w:szCs w:val="18"/>
                <w:b w:val="1"/>
                <w:bCs w:val="1"/>
                <w:color w:val="auto"/>
                <w:w w:val="90"/>
              </w:rPr>
              <w:t>South San Francisco, CA</w:t>
            </w:r>
          </w:p>
        </w:tc>
        <w:tc>
          <w:tcPr>
            <w:tcW w:w="314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4380" w:type="dxa"/>
            <w:vAlign w:val="bottom"/>
          </w:tcPr>
          <w:p>
            <w:pPr>
              <w:jc w:val="center"/>
              <w:ind w:right="19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40" w:type="dxa"/>
            <w:vAlign w:val="bottom"/>
          </w:tcPr>
          <w:p>
            <w:pPr>
              <w:jc w:val="center"/>
              <w:ind w:left="1941"/>
              <w:spacing w:after="0"/>
              <w:rPr>
                <w:sz w:val="20"/>
                <w:szCs w:val="20"/>
                <w:color w:val="auto"/>
              </w:rPr>
            </w:pPr>
            <w:r>
              <w:rPr>
                <w:rFonts w:ascii="Arial" w:cs="Arial" w:eastAsia="Arial" w:hAnsi="Arial"/>
                <w:sz w:val="14"/>
                <w:szCs w:val="14"/>
                <w:b w:val="1"/>
                <w:bCs w:val="1"/>
                <w:color w:val="auto"/>
                <w:w w:val="98"/>
              </w:rPr>
              <w:t>(Zip Code)</w:t>
            </w:r>
          </w:p>
        </w:tc>
      </w:tr>
    </w:tbl>
    <w:p>
      <w:pPr>
        <w:spacing w:after="0" w:line="178" w:lineRule="exact"/>
        <w:rPr>
          <w:sz w:val="24"/>
          <w:szCs w:val="24"/>
          <w:color w:val="auto"/>
        </w:rPr>
      </w:pPr>
    </w:p>
    <w:p>
      <w:pPr>
        <w:ind w:left="3560"/>
        <w:spacing w:after="0"/>
        <w:rPr>
          <w:sz w:val="20"/>
          <w:szCs w:val="20"/>
          <w:color w:val="auto"/>
        </w:rPr>
      </w:pPr>
      <w:r>
        <w:rPr>
          <w:rFonts w:ascii="Arial" w:cs="Arial" w:eastAsia="Arial" w:hAnsi="Arial"/>
          <w:sz w:val="14"/>
          <w:szCs w:val="14"/>
          <w:b w:val="1"/>
          <w:bCs w:val="1"/>
          <w:color w:val="auto"/>
        </w:rPr>
        <w:t>Registrant’s telephone number, including area code: (650) 481-6770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47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174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Trading</w:t>
            </w:r>
          </w:p>
        </w:tc>
        <w:tc>
          <w:tcPr>
            <w:tcW w:w="4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0" w:type="dxa"/>
            <w:vAlign w:val="bottom"/>
          </w:tcPr>
          <w:p>
            <w:pPr>
              <w:spacing w:after="0"/>
              <w:rPr>
                <w:sz w:val="1"/>
                <w:szCs w:val="1"/>
                <w:color w:val="auto"/>
              </w:rPr>
            </w:pPr>
          </w:p>
        </w:tc>
      </w:tr>
      <w:tr>
        <w:trPr>
          <w:trHeight w:val="230"/>
        </w:trPr>
        <w:tc>
          <w:tcPr>
            <w:tcW w:w="472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w:t>
            </w:r>
          </w:p>
        </w:tc>
        <w:tc>
          <w:tcPr>
            <w:tcW w:w="46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PLRX</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188" w:lineRule="exact"/>
        <w:rPr>
          <w:sz w:val="24"/>
          <w:szCs w:val="24"/>
          <w:color w:val="auto"/>
        </w:rPr>
      </w:pPr>
    </w:p>
    <w:p>
      <w:pPr>
        <w:ind w:right="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80" w:type="dxa"/>
            <w:vAlign w:val="bottom"/>
            <w:vMerge w:val="restart"/>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720" w:type="dxa"/>
            <w:vAlign w:val="bottom"/>
            <w:vMerge w:val="restart"/>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2680" w:type="dxa"/>
            <w:vAlign w:val="bottom"/>
            <w:vMerge w:val="continue"/>
          </w:tcPr>
          <w:p>
            <w:pPr>
              <w:spacing w:after="0"/>
              <w:rPr>
                <w:sz w:val="11"/>
                <w:szCs w:val="11"/>
                <w:color w:val="auto"/>
              </w:rPr>
            </w:pPr>
          </w:p>
        </w:tc>
        <w:tc>
          <w:tcPr>
            <w:tcW w:w="44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25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8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2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80" w:type="dxa"/>
            <w:vAlign w:val="bottom"/>
            <w:vMerge w:val="restart"/>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2680" w:type="dxa"/>
            <w:vAlign w:val="bottom"/>
            <w:vMerge w:val="continue"/>
          </w:tcPr>
          <w:p>
            <w:pPr>
              <w:spacing w:after="0"/>
              <w:rPr>
                <w:sz w:val="11"/>
                <w:szCs w:val="11"/>
                <w:color w:val="auto"/>
              </w:rPr>
            </w:pPr>
          </w:p>
        </w:tc>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August 6, 2021, the registrant had 35,937,937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054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054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500" w:type="dxa"/>
            <w:vAlign w:val="bottom"/>
            <w:gridSpan w:val="9"/>
          </w:tcPr>
          <w:p>
            <w:pPr>
              <w:ind w:left="6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00" w:type="dxa"/>
            <w:vAlign w:val="bottom"/>
            <w:gridSpan w:val="2"/>
          </w:tcPr>
          <w:p>
            <w:pPr>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PART I.</w:t>
              </w:r>
            </w:hyperlink>
          </w:p>
        </w:tc>
        <w:tc>
          <w:tcPr>
            <w:tcW w:w="960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INFORMATION</w:t>
              </w:r>
            </w:hyperlink>
          </w:p>
        </w:tc>
        <w:tc>
          <w:tcPr>
            <w:tcW w:w="3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00" w:type="dxa"/>
            <w:vAlign w:val="bottom"/>
            <w:gridSpan w:val="2"/>
          </w:tcPr>
          <w:p>
            <w:pPr>
              <w:spacing w:after="0"/>
              <w:rPr>
                <w:rFonts w:ascii="Arial" w:cs="Arial" w:eastAsia="Arial" w:hAnsi="Arial"/>
                <w:sz w:val="18"/>
                <w:szCs w:val="18"/>
                <w:color w:val="auto"/>
              </w:rPr>
            </w:pPr>
            <w:hyperlink w:anchor="page7">
              <w:r>
                <w:rPr>
                  <w:rFonts w:ascii="Arial" w:cs="Arial" w:eastAsia="Arial" w:hAnsi="Arial"/>
                  <w:sz w:val="18"/>
                  <w:szCs w:val="18"/>
                  <w:color w:val="auto"/>
                </w:rPr>
                <w:t>Item 1.</w:t>
              </w:r>
            </w:hyperlink>
          </w:p>
        </w:tc>
        <w:tc>
          <w:tcPr>
            <w:tcW w:w="960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Financial Statements</w:t>
              </w:r>
            </w:hyperlink>
          </w:p>
        </w:tc>
        <w:tc>
          <w:tcPr>
            <w:tcW w:w="3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60" w:type="dxa"/>
            <w:vAlign w:val="bottom"/>
            <w:tcBorders>
              <w:bottom w:val="single" w:sz="8" w:color="0000FF"/>
            </w:tcBorders>
            <w:gridSpan w:val="14"/>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Condensed Balance Sheets as June 30, 2021 (Unaudited) and December 31, 2020</w:t>
              </w:r>
            </w:hyperlink>
          </w:p>
        </w:tc>
        <w:tc>
          <w:tcPr>
            <w:tcW w:w="3740" w:type="dxa"/>
            <w:vAlign w:val="bottom"/>
            <w:gridSpan w:val="5"/>
          </w:tcPr>
          <w:p>
            <w:pPr>
              <w:spacing w:after="0"/>
              <w:rPr>
                <w:sz w:val="18"/>
                <w:szCs w:val="18"/>
                <w:color w:val="auto"/>
              </w:rPr>
            </w:pPr>
          </w:p>
        </w:tc>
        <w:tc>
          <w:tcPr>
            <w:tcW w:w="3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0" w:type="dxa"/>
            <w:vAlign w:val="bottom"/>
            <w:gridSpan w:val="19"/>
          </w:tcPr>
          <w:p>
            <w:pPr>
              <w:spacing w:after="0"/>
              <w:rPr>
                <w:rFonts w:ascii="Arial" w:cs="Arial" w:eastAsia="Arial" w:hAnsi="Arial"/>
                <w:sz w:val="18"/>
                <w:szCs w:val="18"/>
                <w:color w:val="0000FF"/>
                <w:w w:val="96"/>
              </w:rPr>
            </w:pPr>
            <w:hyperlink w:anchor="page7">
              <w:r>
                <w:rPr>
                  <w:rFonts w:ascii="Arial" w:cs="Arial" w:eastAsia="Arial" w:hAnsi="Arial"/>
                  <w:sz w:val="18"/>
                  <w:szCs w:val="18"/>
                  <w:color w:val="0000FF"/>
                  <w:w w:val="96"/>
                </w:rPr>
                <w:t>Condensed Statements of Operations and Comprehensive Loss for the three and six months ended June 30, 2021 and 2020</w:t>
              </w:r>
            </w:hyperlink>
          </w:p>
        </w:tc>
        <w:tc>
          <w:tcPr>
            <w:tcW w:w="3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(Unaudited)</w:t>
              </w:r>
            </w:hyperlink>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0" w:type="dxa"/>
            <w:vAlign w:val="bottom"/>
            <w:gridSpan w:val="19"/>
          </w:tcPr>
          <w:p>
            <w:pPr>
              <w:spacing w:after="0"/>
              <w:rPr>
                <w:rFonts w:ascii="Arial" w:cs="Arial" w:eastAsia="Arial" w:hAnsi="Arial"/>
                <w:sz w:val="18"/>
                <w:szCs w:val="18"/>
                <w:color w:val="0000FF"/>
                <w:w w:val="92"/>
              </w:rPr>
            </w:pPr>
            <w:hyperlink w:anchor="page8">
              <w:r>
                <w:rPr>
                  <w:rFonts w:ascii="Arial" w:cs="Arial" w:eastAsia="Arial" w:hAnsi="Arial"/>
                  <w:sz w:val="18"/>
                  <w:szCs w:val="18"/>
                  <w:color w:val="0000FF"/>
                  <w:w w:val="92"/>
                </w:rPr>
                <w:t>Condensed Statements of Redeemable Convertible Preferred Stock and Stockholders’ Equity (Deficit) for the three and six months</w:t>
              </w:r>
            </w:hyperlink>
          </w:p>
        </w:tc>
        <w:tc>
          <w:tcPr>
            <w:tcW w:w="3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8"/>
              </w:rPr>
            </w:pPr>
            <w:hyperlink w:anchor="page8">
              <w:r>
                <w:rPr>
                  <w:rFonts w:ascii="Arial" w:cs="Arial" w:eastAsia="Arial" w:hAnsi="Arial"/>
                  <w:sz w:val="18"/>
                  <w:szCs w:val="18"/>
                  <w:color w:val="0000FF"/>
                  <w:w w:val="88"/>
                </w:rPr>
                <w:t>ended June 30, 2021 and 2020 (Unaudited)</w:t>
              </w:r>
            </w:hyperlink>
          </w:p>
        </w:tc>
        <w:tc>
          <w:tcPr>
            <w:tcW w:w="6320" w:type="dxa"/>
            <w:vAlign w:val="bottom"/>
            <w:tcBorders>
              <w:top w:val="single" w:sz="8" w:color="0000FF"/>
            </w:tcBorders>
            <w:gridSpan w:val="8"/>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0" w:type="dxa"/>
            <w:vAlign w:val="bottom"/>
            <w:gridSpan w:val="19"/>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Condensed Statements of Cash Flows for the six months ended June 30, 2021 and 2020 (Unaudited)</w:t>
              </w:r>
            </w:hyperlink>
          </w:p>
        </w:tc>
        <w:tc>
          <w:tcPr>
            <w:tcW w:w="36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0" w:type="dxa"/>
            <w:vAlign w:val="bottom"/>
            <w:tcBorders>
              <w:top w:val="single" w:sz="8" w:color="0000FF"/>
            </w:tcBorders>
            <w:gridSpan w:val="16"/>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Notes to Condensed Financial Statements (Unaudited)</w:t>
              </w:r>
            </w:hyperlink>
          </w:p>
        </w:tc>
        <w:tc>
          <w:tcPr>
            <w:tcW w:w="2400" w:type="dxa"/>
            <w:vAlign w:val="bottom"/>
            <w:gridSpan w:val="3"/>
          </w:tcPr>
          <w:p>
            <w:pPr>
              <w:spacing w:after="0"/>
              <w:rPr>
                <w:sz w:val="18"/>
                <w:szCs w:val="18"/>
                <w:color w:val="auto"/>
              </w:rPr>
            </w:pPr>
          </w:p>
        </w:tc>
        <w:tc>
          <w:tcPr>
            <w:tcW w:w="36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rFonts w:ascii="Arial" w:cs="Arial" w:eastAsia="Arial" w:hAnsi="Arial"/>
                <w:sz w:val="18"/>
                <w:szCs w:val="18"/>
                <w:color w:val="auto"/>
              </w:rPr>
            </w:pPr>
            <w:hyperlink w:anchor="page22">
              <w:r>
                <w:rPr>
                  <w:rFonts w:ascii="Arial" w:cs="Arial" w:eastAsia="Arial" w:hAnsi="Arial"/>
                  <w:sz w:val="18"/>
                  <w:szCs w:val="18"/>
                  <w:color w:val="auto"/>
                </w:rPr>
                <w:t>Item 2.</w:t>
              </w:r>
            </w:hyperlink>
          </w:p>
        </w:tc>
        <w:tc>
          <w:tcPr>
            <w:tcW w:w="646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Management’s Discussion and Analysis of Financial Condition and Results of Operations</w:t>
              </w:r>
            </w:hyperlink>
          </w:p>
        </w:tc>
        <w:tc>
          <w:tcPr>
            <w:tcW w:w="3140" w:type="dxa"/>
            <w:vAlign w:val="bottom"/>
            <w:gridSpan w:val="4"/>
          </w:tcPr>
          <w:p>
            <w:pPr>
              <w:spacing w:after="0"/>
              <w:rPr>
                <w:sz w:val="18"/>
                <w:szCs w:val="18"/>
                <w:color w:val="auto"/>
              </w:rPr>
            </w:pPr>
          </w:p>
        </w:tc>
        <w:tc>
          <w:tcPr>
            <w:tcW w:w="36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23</w:t>
              </w:r>
            </w:hyperlink>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rFonts w:ascii="Arial" w:cs="Arial" w:eastAsia="Arial" w:hAnsi="Arial"/>
                <w:sz w:val="18"/>
                <w:szCs w:val="18"/>
                <w:color w:val="auto"/>
              </w:rPr>
            </w:pPr>
            <w:hyperlink w:anchor="page31">
              <w:r>
                <w:rPr>
                  <w:rFonts w:ascii="Arial" w:cs="Arial" w:eastAsia="Arial" w:hAnsi="Arial"/>
                  <w:sz w:val="18"/>
                  <w:szCs w:val="18"/>
                  <w:color w:val="auto"/>
                </w:rPr>
                <w:t>Item 3.</w:t>
              </w:r>
            </w:hyperlink>
          </w:p>
        </w:tc>
        <w:tc>
          <w:tcPr>
            <w:tcW w:w="436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31">
              <w:r>
                <w:rPr>
                  <w:rFonts w:ascii="Arial" w:cs="Arial" w:eastAsia="Arial" w:hAnsi="Arial"/>
                  <w:sz w:val="18"/>
                  <w:szCs w:val="18"/>
                  <w:color w:val="0000FF"/>
                  <w:w w:val="92"/>
                </w:rPr>
                <w:t>Quantitative and Qualitative Disclosures About Market Risk</w:t>
              </w:r>
            </w:hyperlink>
          </w:p>
        </w:tc>
        <w:tc>
          <w:tcPr>
            <w:tcW w:w="5240" w:type="dxa"/>
            <w:vAlign w:val="bottom"/>
            <w:gridSpan w:val="6"/>
          </w:tcPr>
          <w:p>
            <w:pPr>
              <w:spacing w:after="0"/>
              <w:rPr>
                <w:sz w:val="18"/>
                <w:szCs w:val="18"/>
                <w:color w:val="auto"/>
              </w:rPr>
            </w:pPr>
          </w:p>
        </w:tc>
        <w:tc>
          <w:tcPr>
            <w:tcW w:w="3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rFonts w:ascii="Arial" w:cs="Arial" w:eastAsia="Arial" w:hAnsi="Arial"/>
                <w:sz w:val="18"/>
                <w:szCs w:val="18"/>
                <w:color w:val="auto"/>
              </w:rPr>
            </w:pPr>
            <w:hyperlink w:anchor="page31">
              <w:r>
                <w:rPr>
                  <w:rFonts w:ascii="Arial" w:cs="Arial" w:eastAsia="Arial" w:hAnsi="Arial"/>
                  <w:sz w:val="18"/>
                  <w:szCs w:val="18"/>
                  <w:color w:val="auto"/>
                </w:rPr>
                <w:t>Item 4.</w:t>
              </w:r>
            </w:hyperlink>
          </w:p>
        </w:tc>
        <w:tc>
          <w:tcPr>
            <w:tcW w:w="9600" w:type="dxa"/>
            <w:vAlign w:val="bottom"/>
            <w:gridSpan w:val="1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Controls and Procedures</w:t>
              </w:r>
            </w:hyperlink>
          </w:p>
        </w:tc>
        <w:tc>
          <w:tcPr>
            <w:tcW w:w="3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PART II.</w:t>
              </w:r>
            </w:hyperlink>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0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7"/>
          </w:tcPr>
          <w:p>
            <w:pPr>
              <w:spacing w:after="0"/>
              <w:rPr>
                <w:rFonts w:ascii="Arial" w:cs="Arial" w:eastAsia="Arial" w:hAnsi="Arial"/>
                <w:sz w:val="18"/>
                <w:szCs w:val="18"/>
                <w:color w:val="0000FF"/>
                <w:w w:val="95"/>
              </w:rPr>
            </w:pPr>
            <w:hyperlink w:anchor="page31">
              <w:r>
                <w:rPr>
                  <w:rFonts w:ascii="Arial" w:cs="Arial" w:eastAsia="Arial" w:hAnsi="Arial"/>
                  <w:sz w:val="18"/>
                  <w:szCs w:val="18"/>
                  <w:color w:val="0000FF"/>
                  <w:w w:val="95"/>
                </w:rPr>
                <w:t>OTHER INFORMATION</w:t>
              </w:r>
            </w:hyperlink>
          </w:p>
        </w:tc>
        <w:tc>
          <w:tcPr>
            <w:tcW w:w="7720" w:type="dxa"/>
            <w:vAlign w:val="bottom"/>
            <w:gridSpan w:val="12"/>
          </w:tcPr>
          <w:p>
            <w:pPr>
              <w:spacing w:after="0"/>
              <w:rPr>
                <w:sz w:val="24"/>
                <w:szCs w:val="24"/>
                <w:color w:val="auto"/>
              </w:rPr>
            </w:pPr>
          </w:p>
        </w:tc>
        <w:tc>
          <w:tcPr>
            <w:tcW w:w="3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371"/>
        </w:trPr>
        <w:tc>
          <w:tcPr>
            <w:tcW w:w="1200" w:type="dxa"/>
            <w:vAlign w:val="bottom"/>
            <w:gridSpan w:val="2"/>
          </w:tcPr>
          <w:p>
            <w:pPr>
              <w:spacing w:after="0"/>
              <w:rPr>
                <w:rFonts w:ascii="Arial" w:cs="Arial" w:eastAsia="Arial" w:hAnsi="Arial"/>
                <w:sz w:val="18"/>
                <w:szCs w:val="18"/>
                <w:color w:val="auto"/>
              </w:rPr>
            </w:pPr>
            <w:hyperlink w:anchor="page31">
              <w:r>
                <w:rPr>
                  <w:rFonts w:ascii="Arial" w:cs="Arial" w:eastAsia="Arial" w:hAnsi="Arial"/>
                  <w:sz w:val="18"/>
                  <w:szCs w:val="18"/>
                  <w:color w:val="auto"/>
                </w:rPr>
                <w:t>Item 1.</w:t>
              </w:r>
            </w:hyperlink>
          </w:p>
        </w:tc>
        <w:tc>
          <w:tcPr>
            <w:tcW w:w="9600" w:type="dxa"/>
            <w:vAlign w:val="bottom"/>
            <w:gridSpan w:val="1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Legal Proceedings</w:t>
              </w:r>
            </w:hyperlink>
          </w:p>
        </w:tc>
        <w:tc>
          <w:tcPr>
            <w:tcW w:w="3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rFonts w:ascii="Arial" w:cs="Arial" w:eastAsia="Arial" w:hAnsi="Arial"/>
                <w:sz w:val="18"/>
                <w:szCs w:val="18"/>
                <w:color w:val="auto"/>
              </w:rPr>
            </w:pPr>
            <w:hyperlink w:anchor="page31">
              <w:r>
                <w:rPr>
                  <w:rFonts w:ascii="Arial" w:cs="Arial" w:eastAsia="Arial" w:hAnsi="Arial"/>
                  <w:sz w:val="18"/>
                  <w:szCs w:val="18"/>
                  <w:color w:val="auto"/>
                </w:rPr>
                <w:t>Item 1A.</w:t>
              </w:r>
            </w:hyperlink>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31">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18"/>
                <w:szCs w:val="18"/>
                <w:color w:val="auto"/>
              </w:rPr>
            </w:pPr>
          </w:p>
        </w:tc>
        <w:tc>
          <w:tcPr>
            <w:tcW w:w="8280" w:type="dxa"/>
            <w:vAlign w:val="bottom"/>
            <w:gridSpan w:val="14"/>
          </w:tcPr>
          <w:p>
            <w:pPr>
              <w:spacing w:after="0"/>
              <w:rPr>
                <w:sz w:val="18"/>
                <w:szCs w:val="18"/>
                <w:color w:val="auto"/>
              </w:rPr>
            </w:pPr>
          </w:p>
        </w:tc>
        <w:tc>
          <w:tcPr>
            <w:tcW w:w="3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rFonts w:ascii="Arial" w:cs="Arial" w:eastAsia="Arial" w:hAnsi="Arial"/>
                <w:sz w:val="18"/>
                <w:szCs w:val="18"/>
                <w:color w:val="auto"/>
              </w:rPr>
            </w:pPr>
            <w:hyperlink w:anchor="page80">
              <w:r>
                <w:rPr>
                  <w:rFonts w:ascii="Arial" w:cs="Arial" w:eastAsia="Arial" w:hAnsi="Arial"/>
                  <w:sz w:val="18"/>
                  <w:szCs w:val="18"/>
                  <w:color w:val="auto"/>
                </w:rPr>
                <w:t>Item 2.</w:t>
              </w:r>
            </w:hyperlink>
          </w:p>
        </w:tc>
        <w:tc>
          <w:tcPr>
            <w:tcW w:w="9600" w:type="dxa"/>
            <w:vAlign w:val="bottom"/>
            <w:gridSpan w:val="19"/>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Unregistered Sales of Equity Securities and Use of Proceeds</w:t>
              </w:r>
            </w:hyperlink>
          </w:p>
        </w:tc>
        <w:tc>
          <w:tcPr>
            <w:tcW w:w="36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80</w:t>
              </w:r>
            </w:hyperlink>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rFonts w:ascii="Arial" w:cs="Arial" w:eastAsia="Arial" w:hAnsi="Arial"/>
                <w:sz w:val="18"/>
                <w:szCs w:val="18"/>
                <w:color w:val="auto"/>
              </w:rPr>
            </w:pPr>
            <w:hyperlink w:anchor="page81">
              <w:r>
                <w:rPr>
                  <w:rFonts w:ascii="Arial" w:cs="Arial" w:eastAsia="Arial" w:hAnsi="Arial"/>
                  <w:sz w:val="18"/>
                  <w:szCs w:val="18"/>
                  <w:color w:val="auto"/>
                </w:rPr>
                <w:t>Item 3.</w:t>
              </w:r>
            </w:hyperlink>
          </w:p>
        </w:tc>
        <w:tc>
          <w:tcPr>
            <w:tcW w:w="234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0"/>
              </w:rPr>
            </w:pPr>
            <w:hyperlink w:anchor="page81">
              <w:r>
                <w:rPr>
                  <w:rFonts w:ascii="Arial" w:cs="Arial" w:eastAsia="Arial" w:hAnsi="Arial"/>
                  <w:sz w:val="18"/>
                  <w:szCs w:val="18"/>
                  <w:color w:val="0000FF"/>
                  <w:w w:val="90"/>
                </w:rPr>
                <w:t>Defaults Upon Senior Securities</w:t>
              </w:r>
            </w:hyperlink>
          </w:p>
        </w:tc>
        <w:tc>
          <w:tcPr>
            <w:tcW w:w="2000" w:type="dxa"/>
            <w:vAlign w:val="bottom"/>
            <w:tcBorders>
              <w:top w:val="single" w:sz="8" w:color="0000FF"/>
            </w:tcBorders>
            <w:gridSpan w:val="3"/>
          </w:tcPr>
          <w:p>
            <w:pPr>
              <w:spacing w:after="0"/>
              <w:rPr>
                <w:sz w:val="18"/>
                <w:szCs w:val="18"/>
                <w:color w:val="auto"/>
              </w:rPr>
            </w:pPr>
          </w:p>
        </w:tc>
        <w:tc>
          <w:tcPr>
            <w:tcW w:w="5260" w:type="dxa"/>
            <w:vAlign w:val="bottom"/>
            <w:gridSpan w:val="7"/>
          </w:tcPr>
          <w:p>
            <w:pPr>
              <w:spacing w:after="0"/>
              <w:rPr>
                <w:sz w:val="18"/>
                <w:szCs w:val="18"/>
                <w:color w:val="auto"/>
              </w:rPr>
            </w:pPr>
          </w:p>
        </w:tc>
        <w:tc>
          <w:tcPr>
            <w:tcW w:w="36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81</w:t>
              </w:r>
            </w:hyperlink>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rFonts w:ascii="Arial" w:cs="Arial" w:eastAsia="Arial" w:hAnsi="Arial"/>
                <w:sz w:val="18"/>
                <w:szCs w:val="18"/>
                <w:color w:val="auto"/>
              </w:rPr>
            </w:pPr>
            <w:hyperlink w:anchor="page81">
              <w:r>
                <w:rPr>
                  <w:rFonts w:ascii="Arial" w:cs="Arial" w:eastAsia="Arial" w:hAnsi="Arial"/>
                  <w:sz w:val="18"/>
                  <w:szCs w:val="18"/>
                  <w:color w:val="auto"/>
                </w:rPr>
                <w:t>Item 4.</w:t>
              </w:r>
            </w:hyperlink>
          </w:p>
        </w:tc>
        <w:tc>
          <w:tcPr>
            <w:tcW w:w="9600" w:type="dxa"/>
            <w:vAlign w:val="bottom"/>
            <w:gridSpan w:val="19"/>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Mine Safety Disclosures</w:t>
              </w:r>
            </w:hyperlink>
          </w:p>
        </w:tc>
        <w:tc>
          <w:tcPr>
            <w:tcW w:w="36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81</w:t>
              </w:r>
            </w:hyperlink>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rFonts w:ascii="Arial" w:cs="Arial" w:eastAsia="Arial" w:hAnsi="Arial"/>
                <w:sz w:val="18"/>
                <w:szCs w:val="18"/>
                <w:color w:val="auto"/>
              </w:rPr>
            </w:pPr>
            <w:hyperlink w:anchor="page81">
              <w:r>
                <w:rPr>
                  <w:rFonts w:ascii="Arial" w:cs="Arial" w:eastAsia="Arial" w:hAnsi="Arial"/>
                  <w:sz w:val="18"/>
                  <w:szCs w:val="18"/>
                  <w:color w:val="auto"/>
                </w:rPr>
                <w:t>Item 5.</w:t>
              </w:r>
            </w:hyperlink>
          </w:p>
        </w:tc>
        <w:tc>
          <w:tcPr>
            <w:tcW w:w="1760" w:type="dxa"/>
            <w:vAlign w:val="bottom"/>
            <w:tcBorders>
              <w:top w:val="single" w:sz="8" w:color="0000FF"/>
            </w:tcBorders>
            <w:gridSpan w:val="6"/>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Other Information</w:t>
              </w:r>
            </w:hyperlink>
          </w:p>
        </w:tc>
        <w:tc>
          <w:tcPr>
            <w:tcW w:w="7840" w:type="dxa"/>
            <w:vAlign w:val="bottom"/>
            <w:gridSpan w:val="13"/>
          </w:tcPr>
          <w:p>
            <w:pPr>
              <w:spacing w:after="0"/>
              <w:rPr>
                <w:sz w:val="18"/>
                <w:szCs w:val="18"/>
                <w:color w:val="auto"/>
              </w:rPr>
            </w:pPr>
          </w:p>
        </w:tc>
        <w:tc>
          <w:tcPr>
            <w:tcW w:w="36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81</w:t>
              </w:r>
            </w:hyperlink>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rFonts w:ascii="Arial" w:cs="Arial" w:eastAsia="Arial" w:hAnsi="Arial"/>
                <w:sz w:val="18"/>
                <w:szCs w:val="18"/>
                <w:color w:val="auto"/>
              </w:rPr>
            </w:pPr>
            <w:hyperlink w:anchor="page81">
              <w:r>
                <w:rPr>
                  <w:rFonts w:ascii="Arial" w:cs="Arial" w:eastAsia="Arial" w:hAnsi="Arial"/>
                  <w:sz w:val="18"/>
                  <w:szCs w:val="18"/>
                  <w:color w:val="auto"/>
                </w:rPr>
                <w:t>Item 6.</w:t>
              </w:r>
            </w:hyperlink>
          </w:p>
        </w:tc>
        <w:tc>
          <w:tcPr>
            <w:tcW w:w="1300" w:type="dxa"/>
            <w:vAlign w:val="bottom"/>
            <w:tcBorders>
              <w:top w:val="single" w:sz="8" w:color="0000FF"/>
            </w:tcBorders>
            <w:gridSpan w:val="4"/>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Exhibits</w:t>
              </w:r>
            </w:hyperlink>
          </w:p>
        </w:tc>
        <w:tc>
          <w:tcPr>
            <w:tcW w:w="8300" w:type="dxa"/>
            <w:vAlign w:val="bottom"/>
            <w:gridSpan w:val="15"/>
          </w:tcPr>
          <w:p>
            <w:pPr>
              <w:spacing w:after="0"/>
              <w:rPr>
                <w:sz w:val="18"/>
                <w:szCs w:val="18"/>
                <w:color w:val="auto"/>
              </w:rPr>
            </w:pPr>
          </w:p>
        </w:tc>
        <w:tc>
          <w:tcPr>
            <w:tcW w:w="36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82</w:t>
              </w:r>
            </w:hyperlink>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83</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891"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7" w:lineRule="exact"/>
        <w:rPr>
          <w:sz w:val="20"/>
          <w:szCs w:val="20"/>
          <w:color w:val="auto"/>
        </w:rPr>
      </w:pPr>
    </w:p>
    <w:p>
      <w:pPr>
        <w:ind w:right="60" w:firstLine="1134"/>
        <w:spacing w:after="0" w:line="268" w:lineRule="auto"/>
        <w:rPr>
          <w:sz w:val="20"/>
          <w:szCs w:val="20"/>
          <w:color w:val="auto"/>
        </w:rPr>
      </w:pPr>
      <w:r>
        <w:rPr>
          <w:rFonts w:ascii="Arial" w:cs="Arial" w:eastAsia="Arial" w:hAnsi="Arial"/>
          <w:sz w:val="17"/>
          <w:szCs w:val="17"/>
          <w:color w:val="auto"/>
        </w:rPr>
        <w:t>This Quarterly Report on Form 10-Q, or this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Any statements contained herein that are not statements of historical facts may be deemed to be forward-looking statements. Forward-looking statements in this Report include, but are not limited to, statements about:</w:t>
      </w:r>
    </w:p>
    <w:p>
      <w:pPr>
        <w:spacing w:after="0" w:line="75" w:lineRule="exact"/>
        <w:rPr>
          <w:sz w:val="20"/>
          <w:szCs w:val="20"/>
          <w:color w:val="auto"/>
        </w:rPr>
      </w:pPr>
    </w:p>
    <w:p>
      <w:pPr>
        <w:ind w:left="1380" w:hanging="23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2280" w:right="80" w:hanging="1138"/>
        <w:spacing w:after="0" w:line="277" w:lineRule="auto"/>
        <w:tabs>
          <w:tab w:leader="none" w:pos="138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 of our lead product candidate, PLN-74809, as well as PLN-1474 and our other product candidates;</w:t>
      </w:r>
    </w:p>
    <w:p>
      <w:pPr>
        <w:spacing w:after="0" w:line="62"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the impact of the COVID-19 pandemic on our business and operations, and our ability to manage such impacts;</w:t>
      </w:r>
    </w:p>
    <w:p>
      <w:pPr>
        <w:spacing w:after="0" w:line="140" w:lineRule="exact"/>
        <w:rPr>
          <w:rFonts w:ascii="Arial" w:cs="Arial" w:eastAsia="Arial" w:hAnsi="Arial"/>
          <w:sz w:val="16"/>
          <w:szCs w:val="16"/>
          <w:color w:val="auto"/>
        </w:rPr>
      </w:pPr>
    </w:p>
    <w:p>
      <w:pPr>
        <w:ind w:left="2280" w:hanging="1138"/>
        <w:spacing w:after="0" w:line="277" w:lineRule="auto"/>
        <w:tabs>
          <w:tab w:leader="none" w:pos="13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our current or future collaborators plans to initiate, recruit and enroll patients in, and conduct our clinical trials at the pace that we project;</w:t>
      </w:r>
    </w:p>
    <w:p>
      <w:pPr>
        <w:spacing w:after="0" w:line="62"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to obtain and maintain regulatory approvals of our product candidates;</w:t>
      </w:r>
    </w:p>
    <w:p>
      <w:pPr>
        <w:spacing w:after="0" w:line="117" w:lineRule="exact"/>
        <w:rPr>
          <w:rFonts w:ascii="Arial" w:cs="Arial" w:eastAsia="Arial" w:hAnsi="Arial"/>
          <w:sz w:val="18"/>
          <w:szCs w:val="18"/>
          <w:color w:val="auto"/>
        </w:rPr>
      </w:pPr>
    </w:p>
    <w:p>
      <w:pPr>
        <w:ind w:left="2280" w:right="340" w:hanging="1138"/>
        <w:spacing w:after="0" w:line="277" w:lineRule="auto"/>
        <w:tabs>
          <w:tab w:leader="none" w:pos="13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to obtain funding for our operations, including funding necessary to complete further development and, upon successful development, if approved, commercialize any of our product candidates;</w:t>
      </w:r>
    </w:p>
    <w:p>
      <w:pPr>
        <w:spacing w:after="0" w:line="62"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 of orphan drug designations for PLN-74809;</w:t>
      </w:r>
    </w:p>
    <w:p>
      <w:pPr>
        <w:spacing w:after="0" w:line="117"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with companies currently marketing or engaged in the development of treatments for fibrosis;</w:t>
      </w:r>
    </w:p>
    <w:p>
      <w:pPr>
        <w:spacing w:after="0" w:line="117" w:lineRule="exact"/>
        <w:rPr>
          <w:rFonts w:ascii="Arial" w:cs="Arial" w:eastAsia="Arial" w:hAnsi="Arial"/>
          <w:sz w:val="18"/>
          <w:szCs w:val="18"/>
          <w:color w:val="auto"/>
        </w:rPr>
      </w:pPr>
    </w:p>
    <w:p>
      <w:pPr>
        <w:ind w:left="2280" w:right="140" w:hanging="1138"/>
        <w:spacing w:after="0" w:line="277" w:lineRule="auto"/>
        <w:tabs>
          <w:tab w:leader="none" w:pos="13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regarding obtaining and maintaining intellectual property protection for our product candidates and the duration of such protection;</w:t>
      </w:r>
    </w:p>
    <w:p>
      <w:pPr>
        <w:spacing w:after="0" w:line="62"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regarding the manufacture of our product candidates for clinical trials and for commercial use, if approved;</w:t>
      </w:r>
    </w:p>
    <w:p>
      <w:pPr>
        <w:spacing w:after="0" w:line="128" w:lineRule="exact"/>
        <w:rPr>
          <w:rFonts w:ascii="Arial" w:cs="Arial" w:eastAsia="Arial" w:hAnsi="Arial"/>
          <w:sz w:val="17"/>
          <w:szCs w:val="17"/>
          <w:color w:val="auto"/>
        </w:rPr>
      </w:pPr>
    </w:p>
    <w:p>
      <w:pPr>
        <w:ind w:left="2280" w:right="400" w:hanging="1138"/>
        <w:spacing w:after="0" w:line="277" w:lineRule="auto"/>
        <w:tabs>
          <w:tab w:leader="none" w:pos="13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current and future collaborators for developing, obtaining regulatory approval for and commercializing product candidates in the collaboration;</w:t>
      </w:r>
    </w:p>
    <w:p>
      <w:pPr>
        <w:spacing w:after="0" w:line="62" w:lineRule="exact"/>
        <w:rPr>
          <w:rFonts w:ascii="Arial" w:cs="Arial" w:eastAsia="Arial" w:hAnsi="Arial"/>
          <w:sz w:val="18"/>
          <w:szCs w:val="18"/>
          <w:color w:val="auto"/>
        </w:rPr>
      </w:pPr>
    </w:p>
    <w:p>
      <w:pPr>
        <w:ind w:left="2280" w:right="160" w:hanging="1138"/>
        <w:spacing w:after="0" w:line="277" w:lineRule="auto"/>
        <w:tabs>
          <w:tab w:leader="none" w:pos="13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receipt and timing of any milestone payments or royalties under any current of future research collaboration or license agreements or arrangements;</w:t>
      </w:r>
    </w:p>
    <w:p>
      <w:pPr>
        <w:spacing w:after="0" w:line="62" w:lineRule="exact"/>
        <w:rPr>
          <w:rFonts w:ascii="Arial" w:cs="Arial" w:eastAsia="Arial" w:hAnsi="Arial"/>
          <w:sz w:val="18"/>
          <w:szCs w:val="18"/>
          <w:color w:val="auto"/>
        </w:rPr>
      </w:pPr>
    </w:p>
    <w:p>
      <w:pPr>
        <w:ind w:left="2280" w:right="400" w:hanging="1138"/>
        <w:spacing w:after="0" w:line="277" w:lineRule="auto"/>
        <w:tabs>
          <w:tab w:leader="none" w:pos="13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regarding the commercialization of any products that are approved for marketing and our ability to establish adequate pricing in the U.S. and international markets;</w:t>
      </w:r>
    </w:p>
    <w:p>
      <w:pPr>
        <w:spacing w:after="0" w:line="62" w:lineRule="exact"/>
        <w:rPr>
          <w:rFonts w:ascii="Arial" w:cs="Arial" w:eastAsia="Arial" w:hAnsi="Arial"/>
          <w:sz w:val="18"/>
          <w:szCs w:val="18"/>
          <w:color w:val="auto"/>
        </w:rPr>
      </w:pPr>
    </w:p>
    <w:p>
      <w:pPr>
        <w:ind w:left="2280" w:right="600" w:hanging="1138"/>
        <w:spacing w:after="0" w:line="277" w:lineRule="auto"/>
        <w:tabs>
          <w:tab w:leader="none" w:pos="138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 either alone or in combination with others;</w:t>
      </w:r>
    </w:p>
    <w:p>
      <w:pPr>
        <w:spacing w:after="0" w:line="62"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w:t>
      </w:r>
    </w:p>
    <w:p>
      <w:pPr>
        <w:spacing w:after="0" w:line="117"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government and third-party payor coverage and reimbursement.</w:t>
      </w:r>
    </w:p>
    <w:p>
      <w:pPr>
        <w:spacing w:after="0" w:line="117" w:lineRule="exact"/>
        <w:rPr>
          <w:sz w:val="20"/>
          <w:szCs w:val="20"/>
          <w:color w:val="auto"/>
        </w:rPr>
      </w:pPr>
    </w:p>
    <w:p>
      <w:pPr>
        <w:ind w:right="80" w:firstLine="1134"/>
        <w:spacing w:after="0" w:line="293" w:lineRule="auto"/>
        <w:rPr>
          <w:sz w:val="20"/>
          <w:szCs w:val="20"/>
          <w:color w:val="auto"/>
        </w:rPr>
      </w:pPr>
      <w:r>
        <w:rPr>
          <w:rFonts w:ascii="Arial" w:cs="Arial" w:eastAsia="Arial" w:hAnsi="Arial"/>
          <w:sz w:val="16"/>
          <w:szCs w:val="16"/>
          <w:color w:val="auto"/>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and timing expressed or implied by such forward-looking statements. Factors that could cause or contribute to such differences include, but are not limited to, those discussed in the section entitled “Risk Factors” included under Part II, Item 1A in this Report.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SUMMARY OF RISKS ASSOCIATED WITH OUR BUSINESS</w:t>
      </w:r>
    </w:p>
    <w:p>
      <w:pPr>
        <w:spacing w:after="0" w:line="27" w:lineRule="exact"/>
        <w:rPr>
          <w:sz w:val="20"/>
          <w:szCs w:val="20"/>
          <w:color w:val="auto"/>
        </w:rPr>
      </w:pPr>
    </w:p>
    <w:p>
      <w:pPr>
        <w:ind w:right="40" w:firstLine="1134"/>
        <w:spacing w:after="0" w:line="268" w:lineRule="auto"/>
        <w:rPr>
          <w:sz w:val="20"/>
          <w:szCs w:val="20"/>
          <w:color w:val="auto"/>
        </w:rPr>
      </w:pPr>
      <w:r>
        <w:rPr>
          <w:rFonts w:ascii="Arial" w:cs="Arial" w:eastAsia="Arial" w:hAnsi="Arial"/>
          <w:sz w:val="17"/>
          <w:szCs w:val="17"/>
          <w:color w:val="auto"/>
        </w:rPr>
        <w:t>Our business involves significant risks, some of which are summarized below. The summary risk factors listed below should be read together with the text of the full risk factors discussed in "Part II, Item 1A. Risk Factors" in this Report. You should carefully consider the risks described below, as well as the other information in this Report, including our financial statements and the related notes and “Management’s Discussion and Analysis of Financial Condition and Results of Operations” as well as in other documents that we file with the Securities and Exchange Commission, or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Financial Position and Need for Additional Capital</w:t>
      </w:r>
    </w:p>
    <w:p>
      <w:pPr>
        <w:spacing w:after="0" w:line="117" w:lineRule="exact"/>
        <w:rPr>
          <w:sz w:val="20"/>
          <w:szCs w:val="20"/>
          <w:color w:val="auto"/>
        </w:rPr>
      </w:pPr>
    </w:p>
    <w:p>
      <w:pPr>
        <w:ind w:left="2280" w:right="400" w:hanging="1138"/>
        <w:spacing w:after="0" w:line="277" w:lineRule="auto"/>
        <w:tabs>
          <w:tab w:leader="none" w:pos="138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net losses since inception, and we expect to continue to incur significant net losses for the foreseeable future.</w:t>
      </w:r>
    </w:p>
    <w:p>
      <w:pPr>
        <w:spacing w:after="0" w:line="62" w:lineRule="exact"/>
        <w:rPr>
          <w:rFonts w:ascii="Arial" w:cs="Arial" w:eastAsia="Arial" w:hAnsi="Arial"/>
          <w:sz w:val="18"/>
          <w:szCs w:val="18"/>
          <w:color w:val="auto"/>
        </w:rPr>
      </w:pPr>
    </w:p>
    <w:p>
      <w:pPr>
        <w:ind w:left="2280" w:right="280" w:hanging="1138"/>
        <w:spacing w:after="0" w:line="263" w:lineRule="auto"/>
        <w:tabs>
          <w:tab w:leader="none" w:pos="138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Research and Development and the Biopharmaceutical Industry</w:t>
      </w:r>
    </w:p>
    <w:p>
      <w:pPr>
        <w:spacing w:after="0" w:line="117" w:lineRule="exact"/>
        <w:rPr>
          <w:sz w:val="20"/>
          <w:szCs w:val="20"/>
          <w:color w:val="auto"/>
        </w:rPr>
      </w:pPr>
    </w:p>
    <w:p>
      <w:pPr>
        <w:ind w:left="1380" w:hanging="238"/>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our prospects and likelihood of success.</w:t>
      </w:r>
    </w:p>
    <w:p>
      <w:pPr>
        <w:spacing w:after="0" w:line="117" w:lineRule="exact"/>
        <w:rPr>
          <w:rFonts w:ascii="Arial" w:cs="Arial" w:eastAsia="Arial" w:hAnsi="Arial"/>
          <w:sz w:val="18"/>
          <w:szCs w:val="18"/>
          <w:color w:val="auto"/>
        </w:rPr>
      </w:pPr>
    </w:p>
    <w:p>
      <w:pPr>
        <w:ind w:left="2280" w:right="60" w:hanging="1138"/>
        <w:spacing w:after="0" w:line="311" w:lineRule="auto"/>
        <w:tabs>
          <w:tab w:leader="none" w:pos="138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business is highly dependent on the success of our lead product candidate, PLN-74809,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40" w:lineRule="exact"/>
        <w:rPr>
          <w:rFonts w:ascii="Arial" w:cs="Arial" w:eastAsia="Arial" w:hAnsi="Arial"/>
          <w:sz w:val="16"/>
          <w:szCs w:val="16"/>
          <w:color w:val="auto"/>
        </w:rPr>
      </w:pPr>
    </w:p>
    <w:p>
      <w:pPr>
        <w:ind w:left="2280" w:right="720" w:hanging="1138"/>
        <w:spacing w:after="0" w:line="277" w:lineRule="auto"/>
        <w:tabs>
          <w:tab w:leader="none" w:pos="22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approach to drug discovery and development in the area of fibrotic diseases is unproven and may not result in marketable products.</w:t>
      </w:r>
    </w:p>
    <w:p>
      <w:pPr>
        <w:spacing w:after="0" w:line="62" w:lineRule="exact"/>
        <w:rPr>
          <w:rFonts w:ascii="Arial" w:cs="Arial" w:eastAsia="Arial" w:hAnsi="Arial"/>
          <w:sz w:val="18"/>
          <w:szCs w:val="18"/>
          <w:color w:val="auto"/>
        </w:rPr>
      </w:pPr>
    </w:p>
    <w:p>
      <w:pPr>
        <w:ind w:left="1380" w:hanging="238"/>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development involves a lengthy, complex, and expensive process, with an uncertain outcome.</w:t>
      </w:r>
    </w:p>
    <w:p>
      <w:pPr>
        <w:spacing w:after="0" w:line="117" w:lineRule="exact"/>
        <w:rPr>
          <w:rFonts w:ascii="Arial" w:cs="Arial" w:eastAsia="Arial" w:hAnsi="Arial"/>
          <w:sz w:val="18"/>
          <w:szCs w:val="18"/>
          <w:color w:val="auto"/>
        </w:rPr>
      </w:pPr>
    </w:p>
    <w:p>
      <w:pPr>
        <w:ind w:left="2280" w:right="860" w:hanging="1138"/>
        <w:spacing w:after="0" w:line="277" w:lineRule="auto"/>
        <w:tabs>
          <w:tab w:leader="none" w:pos="1386"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incur additional costs or experience delays in completing, or ultimately be unable to complete, the development and commercialization of PLN-74809 or any other product candidates.</w:t>
      </w:r>
    </w:p>
    <w:p>
      <w:pPr>
        <w:spacing w:after="0" w:line="62" w:lineRule="exact"/>
        <w:rPr>
          <w:rFonts w:ascii="Arial" w:cs="Arial" w:eastAsia="Arial" w:hAnsi="Arial"/>
          <w:sz w:val="18"/>
          <w:szCs w:val="18"/>
          <w:color w:val="auto"/>
        </w:rPr>
      </w:pPr>
    </w:p>
    <w:p>
      <w:pPr>
        <w:ind w:left="2280" w:hanging="1138"/>
        <w:spacing w:after="0" w:line="263" w:lineRule="auto"/>
        <w:tabs>
          <w:tab w:leader="none" w:pos="22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75" w:lineRule="exact"/>
        <w:rPr>
          <w:rFonts w:ascii="Arial" w:cs="Arial" w:eastAsia="Arial" w:hAnsi="Arial"/>
          <w:sz w:val="18"/>
          <w:szCs w:val="18"/>
          <w:color w:val="auto"/>
        </w:rPr>
      </w:pPr>
    </w:p>
    <w:p>
      <w:pPr>
        <w:ind w:left="2280" w:right="360" w:hanging="1138"/>
        <w:spacing w:after="0" w:line="277" w:lineRule="auto"/>
        <w:tabs>
          <w:tab w:leader="none" w:pos="1389"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encounter difficulties enrolling patients in our clinical trials, our clinical development activities could be delayed or otherwise adversely affected.</w:t>
      </w:r>
    </w:p>
    <w:p>
      <w:pPr>
        <w:spacing w:after="0" w:line="62" w:lineRule="exact"/>
        <w:rPr>
          <w:rFonts w:ascii="Arial" w:cs="Arial" w:eastAsia="Arial" w:hAnsi="Arial"/>
          <w:sz w:val="18"/>
          <w:szCs w:val="18"/>
          <w:color w:val="auto"/>
        </w:rPr>
      </w:pPr>
    </w:p>
    <w:p>
      <w:pPr>
        <w:ind w:left="2280" w:right="500" w:hanging="1138"/>
        <w:spacing w:after="0" w:line="277" w:lineRule="auto"/>
        <w:tabs>
          <w:tab w:leader="none" w:pos="1386"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Intellectual Property</w:t>
      </w:r>
    </w:p>
    <w:p>
      <w:pPr>
        <w:spacing w:after="0" w:line="117" w:lineRule="exact"/>
        <w:rPr>
          <w:sz w:val="20"/>
          <w:szCs w:val="20"/>
          <w:color w:val="auto"/>
        </w:rPr>
      </w:pPr>
    </w:p>
    <w:p>
      <w:pPr>
        <w:ind w:left="2280" w:right="240" w:hanging="1138"/>
        <w:spacing w:after="0" w:line="277" w:lineRule="auto"/>
        <w:tabs>
          <w:tab w:leader="none" w:pos="138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62" w:lineRule="exact"/>
        <w:rPr>
          <w:rFonts w:ascii="Arial" w:cs="Arial" w:eastAsia="Arial" w:hAnsi="Arial"/>
          <w:sz w:val="18"/>
          <w:szCs w:val="18"/>
          <w:color w:val="auto"/>
        </w:rPr>
      </w:pPr>
    </w:p>
    <w:p>
      <w:pPr>
        <w:ind w:left="2280" w:right="220" w:hanging="1138"/>
        <w:spacing w:after="0" w:line="263" w:lineRule="auto"/>
        <w:tabs>
          <w:tab w:leader="none" w:pos="138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Reliance on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 w:name="page6"/>
    <w:bookmarkEnd w:id="5"/>
    <w:p>
      <w:pPr>
        <w:ind w:left="2280" w:hanging="1138"/>
        <w:spacing w:after="0" w:line="296" w:lineRule="auto"/>
        <w:tabs>
          <w:tab w:leader="none" w:pos="1386"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entered into a collaboration agreement with Novartis Institutes for Biomedical Research, Inc., or Novartis, for the development of PLN-1474 and may in the future seek to enter into collaborations with third parties for the development and commercialization of other product candidates. If we fail to enter into such collaborations, or if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53" w:lineRule="exact"/>
        <w:rPr>
          <w:rFonts w:ascii="Arial" w:cs="Arial" w:eastAsia="Arial" w:hAnsi="Arial"/>
          <w:sz w:val="16"/>
          <w:szCs w:val="16"/>
          <w:color w:val="auto"/>
        </w:rPr>
      </w:pPr>
    </w:p>
    <w:p>
      <w:pPr>
        <w:ind w:left="2280" w:right="40" w:hanging="1138"/>
        <w:spacing w:after="0" w:line="277" w:lineRule="auto"/>
        <w:tabs>
          <w:tab w:leader="none" w:pos="138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third parties to conduct certain aspects of our preclinical studies and clinical trials and for tissue samples and other materials required for our research and development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Managing Our Business and Operations</w:t>
      </w:r>
    </w:p>
    <w:p>
      <w:pPr>
        <w:spacing w:after="0" w:line="117" w:lineRule="exact"/>
        <w:rPr>
          <w:sz w:val="20"/>
          <w:szCs w:val="20"/>
          <w:color w:val="auto"/>
        </w:rPr>
      </w:pPr>
    </w:p>
    <w:p>
      <w:pPr>
        <w:ind w:left="2280" w:right="200" w:hanging="1138"/>
        <w:spacing w:after="0" w:line="277" w:lineRule="auto"/>
        <w:tabs>
          <w:tab w:leader="none" w:pos="138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outbreak of the novel coronavirus disease, COVID-19, could adversely impact our business, including our preclinical studies and clinical trials.</w:t>
      </w:r>
    </w:p>
    <w:p>
      <w:pPr>
        <w:spacing w:after="0" w:line="62" w:lineRule="exact"/>
        <w:rPr>
          <w:rFonts w:ascii="Arial" w:cs="Arial" w:eastAsia="Arial" w:hAnsi="Arial"/>
          <w:sz w:val="18"/>
          <w:szCs w:val="18"/>
          <w:color w:val="auto"/>
        </w:rPr>
      </w:pPr>
    </w:p>
    <w:p>
      <w:pPr>
        <w:ind w:left="2280" w:right="140" w:hanging="1138"/>
        <w:spacing w:after="0" w:line="263" w:lineRule="auto"/>
        <w:tabs>
          <w:tab w:leader="none" w:pos="1389"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loss of key management personnel, or our failure to recruit additional highly skilled personnel, will impair our ability to develop current product candidates or identify and develop new product candidates, could result in loss of markets or market share and could make us less competitive.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14"/>
          <w:szCs w:val="14"/>
          <w:b w:val="1"/>
          <w:bCs w:val="1"/>
          <w:color w:val="auto"/>
        </w:rPr>
        <w:t>PART I—FINANCIAL INFORMATION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Condensed Financial Statements.</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Pliant Therapeutics, Inc.</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Condensed Balance Sheets</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4"/>
          <w:szCs w:val="14"/>
          <w:i w:val="1"/>
          <w:iCs w:val="1"/>
          <w:color w:val="auto"/>
        </w:rPr>
        <w:t>(In thousands, except number of shares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00" w:type="dxa"/>
            <w:vAlign w:val="bottom"/>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50,882</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208,788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226,012</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9,279</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Tax credit receivable</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4,498</w:t>
            </w:r>
          </w:p>
        </w:tc>
        <w:tc>
          <w:tcPr>
            <w:tcW w:w="0" w:type="dxa"/>
            <w:vAlign w:val="bottom"/>
          </w:tcPr>
          <w:p>
            <w:pPr>
              <w:spacing w:after="0"/>
              <w:rPr>
                <w:sz w:val="1"/>
                <w:szCs w:val="1"/>
                <w:color w:val="auto"/>
              </w:rPr>
            </w:pPr>
          </w:p>
        </w:tc>
      </w:tr>
      <w:tr>
        <w:trPr>
          <w:trHeight w:val="207"/>
        </w:trPr>
        <w:tc>
          <w:tcPr>
            <w:tcW w:w="7660" w:type="dxa"/>
            <w:vAlign w:val="bottom"/>
          </w:tcPr>
          <w:p>
            <w:pPr>
              <w:ind w:left="560"/>
              <w:spacing w:after="0"/>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250,719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290,754</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3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255,716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295,526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2,764</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 (Note 5)</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9,576</w:t>
            </w:r>
          </w:p>
        </w:tc>
        <w:tc>
          <w:tcPr>
            <w:tcW w:w="0" w:type="dxa"/>
            <w:vAlign w:val="bottom"/>
          </w:tcPr>
          <w:p>
            <w:pPr>
              <w:spacing w:after="0"/>
              <w:rPr>
                <w:sz w:val="1"/>
                <w:szCs w:val="1"/>
                <w:color w:val="auto"/>
              </w:rPr>
            </w:pPr>
          </w:p>
        </w:tc>
      </w:tr>
      <w:tr>
        <w:trPr>
          <w:trHeight w:val="207"/>
        </w:trPr>
        <w:tc>
          <w:tcPr>
            <w:tcW w:w="766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10,932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11,599</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long-term liabilities (Note 5)</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07"/>
        </w:trPr>
        <w:tc>
          <w:tcPr>
            <w:tcW w:w="7660" w:type="dxa"/>
            <w:vAlign w:val="bottom"/>
          </w:tcPr>
          <w:p>
            <w:pPr>
              <w:ind w:left="560"/>
              <w:spacing w:after="0"/>
              <w:rPr>
                <w:sz w:val="20"/>
                <w:szCs w:val="20"/>
                <w:color w:val="auto"/>
              </w:rPr>
            </w:pPr>
            <w:r>
              <w:rPr>
                <w:rFonts w:ascii="Arial" w:cs="Arial" w:eastAsia="Arial" w:hAnsi="Arial"/>
                <w:sz w:val="16"/>
                <w:szCs w:val="16"/>
                <w:color w:val="auto"/>
              </w:rPr>
              <w:t>Total liabilities</w:t>
            </w: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11,736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12,465</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660" w:type="dxa"/>
            <w:vAlign w:val="bottom"/>
          </w:tcPr>
          <w:p>
            <w:pPr>
              <w:ind w:left="220"/>
              <w:spacing w:after="0" w:line="166" w:lineRule="exact"/>
              <w:rPr>
                <w:sz w:val="20"/>
                <w:szCs w:val="20"/>
                <w:color w:val="auto"/>
              </w:rPr>
            </w:pPr>
            <w:r>
              <w:rPr>
                <w:rFonts w:ascii="Arial" w:cs="Arial" w:eastAsia="Arial" w:hAnsi="Arial"/>
                <w:sz w:val="16"/>
                <w:szCs w:val="16"/>
                <w:color w:val="auto"/>
                <w:w w:val="91"/>
              </w:rPr>
              <w:t>Common stock, $0.0001 par value; 300,000,000 shares authorized at June 30, 2021 and December 31, 2020; and</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400"/>
              <w:spacing w:after="0" w:line="162" w:lineRule="exact"/>
              <w:rPr>
                <w:sz w:val="20"/>
                <w:szCs w:val="20"/>
                <w:color w:val="auto"/>
              </w:rPr>
            </w:pPr>
            <w:r>
              <w:rPr>
                <w:rFonts w:ascii="Arial" w:cs="Arial" w:eastAsia="Arial" w:hAnsi="Arial"/>
                <w:sz w:val="16"/>
                <w:szCs w:val="16"/>
                <w:color w:val="auto"/>
              </w:rPr>
              <w:t>35,853,916 and 35,552,795 shares issued and outstanding at June 30, 2021 and December 31, 2020,</w:t>
            </w:r>
          </w:p>
        </w:tc>
        <w:tc>
          <w:tcPr>
            <w:tcW w:w="3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7660" w:type="dxa"/>
            <w:vAlign w:val="bottom"/>
          </w:tcPr>
          <w:p>
            <w:pPr>
              <w:ind w:left="400"/>
              <w:spacing w:after="0"/>
              <w:rPr>
                <w:sz w:val="20"/>
                <w:szCs w:val="20"/>
                <w:color w:val="auto"/>
              </w:rPr>
            </w:pPr>
            <w:r>
              <w:rPr>
                <w:rFonts w:ascii="Arial" w:cs="Arial" w:eastAsia="Arial" w:hAnsi="Arial"/>
                <w:sz w:val="16"/>
                <w:szCs w:val="16"/>
                <w:color w:val="auto"/>
              </w:rPr>
              <w:t>respectively;</w:t>
            </w:r>
          </w:p>
        </w:tc>
        <w:tc>
          <w:tcPr>
            <w:tcW w:w="3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400,918</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(163,515)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(117,828)</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6"/>
        </w:trPr>
        <w:tc>
          <w:tcPr>
            <w:tcW w:w="76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243,980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283,061</w:t>
            </w:r>
          </w:p>
        </w:tc>
        <w:tc>
          <w:tcPr>
            <w:tcW w:w="0" w:type="dxa"/>
            <w:vAlign w:val="bottom"/>
          </w:tcPr>
          <w:p>
            <w:pPr>
              <w:spacing w:after="0"/>
              <w:rPr>
                <w:sz w:val="1"/>
                <w:szCs w:val="1"/>
                <w:color w:val="auto"/>
              </w:rPr>
            </w:pPr>
          </w:p>
        </w:tc>
      </w:tr>
      <w:tr>
        <w:trPr>
          <w:trHeight w:val="23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255,716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295,526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560" w:right="1420" w:hanging="2552"/>
        <w:spacing w:after="0" w:line="483"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condensed balance sheet as of December 31, 2020 has been derived from the audited financial statements as of that date</w:t>
      </w:r>
      <w:r>
        <w:rPr>
          <w:rFonts w:ascii="Arial" w:cs="Arial" w:eastAsia="Arial" w:hAnsi="Arial"/>
          <w:sz w:val="14"/>
          <w:szCs w:val="14"/>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The accompanying notes are an integral part of these condensed financial statements</w:t>
      </w:r>
    </w:p>
    <w:p>
      <w:pPr>
        <w:spacing w:after="0" w:line="3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86" w:right="519" w:bottom="1440" w:gutter="0" w:footer="0" w:header="0"/>
        </w:sectPr>
      </w:pPr>
    </w:p>
    <w:bookmarkStart w:id="7" w:name="page8"/>
    <w:bookmarkEnd w:id="7"/>
    <w:p>
      <w:pPr>
        <w:jc w:val="center"/>
        <w:ind w:right="-4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6"/>
          <w:szCs w:val="16"/>
          <w:i w:val="1"/>
          <w:iCs w:val="1"/>
          <w:color w:val="auto"/>
        </w:rPr>
        <w:t>(In thousands, except number of shares and per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 related party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32,538</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(31,455)</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(38,506)</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(5,968)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attributable to common stockholders: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shd w:val="clear" w:color="auto" w:fill="CCEEFF"/>
          </w:tcPr>
          <w:p>
            <w:pPr>
              <w:ind w:left="180"/>
              <w:spacing w:after="0" w:line="142" w:lineRule="exact"/>
              <w:rPr>
                <w:sz w:val="20"/>
                <w:szCs w:val="20"/>
                <w:color w:val="auto"/>
              </w:rPr>
            </w:pPr>
            <w:r>
              <w:rPr>
                <w:rFonts w:ascii="Arial" w:cs="Arial" w:eastAsia="Arial" w:hAnsi="Arial"/>
                <w:sz w:val="16"/>
                <w:szCs w:val="16"/>
                <w:color w:val="auto"/>
              </w:rPr>
              <w:t>Shares used in computing net loss per share attributable to common</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35,746,922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12,253,943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35,726,393</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7,062,780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35,746,922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12,253,943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35,726,393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7,062,780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unrealized gain (loss) on short-term investments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520"/>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891" w:right="77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Statements of Redeemable Convertible Preferred Stock and Stockholders’ Equity (Deficit)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number of shares and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gridSpan w:val="9"/>
          </w:tcPr>
          <w:p>
            <w:pPr>
              <w:ind w:left="260"/>
              <w:spacing w:after="0"/>
              <w:rPr>
                <w:sz w:val="20"/>
                <w:szCs w:val="20"/>
                <w:color w:val="auto"/>
              </w:rPr>
            </w:pPr>
            <w:r>
              <w:rPr>
                <w:rFonts w:ascii="Arial" w:cs="Arial" w:eastAsia="Arial" w:hAnsi="Arial"/>
                <w:sz w:val="11"/>
                <w:szCs w:val="11"/>
                <w:b w:val="1"/>
                <w:bCs w:val="1"/>
                <w:color w:val="auto"/>
              </w:rPr>
              <w:t>Redeemable Convertible Preferred Stock</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7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320" w:type="dxa"/>
            <w:vAlign w:val="bottom"/>
            <w:gridSpan w:val="5"/>
          </w:tcPr>
          <w:p>
            <w:pPr>
              <w:ind w:left="420"/>
              <w:spacing w:after="0" w:line="122" w:lineRule="exact"/>
              <w:rPr>
                <w:sz w:val="20"/>
                <w:szCs w:val="20"/>
                <w:color w:val="auto"/>
              </w:rPr>
            </w:pPr>
            <w:r>
              <w:rPr>
                <w:rFonts w:ascii="Arial" w:cs="Arial" w:eastAsia="Arial" w:hAnsi="Arial"/>
                <w:sz w:val="11"/>
                <w:szCs w:val="11"/>
                <w:b w:val="1"/>
                <w:bCs w:val="1"/>
                <w:color w:val="auto"/>
              </w:rPr>
              <w:t>Series A</w:t>
            </w:r>
          </w:p>
        </w:tc>
        <w:tc>
          <w:tcPr>
            <w:tcW w:w="1320" w:type="dxa"/>
            <w:vAlign w:val="bottom"/>
            <w:gridSpan w:val="5"/>
          </w:tcPr>
          <w:p>
            <w:pPr>
              <w:ind w:left="440"/>
              <w:spacing w:after="0" w:line="122" w:lineRule="exact"/>
              <w:rPr>
                <w:sz w:val="20"/>
                <w:szCs w:val="20"/>
                <w:color w:val="auto"/>
              </w:rPr>
            </w:pPr>
            <w:r>
              <w:rPr>
                <w:rFonts w:ascii="Arial" w:cs="Arial" w:eastAsia="Arial" w:hAnsi="Arial"/>
                <w:sz w:val="11"/>
                <w:szCs w:val="11"/>
                <w:b w:val="1"/>
                <w:bCs w:val="1"/>
                <w:color w:val="auto"/>
              </w:rPr>
              <w:t>Series B</w:t>
            </w:r>
          </w:p>
        </w:tc>
        <w:tc>
          <w:tcPr>
            <w:tcW w:w="1340" w:type="dxa"/>
            <w:vAlign w:val="bottom"/>
            <w:tcBorders>
              <w:right w:val="single" w:sz="8" w:color="auto"/>
            </w:tcBorders>
            <w:gridSpan w:val="5"/>
          </w:tcPr>
          <w:p>
            <w:pPr>
              <w:ind w:left="440"/>
              <w:spacing w:after="0" w:line="122" w:lineRule="exact"/>
              <w:rPr>
                <w:sz w:val="20"/>
                <w:szCs w:val="20"/>
                <w:color w:val="auto"/>
              </w:rPr>
            </w:pPr>
            <w:r>
              <w:rPr>
                <w:rFonts w:ascii="Arial" w:cs="Arial" w:eastAsia="Arial" w:hAnsi="Arial"/>
                <w:sz w:val="11"/>
                <w:szCs w:val="11"/>
                <w:b w:val="1"/>
                <w:bCs w:val="1"/>
                <w:color w:val="auto"/>
              </w:rPr>
              <w:t>Series C</w:t>
            </w:r>
          </w:p>
        </w:tc>
        <w:tc>
          <w:tcPr>
            <w:tcW w:w="60" w:type="dxa"/>
            <w:vAlign w:val="bottom"/>
          </w:tcPr>
          <w:p>
            <w:pPr>
              <w:spacing w:after="0"/>
              <w:rPr>
                <w:sz w:val="10"/>
                <w:szCs w:val="10"/>
                <w:color w:val="auto"/>
              </w:rPr>
            </w:pPr>
          </w:p>
        </w:tc>
        <w:tc>
          <w:tcPr>
            <w:tcW w:w="1380" w:type="dxa"/>
            <w:vAlign w:val="bottom"/>
            <w:gridSpan w:val="5"/>
          </w:tcPr>
          <w:p>
            <w:pPr>
              <w:ind w:left="300"/>
              <w:spacing w:after="0" w:line="122" w:lineRule="exact"/>
              <w:rPr>
                <w:sz w:val="20"/>
                <w:szCs w:val="20"/>
                <w:color w:val="auto"/>
              </w:rPr>
            </w:pPr>
            <w:r>
              <w:rPr>
                <w:rFonts w:ascii="Arial" w:cs="Arial" w:eastAsia="Arial" w:hAnsi="Arial"/>
                <w:sz w:val="11"/>
                <w:szCs w:val="11"/>
                <w:b w:val="1"/>
                <w:bCs w:val="1"/>
                <w:color w:val="auto"/>
              </w:rPr>
              <w:t>Common Stock</w:t>
            </w:r>
          </w:p>
        </w:tc>
        <w:tc>
          <w:tcPr>
            <w:tcW w:w="68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Additional</w:t>
            </w:r>
          </w:p>
        </w:tc>
        <w:tc>
          <w:tcPr>
            <w:tcW w:w="60" w:type="dxa"/>
            <w:vAlign w:val="bottom"/>
          </w:tcPr>
          <w:p>
            <w:pPr>
              <w:spacing w:after="0"/>
              <w:rPr>
                <w:sz w:val="10"/>
                <w:szCs w:val="10"/>
                <w:color w:val="auto"/>
              </w:rPr>
            </w:pPr>
          </w:p>
        </w:tc>
        <w:tc>
          <w:tcPr>
            <w:tcW w:w="7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Paid-In</w:t>
            </w:r>
          </w:p>
        </w:tc>
        <w:tc>
          <w:tcPr>
            <w:tcW w:w="840" w:type="dxa"/>
            <w:vAlign w:val="bottom"/>
            <w:gridSpan w:val="3"/>
            <w:vMerge w:val="restart"/>
          </w:tcPr>
          <w:p>
            <w:pPr>
              <w:ind w:left="20"/>
              <w:spacing w:after="0" w:line="95" w:lineRule="exact"/>
              <w:rPr>
                <w:sz w:val="20"/>
                <w:szCs w:val="20"/>
                <w:color w:val="auto"/>
              </w:rPr>
            </w:pPr>
            <w:r>
              <w:rPr>
                <w:rFonts w:ascii="Arial" w:cs="Arial" w:eastAsia="Arial" w:hAnsi="Arial"/>
                <w:sz w:val="10"/>
                <w:szCs w:val="10"/>
                <w:b w:val="1"/>
                <w:bCs w:val="1"/>
                <w:color w:val="auto"/>
              </w:rPr>
              <w:t>Comprehensive</w:t>
            </w:r>
          </w:p>
        </w:tc>
        <w:tc>
          <w:tcPr>
            <w:tcW w:w="720" w:type="dxa"/>
            <w:vAlign w:val="bottom"/>
            <w:gridSpan w:val="3"/>
            <w:vMerge w:val="restart"/>
          </w:tcPr>
          <w:p>
            <w:pPr>
              <w:ind w:left="20"/>
              <w:spacing w:after="0" w:line="95" w:lineRule="exact"/>
              <w:rPr>
                <w:sz w:val="20"/>
                <w:szCs w:val="20"/>
                <w:color w:val="auto"/>
              </w:rPr>
            </w:pPr>
            <w:r>
              <w:rPr>
                <w:rFonts w:ascii="Arial" w:cs="Arial" w:eastAsia="Arial" w:hAnsi="Arial"/>
                <w:sz w:val="10"/>
                <w:szCs w:val="10"/>
                <w:b w:val="1"/>
                <w:bCs w:val="1"/>
                <w:color w:val="auto"/>
              </w:rPr>
              <w:t>Accumulated</w:t>
            </w:r>
          </w:p>
        </w:tc>
        <w:tc>
          <w:tcPr>
            <w:tcW w:w="740" w:type="dxa"/>
            <w:vAlign w:val="bottom"/>
            <w:gridSpan w:val="2"/>
            <w:vMerge w:val="restart"/>
          </w:tcPr>
          <w:p>
            <w:pPr>
              <w:jc w:val="center"/>
              <w:spacing w:after="0" w:line="95" w:lineRule="exact"/>
              <w:rPr>
                <w:sz w:val="20"/>
                <w:szCs w:val="20"/>
                <w:color w:val="auto"/>
              </w:rPr>
            </w:pPr>
            <w:r>
              <w:rPr>
                <w:rFonts w:ascii="Arial" w:cs="Arial" w:eastAsia="Arial" w:hAnsi="Arial"/>
                <w:sz w:val="10"/>
                <w:szCs w:val="10"/>
                <w:b w:val="1"/>
                <w:bCs w:val="1"/>
                <w:color w:val="auto"/>
                <w:w w:val="96"/>
              </w:rPr>
              <w:t>Stockholders’</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6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line="20" w:lineRule="exact"/>
              <w:rPr>
                <w:sz w:val="1"/>
                <w:szCs w:val="1"/>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line="20" w:lineRule="exact"/>
              <w:rPr>
                <w:sz w:val="1"/>
                <w:szCs w:val="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7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Capital</w:t>
            </w:r>
          </w:p>
        </w:tc>
        <w:tc>
          <w:tcPr>
            <w:tcW w:w="6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Gain (Loss)</w:t>
            </w:r>
          </w:p>
        </w:tc>
        <w:tc>
          <w:tcPr>
            <w:tcW w:w="12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2"/>
                <w:szCs w:val="12"/>
                <w:color w:val="auto"/>
              </w:rPr>
            </w:pPr>
          </w:p>
        </w:tc>
        <w:tc>
          <w:tcPr>
            <w:tcW w:w="600" w:type="dxa"/>
            <w:vAlign w:val="bottom"/>
          </w:tcPr>
          <w:p>
            <w:pPr>
              <w:jc w:val="center"/>
              <w:ind w:right="6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27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b w:val="1"/>
                <w:bCs w:val="1"/>
                <w:color w:val="auto"/>
              </w:rPr>
              <w:t>Balance at December 31, 2020</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4"/>
              </w:rPr>
              <w:t>35,552,795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400,918</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CCEEFF"/>
            </w:tcBorders>
            <w:shd w:val="clear" w:color="auto" w:fill="CCEEFF"/>
          </w:tcPr>
          <w:p>
            <w:pPr>
              <w:jc w:val="center"/>
              <w:ind w:left="386"/>
              <w:spacing w:after="0"/>
              <w:rPr>
                <w:sz w:val="20"/>
                <w:szCs w:val="20"/>
                <w:color w:val="auto"/>
              </w:rPr>
            </w:pPr>
            <w:r>
              <w:rPr>
                <w:rFonts w:ascii="Arial" w:cs="Arial" w:eastAsia="Arial" w:hAnsi="Arial"/>
                <w:sz w:val="11"/>
                <w:szCs w:val="11"/>
                <w:color w:val="auto"/>
                <w:w w:val="91"/>
              </w:rPr>
              <w:t>(32)</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(117,828)</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283,061</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Arial" w:cs="Arial" w:eastAsia="Arial" w:hAnsi="Arial"/>
                <w:sz w:val="11"/>
                <w:szCs w:val="11"/>
                <w:color w:val="auto"/>
              </w:rPr>
              <w:t>Vesting of restricted stock awards</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30,277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left="346"/>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60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Option exercises</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165,264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1,370</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center"/>
              <w:ind w:left="346"/>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1,370</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2,578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left="346"/>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60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2,578</w:t>
            </w: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unrealized gain on short-term investments</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center"/>
              <w:ind w:left="426"/>
              <w:spacing w:after="0"/>
              <w:rPr>
                <w:sz w:val="20"/>
                <w:szCs w:val="20"/>
                <w:color w:val="auto"/>
              </w:rPr>
            </w:pPr>
            <w:r>
              <w:rPr>
                <w:rFonts w:ascii="Arial" w:cs="Arial" w:eastAsia="Arial" w:hAnsi="Arial"/>
                <w:sz w:val="11"/>
                <w:szCs w:val="11"/>
                <w:color w:val="auto"/>
                <w:w w:val="81"/>
              </w:rPr>
              <w:t>14</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Arial" w:cs="Arial" w:eastAsia="Arial" w:hAnsi="Arial"/>
                <w:sz w:val="11"/>
                <w:szCs w:val="11"/>
                <w:color w:val="auto"/>
              </w:rPr>
              <w:t>Net loss</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80" w:type="dxa"/>
            <w:vAlign w:val="bottom"/>
            <w:gridSpan w:val="2"/>
          </w:tcPr>
          <w:p>
            <w:pPr>
              <w:jc w:val="center"/>
              <w:ind w:left="346"/>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(22,856)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(22,856)</w:t>
            </w:r>
          </w:p>
        </w:tc>
        <w:tc>
          <w:tcPr>
            <w:tcW w:w="0" w:type="dxa"/>
            <w:vAlign w:val="bottom"/>
          </w:tcPr>
          <w:p>
            <w:pPr>
              <w:spacing w:after="0"/>
              <w:rPr>
                <w:sz w:val="1"/>
                <w:szCs w:val="1"/>
                <w:color w:val="auto"/>
              </w:rPr>
            </w:pPr>
          </w:p>
        </w:tc>
      </w:tr>
      <w:tr>
        <w:trPr>
          <w:trHeight w:val="22"/>
        </w:trPr>
        <w:tc>
          <w:tcPr>
            <w:tcW w:w="27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March 31, 2021</w:t>
            </w:r>
          </w:p>
        </w:tc>
        <w:tc>
          <w:tcPr>
            <w:tcW w:w="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4"/>
              </w:rPr>
              <w:t>35,748,336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404,868</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shd w:val="clear" w:color="auto" w:fill="CCEEFF"/>
          </w:tcPr>
          <w:p>
            <w:pPr>
              <w:jc w:val="center"/>
              <w:ind w:left="386"/>
              <w:spacing w:after="0"/>
              <w:rPr>
                <w:sz w:val="20"/>
                <w:szCs w:val="20"/>
                <w:color w:val="auto"/>
              </w:rPr>
            </w:pPr>
            <w:r>
              <w:rPr>
                <w:rFonts w:ascii="Arial" w:cs="Arial" w:eastAsia="Arial" w:hAnsi="Arial"/>
                <w:sz w:val="11"/>
                <w:szCs w:val="11"/>
                <w:color w:val="auto"/>
                <w:w w:val="91"/>
              </w:rPr>
              <w:t>(18)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(140,684)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264,169</w:t>
            </w:r>
          </w:p>
        </w:tc>
        <w:tc>
          <w:tcPr>
            <w:tcW w:w="0" w:type="dxa"/>
            <w:vAlign w:val="bottom"/>
          </w:tcPr>
          <w:p>
            <w:pPr>
              <w:spacing w:after="0"/>
              <w:rPr>
                <w:sz w:val="1"/>
                <w:szCs w:val="1"/>
                <w:color w:val="auto"/>
              </w:rPr>
            </w:pPr>
          </w:p>
        </w:tc>
      </w:tr>
      <w:tr>
        <w:trPr>
          <w:trHeight w:val="20"/>
        </w:trPr>
        <w:tc>
          <w:tcPr>
            <w:tcW w:w="2780" w:type="dxa"/>
            <w:vAlign w:val="bottom"/>
            <w:vMerge w:val="restart"/>
          </w:tcPr>
          <w:p>
            <w:pPr>
              <w:ind w:left="20"/>
              <w:spacing w:after="0"/>
              <w:rPr>
                <w:sz w:val="20"/>
                <w:szCs w:val="20"/>
                <w:color w:val="auto"/>
              </w:rPr>
            </w:pPr>
            <w:r>
              <w:rPr>
                <w:rFonts w:ascii="Arial" w:cs="Arial" w:eastAsia="Arial" w:hAnsi="Arial"/>
                <w:sz w:val="11"/>
                <w:szCs w:val="11"/>
                <w:color w:val="auto"/>
              </w:rPr>
              <w:t>Vesting of restricted stock awards</w:t>
            </w: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780" w:type="dxa"/>
            <w:vAlign w:val="bottom"/>
            <w:vMerge w:val="continue"/>
          </w:tcPr>
          <w:p>
            <w:pPr>
              <w:spacing w:after="0"/>
              <w:rPr>
                <w:sz w:val="9"/>
                <w:szCs w:val="9"/>
                <w:color w:val="auto"/>
              </w:rPr>
            </w:pPr>
          </w:p>
        </w:tc>
        <w:tc>
          <w:tcPr>
            <w:tcW w:w="660" w:type="dxa"/>
            <w:vAlign w:val="bottom"/>
            <w:gridSpan w:val="2"/>
          </w:tcPr>
          <w:p>
            <w:pPr>
              <w:ind w:left="420"/>
              <w:spacing w:after="0" w:line="11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tcPr>
          <w:p>
            <w:pPr>
              <w:ind w:left="340"/>
              <w:spacing w:after="0" w:line="114" w:lineRule="exact"/>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line="11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tcPr>
          <w:p>
            <w:pPr>
              <w:ind w:left="340"/>
              <w:spacing w:after="0" w:line="114" w:lineRule="exact"/>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line="11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0" w:type="dxa"/>
            <w:vAlign w:val="bottom"/>
            <w:tcBorders>
              <w:right w:val="single" w:sz="8" w:color="auto"/>
            </w:tcBorders>
            <w:gridSpan w:val="2"/>
          </w:tcPr>
          <w:p>
            <w:pPr>
              <w:ind w:left="340"/>
              <w:spacing w:after="0" w:line="11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00" w:type="dxa"/>
            <w:vAlign w:val="bottom"/>
          </w:tcPr>
          <w:p>
            <w:pPr>
              <w:jc w:val="right"/>
              <w:ind w:right="6"/>
              <w:spacing w:after="0" w:line="114" w:lineRule="exact"/>
              <w:rPr>
                <w:sz w:val="20"/>
                <w:szCs w:val="20"/>
                <w:color w:val="auto"/>
              </w:rPr>
            </w:pPr>
            <w:r>
              <w:rPr>
                <w:rFonts w:ascii="Arial" w:cs="Arial" w:eastAsia="Arial" w:hAnsi="Arial"/>
                <w:sz w:val="11"/>
                <w:szCs w:val="11"/>
                <w:color w:val="auto"/>
              </w:rPr>
              <w:t>30,136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140"/>
              <w:spacing w:after="0" w:line="114"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00" w:type="dxa"/>
            <w:vAlign w:val="bottom"/>
          </w:tcPr>
          <w:p>
            <w:pPr>
              <w:jc w:val="right"/>
              <w:ind w:right="6"/>
              <w:spacing w:after="0" w:line="114" w:lineRule="exact"/>
              <w:rPr>
                <w:sz w:val="20"/>
                <w:szCs w:val="20"/>
                <w:color w:val="auto"/>
              </w:rPr>
            </w:pPr>
            <w:r>
              <w:rPr>
                <w:rFonts w:ascii="Arial" w:cs="Arial" w:eastAsia="Arial" w:hAnsi="Arial"/>
                <w:sz w:val="11"/>
                <w:szCs w:val="11"/>
                <w:color w:val="auto"/>
              </w:rPr>
              <w:t>2</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tcPr>
          <w:p>
            <w:pPr>
              <w:jc w:val="center"/>
              <w:ind w:left="346"/>
              <w:spacing w:after="0" w:line="114" w:lineRule="exact"/>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9"/>
                <w:szCs w:val="9"/>
                <w:color w:val="auto"/>
              </w:rPr>
            </w:pPr>
          </w:p>
        </w:tc>
        <w:tc>
          <w:tcPr>
            <w:tcW w:w="600" w:type="dxa"/>
            <w:vAlign w:val="bottom"/>
            <w:gridSpan w:val="2"/>
          </w:tcPr>
          <w:p>
            <w:pPr>
              <w:ind w:left="360"/>
              <w:spacing w:after="0" w:line="114"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Option exercises</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75,444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372</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center"/>
              <w:ind w:left="346"/>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372</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2,280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left="346"/>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60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2,280</w:t>
            </w: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unrealized loss on short-term investments</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center"/>
              <w:ind w:left="386"/>
              <w:spacing w:after="0"/>
              <w:rPr>
                <w:sz w:val="20"/>
                <w:szCs w:val="20"/>
                <w:color w:val="auto"/>
              </w:rPr>
            </w:pPr>
            <w:r>
              <w:rPr>
                <w:rFonts w:ascii="Arial" w:cs="Arial" w:eastAsia="Arial" w:hAnsi="Arial"/>
                <w:sz w:val="11"/>
                <w:szCs w:val="11"/>
                <w:color w:val="auto"/>
                <w:w w:val="91"/>
              </w:rPr>
              <w:t>(12)</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Arial" w:cs="Arial" w:eastAsia="Arial" w:hAnsi="Arial"/>
                <w:sz w:val="11"/>
                <w:szCs w:val="11"/>
                <w:color w:val="auto"/>
              </w:rPr>
              <w:t>Net loss</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80" w:type="dxa"/>
            <w:vAlign w:val="bottom"/>
            <w:gridSpan w:val="2"/>
          </w:tcPr>
          <w:p>
            <w:pPr>
              <w:jc w:val="center"/>
              <w:ind w:left="346"/>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(22,831)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(22,831)</w:t>
            </w:r>
          </w:p>
        </w:tc>
        <w:tc>
          <w:tcPr>
            <w:tcW w:w="0" w:type="dxa"/>
            <w:vAlign w:val="bottom"/>
          </w:tcPr>
          <w:p>
            <w:pPr>
              <w:spacing w:after="0"/>
              <w:rPr>
                <w:sz w:val="1"/>
                <w:szCs w:val="1"/>
                <w:color w:val="auto"/>
              </w:rPr>
            </w:pPr>
          </w:p>
        </w:tc>
      </w:tr>
      <w:tr>
        <w:trPr>
          <w:trHeight w:val="22"/>
        </w:trPr>
        <w:tc>
          <w:tcPr>
            <w:tcW w:w="27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June 30, 2021</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right w:val="single" w:sz="8" w:color="auto"/>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4"/>
              </w:rPr>
              <w:t>35,853,916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407,522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center"/>
              <w:ind w:left="386"/>
              <w:spacing w:after="0"/>
              <w:rPr>
                <w:sz w:val="20"/>
                <w:szCs w:val="20"/>
                <w:color w:val="auto"/>
              </w:rPr>
            </w:pPr>
            <w:r>
              <w:rPr>
                <w:rFonts w:ascii="Arial" w:cs="Arial" w:eastAsia="Arial" w:hAnsi="Arial"/>
                <w:sz w:val="11"/>
                <w:szCs w:val="11"/>
                <w:color w:val="auto"/>
                <w:w w:val="91"/>
              </w:rPr>
              <w:t>(30)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(163,515)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243,980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Statements of Redeemable Convertible Preferred Stock and Stockholders’ Equity (Deficit)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number of shares and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9"/>
          </w:tcPr>
          <w:p>
            <w:pPr>
              <w:jc w:val="center"/>
              <w:ind w:right="180"/>
              <w:spacing w:after="0"/>
              <w:rPr>
                <w:sz w:val="20"/>
                <w:szCs w:val="20"/>
                <w:color w:val="auto"/>
              </w:rPr>
            </w:pPr>
            <w:r>
              <w:rPr>
                <w:rFonts w:ascii="Arial" w:cs="Arial" w:eastAsia="Arial" w:hAnsi="Arial"/>
                <w:sz w:val="11"/>
                <w:szCs w:val="11"/>
                <w:b w:val="1"/>
                <w:bCs w:val="1"/>
                <w:color w:val="auto"/>
                <w:w w:val="89"/>
              </w:rPr>
              <w:t>Redeemable Convertible Preferred Stock</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2700" w:type="dxa"/>
            <w:vAlign w:val="bottom"/>
          </w:tcPr>
          <w:p>
            <w:pPr>
              <w:spacing w:after="0"/>
              <w:rPr>
                <w:sz w:val="2"/>
                <w:szCs w:val="2"/>
                <w:color w:val="auto"/>
              </w:rPr>
            </w:pPr>
          </w:p>
        </w:tc>
        <w:tc>
          <w:tcPr>
            <w:tcW w:w="1360" w:type="dxa"/>
            <w:vAlign w:val="bottom"/>
            <w:gridSpan w:val="5"/>
            <w:vMerge w:val="restart"/>
          </w:tcPr>
          <w:p>
            <w:pPr>
              <w:ind w:left="460"/>
              <w:spacing w:after="0"/>
              <w:rPr>
                <w:sz w:val="20"/>
                <w:szCs w:val="20"/>
                <w:color w:val="auto"/>
              </w:rPr>
            </w:pPr>
            <w:r>
              <w:rPr>
                <w:rFonts w:ascii="Arial" w:cs="Arial" w:eastAsia="Arial" w:hAnsi="Arial"/>
                <w:sz w:val="11"/>
                <w:szCs w:val="11"/>
                <w:b w:val="1"/>
                <w:bCs w:val="1"/>
                <w:color w:val="auto"/>
              </w:rPr>
              <w:t>Series A</w:t>
            </w:r>
          </w:p>
        </w:tc>
        <w:tc>
          <w:tcPr>
            <w:tcW w:w="134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6"/>
              </w:rPr>
              <w:t>Series B</w:t>
            </w:r>
          </w:p>
        </w:tc>
        <w:tc>
          <w:tcPr>
            <w:tcW w:w="1380" w:type="dxa"/>
            <w:vAlign w:val="bottom"/>
            <w:tcBorders>
              <w:right w:val="single" w:sz="8" w:color="auto"/>
            </w:tcBorders>
            <w:gridSpan w:val="5"/>
            <w:vMerge w:val="restart"/>
          </w:tcPr>
          <w:p>
            <w:pPr>
              <w:ind w:left="460"/>
              <w:spacing w:after="0"/>
              <w:rPr>
                <w:sz w:val="20"/>
                <w:szCs w:val="20"/>
                <w:color w:val="auto"/>
              </w:rPr>
            </w:pPr>
            <w:r>
              <w:rPr>
                <w:rFonts w:ascii="Arial" w:cs="Arial" w:eastAsia="Arial" w:hAnsi="Arial"/>
                <w:sz w:val="11"/>
                <w:szCs w:val="11"/>
                <w:b w:val="1"/>
                <w:bCs w:val="1"/>
                <w:color w:val="auto"/>
              </w:rPr>
              <w:t>Series C</w:t>
            </w:r>
          </w:p>
        </w:tc>
        <w:tc>
          <w:tcPr>
            <w:tcW w:w="60" w:type="dxa"/>
            <w:vAlign w:val="bottom"/>
          </w:tcPr>
          <w:p>
            <w:pPr>
              <w:spacing w:after="0"/>
              <w:rPr>
                <w:sz w:val="2"/>
                <w:szCs w:val="2"/>
                <w:color w:val="auto"/>
              </w:rPr>
            </w:pPr>
          </w:p>
        </w:tc>
        <w:tc>
          <w:tcPr>
            <w:tcW w:w="1360" w:type="dxa"/>
            <w:vAlign w:val="bottom"/>
            <w:gridSpan w:val="5"/>
            <w:vMerge w:val="restart"/>
          </w:tcPr>
          <w:p>
            <w:pPr>
              <w:ind w:left="280"/>
              <w:spacing w:after="0"/>
              <w:rPr>
                <w:sz w:val="20"/>
                <w:szCs w:val="20"/>
                <w:color w:val="auto"/>
              </w:rPr>
            </w:pPr>
            <w:r>
              <w:rPr>
                <w:rFonts w:ascii="Arial" w:cs="Arial" w:eastAsia="Arial" w:hAnsi="Arial"/>
                <w:sz w:val="11"/>
                <w:szCs w:val="11"/>
                <w:b w:val="1"/>
                <w:bCs w:val="1"/>
                <w:color w:val="auto"/>
              </w:rPr>
              <w:t>Common Stock</w:t>
            </w:r>
          </w:p>
        </w:tc>
        <w:tc>
          <w:tcPr>
            <w:tcW w:w="68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9"/>
              </w:rPr>
              <w:t>Additional</w:t>
            </w:r>
          </w:p>
        </w:tc>
        <w:tc>
          <w:tcPr>
            <w:tcW w:w="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700" w:type="dxa"/>
            <w:vAlign w:val="bottom"/>
          </w:tcPr>
          <w:p>
            <w:pPr>
              <w:spacing w:after="0"/>
              <w:rPr>
                <w:sz w:val="9"/>
                <w:szCs w:val="9"/>
                <w:color w:val="auto"/>
              </w:rPr>
            </w:pPr>
          </w:p>
        </w:tc>
        <w:tc>
          <w:tcPr>
            <w:tcW w:w="1360" w:type="dxa"/>
            <w:vAlign w:val="bottom"/>
            <w:gridSpan w:val="5"/>
            <w:vMerge w:val="continue"/>
          </w:tcPr>
          <w:p>
            <w:pPr>
              <w:spacing w:after="0"/>
              <w:rPr>
                <w:sz w:val="9"/>
                <w:szCs w:val="9"/>
                <w:color w:val="auto"/>
              </w:rPr>
            </w:pPr>
          </w:p>
        </w:tc>
        <w:tc>
          <w:tcPr>
            <w:tcW w:w="1340" w:type="dxa"/>
            <w:vAlign w:val="bottom"/>
            <w:gridSpan w:val="5"/>
            <w:vMerge w:val="continue"/>
          </w:tcPr>
          <w:p>
            <w:pPr>
              <w:spacing w:after="0"/>
              <w:rPr>
                <w:sz w:val="9"/>
                <w:szCs w:val="9"/>
                <w:color w:val="auto"/>
              </w:rPr>
            </w:pPr>
          </w:p>
        </w:tc>
        <w:tc>
          <w:tcPr>
            <w:tcW w:w="1380" w:type="dxa"/>
            <w:vAlign w:val="bottom"/>
            <w:tcBorders>
              <w:right w:val="single" w:sz="8" w:color="auto"/>
            </w:tcBorders>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1360" w:type="dxa"/>
            <w:vAlign w:val="bottom"/>
            <w:gridSpan w:val="5"/>
            <w:vMerge w:val="continue"/>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gridSpan w:val="2"/>
            <w:vMerge w:val="restart"/>
          </w:tcPr>
          <w:p>
            <w:pPr>
              <w:jc w:val="center"/>
              <w:ind w:right="180"/>
              <w:spacing w:after="0" w:line="108" w:lineRule="exact"/>
              <w:rPr>
                <w:sz w:val="20"/>
                <w:szCs w:val="20"/>
                <w:color w:val="auto"/>
              </w:rPr>
            </w:pPr>
            <w:r>
              <w:rPr>
                <w:rFonts w:ascii="Arial" w:cs="Arial" w:eastAsia="Arial" w:hAnsi="Arial"/>
                <w:sz w:val="11"/>
                <w:szCs w:val="11"/>
                <w:b w:val="1"/>
                <w:bCs w:val="1"/>
                <w:color w:val="auto"/>
                <w:w w:val="98"/>
              </w:rPr>
              <w:t>Paid-In</w:t>
            </w:r>
          </w:p>
        </w:tc>
        <w:tc>
          <w:tcPr>
            <w:tcW w:w="840" w:type="dxa"/>
            <w:vAlign w:val="bottom"/>
            <w:gridSpan w:val="3"/>
            <w:vMerge w:val="restart"/>
          </w:tcPr>
          <w:p>
            <w:pPr>
              <w:ind w:left="20"/>
              <w:spacing w:after="0" w:line="108" w:lineRule="exact"/>
              <w:rPr>
                <w:sz w:val="20"/>
                <w:szCs w:val="20"/>
                <w:color w:val="auto"/>
              </w:rPr>
            </w:pPr>
            <w:r>
              <w:rPr>
                <w:rFonts w:ascii="Arial" w:cs="Arial" w:eastAsia="Arial" w:hAnsi="Arial"/>
                <w:sz w:val="11"/>
                <w:szCs w:val="11"/>
                <w:b w:val="1"/>
                <w:bCs w:val="1"/>
                <w:color w:val="auto"/>
                <w:w w:val="96"/>
              </w:rPr>
              <w:t>Comprehensive</w:t>
            </w:r>
          </w:p>
        </w:tc>
        <w:tc>
          <w:tcPr>
            <w:tcW w:w="720" w:type="dxa"/>
            <w:vAlign w:val="bottom"/>
            <w:gridSpan w:val="3"/>
            <w:vMerge w:val="restart"/>
          </w:tcPr>
          <w:p>
            <w:pPr>
              <w:ind w:left="20"/>
              <w:spacing w:after="0" w:line="108" w:lineRule="exact"/>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4"/>
                <w:szCs w:val="4"/>
                <w:color w:val="auto"/>
              </w:rPr>
            </w:pPr>
          </w:p>
        </w:tc>
        <w:tc>
          <w:tcPr>
            <w:tcW w:w="600" w:type="dxa"/>
            <w:vAlign w:val="bottom"/>
            <w:vMerge w:val="restart"/>
          </w:tcPr>
          <w:p>
            <w:pPr>
              <w:jc w:val="center"/>
              <w:ind w:right="66"/>
              <w:spacing w:after="0" w:line="108"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34"/>
        </w:trPr>
        <w:tc>
          <w:tcPr>
            <w:tcW w:w="2700" w:type="dxa"/>
            <w:vAlign w:val="bottom"/>
          </w:tcPr>
          <w:p>
            <w:pPr>
              <w:spacing w:after="0"/>
              <w:rPr>
                <w:sz w:val="2"/>
                <w:szCs w:val="2"/>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2"/>
                <w:szCs w:val="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2"/>
                <w:szCs w:val="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2"/>
                <w:szCs w:val="2"/>
                <w:color w:val="auto"/>
              </w:rPr>
            </w:pPr>
          </w:p>
        </w:tc>
        <w:tc>
          <w:tcPr>
            <w:tcW w:w="6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2"/>
                <w:szCs w:val="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7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Capital</w:t>
            </w:r>
          </w:p>
        </w:tc>
        <w:tc>
          <w:tcPr>
            <w:tcW w:w="6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Gain (Loss)</w:t>
            </w:r>
          </w:p>
        </w:tc>
        <w:tc>
          <w:tcPr>
            <w:tcW w:w="12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2"/>
                <w:szCs w:val="12"/>
                <w:color w:val="auto"/>
              </w:rPr>
            </w:pPr>
          </w:p>
        </w:tc>
        <w:tc>
          <w:tcPr>
            <w:tcW w:w="600" w:type="dxa"/>
            <w:vAlign w:val="bottom"/>
          </w:tcPr>
          <w:p>
            <w:pPr>
              <w:jc w:val="center"/>
              <w:ind w:right="86"/>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270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right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700" w:type="dxa"/>
            <w:vAlign w:val="bottom"/>
            <w:shd w:val="clear" w:color="auto" w:fill="CFF0FC"/>
          </w:tcPr>
          <w:p>
            <w:pPr>
              <w:ind w:left="180"/>
              <w:spacing w:after="0" w:line="144" w:lineRule="exact"/>
              <w:rPr>
                <w:sz w:val="20"/>
                <w:szCs w:val="20"/>
                <w:color w:val="auto"/>
              </w:rPr>
            </w:pPr>
            <w:r>
              <w:rPr>
                <w:rFonts w:ascii="Arial" w:cs="Arial" w:eastAsia="Arial" w:hAnsi="Arial"/>
                <w:sz w:val="13"/>
                <w:szCs w:val="13"/>
                <w:b w:val="1"/>
                <w:bCs w:val="1"/>
                <w:color w:val="auto"/>
              </w:rPr>
              <w:t>Balance at December 31, 2019</w:t>
            </w:r>
          </w:p>
        </w:tc>
        <w:tc>
          <w:tcPr>
            <w:tcW w:w="60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4"/>
              </w:rPr>
              <w:t>56,000,000</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62,468</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4"/>
              </w:rPr>
              <w:t>49,501,221</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75,860</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4"/>
              </w:rPr>
              <w:t>26,360,745</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47,947</w:t>
            </w:r>
          </w:p>
        </w:tc>
        <w:tc>
          <w:tcPr>
            <w:tcW w:w="10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1,846,024</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(76,295)</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(76,295)</w:t>
            </w:r>
          </w:p>
        </w:tc>
        <w:tc>
          <w:tcPr>
            <w:tcW w:w="0" w:type="dxa"/>
            <w:vAlign w:val="bottom"/>
          </w:tcPr>
          <w:p>
            <w:pPr>
              <w:spacing w:after="0"/>
              <w:rPr>
                <w:sz w:val="1"/>
                <w:szCs w:val="1"/>
                <w:color w:val="auto"/>
              </w:rPr>
            </w:pPr>
          </w:p>
        </w:tc>
      </w:tr>
      <w:tr>
        <w:trPr>
          <w:trHeight w:val="122"/>
        </w:trPr>
        <w:tc>
          <w:tcPr>
            <w:tcW w:w="2700" w:type="dxa"/>
            <w:vAlign w:val="bottom"/>
          </w:tcPr>
          <w:p>
            <w:pPr>
              <w:ind w:left="180"/>
              <w:spacing w:after="0" w:line="122" w:lineRule="exact"/>
              <w:rPr>
                <w:sz w:val="20"/>
                <w:szCs w:val="20"/>
                <w:color w:val="auto"/>
              </w:rPr>
            </w:pPr>
            <w:r>
              <w:rPr>
                <w:rFonts w:ascii="Arial" w:cs="Arial" w:eastAsia="Arial" w:hAnsi="Arial"/>
                <w:sz w:val="13"/>
                <w:szCs w:val="13"/>
                <w:color w:val="auto"/>
                <w:w w:val="87"/>
              </w:rPr>
              <w:t>Issuance of Series C redeemable preferred stock,</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700" w:type="dxa"/>
            <w:vAlign w:val="bottom"/>
          </w:tcPr>
          <w:p>
            <w:pPr>
              <w:ind w:left="180"/>
              <w:spacing w:after="0"/>
              <w:rPr>
                <w:sz w:val="20"/>
                <w:szCs w:val="20"/>
                <w:color w:val="auto"/>
              </w:rPr>
            </w:pPr>
            <w:r>
              <w:rPr>
                <w:rFonts w:ascii="Arial" w:cs="Arial" w:eastAsia="Arial" w:hAnsi="Arial"/>
                <w:sz w:val="13"/>
                <w:szCs w:val="13"/>
                <w:color w:val="auto"/>
              </w:rPr>
              <w:t>net of issuance costs</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w w:val="94"/>
              </w:rPr>
              <w:t>28,527,313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52,038</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Vesting of restricted stock awards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52,093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8"/>
        </w:trPr>
        <w:tc>
          <w:tcPr>
            <w:tcW w:w="2700" w:type="dxa"/>
            <w:vAlign w:val="bottom"/>
          </w:tcPr>
          <w:p>
            <w:pPr>
              <w:ind w:left="180"/>
              <w:spacing w:after="0"/>
              <w:rPr>
                <w:sz w:val="20"/>
                <w:szCs w:val="20"/>
                <w:color w:val="auto"/>
              </w:rPr>
            </w:pPr>
            <w:r>
              <w:rPr>
                <w:rFonts w:ascii="Arial" w:cs="Arial" w:eastAsia="Arial" w:hAnsi="Arial"/>
                <w:sz w:val="13"/>
                <w:szCs w:val="13"/>
                <w:color w:val="auto"/>
              </w:rPr>
              <w:t>Option exercises</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8,232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425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w:t>
            </w:r>
          </w:p>
        </w:tc>
        <w:tc>
          <w:tcPr>
            <w:tcW w:w="0" w:type="dxa"/>
            <w:vAlign w:val="bottom"/>
          </w:tcPr>
          <w:p>
            <w:pPr>
              <w:spacing w:after="0"/>
              <w:rPr>
                <w:sz w:val="1"/>
                <w:szCs w:val="1"/>
                <w:color w:val="auto"/>
              </w:rPr>
            </w:pPr>
          </w:p>
        </w:tc>
      </w:tr>
      <w:tr>
        <w:trPr>
          <w:trHeight w:val="168"/>
        </w:trPr>
        <w:tc>
          <w:tcPr>
            <w:tcW w:w="2700" w:type="dxa"/>
            <w:vAlign w:val="bottom"/>
          </w:tcPr>
          <w:p>
            <w:pPr>
              <w:ind w:left="180"/>
              <w:spacing w:after="0"/>
              <w:rPr>
                <w:sz w:val="20"/>
                <w:szCs w:val="20"/>
                <w:color w:val="auto"/>
              </w:rPr>
            </w:pPr>
            <w:r>
              <w:rPr>
                <w:rFonts w:ascii="Arial" w:cs="Arial" w:eastAsia="Arial" w:hAnsi="Arial"/>
                <w:sz w:val="13"/>
                <w:szCs w:val="13"/>
                <w:color w:val="auto"/>
                <w:w w:val="92"/>
              </w:rPr>
              <w:t>Net unrealized gain on short- term investments</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tcPr>
          <w:p>
            <w:pPr>
              <w:ind w:left="540"/>
              <w:spacing w:after="0"/>
              <w:rPr>
                <w:sz w:val="20"/>
                <w:szCs w:val="20"/>
                <w:color w:val="auto"/>
              </w:rPr>
            </w:pPr>
            <w:r>
              <w:rPr>
                <w:rFonts w:ascii="Arial" w:cs="Arial" w:eastAsia="Arial" w:hAnsi="Arial"/>
                <w:sz w:val="11"/>
                <w:szCs w:val="11"/>
                <w:color w:val="auto"/>
              </w:rPr>
              <w:t>60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77"/>
        </w:trPr>
        <w:tc>
          <w:tcPr>
            <w:tcW w:w="2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11,029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11,029</w:t>
            </w:r>
          </w:p>
        </w:tc>
        <w:tc>
          <w:tcPr>
            <w:tcW w:w="0" w:type="dxa"/>
            <w:vAlign w:val="bottom"/>
          </w:tcPr>
          <w:p>
            <w:pPr>
              <w:spacing w:after="0"/>
              <w:rPr>
                <w:sz w:val="1"/>
                <w:szCs w:val="1"/>
                <w:color w:val="auto"/>
              </w:rPr>
            </w:pPr>
          </w:p>
        </w:tc>
      </w:tr>
      <w:tr>
        <w:trPr>
          <w:trHeight w:val="162"/>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4"/>
              </w:rPr>
              <w:t>56,000,000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62,468</w:t>
            </w:r>
          </w:p>
        </w:tc>
        <w:tc>
          <w:tcPr>
            <w:tcW w:w="8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4"/>
              </w:rPr>
              <w:t>49,501,221</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75,860</w:t>
            </w:r>
          </w:p>
        </w:tc>
        <w:tc>
          <w:tcPr>
            <w:tcW w:w="8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4"/>
              </w:rPr>
              <w:t>54,888,058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99,985</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1,906,349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455</w:t>
            </w: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1"/>
                <w:szCs w:val="11"/>
                <w:color w:val="auto"/>
              </w:rPr>
              <w:t>59</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(65,266)</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(64,751)</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700" w:type="dxa"/>
            <w:vAlign w:val="bottom"/>
            <w:shd w:val="clear" w:color="auto" w:fill="CCEEFF"/>
          </w:tcPr>
          <w:p>
            <w:pPr>
              <w:ind w:left="180"/>
              <w:spacing w:after="0" w:line="89" w:lineRule="exact"/>
              <w:rPr>
                <w:sz w:val="20"/>
                <w:szCs w:val="20"/>
                <w:color w:val="auto"/>
              </w:rPr>
            </w:pPr>
            <w:r>
              <w:rPr>
                <w:rFonts w:ascii="Arial" w:cs="Arial" w:eastAsia="Arial" w:hAnsi="Arial"/>
                <w:sz w:val="10"/>
                <w:szCs w:val="10"/>
                <w:color w:val="auto"/>
              </w:rPr>
              <w:t>Issuance of common stock upon initial public</w:t>
            </w: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tcBorders>
              <w:right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offering, net of issuance costs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4"/>
              </w:rPr>
              <w:t>10,350,000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148,399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148,400</w:t>
            </w:r>
          </w:p>
        </w:tc>
        <w:tc>
          <w:tcPr>
            <w:tcW w:w="0" w:type="dxa"/>
            <w:vAlign w:val="bottom"/>
          </w:tcPr>
          <w:p>
            <w:pPr>
              <w:spacing w:after="0"/>
              <w:rPr>
                <w:sz w:val="1"/>
                <w:szCs w:val="1"/>
                <w:color w:val="auto"/>
              </w:rPr>
            </w:pPr>
          </w:p>
        </w:tc>
      </w:tr>
      <w:tr>
        <w:trPr>
          <w:trHeight w:val="121"/>
        </w:trPr>
        <w:tc>
          <w:tcPr>
            <w:tcW w:w="2700" w:type="dxa"/>
            <w:vAlign w:val="bottom"/>
          </w:tcPr>
          <w:p>
            <w:pPr>
              <w:ind w:left="180"/>
              <w:spacing w:after="0" w:line="122" w:lineRule="exact"/>
              <w:rPr>
                <w:sz w:val="20"/>
                <w:szCs w:val="20"/>
                <w:color w:val="auto"/>
              </w:rPr>
            </w:pPr>
            <w:r>
              <w:rPr>
                <w:rFonts w:ascii="Arial" w:cs="Arial" w:eastAsia="Arial" w:hAnsi="Arial"/>
                <w:sz w:val="13"/>
                <w:szCs w:val="13"/>
                <w:color w:val="auto"/>
              </w:rPr>
              <w:t>Issuance of common stock upon private</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700" w:type="dxa"/>
            <w:vAlign w:val="bottom"/>
          </w:tcPr>
          <w:p>
            <w:pPr>
              <w:ind w:left="180"/>
              <w:spacing w:after="0"/>
              <w:rPr>
                <w:sz w:val="20"/>
                <w:szCs w:val="20"/>
                <w:color w:val="auto"/>
              </w:rPr>
            </w:pPr>
            <w:r>
              <w:rPr>
                <w:rFonts w:ascii="Arial" w:cs="Arial" w:eastAsia="Arial" w:hAnsi="Arial"/>
                <w:sz w:val="13"/>
                <w:szCs w:val="13"/>
                <w:color w:val="auto"/>
              </w:rPr>
              <w:t>placement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625,000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10,000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10,000</w:t>
            </w:r>
          </w:p>
        </w:tc>
        <w:tc>
          <w:tcPr>
            <w:tcW w:w="0" w:type="dxa"/>
            <w:vAlign w:val="bottom"/>
          </w:tcPr>
          <w:p>
            <w:pPr>
              <w:spacing w:after="0"/>
              <w:rPr>
                <w:sz w:val="1"/>
                <w:szCs w:val="1"/>
                <w:color w:val="auto"/>
              </w:rPr>
            </w:pPr>
          </w:p>
        </w:tc>
      </w:tr>
      <w:tr>
        <w:trPr>
          <w:trHeight w:val="129"/>
        </w:trPr>
        <w:tc>
          <w:tcPr>
            <w:tcW w:w="27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w w:val="87"/>
              </w:rPr>
              <w:t>Vesting of founders' common stock and restricted</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awards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40,102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8"/>
        </w:trPr>
        <w:tc>
          <w:tcPr>
            <w:tcW w:w="2700" w:type="dxa"/>
            <w:vAlign w:val="bottom"/>
          </w:tcPr>
          <w:p>
            <w:pPr>
              <w:ind w:left="180"/>
              <w:spacing w:after="0"/>
              <w:rPr>
                <w:sz w:val="20"/>
                <w:szCs w:val="20"/>
                <w:color w:val="auto"/>
              </w:rPr>
            </w:pPr>
            <w:r>
              <w:rPr>
                <w:rFonts w:ascii="Arial" w:cs="Arial" w:eastAsia="Arial" w:hAnsi="Arial"/>
                <w:sz w:val="13"/>
                <w:szCs w:val="13"/>
                <w:color w:val="auto"/>
              </w:rPr>
              <w:t>Option exercises</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73,719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177</w:t>
            </w:r>
          </w:p>
        </w:tc>
        <w:tc>
          <w:tcPr>
            <w:tcW w:w="0" w:type="dxa"/>
            <w:vAlign w:val="bottom"/>
          </w:tcPr>
          <w:p>
            <w:pPr>
              <w:spacing w:after="0"/>
              <w:rPr>
                <w:sz w:val="1"/>
                <w:szCs w:val="1"/>
                <w:color w:val="auto"/>
              </w:rPr>
            </w:pPr>
          </w:p>
        </w:tc>
      </w:tr>
      <w:tr>
        <w:trPr>
          <w:trHeight w:val="129"/>
        </w:trPr>
        <w:tc>
          <w:tcPr>
            <w:tcW w:w="27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Conversion of Series A, B, C convertible</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preferred stock to common stock</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(56,000,000)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(62,468)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(49,501,221)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(75,860)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(54,888,058)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(99,985)</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4"/>
              </w:rPr>
              <w:t>22,432,029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238,292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238,293</w:t>
            </w:r>
          </w:p>
        </w:tc>
        <w:tc>
          <w:tcPr>
            <w:tcW w:w="0" w:type="dxa"/>
            <w:vAlign w:val="bottom"/>
          </w:tcPr>
          <w:p>
            <w:pPr>
              <w:spacing w:after="0"/>
              <w:rPr>
                <w:sz w:val="1"/>
                <w:szCs w:val="1"/>
                <w:color w:val="auto"/>
              </w:rPr>
            </w:pPr>
          </w:p>
        </w:tc>
      </w:tr>
      <w:tr>
        <w:trPr>
          <w:trHeight w:val="168"/>
        </w:trPr>
        <w:tc>
          <w:tcPr>
            <w:tcW w:w="270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786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786</w:t>
            </w: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4"/>
              </w:rPr>
              <w:t>Net unrealized loss on short-term investments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w:t>
            </w:r>
          </w:p>
        </w:tc>
        <w:tc>
          <w:tcPr>
            <w:tcW w:w="0" w:type="dxa"/>
            <w:vAlign w:val="bottom"/>
          </w:tcPr>
          <w:p>
            <w:pPr>
              <w:spacing w:after="0"/>
              <w:rPr>
                <w:sz w:val="1"/>
                <w:szCs w:val="1"/>
                <w:color w:val="auto"/>
              </w:rPr>
            </w:pPr>
          </w:p>
        </w:tc>
      </w:tr>
      <w:tr>
        <w:trPr>
          <w:trHeight w:val="169"/>
        </w:trPr>
        <w:tc>
          <w:tcPr>
            <w:tcW w:w="27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loss</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5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(17,001)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(17,001)</w:t>
            </w:r>
          </w:p>
        </w:tc>
        <w:tc>
          <w:tcPr>
            <w:tcW w:w="0" w:type="dxa"/>
            <w:vAlign w:val="bottom"/>
          </w:tcPr>
          <w:p>
            <w:pPr>
              <w:spacing w:after="0"/>
              <w:rPr>
                <w:sz w:val="1"/>
                <w:szCs w:val="1"/>
                <w:color w:val="auto"/>
              </w:rPr>
            </w:pPr>
          </w:p>
        </w:tc>
      </w:tr>
      <w:tr>
        <w:trPr>
          <w:trHeight w:val="182"/>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4"/>
              </w:rPr>
              <w:t>35,427,199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398,110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(82,267)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315,816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2360"/>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r>
      <w:tr>
        <w:trPr>
          <w:trHeight w:val="186"/>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184"/>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(45,687)</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(5,972)</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Depreciation expense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3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800" w:type="dxa"/>
            <w:vAlign w:val="bottom"/>
          </w:tcPr>
          <w:p>
            <w:pPr>
              <w:ind w:left="480"/>
              <w:spacing w:after="0"/>
              <w:rPr>
                <w:sz w:val="20"/>
                <w:szCs w:val="20"/>
                <w:color w:val="auto"/>
              </w:rPr>
            </w:pPr>
            <w:r>
              <w:rPr>
                <w:rFonts w:ascii="Arial" w:cs="Arial" w:eastAsia="Arial" w:hAnsi="Arial"/>
                <w:sz w:val="18"/>
                <w:szCs w:val="18"/>
                <w:color w:val="auto"/>
              </w:rPr>
              <w:t>Tax credit receivable</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r>
      <w:tr>
        <w:trPr>
          <w:trHeight w:val="230"/>
        </w:trPr>
        <w:tc>
          <w:tcPr>
            <w:tcW w:w="780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(6,431)</w:t>
            </w:r>
          </w:p>
        </w:tc>
      </w:tr>
      <w:tr>
        <w:trPr>
          <w:trHeight w:val="229"/>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non-current assets</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78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29"/>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29"/>
        </w:trPr>
        <w:tc>
          <w:tcPr>
            <w:tcW w:w="78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8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(33,068)</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r>
      <w:tr>
        <w:trPr>
          <w:trHeight w:val="209"/>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short-term investments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(138,832)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(141,035)</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Maturity of short-term investments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155,529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23,997</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of short-term investments</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of property and equipment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r>
      <w:tr>
        <w:trPr>
          <w:trHeight w:val="223"/>
        </w:trPr>
        <w:tc>
          <w:tcPr>
            <w:tcW w:w="7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by/(used in) investing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15,816</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(117,692)</w:t>
            </w:r>
          </w:p>
        </w:tc>
      </w:tr>
      <w:tr>
        <w:trPr>
          <w:trHeight w:val="209"/>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 upon initial public offering, net of issuance costs</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153,119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Proceeds from issuance of common stock upon completion of private placement</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Series C preferred stock, net of issuance costs</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52,019</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deferred offering costs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215,340</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(decrease)/increase in cash and cash equivalents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92,654</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50,882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85,807</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178,461</w:t>
            </w:r>
          </w:p>
        </w:tc>
      </w:tr>
      <w:tr>
        <w:trPr>
          <w:trHeight w:val="210"/>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 in accounts payable and accrued liabilities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Reclassification of restricted stock award liabilities to common stock upon vesting</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in accounts payable and accrued liabilities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unrealized gain/(loss) on short-term investments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1" w:lineRule="exact"/>
        <w:rPr>
          <w:sz w:val="20"/>
          <w:szCs w:val="20"/>
          <w:color w:val="auto"/>
        </w:rPr>
      </w:pPr>
    </w:p>
    <w:p>
      <w:pPr>
        <w:ind w:right="80" w:firstLine="1134"/>
        <w:spacing w:after="0" w:line="255" w:lineRule="auto"/>
        <w:rPr>
          <w:sz w:val="20"/>
          <w:szCs w:val="20"/>
          <w:color w:val="auto"/>
        </w:rPr>
      </w:pPr>
      <w:r>
        <w:rPr>
          <w:rFonts w:ascii="Arial" w:cs="Arial" w:eastAsia="Arial" w:hAnsi="Arial"/>
          <w:sz w:val="18"/>
          <w:szCs w:val="18"/>
          <w:color w:val="auto"/>
        </w:rPr>
        <w:t>Pliant Therapeutics, Inc. (the “Company” or "Pliant" or “we” or “our” or “us”) is a clinical stage biopharmaceutical company focused on discovering and developing novel therapies for the treatment of fibrosis with an initial focus on treating fibrosis by inhibiting integrin-mediated activation of TGF-ß.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240" w:firstLine="1134"/>
        <w:spacing w:after="0" w:line="291" w:lineRule="auto"/>
        <w:rPr>
          <w:sz w:val="20"/>
          <w:szCs w:val="20"/>
          <w:color w:val="auto"/>
        </w:rPr>
      </w:pPr>
      <w:r>
        <w:rPr>
          <w:rFonts w:ascii="Arial" w:cs="Arial" w:eastAsia="Arial" w:hAnsi="Arial"/>
          <w:sz w:val="16"/>
          <w:szCs w:val="16"/>
          <w:color w:val="auto"/>
        </w:rPr>
        <w:t>On May 22, 2020, the Company implemented a 1-for-7.15 reverse stock split of the Company’s common stock. Stockholders entitled to fractional shares as a result of the reverse stock split received a cash payment in lieu of receiving fractional shares. All share and per share data shown in the accompanying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convertible preferred stock were proportionately reduced and the respective conversion prices were proportionately increased. As of June 3, 2020, all outstanding preferred stock had been converted into common stock.</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firstLine="1134"/>
        <w:spacing w:after="0" w:line="293" w:lineRule="auto"/>
        <w:rPr>
          <w:sz w:val="20"/>
          <w:szCs w:val="20"/>
          <w:color w:val="auto"/>
        </w:rPr>
      </w:pPr>
      <w:r>
        <w:rPr>
          <w:rFonts w:ascii="Arial" w:cs="Arial" w:eastAsia="Arial" w:hAnsi="Arial"/>
          <w:sz w:val="16"/>
          <w:szCs w:val="16"/>
          <w:color w:val="auto"/>
        </w:rPr>
        <w:t>In June 2020, the Company completed its initial public offering (the "IPO"), in which the Company issued and sold an aggregate of 10,350,000 shares of common stock, which consisted of 9,000,000 shares of common stock and 1,350,000 shares of common stock sold pursuant to the underwriters’ exercise of their option to purchase additional shares, at a public offering price of $16.00 per share. The aggregate net proceeds received by the Company from the offering were $148.3 million, net of underwriting discounts, commissions and offering expenses of $5.7 million. Upon the closing of the IPO, 160,389,279 shares of the Company’s outstanding convertible preferred stock were automatically converted to common stock on a 7.15:1 basis and the related carrying amount of $238.3 million was reclassified to common stock and additional paid-in capital within stockholders’ equity (deficit).</w:t>
      </w:r>
    </w:p>
    <w:p>
      <w:pPr>
        <w:spacing w:after="0" w:line="56" w:lineRule="exact"/>
        <w:rPr>
          <w:sz w:val="20"/>
          <w:szCs w:val="20"/>
          <w:color w:val="auto"/>
        </w:rPr>
      </w:pPr>
    </w:p>
    <w:p>
      <w:pPr>
        <w:ind w:right="100" w:firstLine="1134"/>
        <w:spacing w:after="0" w:line="259" w:lineRule="auto"/>
        <w:rPr>
          <w:sz w:val="20"/>
          <w:szCs w:val="20"/>
          <w:color w:val="auto"/>
        </w:rPr>
      </w:pPr>
      <w:r>
        <w:rPr>
          <w:rFonts w:ascii="Arial" w:cs="Arial" w:eastAsia="Arial" w:hAnsi="Arial"/>
          <w:sz w:val="18"/>
          <w:szCs w:val="18"/>
          <w:color w:val="auto"/>
        </w:rPr>
        <w:t>Concurrent with the completion of the IPO, the Company also issued 625,000 shares of its common stock to Novartis Institutes for Biomedical Research, Inc. (“Novartis”), a strategic partner and existing stockholder of the Company, in a private placement at a price of $16.00 per share for proceeds of $10.0 million, which resulted in Novartis owning approximately 6.1% of the Company’s outstanding shares of common stock immediately after the IPO.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40" w:firstLine="1134"/>
        <w:spacing w:after="0" w:line="342" w:lineRule="auto"/>
        <w:rPr>
          <w:sz w:val="20"/>
          <w:szCs w:val="20"/>
          <w:color w:val="auto"/>
        </w:rPr>
      </w:pPr>
      <w:r>
        <w:rPr>
          <w:rFonts w:ascii="Arial" w:cs="Arial" w:eastAsia="Arial" w:hAnsi="Arial"/>
          <w:sz w:val="16"/>
          <w:szCs w:val="16"/>
          <w:color w:val="auto"/>
        </w:rPr>
        <w:t>The accompanying financial statements have been prepared in conformity with accounting principles generally accepted in the United States of America (“U.S. GAAP”). Certain prior year reported amounts have been reclassified to conform with the current period presentation.</w:t>
      </w:r>
    </w:p>
    <w:p>
      <w:pPr>
        <w:spacing w:after="0" w:line="124" w:lineRule="exact"/>
        <w:rPr>
          <w:sz w:val="20"/>
          <w:szCs w:val="20"/>
          <w:color w:val="auto"/>
        </w:rPr>
      </w:pPr>
    </w:p>
    <w:p>
      <w:pPr>
        <w:ind w:right="40" w:firstLine="1134"/>
        <w:spacing w:after="0" w:line="271" w:lineRule="auto"/>
        <w:rPr>
          <w:sz w:val="20"/>
          <w:szCs w:val="20"/>
          <w:color w:val="auto"/>
        </w:rPr>
      </w:pPr>
      <w:r>
        <w:rPr>
          <w:rFonts w:ascii="Arial" w:cs="Arial" w:eastAsia="Arial" w:hAnsi="Arial"/>
          <w:sz w:val="17"/>
          <w:szCs w:val="17"/>
          <w:color w:val="auto"/>
        </w:rPr>
        <w:t>The accompanying condensed balance sheet as of June 30, 2021, condensed statements of operations and comprehensive loss, condensed statements of cash flows, and the condensed statements of redeemable convertible preferred stock and stockholders’ equity (deficit) for the three and six months ended June 30, 2021 and 2020, are unaudited. The balance sheet as of December 31, 2020 was derived from audited financial statements as of and for the year ended December 31, 2020. The unaudited interim financial statements have been prepared on the same basis as the audited annual financial statements as of and for the year ended December 31, 2020, and, in the opinion of management, reflect all adjustments, which include only normal recurring adjustments, necessary for the fair statement of the Company’s financial position as of June 30, 2021, and the results of its operations and its cash flows for the three and six months ended June 30, 2021 and 2020. The financial data and other information disclosed in these notes related to the three and six months ended June 30, 2021 and 2020, are also unaudited.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left="5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1134"/>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stock-based compensation expense and accruals for research and development costs. The Company assesses estimates on an ongoing basis, however, actual results could materially differ from those estimates.</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100" w:firstLine="1134"/>
        <w:spacing w:after="0" w:line="263" w:lineRule="auto"/>
        <w:rPr>
          <w:sz w:val="20"/>
          <w:szCs w:val="20"/>
          <w:color w:val="auto"/>
        </w:rPr>
      </w:pPr>
      <w:r>
        <w:rPr>
          <w:rFonts w:ascii="Arial" w:cs="Arial" w:eastAsia="Arial" w:hAnsi="Arial"/>
          <w:sz w:val="18"/>
          <w:szCs w:val="18"/>
          <w:color w:val="auto"/>
        </w:rPr>
        <w:t>There have been no significant changes to the accounting policies during the six months ended June 30, 2021, as compared to the significant accounting policies described in Note 2 of the "Notes to the Financial Statements" in the Company's audited financial statements included in its Annual Report on Form 10-K for the fiscal year ended December 31, 2020.</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40" w:firstLine="1134"/>
        <w:spacing w:after="0" w:line="272"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 Update (“ASU”) No. 2016-2,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842”</w:t>
      </w:r>
      <w:r>
        <w:rPr>
          <w:rFonts w:ascii="Arial" w:cs="Arial" w:eastAsia="Arial" w:hAnsi="Arial"/>
          <w:sz w:val="17"/>
          <w:szCs w:val="17"/>
          <w:color w:val="auto"/>
        </w:rPr>
        <w:t>), which requires an entity to recognize assets and liabilities arising from a lease for both financing and operating leases. For public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2016-2 is effective for fiscal years beginning after December 15, 2018. The ASU will also require new qualitative and quantitative disclosures to help investors and other financial statement users better understand the amount, timing, and uncertainty of cash flows arising from leases. As a result of the Company's ceasing to be an emerging growth company on December 31, 2021, Topic 842 will be effective for the Company for its Annual Report on Form 10-K for the year ending December 31, 2021 and interim periods thereafter. The Company is currently in the process of evaluating the impact of the adoption of ASU No. 2016-2 on the Company’s financial statements.</w:t>
      </w:r>
    </w:p>
    <w:p>
      <w:pPr>
        <w:spacing w:after="0" w:line="177" w:lineRule="exact"/>
        <w:rPr>
          <w:sz w:val="20"/>
          <w:szCs w:val="20"/>
          <w:color w:val="auto"/>
        </w:rPr>
      </w:pPr>
    </w:p>
    <w:p>
      <w:pPr>
        <w:ind w:right="80" w:firstLine="1134"/>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The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color w:val="auto"/>
        </w:rPr>
        <w:t>. The new standard amends guidance on measuring and reporting credit losses for financial assets held at amortized cost basis,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accounts receivable and investments classified as available for sale, such as our debt securities. This ASU requires a new forward-looking model based on expected credit losses rather than the current one based on incurred losses. As a result of the Company's ceasing to be an emerging growth company on December 31, 2021, this standard will be effective for the Company for its Annual Report on Form 10-K for the year ending December 31, 2021 and interim periods thereafter as a result of the Company's expectation that it will cease being an emerging growth company on December 31, 2021. The Company is currently in the process of evaluating the impact of the adoption of ASU 2016-13 on the Company’s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w:t>
      </w:r>
    </w:p>
    <w:p>
      <w:pPr>
        <w:spacing w:after="0" w:line="121" w:lineRule="exact"/>
        <w:rPr>
          <w:sz w:val="20"/>
          <w:szCs w:val="20"/>
          <w:color w:val="auto"/>
        </w:rPr>
      </w:pPr>
    </w:p>
    <w:p>
      <w:pPr>
        <w:ind w:right="20" w:firstLine="1134"/>
        <w:spacing w:after="0" w:line="273" w:lineRule="auto"/>
        <w:rPr>
          <w:sz w:val="20"/>
          <w:szCs w:val="20"/>
          <w:color w:val="auto"/>
        </w:rPr>
      </w:pPr>
      <w:r>
        <w:rPr>
          <w:rFonts w:ascii="Arial" w:cs="Arial" w:eastAsia="Arial" w:hAnsi="Arial"/>
          <w:sz w:val="17"/>
          <w:szCs w:val="17"/>
          <w:color w:val="auto"/>
        </w:rPr>
        <w:t>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The Company’s short-term investments classified as available-for-sale are carried at fair market value with unrealized losses or income recognized in other comprehensive income (loss).</w:t>
      </w:r>
    </w:p>
    <w:p>
      <w:pPr>
        <w:spacing w:after="0" w:line="178" w:lineRule="exact"/>
        <w:rPr>
          <w:sz w:val="20"/>
          <w:szCs w:val="20"/>
          <w:color w:val="auto"/>
        </w:rPr>
      </w:pPr>
    </w:p>
    <w:p>
      <w:pPr>
        <w:ind w:firstLine="1134"/>
        <w:spacing w:after="0" w:line="301" w:lineRule="auto"/>
        <w:rPr>
          <w:sz w:val="20"/>
          <w:szCs w:val="20"/>
          <w:color w:val="auto"/>
        </w:rPr>
      </w:pPr>
      <w:r>
        <w:rPr>
          <w:rFonts w:ascii="Arial" w:cs="Arial" w:eastAsia="Arial" w:hAnsi="Arial"/>
          <w:sz w:val="16"/>
          <w:szCs w:val="16"/>
          <w:color w:val="auto"/>
        </w:rPr>
        <w:t>The Company’s cash equivalent Money Market Funds are classified as Level 1 because they are valued using quoted market prices. The fair value of the Company’s U.S. Treasury securities, U.S. government agency securities and corporate debt securities are classified as Level 2 because they are valued using observable inputs to quoted market prices, benchmark yields, reported trades, broker/dealer quotes or alternative pricing sources with reasonable levels of price transparency and include U.S. government agency securities, U.S. Treasury securities and corporate debt securities.</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There were no Level 3 assets or liabilities as of June 30, 2021 and as of December 31, 2020.</w:t>
      </w:r>
    </w:p>
    <w:p>
      <w:pPr>
        <w:spacing w:after="0" w:line="225" w:lineRule="exact"/>
        <w:rPr>
          <w:sz w:val="20"/>
          <w:szCs w:val="20"/>
          <w:color w:val="auto"/>
        </w:rPr>
      </w:pPr>
    </w:p>
    <w:p>
      <w:pPr>
        <w:ind w:right="480" w:firstLine="1134"/>
        <w:spacing w:after="0" w:line="277" w:lineRule="auto"/>
        <w:rPr>
          <w:sz w:val="20"/>
          <w:szCs w:val="20"/>
          <w:color w:val="auto"/>
        </w:rPr>
      </w:pPr>
      <w:r>
        <w:rPr>
          <w:rFonts w:ascii="Arial" w:cs="Arial" w:eastAsia="Arial" w:hAnsi="Arial"/>
          <w:sz w:val="18"/>
          <w:szCs w:val="18"/>
          <w:color w:val="auto"/>
        </w:rPr>
        <w:t>The following tables show the Company’s cash and cash equivalents, Money Market Funds and short-term investments by significant investment category as of June 30, 2021 and December 31, 2020 (in thousands):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As of June 30, 2021</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Adjusted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000" w:type="dxa"/>
            <w:vAlign w:val="bottom"/>
          </w:tcPr>
          <w:p>
            <w:pPr>
              <w:jc w:val="center"/>
              <w:ind w:left="259"/>
              <w:spacing w:after="0" w:line="135"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000" w:type="dxa"/>
            <w:vAlign w:val="bottom"/>
          </w:tcPr>
          <w:p>
            <w:pPr>
              <w:jc w:val="center"/>
              <w:ind w:left="239"/>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7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56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Level 1:</w:t>
            </w: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23,568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23,568</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Level 2:</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U.S. Treasury securities included in short-term investments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7,533</w:t>
            </w:r>
          </w:p>
        </w:tc>
        <w:tc>
          <w:tcPr>
            <w:tcW w:w="0" w:type="dxa"/>
            <w:vAlign w:val="bottom"/>
          </w:tcPr>
          <w:p>
            <w:pPr>
              <w:spacing w:after="0"/>
              <w:rPr>
                <w:sz w:val="1"/>
                <w:szCs w:val="1"/>
                <w:color w:val="auto"/>
              </w:rPr>
            </w:pPr>
          </w:p>
        </w:tc>
      </w:tr>
      <w:tr>
        <w:trPr>
          <w:trHeight w:val="176"/>
        </w:trPr>
        <w:tc>
          <w:tcPr>
            <w:tcW w:w="5600" w:type="dxa"/>
            <w:vAlign w:val="bottom"/>
            <w:shd w:val="clear" w:color="auto" w:fill="CFF0FC"/>
          </w:tcPr>
          <w:p>
            <w:pPr>
              <w:ind w:left="220"/>
              <w:spacing w:after="0" w:line="176" w:lineRule="exact"/>
              <w:rPr>
                <w:sz w:val="20"/>
                <w:szCs w:val="20"/>
                <w:color w:val="auto"/>
              </w:rPr>
            </w:pPr>
            <w:r>
              <w:rPr>
                <w:rFonts w:ascii="Arial" w:cs="Arial" w:eastAsia="Arial" w:hAnsi="Arial"/>
                <w:sz w:val="18"/>
                <w:szCs w:val="18"/>
                <w:color w:val="auto"/>
                <w:w w:val="91"/>
              </w:rPr>
              <w:t>U.S. government agency securities included in cash and cash equivalents</w:t>
            </w:r>
          </w:p>
        </w:tc>
        <w:tc>
          <w:tcPr>
            <w:tcW w:w="24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19,028</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40" w:type="dxa"/>
            <w:vAlign w:val="bottom"/>
            <w:gridSpan w:val="2"/>
            <w:vMerge w:val="restart"/>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19,033</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and short-term investments</w:t>
            </w:r>
          </w:p>
        </w:tc>
        <w:tc>
          <w:tcPr>
            <w:tcW w:w="24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4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00" w:type="dxa"/>
            <w:vAlign w:val="bottom"/>
          </w:tcPr>
          <w:p>
            <w:pPr>
              <w:ind w:left="220"/>
              <w:spacing w:after="0" w:line="176" w:lineRule="exact"/>
              <w:rPr>
                <w:sz w:val="20"/>
                <w:szCs w:val="20"/>
                <w:color w:val="auto"/>
              </w:rPr>
            </w:pPr>
            <w:r>
              <w:rPr>
                <w:rFonts w:ascii="Arial" w:cs="Arial" w:eastAsia="Arial" w:hAnsi="Arial"/>
                <w:sz w:val="18"/>
                <w:szCs w:val="18"/>
                <w:color w:val="auto"/>
                <w:w w:val="90"/>
              </w:rPr>
              <w:t>Corporate debt securities included in cash and cash equivalents and short-</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183,684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183,648</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FF0FC"/>
            </w:tcBorders>
          </w:tcPr>
          <w:p>
            <w:pPr>
              <w:ind w:left="400"/>
              <w:spacing w:after="0"/>
              <w:rPr>
                <w:sz w:val="20"/>
                <w:szCs w:val="20"/>
                <w:color w:val="auto"/>
              </w:rPr>
            </w:pPr>
            <w:r>
              <w:rPr>
                <w:rFonts w:ascii="Arial" w:cs="Arial" w:eastAsia="Arial" w:hAnsi="Arial"/>
                <w:sz w:val="18"/>
                <w:szCs w:val="18"/>
                <w:color w:val="auto"/>
              </w:rPr>
              <w:t>term investments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233,812</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(47)</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233,782</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As of December 31, 2020</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Adjusted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000" w:type="dxa"/>
            <w:vAlign w:val="bottom"/>
          </w:tcPr>
          <w:p>
            <w:pPr>
              <w:jc w:val="center"/>
              <w:ind w:left="259"/>
              <w:spacing w:after="0" w:line="135"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000" w:type="dxa"/>
            <w:vAlign w:val="bottom"/>
          </w:tcPr>
          <w:p>
            <w:pPr>
              <w:jc w:val="center"/>
              <w:ind w:left="239"/>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7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56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Level 1:</w:t>
            </w: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27,686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27,686</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Level 2:</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20"/>
              <w:spacing w:after="0"/>
              <w:rPr>
                <w:sz w:val="20"/>
                <w:szCs w:val="20"/>
                <w:color w:val="auto"/>
              </w:rPr>
            </w:pPr>
            <w:r>
              <w:rPr>
                <w:rFonts w:ascii="Arial" w:cs="Arial" w:eastAsia="Arial" w:hAnsi="Arial"/>
                <w:sz w:val="18"/>
                <w:szCs w:val="18"/>
                <w:color w:val="auto"/>
              </w:rPr>
              <w:t>U.S. Treasury securities included in short-term investments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63,104</w:t>
            </w:r>
          </w:p>
        </w:tc>
        <w:tc>
          <w:tcPr>
            <w:tcW w:w="0" w:type="dxa"/>
            <w:vAlign w:val="bottom"/>
          </w:tcPr>
          <w:p>
            <w:pPr>
              <w:spacing w:after="0"/>
              <w:rPr>
                <w:sz w:val="1"/>
                <w:szCs w:val="1"/>
                <w:color w:val="auto"/>
              </w:rPr>
            </w:pPr>
          </w:p>
        </w:tc>
      </w:tr>
      <w:tr>
        <w:trPr>
          <w:trHeight w:val="175"/>
        </w:trPr>
        <w:tc>
          <w:tcPr>
            <w:tcW w:w="5600" w:type="dxa"/>
            <w:vAlign w:val="bottom"/>
            <w:shd w:val="clear" w:color="auto" w:fill="CFF0FC"/>
          </w:tcPr>
          <w:p>
            <w:pPr>
              <w:ind w:left="220"/>
              <w:spacing w:after="0" w:line="176" w:lineRule="exact"/>
              <w:rPr>
                <w:sz w:val="20"/>
                <w:szCs w:val="20"/>
                <w:color w:val="auto"/>
              </w:rPr>
            </w:pPr>
            <w:r>
              <w:rPr>
                <w:rFonts w:ascii="Arial" w:cs="Arial" w:eastAsia="Arial" w:hAnsi="Arial"/>
                <w:sz w:val="18"/>
                <w:szCs w:val="18"/>
                <w:color w:val="auto"/>
                <w:w w:val="91"/>
              </w:rPr>
              <w:t>U.S. government agency securities included in cash and cash equivalents</w:t>
            </w:r>
          </w:p>
        </w:tc>
        <w:tc>
          <w:tcPr>
            <w:tcW w:w="24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54,183</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40" w:type="dxa"/>
            <w:vAlign w:val="bottom"/>
            <w:gridSpan w:val="2"/>
            <w:vMerge w:val="restart"/>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54,193</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and short-term investments</w:t>
            </w:r>
          </w:p>
        </w:tc>
        <w:tc>
          <w:tcPr>
            <w:tcW w:w="24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4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00" w:type="dxa"/>
            <w:vAlign w:val="bottom"/>
          </w:tcPr>
          <w:p>
            <w:pPr>
              <w:ind w:left="220"/>
              <w:spacing w:after="0" w:line="176" w:lineRule="exact"/>
              <w:rPr>
                <w:sz w:val="20"/>
                <w:szCs w:val="20"/>
                <w:color w:val="auto"/>
              </w:rPr>
            </w:pPr>
            <w:r>
              <w:rPr>
                <w:rFonts w:ascii="Arial" w:cs="Arial" w:eastAsia="Arial" w:hAnsi="Arial"/>
                <w:sz w:val="18"/>
                <w:szCs w:val="18"/>
                <w:color w:val="auto"/>
                <w:w w:val="90"/>
              </w:rPr>
              <w:t>Corporate debt securities included in cash and cash equivalents and short-</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118,759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118,714</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term investments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263,697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80" w:firstLine="1134"/>
        <w:spacing w:after="0" w:line="277" w:lineRule="auto"/>
        <w:rPr>
          <w:sz w:val="20"/>
          <w:szCs w:val="20"/>
          <w:color w:val="auto"/>
        </w:rPr>
      </w:pPr>
      <w:r>
        <w:rPr>
          <w:rFonts w:ascii="Arial" w:cs="Arial" w:eastAsia="Arial" w:hAnsi="Arial"/>
          <w:sz w:val="18"/>
          <w:szCs w:val="18"/>
          <w:color w:val="auto"/>
        </w:rPr>
        <w:t>The Company may sell certain of its short-term securities prior to their stated maturities for reasons including, but not limited to, managing liquidity, credit risk, duration and asset allocation.</w:t>
      </w:r>
    </w:p>
    <w:p>
      <w:pPr>
        <w:spacing w:after="0" w:line="170" w:lineRule="exact"/>
        <w:rPr>
          <w:sz w:val="20"/>
          <w:szCs w:val="20"/>
          <w:color w:val="auto"/>
        </w:rPr>
      </w:pPr>
    </w:p>
    <w:p>
      <w:pPr>
        <w:ind w:right="280" w:firstLine="1134"/>
        <w:spacing w:after="0" w:line="263" w:lineRule="auto"/>
        <w:rPr>
          <w:sz w:val="20"/>
          <w:szCs w:val="20"/>
          <w:color w:val="auto"/>
        </w:rPr>
      </w:pPr>
      <w:r>
        <w:rPr>
          <w:rFonts w:ascii="Arial" w:cs="Arial" w:eastAsia="Arial" w:hAnsi="Arial"/>
          <w:sz w:val="18"/>
          <w:szCs w:val="18"/>
          <w:color w:val="auto"/>
        </w:rPr>
        <w:t>There were no liabilities measured at fair value on a recurring basis as of June 30, 2021 and December 31, 2020. There have been no transfers between fair value measurement levels during the six months ended months ended June 30, 2021 and 2020. In addition, there were no assets or liabilities measured at fair value on a non-recurring basis as of June 30, 2021 and December 31, 2020.</w:t>
      </w:r>
    </w:p>
    <w:p>
      <w:pPr>
        <w:spacing w:after="0" w:line="184" w:lineRule="exact"/>
        <w:rPr>
          <w:sz w:val="20"/>
          <w:szCs w:val="20"/>
          <w:color w:val="auto"/>
        </w:rPr>
      </w:pPr>
    </w:p>
    <w:p>
      <w:pPr>
        <w:ind w:firstLine="1134"/>
        <w:spacing w:after="0" w:line="275" w:lineRule="auto"/>
        <w:rPr>
          <w:sz w:val="20"/>
          <w:szCs w:val="20"/>
          <w:color w:val="auto"/>
        </w:rPr>
      </w:pPr>
      <w:r>
        <w:rPr>
          <w:rFonts w:ascii="Arial" w:cs="Arial" w:eastAsia="Arial" w:hAnsi="Arial"/>
          <w:sz w:val="17"/>
          <w:szCs w:val="17"/>
          <w:color w:val="auto"/>
        </w:rPr>
        <w:t>As of June 30, 2021, the Company had not recorded any impairment related to other-than-temporary declines in the fair value of short-term investments. Short-term investments are considered impaired when a decline in fair value is judged to be other-than-temporary. The Company consults with its investment managers and considers available quantitative and qualitative evidence in evaluating potential impairment of its short-term investments on a quarterly basis. If the cost of an individual investment exceeds its fair value, the Company evaluates, among other factors, general market conditions, the duration and extent to which the fair value is less than cost and its intent and ability to hold the investment.</w:t>
      </w:r>
    </w:p>
    <w:p>
      <w:pPr>
        <w:spacing w:after="0" w:line="176" w:lineRule="exact"/>
        <w:rPr>
          <w:sz w:val="20"/>
          <w:szCs w:val="20"/>
          <w:color w:val="auto"/>
        </w:rPr>
      </w:pPr>
    </w:p>
    <w:p>
      <w:pPr>
        <w:ind w:right="200" w:firstLine="1134"/>
        <w:spacing w:after="0" w:line="342" w:lineRule="auto"/>
        <w:rPr>
          <w:sz w:val="20"/>
          <w:szCs w:val="20"/>
          <w:color w:val="auto"/>
        </w:rPr>
      </w:pPr>
      <w:r>
        <w:rPr>
          <w:rFonts w:ascii="Arial" w:cs="Arial" w:eastAsia="Arial" w:hAnsi="Arial"/>
          <w:sz w:val="16"/>
          <w:szCs w:val="16"/>
          <w:color w:val="auto"/>
        </w:rPr>
        <w:t>The Company records interest income and accretion income earned on Money Market Funds and U.S. Treasury, U.S. government agency and corporate debt securities to interest and other income (expense), net in its condensed statement of operations and comprehensive income (loss).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4"/>
                <w:szCs w:val="14"/>
                <w:color w:val="auto"/>
              </w:rPr>
            </w:pPr>
          </w:p>
        </w:tc>
        <w:tc>
          <w:tcPr>
            <w:tcW w:w="124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As of</w:t>
            </w:r>
          </w:p>
        </w:tc>
      </w:tr>
      <w:tr>
        <w:trPr>
          <w:trHeight w:val="135"/>
        </w:trPr>
        <w:tc>
          <w:tcPr>
            <w:tcW w:w="8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1"/>
                <w:szCs w:val="11"/>
                <w:color w:val="auto"/>
              </w:rPr>
            </w:pPr>
          </w:p>
        </w:tc>
        <w:tc>
          <w:tcPr>
            <w:tcW w:w="1240" w:type="dxa"/>
            <w:vAlign w:val="bottom"/>
          </w:tcPr>
          <w:p>
            <w:pPr>
              <w:jc w:val="center"/>
              <w:ind w:right="115"/>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88"/>
        </w:trPr>
        <w:tc>
          <w:tcPr>
            <w:tcW w:w="824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 and software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6,540</w:t>
            </w: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r>
      <w:tr>
        <w:trPr>
          <w:trHeight w:val="230"/>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Construction-in-progress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8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property and equipment</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7,809</w:t>
            </w:r>
          </w:p>
        </w:tc>
      </w:tr>
      <w:tr>
        <w:trPr>
          <w:trHeight w:val="230"/>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w:t>
            </w:r>
          </w:p>
        </w:tc>
      </w:tr>
      <w:tr>
        <w:trPr>
          <w:trHeight w:val="248"/>
        </w:trPr>
        <w:tc>
          <w:tcPr>
            <w:tcW w:w="82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property and equipment, net</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4,367</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4,321</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340" w:firstLine="1134"/>
        <w:spacing w:after="0" w:line="277" w:lineRule="auto"/>
        <w:rPr>
          <w:sz w:val="20"/>
          <w:szCs w:val="20"/>
          <w:color w:val="auto"/>
        </w:rPr>
      </w:pPr>
      <w:r>
        <w:rPr>
          <w:rFonts w:ascii="Arial" w:cs="Arial" w:eastAsia="Arial" w:hAnsi="Arial"/>
          <w:sz w:val="18"/>
          <w:szCs w:val="18"/>
          <w:color w:val="auto"/>
        </w:rPr>
        <w:t>Depreciation expense for the three months ended June 30, 2021 and 2020 was $0.4 million and $0.3 million, respectively. Depreciation expense for the six months ended June 30, 2021 and 2020 was $0.7 million and $0.6 million,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 and Other Long-Term Liabilities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1"/>
                <w:szCs w:val="11"/>
                <w:color w:val="auto"/>
              </w:rPr>
            </w:pPr>
          </w:p>
        </w:tc>
        <w:tc>
          <w:tcPr>
            <w:tcW w:w="124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accrued liabilities</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Deferred rent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accrued liabilities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8,168</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9,576</w:t>
            </w:r>
          </w:p>
        </w:tc>
        <w:tc>
          <w:tcPr>
            <w:tcW w:w="0" w:type="dxa"/>
            <w:vAlign w:val="bottom"/>
          </w:tcPr>
          <w:p>
            <w:pPr>
              <w:spacing w:after="0"/>
              <w:rPr>
                <w:sz w:val="1"/>
                <w:szCs w:val="1"/>
                <w:color w:val="auto"/>
              </w:rPr>
            </w:pPr>
          </w:p>
        </w:tc>
      </w:tr>
      <w:tr>
        <w:trPr>
          <w:trHeight w:val="20"/>
        </w:trPr>
        <w:tc>
          <w:tcPr>
            <w:tcW w:w="8240" w:type="dxa"/>
            <w:vAlign w:val="bottom"/>
            <w:tcBorders>
              <w:top w:val="single" w:sz="8" w:color="CFF0FC"/>
              <w:bottom w:val="single" w:sz="8" w:color="CFF0FC"/>
            </w:tcBorders>
            <w:vMerge w:val="restart"/>
          </w:tcPr>
          <w:p>
            <w:pPr>
              <w:ind w:left="1140"/>
              <w:spacing w:after="0"/>
              <w:rPr>
                <w:sz w:val="20"/>
                <w:szCs w:val="20"/>
                <w:color w:val="auto"/>
              </w:rPr>
            </w:pPr>
            <w:r>
              <w:rPr>
                <w:rFonts w:ascii="Arial" w:cs="Arial" w:eastAsia="Arial" w:hAnsi="Arial"/>
                <w:sz w:val="18"/>
                <w:szCs w:val="18"/>
                <w:color w:val="auto"/>
                <w:w w:val="92"/>
              </w:rPr>
              <w:t>Accrued compensation and benefits consist primarily of accrued bonuses and accrued vacation.</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240" w:type="dxa"/>
            <w:vAlign w:val="bottom"/>
          </w:tcPr>
          <w:p>
            <w:pPr>
              <w:ind w:left="500"/>
              <w:spacing w:after="0"/>
              <w:rPr>
                <w:sz w:val="20"/>
                <w:szCs w:val="20"/>
                <w:color w:val="auto"/>
              </w:rPr>
            </w:pPr>
            <w:r>
              <w:rPr>
                <w:rFonts w:ascii="Arial" w:cs="Arial" w:eastAsia="Arial" w:hAnsi="Arial"/>
                <w:sz w:val="18"/>
                <w:szCs w:val="18"/>
                <w:b w:val="1"/>
                <w:bCs w:val="1"/>
                <w:i w:val="1"/>
                <w:iCs w:val="1"/>
                <w:color w:val="auto"/>
              </w:rPr>
              <w:t>Other Long-Term Liabilities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40" w:type="dxa"/>
            <w:vAlign w:val="bottom"/>
          </w:tcPr>
          <w:p>
            <w:pPr>
              <w:ind w:left="1140"/>
              <w:spacing w:after="0"/>
              <w:rPr>
                <w:sz w:val="20"/>
                <w:szCs w:val="20"/>
                <w:color w:val="auto"/>
              </w:rPr>
            </w:pPr>
            <w:r>
              <w:rPr>
                <w:rFonts w:ascii="Arial" w:cs="Arial" w:eastAsia="Arial" w:hAnsi="Arial"/>
                <w:sz w:val="18"/>
                <w:szCs w:val="18"/>
                <w:color w:val="auto"/>
              </w:rPr>
              <w:t>Other long-term liabilities consisted of the following (in thousands):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21"/>
                <w:szCs w:val="21"/>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1"/>
                <w:szCs w:val="11"/>
                <w:color w:val="auto"/>
              </w:rPr>
            </w:pPr>
          </w:p>
        </w:tc>
        <w:tc>
          <w:tcPr>
            <w:tcW w:w="124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rent</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Leasehold incentive obligation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liabilities — deposits</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Arial" w:cs="Arial" w:eastAsia="Arial" w:hAnsi="Arial"/>
                <w:sz w:val="18"/>
                <w:szCs w:val="18"/>
                <w:color w:val="auto"/>
              </w:rPr>
              <w:t>Total other long-term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Novartis Collaboration and License Agreement (the "Novartis Agreement")</w:t>
      </w:r>
    </w:p>
    <w:p>
      <w:pPr>
        <w:spacing w:after="0" w:line="121" w:lineRule="exact"/>
        <w:rPr>
          <w:sz w:val="20"/>
          <w:szCs w:val="20"/>
          <w:color w:val="auto"/>
        </w:rPr>
      </w:pPr>
    </w:p>
    <w:p>
      <w:pPr>
        <w:ind w:firstLine="1134"/>
        <w:spacing w:after="0" w:line="254" w:lineRule="auto"/>
        <w:rPr>
          <w:sz w:val="20"/>
          <w:szCs w:val="20"/>
          <w:color w:val="auto"/>
        </w:rPr>
      </w:pPr>
      <w:r>
        <w:rPr>
          <w:rFonts w:ascii="Arial" w:cs="Arial" w:eastAsia="Arial" w:hAnsi="Arial"/>
          <w:sz w:val="18"/>
          <w:szCs w:val="18"/>
          <w:color w:val="auto"/>
        </w:rPr>
        <w:t>In 2019, we entered into the Novartis Agreement for the development and commercialization of our preclinical product candidate, PLN-1474 and up to three additional integrin research targets. PLN-1474 is an internally discovered small molecule selective inhibitor of integrin α</w:t>
      </w:r>
      <w:r>
        <w:rPr>
          <w:rFonts w:ascii="Arial" w:cs="Arial" w:eastAsia="Arial" w:hAnsi="Arial"/>
          <w:sz w:val="16"/>
          <w:szCs w:val="16"/>
          <w:color w:val="auto"/>
        </w:rPr>
        <w:t>v</w:t>
      </w:r>
      <w:r>
        <w:rPr>
          <w:rFonts w:ascii="Arial" w:cs="Arial" w:eastAsia="Arial" w:hAnsi="Arial"/>
          <w:sz w:val="18"/>
          <w:szCs w:val="18"/>
          <w:color w:val="auto"/>
        </w:rPr>
        <w:t>ß1, currently being developed for the treatment of liver fibrosis associated with nonalcoholic steatohepatitis (“NASH”). Pursuant to the agreement, we received an upfront, non-refundable license fee of $50.0 million and were eligible to receive additional payments of $416.0 million contingent upon achievement of specified research, development, regulatory and commercial events and royalties on world-wide net sales thereafter. Additionally, Novartis is funding up to $19.6 million associated with research and development services for PLN-1474 and up to $13.4 million for research and development services on the integrin research targets.</w:t>
      </w:r>
    </w:p>
    <w:p>
      <w:pPr>
        <w:sectPr>
          <w:pgSz w:w="11900" w:h="16838" w:orient="portrait"/>
          <w:cols w:equalWidth="0" w:num="1">
            <w:col w:w="11220"/>
          </w:cols>
          <w:pgMar w:left="320" w:top="1215" w:right="35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type w:val="continuous"/>
        </w:sectPr>
      </w:pPr>
    </w:p>
    <w:bookmarkStart w:id="15" w:name="page16"/>
    <w:bookmarkEnd w:id="15"/>
    <w:p>
      <w:pPr>
        <w:ind w:right="240" w:firstLine="1134"/>
        <w:spacing w:after="0" w:line="259" w:lineRule="auto"/>
        <w:rPr>
          <w:sz w:val="20"/>
          <w:szCs w:val="20"/>
          <w:color w:val="auto"/>
        </w:rPr>
      </w:pPr>
      <w:r>
        <w:rPr>
          <w:rFonts w:ascii="Arial" w:cs="Arial" w:eastAsia="Arial" w:hAnsi="Arial"/>
          <w:sz w:val="18"/>
          <w:szCs w:val="18"/>
          <w:color w:val="auto"/>
        </w:rPr>
        <w:t>To date, we have received $25.0 million in contingent payments and $391.0 million remain eligible for achievement. No contingent payments were recognized during the three and six months ended June 30, 2021 and one contingent payment of $25.0 million was recognized in the first quarter of 2020. Revenues for research and development services for the three and six months ended June 30, 2021 and 2020 were $1.8 million and $4.0 million, and $3.6 million and $32.5 million, respectively.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Regents of the University of California License Agreement (the "UC Agreement")</w:t>
      </w:r>
    </w:p>
    <w:p>
      <w:pPr>
        <w:spacing w:after="0" w:line="121" w:lineRule="exact"/>
        <w:rPr>
          <w:sz w:val="20"/>
          <w:szCs w:val="20"/>
          <w:color w:val="auto"/>
        </w:rPr>
      </w:pPr>
    </w:p>
    <w:p>
      <w:pPr>
        <w:ind w:right="100" w:firstLine="1134"/>
        <w:spacing w:after="0" w:line="257" w:lineRule="auto"/>
        <w:rPr>
          <w:sz w:val="20"/>
          <w:szCs w:val="20"/>
          <w:color w:val="auto"/>
        </w:rPr>
      </w:pPr>
      <w:r>
        <w:rPr>
          <w:rFonts w:ascii="Arial" w:cs="Arial" w:eastAsia="Arial" w:hAnsi="Arial"/>
          <w:sz w:val="18"/>
          <w:szCs w:val="18"/>
          <w:color w:val="auto"/>
        </w:rPr>
        <w:t>In 2015, we entered into the UC Agreement to obtain an exclusive, worldwide license relating to the use of certain patents and technology relating to α</w:t>
      </w:r>
      <w:r>
        <w:rPr>
          <w:rFonts w:ascii="Arial" w:cs="Arial" w:eastAsia="Arial" w:hAnsi="Arial"/>
          <w:sz w:val="16"/>
          <w:szCs w:val="16"/>
          <w:color w:val="auto"/>
        </w:rPr>
        <w:t>v</w:t>
      </w:r>
      <w:r>
        <w:rPr>
          <w:rFonts w:ascii="Arial" w:cs="Arial" w:eastAsia="Arial" w:hAnsi="Arial"/>
          <w:sz w:val="18"/>
          <w:szCs w:val="18"/>
          <w:color w:val="auto"/>
        </w:rPr>
        <w:t>ß1 compound in fibrosis indications. Pursuant to the UC Agreement, we made a $2.4 million milestone payment upon the close of our IPO in June 2020. Subsequently, we determined the licensed technology was no longer relevant to the development of our product candidates and, therefore, we exercised our right to terminate the UC Agreement which became effective in the first quarter of 2021. No further obligations or financial commitments survive the termination.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Adimab Development and Option Agreement (the "Adimab Agreement")</w:t>
      </w:r>
    </w:p>
    <w:p>
      <w:pPr>
        <w:spacing w:after="0" w:line="121" w:lineRule="exact"/>
        <w:rPr>
          <w:sz w:val="20"/>
          <w:szCs w:val="20"/>
          <w:color w:val="auto"/>
        </w:rPr>
      </w:pPr>
    </w:p>
    <w:p>
      <w:pPr>
        <w:ind w:right="60" w:firstLine="1134"/>
        <w:spacing w:after="0" w:line="273" w:lineRule="auto"/>
        <w:rPr>
          <w:sz w:val="20"/>
          <w:szCs w:val="20"/>
          <w:color w:val="auto"/>
        </w:rPr>
      </w:pPr>
      <w:r>
        <w:rPr>
          <w:rFonts w:ascii="Arial" w:cs="Arial" w:eastAsia="Arial" w:hAnsi="Arial"/>
          <w:sz w:val="17"/>
          <w:szCs w:val="17"/>
          <w:color w:val="auto"/>
        </w:rPr>
        <w:t>In 2018, we entered into a development and option agreement with Adimab, LLC (“Adimab”) for the discovery and optimization of proprietary antibodies as potential therapeutic product candidates. Under the Adimab Agreement, we will select biological targets against which Adimab will use its proprietary platform technology to research and develop antibody proteins using a mutually agreed upon research plan. We are required to pay Adimab an agreed upon rate for its full-time employees during the discovery period while Adimab performs research on each target under the applicable research plan. We have an exclusive option to obtain a worldwide, royalty-bearing, sublicensable license under Adimab platform patents and other Adimab technology to research, develop and commercialize up to 24 antibodies of our selection.</w:t>
      </w:r>
    </w:p>
    <w:p>
      <w:pPr>
        <w:spacing w:after="0" w:line="70" w:lineRule="exact"/>
        <w:rPr>
          <w:sz w:val="20"/>
          <w:szCs w:val="20"/>
          <w:color w:val="auto"/>
        </w:rPr>
      </w:pPr>
    </w:p>
    <w:p>
      <w:pPr>
        <w:ind w:right="360" w:firstLine="1134"/>
        <w:spacing w:after="0" w:line="263" w:lineRule="auto"/>
        <w:rPr>
          <w:sz w:val="20"/>
          <w:szCs w:val="20"/>
          <w:color w:val="auto"/>
        </w:rPr>
      </w:pPr>
      <w:r>
        <w:rPr>
          <w:rFonts w:ascii="Arial" w:cs="Arial" w:eastAsia="Arial" w:hAnsi="Arial"/>
          <w:sz w:val="18"/>
          <w:szCs w:val="18"/>
          <w:color w:val="auto"/>
        </w:rPr>
        <w:t>As of June 30, 2021, we have not exercised our option to further develop any antibody proteins. During the three and six months ended June 30, 2021, we recognized research and development expenses under the Adimab Agreement of $28,000 related to full-time employee costs. The Company recognized costs of $37,000 during the three and six months ended June 30, 2020.</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Redeemable Convertible Preferred Stock</w:t>
      </w:r>
    </w:p>
    <w:p>
      <w:pPr>
        <w:spacing w:after="0" w:line="121" w:lineRule="exact"/>
        <w:rPr>
          <w:sz w:val="20"/>
          <w:szCs w:val="20"/>
          <w:color w:val="auto"/>
        </w:rPr>
      </w:pPr>
    </w:p>
    <w:p>
      <w:pPr>
        <w:ind w:firstLine="1134"/>
        <w:spacing w:after="0" w:line="296" w:lineRule="auto"/>
        <w:rPr>
          <w:sz w:val="20"/>
          <w:szCs w:val="20"/>
          <w:color w:val="auto"/>
        </w:rPr>
      </w:pPr>
      <w:r>
        <w:rPr>
          <w:rFonts w:ascii="Arial" w:cs="Arial" w:eastAsia="Arial" w:hAnsi="Arial"/>
          <w:sz w:val="16"/>
          <w:szCs w:val="16"/>
          <w:color w:val="auto"/>
        </w:rPr>
        <w:t>Under the Company’s Amended and Restated Certificate of Incorporation (“Certificate of Incorporation”), the Company is authorized to issue two classes of shares: preferred and common stock. The preferred stock may be issued in series, and the Company’s board of directors is authorized to determine the rights, preferences, and terms of each series. These rights preferences and terms could include dividend rights, conversion rights, voting rights, terms of redemptions, liquidation preferences and sinking fund terms. As a result of the IPO in June 2020, in which all then outstanding convertible preferred stock was converted into shares of common stock of the Company, there are no outstanding shares of preferred stock as of June 30,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ind w:right="180" w:firstLine="1134"/>
        <w:spacing w:after="0" w:line="277" w:lineRule="auto"/>
        <w:rPr>
          <w:sz w:val="20"/>
          <w:szCs w:val="20"/>
          <w:color w:val="auto"/>
        </w:rPr>
      </w:pPr>
      <w:r>
        <w:rPr>
          <w:rFonts w:ascii="Arial" w:cs="Arial" w:eastAsia="Arial" w:hAnsi="Arial"/>
          <w:sz w:val="18"/>
          <w:szCs w:val="18"/>
          <w:color w:val="auto"/>
        </w:rPr>
        <w:t>As of June 30, 2021 and December 31, 2020, the Company was authorized to issue 300,000,000 shares of common stock at a par value of $0.0001 per share. The common stock has the following rights and privileges:</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right="120" w:firstLine="1134"/>
        <w:spacing w:after="0" w:line="277"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any meeting of stockholders and at the time of any written action in lieu of a meeting.</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340" w:firstLine="1134"/>
        <w:spacing w:after="0" w:line="263" w:lineRule="auto"/>
        <w:rPr>
          <w:sz w:val="20"/>
          <w:szCs w:val="20"/>
          <w:color w:val="auto"/>
        </w:rPr>
      </w:pPr>
      <w:r>
        <w:rPr>
          <w:rFonts w:ascii="Arial" w:cs="Arial" w:eastAsia="Arial" w:hAnsi="Arial"/>
          <w:sz w:val="18"/>
          <w:szCs w:val="18"/>
          <w:color w:val="auto"/>
        </w:rPr>
        <w:t>The holders of shares of common stock are entitled to receive dividends, when declared by the Company’s board of directors. Cash dividends may not be declared or paid to holders of shares of common stock until all unpaid dividends on preferred stock have been paid in accordance with their terms. No dividends have been declared or paid by the Company since its inception.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ind w:left="50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right="80" w:firstLine="1134"/>
        <w:spacing w:after="0" w:line="263" w:lineRule="auto"/>
        <w:rPr>
          <w:sz w:val="20"/>
          <w:szCs w:val="20"/>
          <w:color w:val="auto"/>
        </w:rPr>
      </w:pPr>
      <w:r>
        <w:rPr>
          <w:rFonts w:ascii="Arial" w:cs="Arial" w:eastAsia="Arial" w:hAnsi="Arial"/>
          <w:sz w:val="18"/>
          <w:szCs w:val="18"/>
          <w:color w:val="auto"/>
        </w:rPr>
        <w:t>Subject to the preferential rights of holders of preferred stock then outstanding, the holders of shares of common stock are entitled to share ratably in the Company’s remaining assets available for distribution to its stockholders in the event of any voluntary or involuntary liquidation, dissolution or winding up of the Company.</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r>
      <w:tr>
        <w:trPr>
          <w:trHeight w:val="135"/>
        </w:trPr>
        <w:tc>
          <w:tcPr>
            <w:tcW w:w="824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June 30,</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86"/>
        </w:trPr>
        <w:tc>
          <w:tcPr>
            <w:tcW w:w="824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6"/>
        </w:trPr>
        <w:tc>
          <w:tcPr>
            <w:tcW w:w="8240" w:type="dxa"/>
            <w:vAlign w:val="bottom"/>
          </w:tcPr>
          <w:p>
            <w:pPr>
              <w:ind w:left="20"/>
              <w:spacing w:after="0"/>
              <w:rPr>
                <w:sz w:val="20"/>
                <w:szCs w:val="20"/>
                <w:color w:val="auto"/>
              </w:rPr>
            </w:pPr>
            <w:r>
              <w:rPr>
                <w:rFonts w:ascii="Arial" w:cs="Arial" w:eastAsia="Arial" w:hAnsi="Arial"/>
                <w:sz w:val="18"/>
                <w:szCs w:val="18"/>
                <w:color w:val="auto"/>
              </w:rPr>
              <w:t>Exercises of outstanding stock option awards</w:t>
            </w:r>
          </w:p>
        </w:tc>
        <w:tc>
          <w:tcPr>
            <w:tcW w:w="1440" w:type="dxa"/>
            <w:vAlign w:val="bottom"/>
          </w:tcPr>
          <w:p>
            <w:pPr>
              <w:jc w:val="right"/>
              <w:spacing w:after="0"/>
              <w:rPr>
                <w:sz w:val="20"/>
                <w:szCs w:val="20"/>
                <w:color w:val="auto"/>
              </w:rPr>
            </w:pPr>
            <w:r>
              <w:rPr>
                <w:rFonts w:ascii="Arial" w:cs="Arial" w:eastAsia="Arial" w:hAnsi="Arial"/>
                <w:sz w:val="18"/>
                <w:szCs w:val="18"/>
                <w:color w:val="auto"/>
              </w:rPr>
              <w:t>3,842,588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2,993,855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common stock available for future grants under the 2020 Equity Incentive Plan</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4,265,311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3,644,459</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of common stock available for future issuance under the 2020 ESPP</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640,234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reserved for future issuance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8,748,133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7,338,314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Incentive Plans and Stock-Based Compensation</w:t>
      </w:r>
    </w:p>
    <w:p>
      <w:pPr>
        <w:spacing w:after="0" w:line="121" w:lineRule="exact"/>
        <w:rPr>
          <w:sz w:val="20"/>
          <w:szCs w:val="20"/>
          <w:color w:val="auto"/>
        </w:rPr>
      </w:pPr>
    </w:p>
    <w:p>
      <w:pPr>
        <w:ind w:right="80" w:firstLine="1134"/>
        <w:spacing w:after="0" w:line="272" w:lineRule="auto"/>
        <w:rPr>
          <w:sz w:val="20"/>
          <w:szCs w:val="20"/>
          <w:color w:val="auto"/>
        </w:rPr>
      </w:pPr>
      <w:r>
        <w:rPr>
          <w:rFonts w:ascii="Arial" w:cs="Arial" w:eastAsia="Arial" w:hAnsi="Arial"/>
          <w:sz w:val="17"/>
          <w:szCs w:val="17"/>
          <w:color w:val="auto"/>
        </w:rPr>
        <w:t>In August 2015, the Company's board of directors adopted the 2015 Equity Incentive Plan (as amended, the “2015 Plan”), which provides for the grant of incentive stock options, nonqualified stock options or other awards including stock appreciation rights and restricted stock awards to the Company’s employees, officers, directors, advisors, and consultants for the purchase of up to 1.5 million shares of the Company’s common stock. In July 2018 and January 2019, the 2015 Plan was amended to increase the number of shares reserved thereunder by 1.0 million and 0.4 million shares, respectively. In March 2020, the Company’s board of directors and stockholders voted to increase the number of shares reserved for issuance under the 2015 Plan by 1.4 million shares. In May 2020, the board of directors adopted the 2020 Stock Options and Incentive Plan (the “2020 Plan”). The 2015 Plan was suspended and no further grants may be issued under the 2015 Plan.</w:t>
      </w:r>
    </w:p>
    <w:p>
      <w:pPr>
        <w:spacing w:after="0" w:line="69" w:lineRule="exact"/>
        <w:rPr>
          <w:sz w:val="20"/>
          <w:szCs w:val="20"/>
          <w:color w:val="auto"/>
        </w:rPr>
      </w:pPr>
    </w:p>
    <w:p>
      <w:pPr>
        <w:ind w:right="40" w:firstLine="1134"/>
        <w:spacing w:after="0" w:line="288" w:lineRule="auto"/>
        <w:rPr>
          <w:sz w:val="20"/>
          <w:szCs w:val="20"/>
          <w:color w:val="auto"/>
        </w:rPr>
      </w:pPr>
      <w:r>
        <w:rPr>
          <w:rFonts w:ascii="Arial" w:cs="Arial" w:eastAsia="Arial" w:hAnsi="Arial"/>
          <w:sz w:val="16"/>
          <w:szCs w:val="16"/>
          <w:color w:val="auto"/>
        </w:rPr>
        <w:t>The 2020 Plan provides for the grant of incentive stock options, nonqualified stock options or other awards including stock appreciation rights, restricted stock awards and restricted stock units to the Company’s employees, officers, directors, advisors, and consultants for the purchase of up to 4.2 million shares of the Company’s common stock. In addition, to the extent that awards outstanding under the 2020 Plan or the 2015 Plan are cancelled, forfeited or held back upon exercise or settlement of an award to satisfy the exercise price or tax withholding, reacquired by the Company prior to vesting, satisfied without any issuance of stock, expire or are otherwise terminated (other than by exercise) subsequent to May 2020, the shares of common stock reserved for issuance pursuant to such awards will become available for issuance as shares of common stock under the 2020 Plan. The 2020 Plan provides that an additional number of shares will automatically be added to the shares authorized for issuance under the 2020 Plan on January 1 of each year beginning January 1, 2021. The number of shares added each January 1 will be equal to the lesser of: (i) 5% of the outstanding shares on the immediately preceding December 31 or (ii) such amount as determined by the administrator of the 2020 Plan, which is the compensation committee of the board of directors of the Company. As of June 30, 2021, 4.3 million shares remained available for issuance under the 2020 Plan.</w:t>
      </w:r>
    </w:p>
    <w:p>
      <w:pPr>
        <w:spacing w:after="0" w:line="168" w:lineRule="exact"/>
        <w:rPr>
          <w:sz w:val="20"/>
          <w:szCs w:val="20"/>
          <w:color w:val="auto"/>
        </w:rPr>
      </w:pPr>
    </w:p>
    <w:p>
      <w:pPr>
        <w:ind w:firstLine="1053"/>
        <w:spacing w:after="0" w:line="275" w:lineRule="auto"/>
        <w:rPr>
          <w:sz w:val="20"/>
          <w:szCs w:val="20"/>
          <w:color w:val="auto"/>
        </w:rPr>
      </w:pPr>
      <w:r>
        <w:rPr>
          <w:rFonts w:ascii="Arial" w:cs="Arial" w:eastAsia="Arial" w:hAnsi="Arial"/>
          <w:sz w:val="17"/>
          <w:szCs w:val="17"/>
          <w:color w:val="auto"/>
        </w:rPr>
        <w:t>Prior to the adoption of the 2020 Plan, options under the 2015 Plan could be granted for periods of up to 10 years and at prices no less than 100% of the estimated fair value of the shares on the date of grant as determined by our board of directors, provided, however, that the exercise price of an incentive stock option granted to a person owning (or deemed to own) stock possessing more than ten percent of the total combined voting power of all classes of stock of the Company or any affiliate of the Company (a "10% shareholder") could not be less than 110% of the estimated fair value of the shares on the date of grant and the option was not exercisable after the expiration of five years from the date of grant.</w:t>
      </w:r>
    </w:p>
    <w:p>
      <w:pPr>
        <w:spacing w:after="0" w:line="176" w:lineRule="exact"/>
        <w:rPr>
          <w:sz w:val="20"/>
          <w:szCs w:val="20"/>
          <w:color w:val="auto"/>
        </w:rPr>
      </w:pPr>
    </w:p>
    <w:p>
      <w:pPr>
        <w:ind w:right="60" w:firstLine="1053"/>
        <w:spacing w:after="0" w:line="259" w:lineRule="auto"/>
        <w:rPr>
          <w:sz w:val="20"/>
          <w:szCs w:val="20"/>
          <w:color w:val="auto"/>
        </w:rPr>
      </w:pPr>
      <w:r>
        <w:rPr>
          <w:rFonts w:ascii="Arial" w:cs="Arial" w:eastAsia="Arial" w:hAnsi="Arial"/>
          <w:sz w:val="18"/>
          <w:szCs w:val="18"/>
          <w:color w:val="auto"/>
        </w:rPr>
        <w:t>Options under the 2020 Plan may be granted for periods of up to 10 years and at prices no less than the market price of the Company’s common stock on the date of grant, provided, however, that the exercise price of an incentive stock option granted to a 10.0% shareholder shall not be less than 110.0% of the estimated fair value of the shares on the date of grant and the option is not exercisable after the expiration of five years from the date of grant.</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Common Stock Awards</w:t>
      </w:r>
    </w:p>
    <w:p>
      <w:pPr>
        <w:spacing w:after="0" w:line="117" w:lineRule="exact"/>
        <w:rPr>
          <w:sz w:val="20"/>
          <w:szCs w:val="20"/>
          <w:color w:val="auto"/>
        </w:rPr>
      </w:pPr>
    </w:p>
    <w:p>
      <w:pPr>
        <w:ind w:right="40" w:firstLine="1134"/>
        <w:spacing w:after="0" w:line="257" w:lineRule="auto"/>
        <w:rPr>
          <w:sz w:val="20"/>
          <w:szCs w:val="20"/>
          <w:color w:val="auto"/>
        </w:rPr>
      </w:pPr>
      <w:r>
        <w:rPr>
          <w:rFonts w:ascii="Arial" w:cs="Arial" w:eastAsia="Arial" w:hAnsi="Arial"/>
          <w:sz w:val="18"/>
          <w:szCs w:val="18"/>
          <w:color w:val="auto"/>
        </w:rPr>
        <w:t>The Company granted restricted stock awards under the 2015 Plan. The purchase price of the restricted common stock awards was the estimated fair value as determined by the Company's board of directors at the issuance date. The shares vest from one to four years and vesting could be accelerated upon a change in control. A holder of an award may pay a total purchase price or a part of the purchase price for granted shares at any time during the vesting periods. Upon termination of employment, the Company has the right to repurchase any unvested restricted shares. The repurchase price for unvested shares</w:t>
      </w:r>
    </w:p>
    <w:p>
      <w:pPr>
        <w:sectPr>
          <w:pgSz w:w="11900" w:h="16838" w:orient="portrait"/>
          <w:cols w:equalWidth="0" w:num="1">
            <w:col w:w="11220"/>
          </w:cols>
          <w:pgMar w:left="320" w:top="1219"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type w:val="continuous"/>
        </w:sectPr>
      </w:pPr>
    </w:p>
    <w:bookmarkStart w:id="17" w:name="page18"/>
    <w:bookmarkEnd w:id="17"/>
    <w:p>
      <w:pPr>
        <w:ind w:right="520"/>
        <w:spacing w:after="0" w:line="277" w:lineRule="auto"/>
        <w:rPr>
          <w:sz w:val="20"/>
          <w:szCs w:val="20"/>
          <w:color w:val="auto"/>
        </w:rPr>
      </w:pPr>
      <w:r>
        <w:rPr>
          <w:rFonts w:ascii="Arial" w:cs="Arial" w:eastAsia="Arial" w:hAnsi="Arial"/>
          <w:sz w:val="18"/>
          <w:szCs w:val="18"/>
          <w:color w:val="auto"/>
        </w:rPr>
        <w:t>of common stock will be the lower of (i) the fair market value on the date of repurchase or (ii) their original purchase price. During the vesting term, holders of restricted stock awards are deemed to be common stock shareholders and have dividends and voting rights.</w:t>
      </w:r>
    </w:p>
    <w:p>
      <w:pPr>
        <w:spacing w:after="0" w:line="170" w:lineRule="exact"/>
        <w:rPr>
          <w:sz w:val="20"/>
          <w:szCs w:val="20"/>
          <w:color w:val="auto"/>
        </w:rPr>
      </w:pPr>
    </w:p>
    <w:p>
      <w:pPr>
        <w:ind w:right="80" w:firstLine="1134"/>
        <w:spacing w:after="0" w:line="259" w:lineRule="auto"/>
        <w:rPr>
          <w:sz w:val="20"/>
          <w:szCs w:val="20"/>
          <w:color w:val="auto"/>
        </w:rPr>
      </w:pPr>
      <w:r>
        <w:rPr>
          <w:rFonts w:ascii="Arial" w:cs="Arial" w:eastAsia="Arial" w:hAnsi="Arial"/>
          <w:sz w:val="18"/>
          <w:szCs w:val="18"/>
          <w:color w:val="auto"/>
        </w:rPr>
        <w:t>The Company accounted for restricted stock awards as early exercised options and recognized a liability in other liabilities when cash was received for the purchase of shares of restricted stock. As shares of restricted stock vested, the Company reclassified the liability to common stock and additional paid in capital. As of June 30, 2021 and December 31, 2020, the Company recorded a liability included in accrued expenses and other liabilities of $6,000 and $10,000, respectively.</w:t>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There were no grants of restricted stock awards for the six months ended months ended June 30, 2021 and 2020.</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table summarizes restricted stock activity during the six months ended months ended June 30,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4"/>
                <w:szCs w:val="14"/>
                <w:color w:val="auto"/>
              </w:rPr>
            </w:pPr>
          </w:p>
        </w:tc>
        <w:tc>
          <w:tcPr>
            <w:tcW w:w="120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1"/>
                <w:szCs w:val="11"/>
                <w:color w:val="auto"/>
              </w:rPr>
            </w:pPr>
          </w:p>
        </w:tc>
        <w:tc>
          <w:tcPr>
            <w:tcW w:w="120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6"/>
                <w:szCs w:val="16"/>
                <w:color w:val="auto"/>
              </w:rPr>
            </w:pPr>
          </w:p>
        </w:tc>
        <w:tc>
          <w:tcPr>
            <w:tcW w:w="1200" w:type="dxa"/>
            <w:vAlign w:val="bottom"/>
          </w:tcPr>
          <w:p>
            <w:pPr>
              <w:jc w:val="center"/>
              <w:ind w:right="158"/>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24"/>
        </w:trPr>
        <w:tc>
          <w:tcPr>
            <w:tcW w:w="82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and unvested, as of December 31, 2020</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126,522</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Issued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Repurchases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and unvested, as of June 30, 2021</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66,046</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20" w:firstLine="1134"/>
        <w:spacing w:after="0" w:line="342" w:lineRule="auto"/>
        <w:rPr>
          <w:sz w:val="20"/>
          <w:szCs w:val="20"/>
          <w:color w:val="auto"/>
        </w:rPr>
      </w:pPr>
      <w:r>
        <w:rPr>
          <w:rFonts w:ascii="Arial" w:cs="Arial" w:eastAsia="Arial" w:hAnsi="Arial"/>
          <w:sz w:val="16"/>
          <w:szCs w:val="16"/>
          <w:color w:val="auto"/>
        </w:rPr>
        <w:t>Restricted stock awards of 4,195 shares with a weighted-average grant date fair value of $0.08 per share, were not purchased by the award holders as of June 30, 2021. As these shares of the restricted common stock awards were not issued, they are not included in the table above.</w:t>
      </w:r>
    </w:p>
    <w:p>
      <w:pPr>
        <w:spacing w:after="0" w:line="124" w:lineRule="exact"/>
        <w:rPr>
          <w:sz w:val="20"/>
          <w:szCs w:val="20"/>
          <w:color w:val="auto"/>
        </w:rPr>
      </w:pPr>
    </w:p>
    <w:p>
      <w:pPr>
        <w:ind w:right="240" w:firstLine="1134"/>
        <w:spacing w:after="0" w:line="277" w:lineRule="auto"/>
        <w:rPr>
          <w:sz w:val="20"/>
          <w:szCs w:val="20"/>
          <w:color w:val="auto"/>
        </w:rPr>
      </w:pPr>
      <w:r>
        <w:rPr>
          <w:rFonts w:ascii="Arial" w:cs="Arial" w:eastAsia="Arial" w:hAnsi="Arial"/>
          <w:sz w:val="18"/>
          <w:szCs w:val="18"/>
          <w:color w:val="auto"/>
        </w:rPr>
        <w:t>The aggregate fair value of restricted stock awards vested during the six months ended months ended June 30, 2021 was $102,000. Total intrinsic value of outstanding unvested restricted stock awards as of June 30, 2021 was $1.9 million.</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Incentive Stock Options and Nonqualified Stock Options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Stock options issued under either the 2015 Plan or the 2020 Plan generally vest over four years and expire ten years from the date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options provide for accelerated vesting if there is a change in control, as defined in the respective plans.</w:t>
      </w:r>
    </w:p>
    <w:p>
      <w:pPr>
        <w:spacing w:after="0" w:line="211" w:lineRule="exact"/>
        <w:rPr>
          <w:sz w:val="20"/>
          <w:szCs w:val="20"/>
          <w:color w:val="auto"/>
        </w:rPr>
      </w:pPr>
    </w:p>
    <w:p>
      <w:pPr>
        <w:ind w:right="280" w:firstLine="1134"/>
        <w:spacing w:after="0" w:line="277" w:lineRule="auto"/>
        <w:rPr>
          <w:sz w:val="20"/>
          <w:szCs w:val="20"/>
          <w:color w:val="auto"/>
        </w:rPr>
      </w:pPr>
      <w:r>
        <w:rPr>
          <w:rFonts w:ascii="Arial" w:cs="Arial" w:eastAsia="Arial" w:hAnsi="Arial"/>
          <w:sz w:val="18"/>
          <w:szCs w:val="18"/>
          <w:color w:val="auto"/>
        </w:rPr>
        <w:t>The Company used Black-Scholes option pricing model to estimate stock-based compensation expense for stock option awards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Six Months Ended June 30,</w:t>
            </w:r>
          </w:p>
        </w:tc>
        <w:tc>
          <w:tcPr>
            <w:tcW w:w="1340" w:type="dxa"/>
            <w:vAlign w:val="bottom"/>
            <w:tcBorders>
              <w:bottom w:val="single" w:sz="8" w:color="auto"/>
            </w:tcBorders>
          </w:tcPr>
          <w:p>
            <w:pPr>
              <w:spacing w:after="0"/>
              <w:rPr>
                <w:sz w:val="16"/>
                <w:szCs w:val="16"/>
                <w:color w:val="auto"/>
              </w:rPr>
            </w:pPr>
          </w:p>
        </w:tc>
      </w:tr>
      <w:tr>
        <w:trPr>
          <w:trHeight w:val="187"/>
        </w:trPr>
        <w:tc>
          <w:tcPr>
            <w:tcW w:w="5880" w:type="dxa"/>
            <w:vAlign w:val="bottom"/>
            <w:tcBorders>
              <w:bottom w:val="single" w:sz="8" w:color="CCEEFF"/>
            </w:tcBorders>
          </w:tcPr>
          <w:p>
            <w:pPr>
              <w:spacing w:after="0"/>
              <w:rPr>
                <w:sz w:val="16"/>
                <w:szCs w:val="16"/>
                <w:color w:val="auto"/>
              </w:rPr>
            </w:pPr>
          </w:p>
        </w:tc>
        <w:tc>
          <w:tcPr>
            <w:tcW w:w="2560" w:type="dxa"/>
            <w:vAlign w:val="bottom"/>
            <w:tcBorders>
              <w:bottom w:val="single" w:sz="8" w:color="auto"/>
            </w:tcBorders>
            <w:gridSpan w:val="2"/>
          </w:tcPr>
          <w:p>
            <w:pPr>
              <w:jc w:val="right"/>
              <w:ind w:right="10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w:t>
            </w:r>
          </w:p>
        </w:tc>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- 76.31%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- 77.50%</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220" w:type="dxa"/>
            <w:vAlign w:val="bottom"/>
          </w:tcPr>
          <w:p>
            <w:pPr>
              <w:jc w:val="right"/>
              <w:spacing w:after="0"/>
              <w:rPr>
                <w:sz w:val="20"/>
                <w:szCs w:val="20"/>
                <w:color w:val="auto"/>
              </w:rPr>
            </w:pPr>
            <w:r>
              <w:rPr>
                <w:rFonts w:ascii="Arial" w:cs="Arial" w:eastAsia="Arial" w:hAnsi="Arial"/>
                <w:sz w:val="18"/>
                <w:szCs w:val="18"/>
                <w:color w:val="auto"/>
              </w:rPr>
              <w:t>0.61%</w:t>
            </w:r>
          </w:p>
        </w:tc>
        <w:tc>
          <w:tcPr>
            <w:tcW w:w="1340" w:type="dxa"/>
            <w:vAlign w:val="bottom"/>
          </w:tcPr>
          <w:p>
            <w:pPr>
              <w:ind w:left="20"/>
              <w:spacing w:after="0"/>
              <w:rPr>
                <w:sz w:val="20"/>
                <w:szCs w:val="20"/>
                <w:color w:val="auto"/>
              </w:rPr>
            </w:pPr>
            <w:r>
              <w:rPr>
                <w:rFonts w:ascii="Arial" w:cs="Arial" w:eastAsia="Arial" w:hAnsi="Arial"/>
                <w:sz w:val="18"/>
                <w:szCs w:val="18"/>
                <w:color w:val="auto"/>
              </w:rPr>
              <w:t>- 1.07%</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0.52%</w:t>
            </w:r>
          </w:p>
        </w:tc>
        <w:tc>
          <w:tcPr>
            <w:tcW w:w="1340" w:type="dxa"/>
            <w:vAlign w:val="bottom"/>
          </w:tcPr>
          <w:p>
            <w:pPr>
              <w:ind w:left="20"/>
              <w:spacing w:after="0"/>
              <w:rPr>
                <w:sz w:val="20"/>
                <w:szCs w:val="20"/>
                <w:color w:val="auto"/>
              </w:rPr>
            </w:pPr>
            <w:r>
              <w:rPr>
                <w:rFonts w:ascii="Arial" w:cs="Arial" w:eastAsia="Arial" w:hAnsi="Arial"/>
                <w:sz w:val="18"/>
                <w:szCs w:val="18"/>
                <w:color w:val="auto"/>
              </w:rPr>
              <w:t>- 0.82%</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w:t>
            </w:r>
          </w:p>
        </w:tc>
        <w:tc>
          <w:tcPr>
            <w:tcW w:w="266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220" w:type="dxa"/>
            <w:vAlign w:val="bottom"/>
          </w:tcPr>
          <w:p>
            <w:pPr>
              <w:jc w:val="right"/>
              <w:spacing w:after="0"/>
              <w:rPr>
                <w:sz w:val="20"/>
                <w:szCs w:val="20"/>
                <w:color w:val="auto"/>
              </w:rPr>
            </w:pPr>
            <w:r>
              <w:rPr>
                <w:rFonts w:ascii="Arial" w:cs="Arial" w:eastAsia="Arial" w:hAnsi="Arial"/>
                <w:sz w:val="18"/>
                <w:szCs w:val="18"/>
                <w:color w:val="auto"/>
              </w:rPr>
              <w:t>5.44</w:t>
            </w:r>
          </w:p>
        </w:tc>
        <w:tc>
          <w:tcPr>
            <w:tcW w:w="1340" w:type="dxa"/>
            <w:vAlign w:val="bottom"/>
          </w:tcPr>
          <w:p>
            <w:pPr>
              <w:ind w:left="20"/>
              <w:spacing w:after="0"/>
              <w:rPr>
                <w:sz w:val="20"/>
                <w:szCs w:val="20"/>
                <w:color w:val="auto"/>
              </w:rPr>
            </w:pPr>
            <w:r>
              <w:rPr>
                <w:rFonts w:ascii="Arial" w:cs="Arial" w:eastAsia="Arial" w:hAnsi="Arial"/>
                <w:sz w:val="18"/>
                <w:szCs w:val="18"/>
                <w:color w:val="auto"/>
              </w:rPr>
              <w:t>- 6.08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5.38</w:t>
            </w:r>
          </w:p>
        </w:tc>
        <w:tc>
          <w:tcPr>
            <w:tcW w:w="1340" w:type="dxa"/>
            <w:vAlign w:val="bottom"/>
          </w:tcPr>
          <w:p>
            <w:pPr>
              <w:ind w:left="20"/>
              <w:spacing w:after="0"/>
              <w:rPr>
                <w:sz w:val="20"/>
                <w:szCs w:val="20"/>
                <w:color w:val="auto"/>
              </w:rPr>
            </w:pPr>
            <w:r>
              <w:rPr>
                <w:rFonts w:ascii="Arial" w:cs="Arial" w:eastAsia="Arial" w:hAnsi="Arial"/>
                <w:sz w:val="18"/>
                <w:szCs w:val="18"/>
                <w:color w:val="auto"/>
              </w:rPr>
              <w:t>- 6.75</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Underlying common stock fair value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- 38.23</w:t>
            </w:r>
          </w:p>
        </w:tc>
        <w:tc>
          <w:tcPr>
            <w:tcW w:w="100" w:type="dxa"/>
            <w:vAlign w:val="bottom"/>
            <w:shd w:val="clear" w:color="auto" w:fill="CCEEFF"/>
          </w:tcPr>
          <w:p>
            <w:pPr>
              <w:spacing w:after="0"/>
              <w:rPr>
                <w:sz w:val="19"/>
                <w:szCs w:val="19"/>
                <w:color w:val="auto"/>
              </w:rPr>
            </w:pPr>
          </w:p>
        </w:tc>
        <w:tc>
          <w:tcPr>
            <w:tcW w:w="2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6.22</w:t>
            </w:r>
          </w:p>
        </w:tc>
      </w:tr>
    </w:tbl>
    <w:p>
      <w:pPr>
        <w:spacing w:after="0" w:line="29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Company granted 201,688 stock options under the 2020 Plan during the three months ended June 30, 2021.</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 summary of option activity under the 2015 Plan and the 2020 Plan is as follows: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18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tcPr>
          <w:p>
            <w:pPr>
              <w:ind w:left="660"/>
              <w:spacing w:after="0" w:line="135" w:lineRule="exact"/>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Average Exercise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1"/>
                <w:szCs w:val="11"/>
                <w:color w:val="auto"/>
              </w:rPr>
            </w:pPr>
          </w:p>
        </w:tc>
        <w:tc>
          <w:tcPr>
            <w:tcW w:w="118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 per Share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Term (in Years)</w:t>
            </w:r>
          </w:p>
        </w:tc>
        <w:tc>
          <w:tcPr>
            <w:tcW w:w="260" w:type="dxa"/>
            <w:vAlign w:val="bottom"/>
          </w:tcPr>
          <w:p>
            <w:pPr>
              <w:spacing w:after="0"/>
              <w:rPr>
                <w:sz w:val="16"/>
                <w:szCs w:val="16"/>
                <w:color w:val="auto"/>
              </w:rPr>
            </w:pPr>
          </w:p>
        </w:tc>
        <w:tc>
          <w:tcPr>
            <w:tcW w:w="1180" w:type="dxa"/>
            <w:vAlign w:val="bottom"/>
          </w:tcPr>
          <w:p>
            <w:pPr>
              <w:jc w:val="center"/>
              <w:ind w:right="17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5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2020</w:t>
            </w:r>
          </w:p>
        </w:tc>
        <w:tc>
          <w:tcPr>
            <w:tcW w:w="144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7"/>
              </w:rPr>
              <w:t>2,993,855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43,890</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40" w:type="dxa"/>
            <w:vAlign w:val="bottom"/>
          </w:tcPr>
          <w:p>
            <w:pPr>
              <w:ind w:left="640"/>
              <w:spacing w:after="0"/>
              <w:rPr>
                <w:sz w:val="20"/>
                <w:szCs w:val="20"/>
                <w:color w:val="auto"/>
              </w:rPr>
            </w:pPr>
            <w:r>
              <w:rPr>
                <w:rFonts w:ascii="Arial" w:cs="Arial" w:eastAsia="Arial" w:hAnsi="Arial"/>
                <w:sz w:val="18"/>
                <w:szCs w:val="18"/>
                <w:color w:val="auto"/>
                <w:w w:val="97"/>
              </w:rPr>
              <w:t>1,283,741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3"/>
              </w:rPr>
              <w:t>(181,173)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Forfeited / expired</w:t>
            </w:r>
          </w:p>
        </w:tc>
        <w:tc>
          <w:tcPr>
            <w:tcW w:w="14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3"/>
              </w:rPr>
              <w:t>(253,835)</w:t>
            </w:r>
          </w:p>
        </w:tc>
        <w:tc>
          <w:tcPr>
            <w:tcW w:w="2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June 30, 2021</w:t>
            </w:r>
          </w:p>
        </w:tc>
        <w:tc>
          <w:tcPr>
            <w:tcW w:w="14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7"/>
              </w:rPr>
              <w:t>3,842,588</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57,309</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Exercisable as of June 30, 2021</w:t>
            </w: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1440" w:type="dxa"/>
            <w:vAlign w:val="bottom"/>
            <w:tcBorders>
              <w:bottom w:val="single" w:sz="8" w:color="auto"/>
            </w:tcBorders>
          </w:tcPr>
          <w:p>
            <w:pPr>
              <w:ind w:left="640"/>
              <w:spacing w:after="0" w:line="203" w:lineRule="exact"/>
              <w:rPr>
                <w:sz w:val="20"/>
                <w:szCs w:val="20"/>
                <w:color w:val="auto"/>
              </w:rPr>
            </w:pPr>
            <w:r>
              <w:rPr>
                <w:rFonts w:ascii="Arial" w:cs="Arial" w:eastAsia="Arial" w:hAnsi="Arial"/>
                <w:sz w:val="18"/>
                <w:szCs w:val="18"/>
                <w:color w:val="auto"/>
                <w:w w:val="97"/>
              </w:rPr>
              <w:t>1,000,620</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6.64</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8.14</w:t>
            </w: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22,496</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FF0FC"/>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1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 and expected to vest as of June 30, 2021</w:t>
            </w:r>
          </w:p>
        </w:tc>
        <w:tc>
          <w:tcPr>
            <w:tcW w:w="14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7"/>
              </w:rPr>
              <w:t>3,842,588</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57,309</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360" w:firstLine="1134"/>
        <w:spacing w:after="0" w:line="263" w:lineRule="auto"/>
        <w:rPr>
          <w:sz w:val="20"/>
          <w:szCs w:val="20"/>
          <w:color w:val="auto"/>
        </w:rPr>
      </w:pPr>
      <w:r>
        <w:rPr>
          <w:rFonts w:ascii="Arial" w:cs="Arial" w:eastAsia="Arial" w:hAnsi="Arial"/>
          <w:sz w:val="18"/>
          <w:szCs w:val="18"/>
          <w:color w:val="auto"/>
        </w:rPr>
        <w:t>Aggregate intrinsic value represents the difference between the fair value of the underlying common stock and the exercise price as of June 30, 2021. The weighted-average grant date fair value of options granted during the six months ended months ended June 30, 2021 was $17.84 per share.</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520" w:firstLine="1134"/>
        <w:spacing w:after="0" w:line="277" w:lineRule="auto"/>
        <w:rPr>
          <w:sz w:val="20"/>
          <w:szCs w:val="20"/>
          <w:color w:val="auto"/>
        </w:rPr>
      </w:pPr>
      <w:r>
        <w:rPr>
          <w:rFonts w:ascii="Arial" w:cs="Arial" w:eastAsia="Arial" w:hAnsi="Arial"/>
          <w:sz w:val="18"/>
          <w:szCs w:val="18"/>
          <w:color w:val="auto"/>
        </w:rPr>
        <w:t>The following table presents the components and classification of stock-based compensation expense for the Company’s stock-based awards for the three and six months ended June 30, 2021 and 2020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20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59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awards</w:t>
            </w: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Stock options and ESPP</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2,229</w:t>
            </w:r>
          </w:p>
        </w:tc>
        <w:tc>
          <w:tcPr>
            <w:tcW w:w="1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760" w:type="dxa"/>
            <w:vAlign w:val="bottom"/>
            <w:tcBorders>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2,280</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Research and development expenses</w:t>
            </w: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00" w:type="dxa"/>
            <w:vAlign w:val="bottom"/>
            <w:vMerge w:val="continue"/>
          </w:tcPr>
          <w:p>
            <w:pPr>
              <w:spacing w:after="0"/>
              <w:rPr>
                <w:sz w:val="17"/>
                <w:szCs w:val="17"/>
                <w:color w:val="auto"/>
              </w:rPr>
            </w:pPr>
          </w:p>
        </w:tc>
        <w:tc>
          <w:tcPr>
            <w:tcW w:w="760" w:type="dxa"/>
            <w:vAlign w:val="bottom"/>
          </w:tcPr>
          <w:p>
            <w:pPr>
              <w:jc w:val="right"/>
              <w:ind w:right="576"/>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868</w:t>
            </w:r>
          </w:p>
        </w:tc>
        <w:tc>
          <w:tcPr>
            <w:tcW w:w="120" w:type="dxa"/>
            <w:vAlign w:val="bottom"/>
          </w:tcPr>
          <w:p>
            <w:pPr>
              <w:spacing w:after="0"/>
              <w:rPr>
                <w:sz w:val="17"/>
                <w:szCs w:val="17"/>
                <w:color w:val="auto"/>
              </w:rPr>
            </w:pPr>
          </w:p>
        </w:tc>
        <w:tc>
          <w:tcPr>
            <w:tcW w:w="840" w:type="dxa"/>
            <w:vAlign w:val="bottom"/>
          </w:tcPr>
          <w:p>
            <w:pPr>
              <w:jc w:val="right"/>
              <w:ind w:right="654"/>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203" w:lineRule="exact"/>
              <w:rPr>
                <w:sz w:val="20"/>
                <w:szCs w:val="20"/>
                <w:color w:val="auto"/>
              </w:rPr>
            </w:pPr>
            <w:r>
              <w:rPr>
                <w:rFonts w:ascii="Arial" w:cs="Arial" w:eastAsia="Arial" w:hAnsi="Arial"/>
                <w:sz w:val="18"/>
                <w:szCs w:val="18"/>
                <w:color w:val="auto"/>
              </w:rPr>
              <w:t>287</w:t>
            </w:r>
          </w:p>
        </w:tc>
        <w:tc>
          <w:tcPr>
            <w:tcW w:w="10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2,038</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1,412</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40" w:firstLine="1134"/>
        <w:spacing w:after="0" w:line="263" w:lineRule="auto"/>
        <w:rPr>
          <w:sz w:val="20"/>
          <w:szCs w:val="20"/>
          <w:color w:val="auto"/>
        </w:rPr>
      </w:pPr>
      <w:r>
        <w:rPr>
          <w:rFonts w:ascii="Arial" w:cs="Arial" w:eastAsia="Arial" w:hAnsi="Arial"/>
          <w:sz w:val="18"/>
          <w:szCs w:val="18"/>
          <w:color w:val="auto"/>
        </w:rPr>
        <w:t>As of June 30, 2021, there was $0.1 million of unrecognized compensation costs that is expected to be recognized over the weighted-average periods of 0.79 years related to restricted stock awards. As of June 30, 2021, there was $30.4 million of unrecognized compensation costs that is expected to be recognized over the weighted-average periods of 2.74 years related to stock options.</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firstLine="1134"/>
        <w:spacing w:after="0" w:line="275" w:lineRule="auto"/>
        <w:rPr>
          <w:sz w:val="20"/>
          <w:szCs w:val="20"/>
          <w:color w:val="auto"/>
        </w:rPr>
      </w:pPr>
      <w:r>
        <w:rPr>
          <w:rFonts w:ascii="Arial" w:cs="Arial" w:eastAsia="Arial" w:hAnsi="Arial"/>
          <w:sz w:val="17"/>
          <w:szCs w:val="17"/>
          <w:color w:val="auto"/>
        </w:rPr>
        <w:t>In June 2020, the Company adopted the Company's 2020 Employee Stock Purchase Plan (the "2020 ESPP"). The Company reserved 700,000 shares of common stock for future issuance under the plan. The 2020 ESPP provides that the number of shares reserved and available for issuance will automatically increase on January 1 of each calendar year, beginning January 1, 2021, by the least of (1) 1.0% of the total number of shares of common stock outstanding on December 31 of the preceding calendar year, (2) 700,000 shares or (3) such lesser amount as determined by the administrator of the 2020 ESPP, which is the compensation committee of the board of directors of the Company.</w:t>
      </w:r>
    </w:p>
    <w:p>
      <w:pPr>
        <w:spacing w:after="0" w:line="176" w:lineRule="exact"/>
        <w:rPr>
          <w:sz w:val="20"/>
          <w:szCs w:val="20"/>
          <w:color w:val="auto"/>
        </w:rPr>
      </w:pPr>
    </w:p>
    <w:p>
      <w:pPr>
        <w:ind w:right="40" w:firstLine="1134"/>
        <w:spacing w:after="0" w:line="290" w:lineRule="auto"/>
        <w:rPr>
          <w:sz w:val="20"/>
          <w:szCs w:val="20"/>
          <w:color w:val="auto"/>
        </w:rPr>
      </w:pPr>
      <w:r>
        <w:rPr>
          <w:rFonts w:ascii="Arial" w:cs="Arial" w:eastAsia="Arial" w:hAnsi="Arial"/>
          <w:sz w:val="16"/>
          <w:szCs w:val="16"/>
          <w:color w:val="auto"/>
        </w:rPr>
        <w:t>Under the 2020 ESPP, eligible employees may purchase shares of our common stock through payroll deductions that cannot exceed 15% of each employee’s salary. The 2020 ESPP provides for a six-month offering period. At the end of the purchase period, eligible employees are permitted to purchase shares of common stock at the lower of 85% of the fair market value at the beginning of the offering period or 85% of the fair market value at the end of the purchase period, subject to tax limitations on the total value of the purchase. The 2020 ESPP is considered a compensatory plan, and the Company recorded $0.1 million and $0.4 million in stock-based compensation expense for the three and six months ended June 30, 2021, respectively. There was no stock-based compensation expense attributed to the 2020 ESPP for the three and six months ended June 30, 2020 as the 2020 ESPP was adopted in August 2020. As of June 30, 2021, 59,766 shares of common stock were issued under the 2020 ESPP. The Company used Black-Scholes option pricing model to estimate stock-based compensation expense for the 2020 ESPP with the following assumptions: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932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r>
      <w:tr>
        <w:trPr>
          <w:trHeight w:val="183"/>
        </w:trPr>
        <w:tc>
          <w:tcPr>
            <w:tcW w:w="9320" w:type="dxa"/>
            <w:vAlign w:val="bottom"/>
            <w:tcBorders>
              <w:bottom w:val="single" w:sz="8" w:color="CFF0FC"/>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9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0.07 %</w:t>
            </w:r>
          </w:p>
        </w:tc>
      </w:tr>
      <w:tr>
        <w:trPr>
          <w:trHeight w:val="229"/>
        </w:trPr>
        <w:tc>
          <w:tcPr>
            <w:tcW w:w="9320" w:type="dxa"/>
            <w:vAlign w:val="bottom"/>
          </w:tcPr>
          <w:p>
            <w:pPr>
              <w:ind w:left="20"/>
              <w:spacing w:after="0"/>
              <w:rPr>
                <w:sz w:val="20"/>
                <w:szCs w:val="20"/>
                <w:color w:val="auto"/>
              </w:rPr>
            </w:pPr>
            <w:r>
              <w:rPr>
                <w:rFonts w:ascii="Arial" w:cs="Arial" w:eastAsia="Arial" w:hAnsi="Arial"/>
                <w:sz w:val="18"/>
                <w:szCs w:val="18"/>
                <w:color w:val="auto"/>
              </w:rPr>
              <w:t>Expected term of options (in years)</w:t>
            </w:r>
          </w:p>
        </w:tc>
        <w:tc>
          <w:tcPr>
            <w:tcW w:w="19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9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stock price volatility</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89.51 %</w:t>
            </w:r>
          </w:p>
        </w:tc>
      </w:tr>
      <w:tr>
        <w:trPr>
          <w:trHeight w:val="230"/>
        </w:trPr>
        <w:tc>
          <w:tcPr>
            <w:tcW w:w="932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1900" w:type="dxa"/>
            <w:vAlign w:val="bottom"/>
          </w:tcPr>
          <w:p>
            <w:pPr>
              <w:jc w:val="right"/>
              <w:ind w:right="138"/>
              <w:spacing w:after="0"/>
              <w:rPr>
                <w:sz w:val="20"/>
                <w:szCs w:val="20"/>
                <w:color w:val="auto"/>
              </w:rPr>
            </w:pPr>
            <w:r>
              <w:rPr>
                <w:rFonts w:ascii="Arial" w:cs="Arial" w:eastAsia="Arial" w:hAnsi="Arial"/>
                <w:sz w:val="18"/>
                <w:szCs w:val="18"/>
                <w:color w:val="auto"/>
              </w:rPr>
              <w:t>—</w:t>
            </w: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6" w:lineRule="exact"/>
        <w:rPr>
          <w:sz w:val="20"/>
          <w:szCs w:val="20"/>
          <w:color w:val="auto"/>
        </w:rPr>
      </w:pPr>
    </w:p>
    <w:p>
      <w:pPr>
        <w:ind w:right="100" w:firstLine="1134"/>
        <w:spacing w:after="0" w:line="226" w:lineRule="auto"/>
        <w:rPr>
          <w:sz w:val="20"/>
          <w:szCs w:val="20"/>
          <w:color w:val="auto"/>
        </w:rPr>
      </w:pPr>
      <w:r>
        <w:rPr>
          <w:rFonts w:ascii="Arial" w:cs="Arial" w:eastAsia="Arial" w:hAnsi="Arial"/>
          <w:sz w:val="18"/>
          <w:szCs w:val="18"/>
          <w:color w:val="auto"/>
        </w:rPr>
        <w:t>For the three and six months ended June 30, 2021 and 2020, the Company did not record an income tax provision. The Company will continue to maintain a 100% valuation allowance on total deferred tax assets. The Company believes it is more likely than not that the related deferred tax assets will not be realized. As a result, the Company’s effective tax rate will remain at 0% because there are no estimated or discrete items which would impact the tax provision.</w:t>
      </w:r>
    </w:p>
    <w:p>
      <w:pPr>
        <w:spacing w:after="0" w:line="294" w:lineRule="exact"/>
        <w:rPr>
          <w:sz w:val="20"/>
          <w:szCs w:val="20"/>
          <w:color w:val="auto"/>
        </w:rPr>
      </w:pPr>
    </w:p>
    <w:p>
      <w:pPr>
        <w:ind w:left="500" w:right="8400" w:hanging="492"/>
        <w:spacing w:after="0" w:line="453" w:lineRule="auto"/>
        <w:tabs>
          <w:tab w:leader="none" w:pos="284"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Purchase Commitments</w:t>
      </w:r>
    </w:p>
    <w:p>
      <w:pPr>
        <w:spacing w:after="0" w:line="1" w:lineRule="exact"/>
        <w:rPr>
          <w:sz w:val="20"/>
          <w:szCs w:val="20"/>
          <w:color w:val="auto"/>
        </w:rPr>
      </w:pPr>
    </w:p>
    <w:p>
      <w:pPr>
        <w:ind w:right="480" w:firstLine="1134"/>
        <w:spacing w:after="0" w:line="308" w:lineRule="auto"/>
        <w:rPr>
          <w:sz w:val="20"/>
          <w:szCs w:val="20"/>
          <w:color w:val="auto"/>
        </w:rPr>
      </w:pPr>
      <w:r>
        <w:rPr>
          <w:rFonts w:ascii="Arial" w:cs="Arial" w:eastAsia="Arial" w:hAnsi="Arial"/>
          <w:sz w:val="17"/>
          <w:szCs w:val="17"/>
          <w:color w:val="auto"/>
        </w:rPr>
        <w:t>The Company has contractual arrangements with research and development organizations and suppliers; however, these contracts are generally cancellable on 30 days’ notice and the obligations under these contracts are largely based on services performed.</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Potential payments related to the Company’s license and research agreements, including milestone and royalty payments, are detailed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6 and 7.</w:t>
      </w:r>
    </w:p>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firstLine="1134"/>
        <w:spacing w:after="0" w:line="271" w:lineRule="auto"/>
        <w:rPr>
          <w:sz w:val="20"/>
          <w:szCs w:val="20"/>
          <w:color w:val="auto"/>
        </w:rPr>
      </w:pPr>
      <w:r>
        <w:rPr>
          <w:rFonts w:ascii="Arial" w:cs="Arial" w:eastAsia="Arial" w:hAnsi="Arial"/>
          <w:sz w:val="17"/>
          <w:szCs w:val="17"/>
          <w:color w:val="auto"/>
        </w:rPr>
        <w:t>In February 2018, the Company entered into a non-cancelable lease agreement (the “Lease”) for premises consisting of approximately 32,974 square feet located in South San Francisco, California (the “Premises”). The Company moved into the Premises in July 2018. The Premises is being used for the Company’s corporate headquarters and principal operating facility. The term of the Lease is eighty-four months, which commenced on July 1, 2018. Base rent was abated for the first two months of the lease term and thereafter is $0.2 million per month during the first year of the lease term, with specified annual increases thereafter. The Company paid a refundable security deposit of approximately $0.4 million, which is included in other non-current assets in the balance sheets at June 30, 2021 and December 31, 2020. The Company has the right to extend the lease term by seven years upon written notice not more than twelve months nor less than nine months prior to the expiration of the original lease term, with monthly payments equal to the “fair rental value” as defined in the Lease.</w:t>
      </w:r>
    </w:p>
    <w:p>
      <w:pPr>
        <w:spacing w:after="0" w:line="178" w:lineRule="exact"/>
        <w:rPr>
          <w:sz w:val="20"/>
          <w:szCs w:val="20"/>
          <w:color w:val="auto"/>
        </w:rPr>
      </w:pPr>
    </w:p>
    <w:p>
      <w:pPr>
        <w:ind w:right="100" w:firstLine="1134"/>
        <w:spacing w:after="0" w:line="277" w:lineRule="auto"/>
        <w:rPr>
          <w:sz w:val="20"/>
          <w:szCs w:val="20"/>
          <w:color w:val="auto"/>
        </w:rPr>
      </w:pPr>
      <w:r>
        <w:rPr>
          <w:rFonts w:ascii="Arial" w:cs="Arial" w:eastAsia="Arial" w:hAnsi="Arial"/>
          <w:sz w:val="18"/>
          <w:szCs w:val="18"/>
          <w:color w:val="auto"/>
        </w:rPr>
        <w:t>During the three months ended June 30, 2021 and 2020, rent expense, including common area maintenance expense, was $0.6 million. For the six months ended June 30, 2021 and 2020 rent expense was $1.2 million and $1.3 million, respectively.</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Future minimum lease payments under the Lease as of June 30, 2021 were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60" w:type="dxa"/>
            <w:vAlign w:val="bottom"/>
          </w:tcPr>
          <w:p>
            <w:pPr>
              <w:spacing w:after="0"/>
              <w:rPr>
                <w:sz w:val="14"/>
                <w:szCs w:val="14"/>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88"/>
        </w:trPr>
        <w:tc>
          <w:tcPr>
            <w:tcW w:w="97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55"/>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224"/>
        </w:trPr>
        <w:tc>
          <w:tcPr>
            <w:tcW w:w="96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2021 (remainder of the year)</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30"/>
        </w:trPr>
        <w:tc>
          <w:tcPr>
            <w:tcW w:w="9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30"/>
        </w:trPr>
        <w:tc>
          <w:tcPr>
            <w:tcW w:w="9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
        </w:trPr>
        <w:tc>
          <w:tcPr>
            <w:tcW w:w="9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5" w:right="359" w:bottom="1440" w:gutter="0" w:footer="0" w:header="0"/>
        </w:sectPr>
      </w:pPr>
    </w:p>
    <w:bookmarkStart w:id="20" w:name="page21"/>
    <w:bookmarkEnd w:id="20"/>
    <w:p>
      <w:pPr>
        <w:ind w:right="60" w:firstLine="1134"/>
        <w:spacing w:after="0" w:line="291" w:lineRule="auto"/>
        <w:rPr>
          <w:sz w:val="20"/>
          <w:szCs w:val="20"/>
          <w:color w:val="auto"/>
        </w:rPr>
      </w:pPr>
      <w:r>
        <w:rPr>
          <w:rFonts w:ascii="Arial" w:cs="Arial" w:eastAsia="Arial" w:hAnsi="Arial"/>
          <w:sz w:val="16"/>
          <w:szCs w:val="16"/>
          <w:color w:val="auto"/>
        </w:rPr>
        <w:t>In June 2021, the Company granted 26,572 stock options with a grant date fair value of $0.5 million to partners of Third Rock Ventures who are also serving as non-employee directors on the Company's board of directors. The shares of common stock subject to these options vest 25% on the first day of each calendar quarter for three quarters with the final vest date being the earlier of (i) the one-year anniversary of the grant date or (ii) the next Annual Meeting of Stockholders. In March 2020, the Company granted 26,573 stock options with a grant date fair value of $0.1 million to a partner at Third Rock Ventures, who is also serving as a non-employee director on the Company’s board of directors. The shares of common stock subject to these options vest 1/12th on the last day of each calendar quarter over a three-year period and commenced vesting upon completion of our IPO. In order to vest, the stockholders must be providing continuous service to the Company through such vesting date. See Note 11 for additional information.</w:t>
      </w:r>
    </w:p>
    <w:p>
      <w:pPr>
        <w:spacing w:after="0" w:line="166" w:lineRule="exact"/>
        <w:rPr>
          <w:sz w:val="20"/>
          <w:szCs w:val="20"/>
          <w:color w:val="auto"/>
        </w:rPr>
      </w:pPr>
    </w:p>
    <w:p>
      <w:pPr>
        <w:ind w:right="20" w:firstLine="1134"/>
        <w:spacing w:after="0" w:line="273" w:lineRule="auto"/>
        <w:rPr>
          <w:sz w:val="20"/>
          <w:szCs w:val="20"/>
          <w:color w:val="auto"/>
        </w:rPr>
      </w:pPr>
      <w:r>
        <w:rPr>
          <w:rFonts w:ascii="Arial" w:cs="Arial" w:eastAsia="Arial" w:hAnsi="Arial"/>
          <w:sz w:val="17"/>
          <w:szCs w:val="17"/>
          <w:color w:val="auto"/>
        </w:rPr>
        <w:t>In October 2019, the Company entered into the Novartis Agreement with Novartis covering the development and commercialization of the Company's preclinical product candidate, PLN-1474 and up to three additional targets. Upon execution of the agreement, Pliant also entered into a financing side letter with Novartis, whereby Novartis committed to provide up to $30.0 million in equity financing of which $20.0 million was provided for preferred stock as a part of a Series C equity offering and the remaining $10.0 million was completed in a private placement for common stock concurrently with the completion of the Company’s IPO. As of June 30, 2021 and December 31, 2020, Novartis owned approximately 6.0% and 6.1%, respectively, of our outstanding shares of common stock on a fully diluted basis. See Note 6 for additional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Defined Contribution Plan</w:t>
      </w:r>
    </w:p>
    <w:p>
      <w:pPr>
        <w:spacing w:after="0" w:line="121" w:lineRule="exact"/>
        <w:rPr>
          <w:sz w:val="20"/>
          <w:szCs w:val="20"/>
          <w:color w:val="auto"/>
        </w:rPr>
      </w:pPr>
    </w:p>
    <w:p>
      <w:pPr>
        <w:ind w:right="160" w:firstLine="1134"/>
        <w:spacing w:after="0" w:line="291" w:lineRule="auto"/>
        <w:rPr>
          <w:sz w:val="20"/>
          <w:szCs w:val="20"/>
          <w:color w:val="auto"/>
        </w:rPr>
      </w:pPr>
      <w:r>
        <w:rPr>
          <w:rFonts w:ascii="Arial" w:cs="Arial" w:eastAsia="Arial" w:hAnsi="Arial"/>
          <w:sz w:val="16"/>
          <w:szCs w:val="16"/>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w:t>
      </w:r>
    </w:p>
    <w:p>
      <w:pPr>
        <w:ind w:right="880"/>
        <w:spacing w:after="0" w:line="267" w:lineRule="auto"/>
        <w:rPr>
          <w:sz w:val="20"/>
          <w:szCs w:val="20"/>
          <w:color w:val="auto"/>
        </w:rPr>
      </w:pPr>
      <w:r>
        <w:rPr>
          <w:rFonts w:ascii="Arial" w:cs="Arial" w:eastAsia="Arial" w:hAnsi="Arial"/>
          <w:sz w:val="18"/>
          <w:szCs w:val="18"/>
          <w:color w:val="auto"/>
        </w:rPr>
        <w:t xml:space="preserve">regulations. The Company made contributions to the plan of $0.2 million </w:t>
      </w:r>
      <w:r>
        <w:rPr>
          <w:rFonts w:ascii="Arial" w:cs="Arial" w:eastAsia="Arial" w:hAnsi="Arial"/>
          <w:sz w:val="21"/>
          <w:szCs w:val="21"/>
          <w:color w:val="auto"/>
        </w:rPr>
        <w:t>and</w:t>
      </w:r>
      <w:r>
        <w:rPr>
          <w:rFonts w:ascii="Arial" w:cs="Arial" w:eastAsia="Arial" w:hAnsi="Arial"/>
          <w:sz w:val="18"/>
          <w:szCs w:val="18"/>
          <w:color w:val="auto"/>
        </w:rPr>
        <w:t xml:space="preserve"> $0.1 million for the three months ended June 30, 2021 and 2020, respectively, and $0.4 million and $0.2 million for the six months ended June 30, 2021 and 2020,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Net Loss Per Share Attributable to Common Stockholders</w:t>
      </w:r>
    </w:p>
    <w:p>
      <w:pPr>
        <w:spacing w:after="0" w:line="121" w:lineRule="exact"/>
        <w:rPr>
          <w:sz w:val="20"/>
          <w:szCs w:val="20"/>
          <w:color w:val="auto"/>
        </w:rPr>
      </w:pPr>
    </w:p>
    <w:p>
      <w:pPr>
        <w:ind w:right="360" w:firstLine="1134"/>
        <w:spacing w:after="0" w:line="308" w:lineRule="auto"/>
        <w:rPr>
          <w:sz w:val="20"/>
          <w:szCs w:val="20"/>
          <w:color w:val="auto"/>
        </w:rPr>
      </w:pPr>
      <w:r>
        <w:rPr>
          <w:rFonts w:ascii="Arial" w:cs="Arial" w:eastAsia="Arial" w:hAnsi="Arial"/>
          <w:sz w:val="17"/>
          <w:szCs w:val="17"/>
          <w:color w:val="auto"/>
        </w:rPr>
        <w:t>The following outstanding shares of potentially dilutive securities were excluded from the computation of diluted net (loss)/income per share attributable to common stockholders for the periods presented, because including them would have been antidilutive: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3800" w:type="dxa"/>
            <w:vAlign w:val="bottom"/>
            <w:tcBorders>
              <w:bottom w:val="single" w:sz="8" w:color="auto"/>
            </w:tcBorders>
            <w:gridSpan w:val="3"/>
          </w:tcPr>
          <w:p>
            <w:pPr>
              <w:jc w:val="right"/>
              <w:ind w:right="974"/>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724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2020</w:t>
            </w: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3,842,588</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2,529,999</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Restricted stock awards granted and not purchased</w:t>
            </w:r>
          </w:p>
        </w:tc>
        <w:tc>
          <w:tcPr>
            <w:tcW w:w="1840" w:type="dxa"/>
            <w:vAlign w:val="bottom"/>
          </w:tcPr>
          <w:p>
            <w:pPr>
              <w:jc w:val="right"/>
              <w:spacing w:after="0"/>
              <w:rPr>
                <w:sz w:val="20"/>
                <w:szCs w:val="20"/>
                <w:color w:val="auto"/>
              </w:rPr>
            </w:pPr>
            <w:r>
              <w:rPr>
                <w:rFonts w:ascii="Arial" w:cs="Arial" w:eastAsia="Arial" w:hAnsi="Arial"/>
                <w:sz w:val="18"/>
                <w:szCs w:val="18"/>
                <w:color w:val="auto"/>
              </w:rPr>
              <w:t>4,195</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4,195</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shares</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66,046</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197,891</w:t>
            </w:r>
          </w:p>
        </w:tc>
      </w:tr>
      <w:tr>
        <w:trPr>
          <w:trHeight w:val="223"/>
        </w:trPr>
        <w:tc>
          <w:tcPr>
            <w:tcW w:w="7240" w:type="dxa"/>
            <w:vAlign w:val="bottom"/>
          </w:tcPr>
          <w:p>
            <w:pPr>
              <w:ind w:left="2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3,912,829</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2,732,085</w:t>
            </w:r>
          </w:p>
        </w:tc>
      </w:tr>
      <w:tr>
        <w:trPr>
          <w:trHeight w:val="20"/>
        </w:trPr>
        <w:tc>
          <w:tcPr>
            <w:tcW w:w="72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0" w:firstLine="1134"/>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the basic and diluted net loss per share attributable to common stockholders is as follows (in thousands, except share and per share amounts):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200" w:type="dxa"/>
            <w:vAlign w:val="bottom"/>
            <w:tcBorders>
              <w:bottom w:val="single" w:sz="8" w:color="CFF0FC"/>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FF0FC"/>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loss per share:</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180"/>
              <w:spacing w:after="0" w:line="163" w:lineRule="exact"/>
              <w:rPr>
                <w:sz w:val="20"/>
                <w:szCs w:val="20"/>
                <w:color w:val="auto"/>
              </w:rPr>
            </w:pPr>
            <w:r>
              <w:rPr>
                <w:rFonts w:ascii="Arial" w:cs="Arial" w:eastAsia="Arial" w:hAnsi="Arial"/>
                <w:sz w:val="18"/>
                <w:szCs w:val="18"/>
                <w:color w:val="auto"/>
                <w:w w:val="91"/>
              </w:rPr>
              <w:t>Weighted-average common shares outstanding used to calculate net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loss per share attributable to common stockholders: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5"/>
              </w:rPr>
              <w:t>35,746,922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12,253,943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35,726,393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7,062,780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220"/>
              <w:spacing w:after="0" w:line="203" w:lineRule="exact"/>
              <w:rPr>
                <w:sz w:val="20"/>
                <w:szCs w:val="20"/>
                <w:color w:val="auto"/>
              </w:rPr>
            </w:pPr>
            <w:r>
              <w:rPr>
                <w:rFonts w:ascii="Arial" w:cs="Arial" w:eastAsia="Arial" w:hAnsi="Arial"/>
                <w:sz w:val="18"/>
                <w:szCs w:val="18"/>
                <w:color w:val="auto"/>
                <w:w w:val="95"/>
              </w:rPr>
              <w:t>35,746,922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12,253,943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35,726,393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7,062,780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share attributable to common stockholders: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firstLine="1134"/>
        <w:spacing w:after="0" w:line="277" w:lineRule="auto"/>
        <w:rPr>
          <w:sz w:val="20"/>
          <w:szCs w:val="20"/>
          <w:color w:val="auto"/>
        </w:rPr>
      </w:pPr>
      <w:r>
        <w:rPr>
          <w:rFonts w:ascii="Arial" w:cs="Arial" w:eastAsia="Arial" w:hAnsi="Arial"/>
          <w:sz w:val="18"/>
          <w:szCs w:val="18"/>
          <w:color w:val="auto"/>
        </w:rPr>
        <w:t>The Company has evaluated subsequent events for financial statement purposes occurring through August 9, 2021, the date these financial statements were issued.</w:t>
      </w: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9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firstLine="1134"/>
        <w:spacing w:after="0" w:line="270" w:lineRule="auto"/>
        <w:rPr>
          <w:sz w:val="20"/>
          <w:szCs w:val="20"/>
          <w:color w:val="auto"/>
        </w:rPr>
      </w:pPr>
      <w:r>
        <w:rPr>
          <w:rFonts w:ascii="Arial" w:cs="Arial" w:eastAsia="Arial" w:hAnsi="Arial"/>
          <w:sz w:val="17"/>
          <w:szCs w:val="17"/>
          <w:i w:val="1"/>
          <w:iCs w:val="1"/>
          <w:color w:val="auto"/>
        </w:rPr>
        <w:t>The following discussion and analysis should be read in conjunction with our condensed financial statements and related notes appearing elsewhere in this Report, as well as our audited financial statements and related notes included in our Annual Report on Form 10-K for the fiscal year ended December 31, 2020, filed with the SEC.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or implied by these forward-looking statements as a result of several factors, including those set forth in the section titled “Risk Factors” under Part II, Item 1A of this Report and under Part I, Item 1A of our Annual Report on Form 10-K for the fiscal year ended December 31, 2020. In some cases, you can identify forward-looking statements by terminology such as “anticipate,” “believe,” “continue,” “could,” “estimate,” “expect,” “intend,” “may,” “plan,” “potentially,” “predict,” “should,” “will” or the negative of these terms or other similar expressions.</w:t>
      </w:r>
    </w:p>
    <w:p>
      <w:pPr>
        <w:spacing w:after="0" w:line="181" w:lineRule="exact"/>
        <w:rPr>
          <w:sz w:val="20"/>
          <w:szCs w:val="20"/>
          <w:color w:val="auto"/>
        </w:rPr>
      </w:pPr>
    </w:p>
    <w:p>
      <w:pPr>
        <w:ind w:firstLine="1134"/>
        <w:spacing w:after="0" w:line="257"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1134"/>
        <w:spacing w:after="0" w:line="272" w:lineRule="auto"/>
        <w:rPr>
          <w:sz w:val="20"/>
          <w:szCs w:val="20"/>
          <w:color w:val="auto"/>
        </w:rPr>
      </w:pPr>
      <w:r>
        <w:rPr>
          <w:rFonts w:ascii="Arial" w:cs="Arial" w:eastAsia="Arial" w:hAnsi="Arial"/>
          <w:sz w:val="17"/>
          <w:szCs w:val="17"/>
          <w:color w:val="auto"/>
        </w:rPr>
        <w:t>We are a clinical stage biopharmaceutical company focused on discovering and developing novel therapies for the treatment of fibrosis and related diseases. Our initial focus is on treating fibrosis by inhibiting integrin-mediated activation of TGF-ß. We have applied our deep understanding of fibrosis biology, along with our medicinal chemistry and translational medicine expertise to develop a set of proprietary tools designed to discover and de-risk product candidates quickly and efficiently. Our wholly owned lead product candidate, PLN-74809, is an oral, small-molecule, dual selective inhibitor of αvβ6 and αvβ1 integrins that we are developing for the treatment of idiopathic pulmonary fibrosis, or IPF, and primary sclerosing cholangitis, or PSC. We have completed a Phase 1a SAD/MAD trial and a Phase 1b proof-of-mechanism trial of PLN-74809 in IPF and are currently recruiting three Phase 2a trials in our lead indications: two in IPF and one in PSC.</w:t>
      </w:r>
    </w:p>
    <w:p>
      <w:pPr>
        <w:spacing w:after="0" w:line="177" w:lineRule="exact"/>
        <w:rPr>
          <w:sz w:val="20"/>
          <w:szCs w:val="20"/>
          <w:color w:val="auto"/>
        </w:rPr>
      </w:pPr>
    </w:p>
    <w:p>
      <w:pPr>
        <w:ind w:right="120" w:firstLine="1134"/>
        <w:spacing w:after="0" w:line="279" w:lineRule="auto"/>
        <w:rPr>
          <w:sz w:val="20"/>
          <w:szCs w:val="20"/>
          <w:color w:val="auto"/>
        </w:rPr>
      </w:pPr>
      <w:r>
        <w:rPr>
          <w:rFonts w:ascii="Arial" w:cs="Arial" w:eastAsia="Arial" w:hAnsi="Arial"/>
          <w:sz w:val="17"/>
          <w:szCs w:val="17"/>
          <w:color w:val="auto"/>
        </w:rPr>
        <w:t>Our second product candidate, PLN-1474, is a small-molecule selective inhibitor of αvβ1 for the treatment of liver fibrosis associated with nonalcoholic steatohepatitis, or NASH, which we have partnered with Novartis. PLN-1474 successfully completed a Phase 1 SAD/MAD trial in March 2021, and the Investigational New Drug, or IND, application was transferred to Novartis in the first quarter of 2021. Novartis is responsible for all PLN-1474 development, manufacturing and commercialization activities after the initial development period.</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 addition to our clinical programs, we currently have preclinical integrin-based programs targeting oncology and muscular dystrophies.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and Recent Highlights</w:t>
      </w:r>
    </w:p>
    <w:p>
      <w:pPr>
        <w:spacing w:after="0" w:line="113" w:lineRule="exact"/>
        <w:rPr>
          <w:sz w:val="20"/>
          <w:szCs w:val="20"/>
          <w:color w:val="auto"/>
        </w:rPr>
      </w:pPr>
    </w:p>
    <w:p>
      <w:pPr>
        <w:ind w:left="2280" w:right="180" w:hanging="1138"/>
        <w:spacing w:after="0" w:line="277" w:lineRule="auto"/>
        <w:tabs>
          <w:tab w:leader="none" w:pos="227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000D1B"/>
        </w:rPr>
        <w:t xml:space="preserve">Single ascending dose (SAD) cohorts up to 640mg and multiple ascending dose (MAD) cohorts up to 320mg completed in extended Phase 1a dose escalation trial of PLN-74809 in healthy volunteers. </w:t>
      </w:r>
      <w:r>
        <w:rPr>
          <w:rFonts w:ascii="Arial" w:cs="Arial" w:eastAsia="Arial" w:hAnsi="Arial"/>
          <w:sz w:val="17"/>
          <w:szCs w:val="17"/>
          <w:color w:val="000D1B"/>
        </w:rPr>
        <w:t>PLN-74809 has completed</w:t>
      </w:r>
      <w:r>
        <w:rPr>
          <w:rFonts w:ascii="Arial" w:cs="Arial" w:eastAsia="Arial" w:hAnsi="Arial"/>
          <w:sz w:val="17"/>
          <w:szCs w:val="17"/>
          <w:b w:val="1"/>
          <w:bCs w:val="1"/>
          <w:color w:val="000D1B"/>
        </w:rPr>
        <w:t xml:space="preserve"> </w:t>
      </w:r>
      <w:r>
        <w:rPr>
          <w:rFonts w:ascii="Arial" w:cs="Arial" w:eastAsia="Arial" w:hAnsi="Arial"/>
          <w:sz w:val="17"/>
          <w:szCs w:val="17"/>
          <w:color w:val="000D1B"/>
        </w:rPr>
        <w:t>dosing of additional SAD cohorts of up to 640 mg and MAD cohorts of up to 320 mg once daily dose in an extended dose escalation trial. The pharmacokinetic profile remains generally dose proportional with PLN-74809 continuing to be generally well tolerated, with no severe adverse events or serious adverse events reported.</w:t>
      </w:r>
    </w:p>
    <w:p>
      <w:pPr>
        <w:spacing w:after="0" w:line="127" w:lineRule="exact"/>
        <w:rPr>
          <w:rFonts w:ascii="Arial" w:cs="Arial" w:eastAsia="Arial" w:hAnsi="Arial"/>
          <w:sz w:val="17"/>
          <w:szCs w:val="17"/>
          <w:color w:val="auto"/>
        </w:rPr>
      </w:pPr>
    </w:p>
    <w:p>
      <w:pPr>
        <w:ind w:left="2280" w:right="60" w:hanging="328"/>
        <w:spacing w:after="0" w:line="258" w:lineRule="auto"/>
        <w:tabs>
          <w:tab w:leader="none" w:pos="2275" w:val="left"/>
        </w:tabs>
        <w:numPr>
          <w:ilvl w:val="1"/>
          <w:numId w:val="11"/>
        </w:numPr>
        <w:rPr>
          <w:rFonts w:ascii="Arial" w:cs="Arial" w:eastAsia="Arial" w:hAnsi="Arial"/>
          <w:sz w:val="18"/>
          <w:szCs w:val="18"/>
          <w:color w:val="000D1B"/>
        </w:rPr>
      </w:pPr>
      <w:r>
        <w:rPr>
          <w:rFonts w:ascii="Arial" w:cs="Arial" w:eastAsia="Arial" w:hAnsi="Arial"/>
          <w:sz w:val="18"/>
          <w:szCs w:val="18"/>
          <w:b w:val="1"/>
          <w:bCs w:val="1"/>
          <w:color w:val="000D1B"/>
        </w:rPr>
        <w:t xml:space="preserve">Enrollment on track for PLN-74809 Phase 2a trial in idiopathic pulmonary fibrosis (IPF). </w:t>
      </w:r>
      <w:r>
        <w:rPr>
          <w:rFonts w:ascii="Arial" w:cs="Arial" w:eastAsia="Arial" w:hAnsi="Arial"/>
          <w:sz w:val="18"/>
          <w:szCs w:val="18"/>
          <w:color w:val="000D1B"/>
        </w:rPr>
        <w:t>INTEGRIS-IPF is a 12-week randomized, dose-ranging, double-blind, placebo-controlled trial evaluating the safety, tolerability, and pharmacokinetics of PLN-74809 in IPF patients. This trial is evaluating exploratory endpoints including quantitative lung fibrosis score, or QLF, imaging as well as pulmonary function tests. Enrollment is currently on track to be completed by the end of 2021.</w:t>
      </w:r>
    </w:p>
    <w:p>
      <w:pPr>
        <w:spacing w:after="0" w:line="156" w:lineRule="exact"/>
        <w:rPr>
          <w:rFonts w:ascii="Arial" w:cs="Arial" w:eastAsia="Arial" w:hAnsi="Arial"/>
          <w:sz w:val="18"/>
          <w:szCs w:val="18"/>
          <w:color w:val="000D1B"/>
        </w:rPr>
      </w:pPr>
    </w:p>
    <w:p>
      <w:pPr>
        <w:ind w:left="2280" w:right="200" w:hanging="328"/>
        <w:spacing w:after="0" w:line="266" w:lineRule="auto"/>
        <w:tabs>
          <w:tab w:leader="none" w:pos="2275"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000D1B"/>
        </w:rPr>
        <w:t xml:space="preserve">Enrollment on track for PLN-74809 Phase 2a trial in primary sclerosing cholangitis (PSC). </w:t>
      </w:r>
      <w:r>
        <w:rPr>
          <w:rFonts w:ascii="Arial" w:cs="Arial" w:eastAsia="Arial" w:hAnsi="Arial"/>
          <w:sz w:val="18"/>
          <w:szCs w:val="18"/>
          <w:color w:val="000D1B"/>
        </w:rPr>
        <w:t>INTEGRIS-PSC is a 12-week randomized, dose-ranging, double-blind, placebo-controlled trial evaluating the safety, tolerability, and pharmacokinetics of PLN-74809 in PSC patients. The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left="2280" w:right="180"/>
        <w:spacing w:after="0" w:line="277" w:lineRule="auto"/>
        <w:rPr>
          <w:sz w:val="20"/>
          <w:szCs w:val="20"/>
          <w:color w:val="auto"/>
        </w:rPr>
      </w:pPr>
      <w:r>
        <w:rPr>
          <w:rFonts w:ascii="Arial" w:cs="Arial" w:eastAsia="Arial" w:hAnsi="Arial"/>
          <w:sz w:val="18"/>
          <w:szCs w:val="18"/>
          <w:color w:val="000D1B"/>
        </w:rPr>
        <w:t>trial is evaluating exploratory endpoints including fibrosis biomarkers such as Pro-C3 and ELF, changes in ALP, and liver imaging. Enrollment is currently on track to be completed in the first half of 2022.</w:t>
      </w:r>
    </w:p>
    <w:p>
      <w:pPr>
        <w:spacing w:after="0" w:line="139" w:lineRule="exact"/>
        <w:rPr>
          <w:sz w:val="20"/>
          <w:szCs w:val="20"/>
          <w:color w:val="auto"/>
        </w:rPr>
      </w:pPr>
    </w:p>
    <w:p>
      <w:pPr>
        <w:ind w:left="2280" w:hanging="328"/>
        <w:spacing w:after="0" w:line="277" w:lineRule="auto"/>
        <w:tabs>
          <w:tab w:leader="none" w:pos="2275" w:val="left"/>
        </w:tabs>
        <w:numPr>
          <w:ilvl w:val="0"/>
          <w:numId w:val="12"/>
        </w:numPr>
        <w:rPr>
          <w:rFonts w:ascii="Arial" w:cs="Arial" w:eastAsia="Arial" w:hAnsi="Arial"/>
          <w:sz w:val="17"/>
          <w:szCs w:val="17"/>
          <w:color w:val="000D1B"/>
        </w:rPr>
      </w:pPr>
      <w:r>
        <w:rPr>
          <w:rFonts w:ascii="Arial" w:cs="Arial" w:eastAsia="Arial" w:hAnsi="Arial"/>
          <w:sz w:val="17"/>
          <w:szCs w:val="17"/>
          <w:b w:val="1"/>
          <w:bCs w:val="1"/>
          <w:color w:val="auto"/>
        </w:rPr>
        <w:t>I</w:t>
      </w:r>
      <w:r>
        <w:rPr>
          <w:rFonts w:ascii="Arial" w:cs="Arial" w:eastAsia="Arial" w:hAnsi="Arial"/>
          <w:sz w:val="17"/>
          <w:szCs w:val="17"/>
          <w:b w:val="1"/>
          <w:bCs w:val="1"/>
          <w:color w:val="000D1B"/>
        </w:rPr>
        <w:t>mage analysis from PLN-74809 Phase 2a positron emission tomography (PET) trial underway, including addition of</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000D1B"/>
        </w:rPr>
        <w:t xml:space="preserve">a 320 mg cohort, with preliminary data anticipated upon completion of the analysis. </w:t>
      </w:r>
      <w:r>
        <w:rPr>
          <w:rFonts w:ascii="Arial" w:cs="Arial" w:eastAsia="Arial" w:hAnsi="Arial"/>
          <w:sz w:val="17"/>
          <w:szCs w:val="17"/>
          <w:color w:val="000D1B"/>
        </w:rPr>
        <w:t>This open-label, dose ranging trial</w:t>
      </w:r>
      <w:r>
        <w:rPr>
          <w:rFonts w:ascii="Arial" w:cs="Arial" w:eastAsia="Arial" w:hAnsi="Arial"/>
          <w:sz w:val="17"/>
          <w:szCs w:val="17"/>
          <w:b w:val="1"/>
          <w:bCs w:val="1"/>
          <w:color w:val="000D1B"/>
        </w:rPr>
        <w:t xml:space="preserve"> </w:t>
      </w:r>
      <w:r>
        <w:rPr>
          <w:rFonts w:ascii="Arial" w:cs="Arial" w:eastAsia="Arial" w:hAnsi="Arial"/>
          <w:sz w:val="17"/>
          <w:szCs w:val="17"/>
          <w:color w:val="000D1B"/>
        </w:rPr>
        <w:t>is evaluating target receptor occupancy levels of PLN-74809 in the lungs of IPF patients across ascending single-dose cohorts, utilizing a PET tracer of the integrin αvβ6. The Company recently amended the protocol to increase the maximum dose to 320 mg. In the second quarter, the first patients were dosed in this cohort.</w:t>
      </w:r>
    </w:p>
    <w:p>
      <w:pPr>
        <w:spacing w:after="0" w:line="194" w:lineRule="exact"/>
        <w:rPr>
          <w:rFonts w:ascii="Arial" w:cs="Arial" w:eastAsia="Arial" w:hAnsi="Arial"/>
          <w:sz w:val="17"/>
          <w:szCs w:val="17"/>
          <w:color w:val="000D1B"/>
        </w:rPr>
      </w:pPr>
    </w:p>
    <w:p>
      <w:pPr>
        <w:ind w:left="2280" w:right="140" w:hanging="328"/>
        <w:spacing w:after="0" w:line="283" w:lineRule="auto"/>
        <w:tabs>
          <w:tab w:leader="none" w:pos="2275"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Preclinical stage integrin-based programs continue to progress. </w:t>
      </w:r>
      <w:r>
        <w:rPr>
          <w:rFonts w:ascii="Arial" w:cs="Arial" w:eastAsia="Arial" w:hAnsi="Arial"/>
          <w:sz w:val="16"/>
          <w:szCs w:val="16"/>
          <w:color w:val="auto"/>
        </w:rPr>
        <w:t>The Company’s early-stage programs targeting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oncology and muscular dystrophies continue to advance toward the clinic. The oncology program is focused on increasing tumor checkpoint sensitivity through small molecule inhibition of </w:t>
      </w:r>
      <w:r>
        <w:rPr>
          <w:rFonts w:ascii="Arial" w:cs="Arial" w:eastAsia="Arial" w:hAnsi="Arial"/>
          <w:sz w:val="16"/>
          <w:szCs w:val="16"/>
          <w:color w:val="000D1B"/>
        </w:rPr>
        <w:t>α</w:t>
      </w:r>
      <w:r>
        <w:rPr>
          <w:rFonts w:ascii="Arial" w:cs="Arial" w:eastAsia="Arial" w:hAnsi="Arial"/>
          <w:sz w:val="20"/>
          <w:szCs w:val="20"/>
          <w:color w:val="auto"/>
          <w:vertAlign w:val="subscript"/>
        </w:rPr>
        <w:t>v</w:t>
      </w:r>
      <w:r>
        <w:rPr>
          <w:rFonts w:ascii="Arial" w:cs="Arial" w:eastAsia="Arial" w:hAnsi="Arial"/>
          <w:sz w:val="16"/>
          <w:szCs w:val="16"/>
          <w:color w:val="000D1B"/>
        </w:rPr>
        <w:t>β</w:t>
      </w:r>
      <w:r>
        <w:rPr>
          <w:rFonts w:ascii="Arial" w:cs="Arial" w:eastAsia="Arial" w:hAnsi="Arial"/>
          <w:sz w:val="20"/>
          <w:szCs w:val="20"/>
          <w:color w:val="000D1B"/>
          <w:vertAlign w:val="subscript"/>
        </w:rPr>
        <w:t>8</w:t>
      </w:r>
      <w:r>
        <w:rPr>
          <w:rFonts w:ascii="Arial" w:cs="Arial" w:eastAsia="Arial" w:hAnsi="Arial"/>
          <w:sz w:val="16"/>
          <w:szCs w:val="16"/>
          <w:color w:val="auto"/>
        </w:rPr>
        <w:t>. The muscular dystrophy program is focused on improving muscle function through activation of an integrin compensatory mechanism with a monoclonal antibody.</w:t>
      </w:r>
    </w:p>
    <w:p>
      <w:pPr>
        <w:spacing w:after="0" w:line="184" w:lineRule="exact"/>
        <w:rPr>
          <w:rFonts w:ascii="Arial" w:cs="Arial" w:eastAsia="Arial" w:hAnsi="Arial"/>
          <w:sz w:val="16"/>
          <w:szCs w:val="16"/>
          <w:color w:val="auto"/>
        </w:rPr>
      </w:pPr>
    </w:p>
    <w:p>
      <w:pPr>
        <w:ind w:left="2280" w:right="100" w:hanging="328"/>
        <w:spacing w:after="0" w:line="274" w:lineRule="auto"/>
        <w:tabs>
          <w:tab w:leader="none" w:pos="2275"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000D1B"/>
        </w:rPr>
        <w:t xml:space="preserve">Resources redeployed in support of ongoing PLN-74809 Phase 2a trials in IPF and PSC. </w:t>
      </w:r>
      <w:r>
        <w:rPr>
          <w:rFonts w:ascii="Arial" w:cs="Arial" w:eastAsia="Arial" w:hAnsi="Arial"/>
          <w:sz w:val="17"/>
          <w:szCs w:val="17"/>
          <w:color w:val="000D1B"/>
        </w:rPr>
        <w:t>Despite the rise of recently</w:t>
      </w:r>
      <w:r>
        <w:rPr>
          <w:rFonts w:ascii="Arial" w:cs="Arial" w:eastAsia="Arial" w:hAnsi="Arial"/>
          <w:sz w:val="17"/>
          <w:szCs w:val="17"/>
          <w:b w:val="1"/>
          <w:bCs w:val="1"/>
          <w:color w:val="000D1B"/>
        </w:rPr>
        <w:t xml:space="preserve"> </w:t>
      </w:r>
      <w:r>
        <w:rPr>
          <w:rFonts w:ascii="Arial" w:cs="Arial" w:eastAsia="Arial" w:hAnsi="Arial"/>
          <w:sz w:val="17"/>
          <w:szCs w:val="17"/>
          <w:color w:val="000D1B"/>
        </w:rPr>
        <w:t>identified COVID-19 variants, the broad availability of vaccines, as well as the increased and successful measures taken over the past nine months to contain the virus have resulted in a dramatic decrease in the number of severe and critical COVID-19 patients with acute respiratory distress syndrome (ARDS). Given the declining number of addressable patients, the Company has discontinued enrollment in the PLN-74809 Phase 2a COVID-19-related ARDS trial allowing for resources to be directed toward our lead indications.</w:t>
      </w:r>
    </w:p>
    <w:p>
      <w:pPr>
        <w:spacing w:after="0" w:line="200" w:lineRule="exact"/>
        <w:rPr>
          <w:sz w:val="20"/>
          <w:szCs w:val="20"/>
          <w:color w:val="auto"/>
        </w:rPr>
      </w:pPr>
    </w:p>
    <w:p>
      <w:pPr>
        <w:spacing w:after="0" w:line="220" w:lineRule="exact"/>
        <w:rPr>
          <w:sz w:val="20"/>
          <w:szCs w:val="20"/>
          <w:color w:val="auto"/>
        </w:rPr>
      </w:pPr>
    </w:p>
    <w:p>
      <w:pPr>
        <w:ind w:right="300" w:firstLine="1134"/>
        <w:spacing w:after="0" w:line="279" w:lineRule="auto"/>
        <w:rPr>
          <w:sz w:val="20"/>
          <w:szCs w:val="20"/>
          <w:color w:val="auto"/>
        </w:rPr>
      </w:pPr>
      <w:r>
        <w:rPr>
          <w:rFonts w:ascii="Arial" w:cs="Arial" w:eastAsia="Arial" w:hAnsi="Arial"/>
          <w:sz w:val="17"/>
          <w:szCs w:val="17"/>
          <w:color w:val="auto"/>
        </w:rPr>
        <w:t>Since inception, we have had significant operating losses. Our net loss was $22.8 million and $45.7 million for the three and six months ended June 30, 2021. As of June 30, 2021, we had an accumulated deficit of $163.5 million and cash, cash equivalents and short-term investments of $244.0 million. We expect to continue to incur net losses for the foreseeable future, and we expect our research and development expenses, general and administrative expenses, and capital expenditures will increase in connection with our ongoing activities, as we:</w:t>
      </w:r>
    </w:p>
    <w:p>
      <w:pPr>
        <w:spacing w:after="0" w:line="63" w:lineRule="exact"/>
        <w:rPr>
          <w:sz w:val="20"/>
          <w:szCs w:val="20"/>
          <w:color w:val="auto"/>
        </w:rPr>
      </w:pPr>
    </w:p>
    <w:p>
      <w:pPr>
        <w:ind w:left="2280" w:hanging="1138"/>
        <w:spacing w:after="0"/>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 research and development activities to identify and develop product candidates;</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product candidates into and through clinical development;</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the manufacture of supplies to support research and development, preclinical studies and clinical trials;</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2280" w:right="360" w:hanging="1138"/>
        <w:spacing w:after="0" w:line="277" w:lineRule="auto"/>
        <w:tabs>
          <w:tab w:leader="none" w:pos="22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to support our clinical development, manufacturing and commercialization efforts and our operations as a public company;</w:t>
      </w:r>
    </w:p>
    <w:p>
      <w:pPr>
        <w:spacing w:after="0" w:line="62" w:lineRule="exact"/>
        <w:rPr>
          <w:rFonts w:ascii="Arial" w:cs="Arial" w:eastAsia="Arial" w:hAnsi="Arial"/>
          <w:sz w:val="18"/>
          <w:szCs w:val="18"/>
          <w:color w:val="auto"/>
        </w:rPr>
      </w:pPr>
    </w:p>
    <w:p>
      <w:pPr>
        <w:ind w:left="2280" w:hanging="1138"/>
        <w:spacing w:after="0"/>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 in or in-license other technologies or product candidates.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right="100" w:firstLine="1134"/>
        <w:spacing w:after="0" w:line="271" w:lineRule="auto"/>
        <w:rPr>
          <w:sz w:val="20"/>
          <w:szCs w:val="20"/>
          <w:color w:val="auto"/>
        </w:rPr>
      </w:pPr>
      <w:r>
        <w:rPr>
          <w:rFonts w:ascii="Arial" w:cs="Arial" w:eastAsia="Arial" w:hAnsi="Arial"/>
          <w:sz w:val="17"/>
          <w:szCs w:val="17"/>
          <w:color w:val="auto"/>
        </w:rPr>
        <w:t>In March 2020, the World Health Organization declared the outbreak of a novel coronavirus, or COVID-19, as a pandemic, which, to date, continues to spread throughout the United States and worldwide. We have been, and in the future could be, materially and adversely affected by the risks, or the public perception of the risks, related to an epidemic, pandemic, outbreak, or other public health crisis, such as the outbreak of COVID-19. While difficult to predict or quantify the overall impact to our operations, among other things, our clinical trials have experienced delays, and may experience additional delays in the future, extending the timelines and increasing the overall costs to finish the clinical trials, as our fixed costs are not substantially reduced while the clinical trials are delayed. For example, the clinical site conducting our Phase 2a PET trial of PLN-74809 in IPF was closed to clinical research in March 2020, but resumed enrollment and trial activities in the third quarter of 2020. The ultimate extent of the impact of any epidemic, pandemic, outbreak, or other public health crisis on our business,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4" w:name="page25"/>
    <w:bookmarkEnd w:id="24"/>
    <w:p>
      <w:pPr>
        <w:ind w:right="300"/>
        <w:spacing w:after="0" w:line="296" w:lineRule="auto"/>
        <w:rPr>
          <w:sz w:val="20"/>
          <w:szCs w:val="20"/>
          <w:color w:val="auto"/>
        </w:rPr>
      </w:pPr>
      <w:r>
        <w:rPr>
          <w:rFonts w:ascii="Arial" w:cs="Arial" w:eastAsia="Arial" w:hAnsi="Arial"/>
          <w:sz w:val="16"/>
          <w:szCs w:val="16"/>
          <w:color w:val="auto"/>
        </w:rPr>
        <w:t>financial condition and results of operations will depend on future developments, which are highly uncertain and cannot be predicted, including new information that may emerge concerning the severity of such epidemic, pandemic, outbreak, or other public health crisis and actions taken to contain or prevent the further spread, among others. Accordingly, we cannot predict the extent to which our business, financial condition and results of operations have been and will be affected. We remain focused on maintaining a strong balance sheet, liquidity and financial flexibility and continue to monitor developments as we deal with the disruptions and uncertainties from a business and financial perspective relating to COVID-19.</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1134"/>
        <w:spacing w:after="0" w:line="257" w:lineRule="auto"/>
        <w:rPr>
          <w:sz w:val="20"/>
          <w:szCs w:val="20"/>
          <w:color w:val="auto"/>
        </w:rPr>
      </w:pPr>
      <w:r>
        <w:rPr>
          <w:rFonts w:ascii="Arial" w:cs="Arial" w:eastAsia="Arial" w:hAnsi="Arial"/>
          <w:sz w:val="18"/>
          <w:szCs w:val="18"/>
          <w:color w:val="auto"/>
        </w:rPr>
        <w:t>We have not generated any revenue from product sales and do not expect to do so in the near future. Our revenue to date is derived from a Collaboration and License Agreement with Novartis, or the "Novartis Agreement," that was executed in 2019. Our revenue from Novartis is included under the caption "Revenue - related party" because Novartis had aggregate holdings of our outstanding common stock of greater than 5% upon the close of our IPO. As of June 30, 2021 and December 31, 2020, Novartis owned approximately 6.0% and 6.1%, respectively, of our outstanding shares of common stock on a fully diluted basis.</w:t>
      </w:r>
    </w:p>
    <w:p>
      <w:pPr>
        <w:spacing w:after="0" w:line="80" w:lineRule="exact"/>
        <w:rPr>
          <w:sz w:val="20"/>
          <w:szCs w:val="20"/>
          <w:color w:val="auto"/>
        </w:rPr>
      </w:pPr>
    </w:p>
    <w:p>
      <w:pPr>
        <w:ind w:right="20" w:firstLine="1134"/>
        <w:spacing w:after="0" w:line="293" w:lineRule="auto"/>
        <w:rPr>
          <w:sz w:val="20"/>
          <w:szCs w:val="20"/>
          <w:color w:val="auto"/>
        </w:rPr>
      </w:pPr>
      <w:r>
        <w:rPr>
          <w:rFonts w:ascii="Arial" w:cs="Arial" w:eastAsia="Arial" w:hAnsi="Arial"/>
          <w:sz w:val="16"/>
          <w:szCs w:val="16"/>
          <w:color w:val="auto"/>
        </w:rPr>
        <w:t>The Novartis Agreement is for the development and commercialization of PLN-1474 and up to three additional integrin research targets. Under the terms of the Novartis Agreement, we received an upfront license fee payment of $50.0 million for the worldwide, exclusive license to PLN-1474 and an additional $25.0 million upon first patient dosed in our Phase 1 trial of PLN-1474 in the first quarter of 2020. We are eligible to receive additional milestone payments of up to $391.0 million in total, if defined developmental, regulatory and commercialization milestones are achieved, and tiered royalties on a product-by-product basis based on annual nets sales of products. Additionally, Novartis is providing up to $19.6 million and up to $13.4 million in funding for the initial research and development activities associated with PLN-1474 and integrin research targets,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Our research and development expenses consist of expenses incurred in connection with the development of our product candidates.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include:</w:t>
      </w:r>
    </w:p>
    <w:p>
      <w:pPr>
        <w:spacing w:after="0" w:line="103" w:lineRule="exact"/>
        <w:rPr>
          <w:sz w:val="20"/>
          <w:szCs w:val="20"/>
          <w:color w:val="auto"/>
        </w:rPr>
      </w:pPr>
    </w:p>
    <w:p>
      <w:pPr>
        <w:ind w:left="2280" w:right="920" w:hanging="1138"/>
        <w:spacing w:after="0" w:line="277" w:lineRule="auto"/>
        <w:tabs>
          <w:tab w:leader="none" w:pos="22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and stock-based compensation for our research and development personnel;</w:t>
      </w:r>
    </w:p>
    <w:p>
      <w:pPr>
        <w:spacing w:after="0" w:line="62" w:lineRule="exact"/>
        <w:rPr>
          <w:rFonts w:ascii="Arial" w:cs="Arial" w:eastAsia="Arial" w:hAnsi="Arial"/>
          <w:sz w:val="18"/>
          <w:szCs w:val="18"/>
          <w:color w:val="auto"/>
        </w:rPr>
      </w:pPr>
    </w:p>
    <w:p>
      <w:pPr>
        <w:ind w:left="2280" w:right="520" w:hanging="1138"/>
        <w:spacing w:after="0" w:line="277" w:lineRule="auto"/>
        <w:tabs>
          <w:tab w:leader="none" w:pos="22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incurred under agreements with third-party contract organizations for pre-clinical studies, clinical trials and consultants that conduct research and development activities on our behalf;</w:t>
      </w:r>
    </w:p>
    <w:p>
      <w:pPr>
        <w:spacing w:after="0" w:line="62" w:lineRule="exact"/>
        <w:rPr>
          <w:rFonts w:ascii="Arial" w:cs="Arial" w:eastAsia="Arial" w:hAnsi="Arial"/>
          <w:sz w:val="18"/>
          <w:szCs w:val="18"/>
          <w:color w:val="auto"/>
        </w:rPr>
      </w:pPr>
    </w:p>
    <w:p>
      <w:pPr>
        <w:ind w:left="2280" w:right="440" w:hanging="1138"/>
        <w:spacing w:after="0" w:line="277" w:lineRule="auto"/>
        <w:tabs>
          <w:tab w:leader="none" w:pos="22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the manufacture of supplies to support research and development, preclinical studies and clinical trials;</w:t>
      </w:r>
    </w:p>
    <w:p>
      <w:pPr>
        <w:spacing w:after="0" w:line="62" w:lineRule="exact"/>
        <w:rPr>
          <w:rFonts w:ascii="Arial" w:cs="Arial" w:eastAsia="Arial" w:hAnsi="Arial"/>
          <w:sz w:val="18"/>
          <w:szCs w:val="18"/>
          <w:color w:val="auto"/>
        </w:rPr>
      </w:pPr>
    </w:p>
    <w:p>
      <w:pPr>
        <w:ind w:left="2280" w:hanging="1138"/>
        <w:spacing w:after="0"/>
        <w:tabs>
          <w:tab w:leader="none" w:pos="2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depreciation of laboratory equipment and costs of equipment and supplies;</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 and</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facilities and other allocated expenses, which include expenses for rent and other facility related costs and other supplies.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420" w:firstLine="1134"/>
        <w:spacing w:after="0" w:line="263"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17" w:lineRule="exact"/>
        <w:rPr>
          <w:sz w:val="20"/>
          <w:szCs w:val="20"/>
          <w:color w:val="auto"/>
        </w:rPr>
      </w:pPr>
    </w:p>
    <w:p>
      <w:pPr>
        <w:ind w:right="400" w:firstLine="1134"/>
        <w:spacing w:after="0" w:line="277" w:lineRule="auto"/>
        <w:rPr>
          <w:sz w:val="20"/>
          <w:szCs w:val="20"/>
          <w:color w:val="auto"/>
        </w:rPr>
      </w:pPr>
      <w:r>
        <w:rPr>
          <w:rFonts w:ascii="Arial" w:cs="Arial" w:eastAsia="Arial" w:hAnsi="Arial"/>
          <w:sz w:val="18"/>
          <w:szCs w:val="18"/>
          <w:color w:val="auto"/>
        </w:rPr>
        <w:t>Our interest and other income (expense), net consists of interest income earned on cash and cash equivalents, money market funds and short-term investments, realized gains and losses on investments and foreign exchange transactions.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5" w:name="page26"/>
    <w:bookmarkEnd w:id="25"/>
    <w:p>
      <w:pPr>
        <w:ind w:left="442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 (in thousands)</w:t>
      </w:r>
    </w:p>
    <w:p>
      <w:pPr>
        <w:spacing w:after="0" w:line="136"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8"/>
        </w:trPr>
        <w:tc>
          <w:tcPr>
            <w:tcW w:w="63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 Change</w:t>
            </w: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Revenue—related party</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r>
      <w:tr>
        <w:trPr>
          <w:trHeight w:val="229"/>
        </w:trPr>
        <w:tc>
          <w:tcPr>
            <w:tcW w:w="6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w:t>
            </w:r>
          </w:p>
        </w:tc>
      </w:tr>
      <w:tr>
        <w:trPr>
          <w:trHeight w:val="223"/>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r>
      <w:tr>
        <w:trPr>
          <w:trHeight w:val="223"/>
        </w:trPr>
        <w:tc>
          <w:tcPr>
            <w:tcW w:w="630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(5,928)</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63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(5,830)</w:t>
            </w:r>
          </w:p>
        </w:tc>
      </w:tr>
      <w:tr>
        <w:trPr>
          <w:trHeight w:val="21"/>
        </w:trPr>
        <w:tc>
          <w:tcPr>
            <w:tcW w:w="6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Revenue—Related Party</w:t>
      </w:r>
    </w:p>
    <w:p>
      <w:pPr>
        <w:spacing w:after="0" w:line="225" w:lineRule="exact"/>
        <w:rPr>
          <w:sz w:val="20"/>
          <w:szCs w:val="20"/>
          <w:color w:val="auto"/>
        </w:rPr>
      </w:pPr>
    </w:p>
    <w:p>
      <w:pPr>
        <w:ind w:firstLine="1134"/>
        <w:spacing w:after="0" w:line="263" w:lineRule="auto"/>
        <w:rPr>
          <w:sz w:val="20"/>
          <w:szCs w:val="20"/>
          <w:color w:val="auto"/>
        </w:rPr>
      </w:pPr>
      <w:r>
        <w:rPr>
          <w:rFonts w:ascii="Arial" w:cs="Arial" w:eastAsia="Arial" w:hAnsi="Arial"/>
          <w:sz w:val="18"/>
          <w:szCs w:val="18"/>
          <w:color w:val="auto"/>
        </w:rPr>
        <w:t>Revenue-related party was $1.8 million for the three months ended June 30, 2021 compared to $3.6 million for the three months ended June 30, 2020. The decrease of $1.8 million is primarily attributable to development work associated with the Phase 1 clinical trial of PLN-1474 in healthy volunteers which had completed prior to the second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following table summarizes our research and development expenses for the three months ended June 30, 2021 and 2020 (in thousands):</w:t>
      </w:r>
    </w:p>
    <w:p>
      <w:pPr>
        <w:spacing w:after="0" w:line="240"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62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Employee-related expenses</w:t>
            </w:r>
          </w:p>
        </w:tc>
        <w:tc>
          <w:tcPr>
            <w:tcW w:w="860" w:type="dxa"/>
            <w:vAlign w:val="bottom"/>
            <w:tcBorders>
              <w:top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260" w:type="dxa"/>
            <w:vAlign w:val="bottom"/>
          </w:tcPr>
          <w:p>
            <w:pPr>
              <w:ind w:left="20"/>
              <w:spacing w:after="0" w:line="176" w:lineRule="exact"/>
              <w:rPr>
                <w:sz w:val="20"/>
                <w:szCs w:val="20"/>
                <w:color w:val="auto"/>
              </w:rPr>
            </w:pPr>
            <w:r>
              <w:rPr>
                <w:rFonts w:ascii="Arial" w:cs="Arial" w:eastAsia="Arial" w:hAnsi="Arial"/>
                <w:sz w:val="18"/>
                <w:szCs w:val="18"/>
                <w:color w:val="auto"/>
                <w:w w:val="91"/>
              </w:rPr>
              <w:t>Outside and consulting services for preclinical studies and research and development</w:t>
            </w:r>
          </w:p>
        </w:tc>
        <w:tc>
          <w:tcPr>
            <w:tcW w:w="8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3,536</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180"/>
              <w:spacing w:after="0"/>
              <w:rPr>
                <w:sz w:val="20"/>
                <w:szCs w:val="20"/>
                <w:color w:val="auto"/>
              </w:rPr>
            </w:pPr>
            <w:r>
              <w:rPr>
                <w:rFonts w:ascii="Arial" w:cs="Arial" w:eastAsia="Arial" w:hAnsi="Arial"/>
                <w:sz w:val="18"/>
                <w:szCs w:val="18"/>
                <w:color w:val="auto"/>
              </w:rPr>
              <w:t>activities by third party contract organizations</w:t>
            </w:r>
          </w:p>
        </w:tc>
        <w:tc>
          <w:tcPr>
            <w:tcW w:w="8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Clinical trials expenses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Depreciation of lab equipment and costs of equipment and supplies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and intellectual property licenses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w:t>
            </w:r>
          </w:p>
        </w:tc>
        <w:tc>
          <w:tcPr>
            <w:tcW w:w="1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Facilities and other allocated expenses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19,218</w:t>
            </w: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17,536</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1134"/>
        <w:spacing w:after="0" w:line="296" w:lineRule="auto"/>
        <w:rPr>
          <w:sz w:val="20"/>
          <w:szCs w:val="20"/>
          <w:color w:val="auto"/>
        </w:rPr>
      </w:pPr>
      <w:r>
        <w:rPr>
          <w:rFonts w:ascii="Arial" w:cs="Arial" w:eastAsia="Arial" w:hAnsi="Arial"/>
          <w:sz w:val="16"/>
          <w:szCs w:val="16"/>
          <w:color w:val="auto"/>
        </w:rPr>
        <w:t>Research and development expenses for the three months ended June 30, 2021 was $19.2 million compared to $17.5 million for the three months ended June 30, 2020. The increase of $1.7 million is primarily attributable to employee related expenses, driven by headcount, salaries and stock-based compensation expense, and an increase in clinical trial expenses largely due to underlying clinical conduct associated with our Phase 2 trials for PLN 74809. The increases were partially offset by a decrease in expenses related to intellectual property rights as we expensed a $2.4 million milestone payment due to the University of California upon the close of our IPO associated with certain patents and technology relating to α</w:t>
      </w:r>
      <w:r>
        <w:rPr>
          <w:rFonts w:ascii="Arial" w:cs="Arial" w:eastAsia="Arial" w:hAnsi="Arial"/>
          <w:sz w:val="14"/>
          <w:szCs w:val="14"/>
          <w:color w:val="auto"/>
        </w:rPr>
        <w:t>v</w:t>
      </w:r>
      <w:r>
        <w:rPr>
          <w:rFonts w:ascii="Arial" w:cs="Arial" w:eastAsia="Arial" w:hAnsi="Arial"/>
          <w:sz w:val="16"/>
          <w:szCs w:val="16"/>
          <w:color w:val="auto"/>
        </w:rPr>
        <w:t>ß1.</w:t>
      </w:r>
    </w:p>
    <w:p>
      <w:pPr>
        <w:spacing w:after="0" w:line="161" w:lineRule="exact"/>
        <w:rPr>
          <w:sz w:val="20"/>
          <w:szCs w:val="20"/>
          <w:color w:val="auto"/>
        </w:rPr>
      </w:pPr>
    </w:p>
    <w:p>
      <w:pPr>
        <w:ind w:right="80" w:firstLine="1134"/>
        <w:spacing w:after="0" w:line="257" w:lineRule="auto"/>
        <w:rPr>
          <w:sz w:val="20"/>
          <w:szCs w:val="20"/>
          <w:color w:val="auto"/>
        </w:rPr>
      </w:pPr>
      <w:r>
        <w:rPr>
          <w:rFonts w:ascii="Arial" w:cs="Arial" w:eastAsia="Arial" w:hAnsi="Arial"/>
          <w:sz w:val="18"/>
          <w:szCs w:val="18"/>
          <w:color w:val="auto"/>
        </w:rPr>
        <w:t>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80" w:firstLine="1134"/>
        <w:spacing w:after="0" w:line="277" w:lineRule="auto"/>
        <w:rPr>
          <w:sz w:val="20"/>
          <w:szCs w:val="20"/>
          <w:color w:val="auto"/>
        </w:rPr>
      </w:pPr>
      <w:r>
        <w:rPr>
          <w:rFonts w:ascii="Arial" w:cs="Arial" w:eastAsia="Arial" w:hAnsi="Arial"/>
          <w:sz w:val="18"/>
          <w:szCs w:val="18"/>
          <w:color w:val="auto"/>
        </w:rPr>
        <w:t>General and administrative expenses for the three months ended June 30, 2021 was $5.5 million compared to $3.0 million for the three months ended June 30, 2020. The increase of $2.4 million is primarily attributable to employee related</w:t>
      </w:r>
    </w:p>
    <w:p>
      <w:pPr>
        <w:sectPr>
          <w:pgSz w:w="11900" w:h="16838" w:orient="portrait"/>
          <w:cols w:equalWidth="0" w:num="1">
            <w:col w:w="11220"/>
          </w:cols>
          <w:pgMar w:left="320" w:top="1215"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type w:val="continuous"/>
        </w:sectPr>
      </w:pPr>
    </w:p>
    <w:bookmarkStart w:id="26" w:name="page27"/>
    <w:bookmarkEnd w:id="26"/>
    <w:p>
      <w:pPr>
        <w:ind w:right="200"/>
        <w:spacing w:after="0" w:line="251" w:lineRule="auto"/>
        <w:rPr>
          <w:sz w:val="20"/>
          <w:szCs w:val="20"/>
          <w:color w:val="auto"/>
        </w:rPr>
      </w:pPr>
      <w:r>
        <w:rPr>
          <w:rFonts w:ascii="Arial" w:cs="Arial" w:eastAsia="Arial" w:hAnsi="Arial"/>
          <w:sz w:val="18"/>
          <w:szCs w:val="18"/>
          <w:color w:val="auto"/>
        </w:rPr>
        <w:t>expenses, driven by salaries and stock-based compensation expense, and increased costs associated with our operating as a public company, for example, insurance premiums and accounting and audit expenses.</w:t>
      </w:r>
    </w:p>
    <w:p>
      <w:pPr>
        <w:spacing w:after="0" w:line="2" w:lineRule="exact"/>
        <w:rPr>
          <w:sz w:val="20"/>
          <w:szCs w:val="20"/>
          <w:color w:val="auto"/>
        </w:rPr>
      </w:pPr>
    </w:p>
    <w:p>
      <w:pPr>
        <w:ind w:firstLine="1134"/>
        <w:spacing w:after="0" w:line="228" w:lineRule="auto"/>
        <w:rPr>
          <w:sz w:val="20"/>
          <w:szCs w:val="20"/>
          <w:color w:val="auto"/>
        </w:rPr>
      </w:pPr>
      <w:r>
        <w:rPr>
          <w:rFonts w:ascii="Arial" w:cs="Arial" w:eastAsia="Arial" w:hAnsi="Arial"/>
          <w:sz w:val="18"/>
          <w:szCs w:val="18"/>
          <w:color w:val="auto"/>
        </w:rPr>
        <w:t>We expect our general and administrative expenses to increase for the foreseeable future as we continue to build our administrative function to support our growth in operations and to meet the requirements of operating as a public company, particularly as we expect to cease being an emerging growth company on December 31, 2021.</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17" w:lineRule="exact"/>
        <w:rPr>
          <w:sz w:val="20"/>
          <w:szCs w:val="20"/>
          <w:color w:val="auto"/>
        </w:rPr>
      </w:pPr>
    </w:p>
    <w:p>
      <w:pPr>
        <w:ind w:right="180" w:firstLine="1134"/>
        <w:spacing w:after="0" w:line="286" w:lineRule="auto"/>
        <w:rPr>
          <w:sz w:val="20"/>
          <w:szCs w:val="20"/>
          <w:color w:val="auto"/>
        </w:rPr>
      </w:pPr>
      <w:r>
        <w:rPr>
          <w:rFonts w:ascii="Arial" w:cs="Arial" w:eastAsia="Arial" w:hAnsi="Arial"/>
          <w:sz w:val="17"/>
          <w:szCs w:val="17"/>
          <w:color w:val="auto"/>
        </w:rPr>
        <w:t>Interest and other income (expense), net for the three months ended June 30, 2021 was $73,000 compared to a net expense of $25,000 for the three months ended June 30, 2020. The increase of $98,000 resulted from higher interest income in the current period owing to larger investment balances following the increase in cash, cash equivalents and short-term investments resulting from our IPO.</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 (in thousands)</w:t>
      </w:r>
    </w:p>
    <w:p>
      <w:pPr>
        <w:spacing w:after="0" w:line="136"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8"/>
        </w:trPr>
        <w:tc>
          <w:tcPr>
            <w:tcW w:w="63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 Change</w:t>
            </w: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Revenue—related party</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(28,575)</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r>
      <w:tr>
        <w:trPr>
          <w:trHeight w:val="230"/>
        </w:trPr>
        <w:tc>
          <w:tcPr>
            <w:tcW w:w="6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w:t>
            </w:r>
          </w:p>
        </w:tc>
      </w:tr>
      <w:tr>
        <w:trPr>
          <w:trHeight w:val="223"/>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(11,280)</w:t>
            </w:r>
          </w:p>
        </w:tc>
      </w:tr>
      <w:tr>
        <w:trPr>
          <w:trHeight w:val="223"/>
        </w:trPr>
        <w:tc>
          <w:tcPr>
            <w:tcW w:w="630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(39,855)</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63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(39,715)</w:t>
            </w:r>
          </w:p>
        </w:tc>
      </w:tr>
      <w:tr>
        <w:trPr>
          <w:trHeight w:val="21"/>
        </w:trPr>
        <w:tc>
          <w:tcPr>
            <w:tcW w:w="6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Revenue—Related Party</w:t>
      </w:r>
    </w:p>
    <w:p>
      <w:pPr>
        <w:spacing w:after="0" w:line="225" w:lineRule="exact"/>
        <w:rPr>
          <w:sz w:val="20"/>
          <w:szCs w:val="20"/>
          <w:color w:val="auto"/>
        </w:rPr>
      </w:pPr>
    </w:p>
    <w:p>
      <w:pPr>
        <w:ind w:right="20" w:firstLine="1134"/>
        <w:spacing w:after="0" w:line="263" w:lineRule="auto"/>
        <w:rPr>
          <w:sz w:val="20"/>
          <w:szCs w:val="20"/>
          <w:color w:val="auto"/>
        </w:rPr>
      </w:pPr>
      <w:r>
        <w:rPr>
          <w:rFonts w:ascii="Arial" w:cs="Arial" w:eastAsia="Arial" w:hAnsi="Arial"/>
          <w:sz w:val="18"/>
          <w:szCs w:val="18"/>
          <w:color w:val="auto"/>
        </w:rPr>
        <w:t>Revenue-related party was $4.0 million for the six months ended June 30, 2021 compared to $32.5 million for the six months ended June 30, 2020. The decrease of $28.6 million is primarily attributable to a $25.0 million milestone achieved in the first quarter of 2020 for first-patient-first-dose in our Phase 1 clinical trial of PLN-1474 in healthy volunteers.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following table summarizes our research and development expenses for the six months ended June 30, 2021 and 2020 (in thousands):</w:t>
      </w:r>
    </w:p>
    <w:p>
      <w:pPr>
        <w:spacing w:after="0" w:line="240"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62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Employee-related expenses</w:t>
            </w:r>
          </w:p>
        </w:tc>
        <w:tc>
          <w:tcPr>
            <w:tcW w:w="860" w:type="dxa"/>
            <w:vAlign w:val="bottom"/>
            <w:tcBorders>
              <w:top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10,313</w:t>
            </w: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260" w:type="dxa"/>
            <w:vAlign w:val="bottom"/>
          </w:tcPr>
          <w:p>
            <w:pPr>
              <w:ind w:left="20"/>
              <w:spacing w:after="0" w:line="176" w:lineRule="exact"/>
              <w:rPr>
                <w:sz w:val="20"/>
                <w:szCs w:val="20"/>
                <w:color w:val="auto"/>
              </w:rPr>
            </w:pPr>
            <w:r>
              <w:rPr>
                <w:rFonts w:ascii="Arial" w:cs="Arial" w:eastAsia="Arial" w:hAnsi="Arial"/>
                <w:sz w:val="18"/>
                <w:szCs w:val="18"/>
                <w:color w:val="auto"/>
                <w:w w:val="91"/>
              </w:rPr>
              <w:t>Outside and consulting services for preclinical studies and research and development</w:t>
            </w:r>
          </w:p>
        </w:tc>
        <w:tc>
          <w:tcPr>
            <w:tcW w:w="8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6,227</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7,085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180"/>
              <w:spacing w:after="0"/>
              <w:rPr>
                <w:sz w:val="20"/>
                <w:szCs w:val="20"/>
                <w:color w:val="auto"/>
              </w:rPr>
            </w:pPr>
            <w:r>
              <w:rPr>
                <w:rFonts w:ascii="Arial" w:cs="Arial" w:eastAsia="Arial" w:hAnsi="Arial"/>
                <w:sz w:val="18"/>
                <w:szCs w:val="18"/>
                <w:color w:val="auto"/>
              </w:rPr>
              <w:t>activities by third party contract organizations</w:t>
            </w:r>
          </w:p>
        </w:tc>
        <w:tc>
          <w:tcPr>
            <w:tcW w:w="8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Clinical trials expenses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15,344</w:t>
            </w:r>
          </w:p>
        </w:tc>
        <w:tc>
          <w:tcPr>
            <w:tcW w:w="100" w:type="dxa"/>
            <w:vAlign w:val="bottom"/>
            <w:shd w:val="clear" w:color="auto" w:fill="CFF0FC"/>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10,935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Depreciation of lab equipment and costs of equipment and supplies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and intellectual property licenses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Facilities and other allocated expenses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37,745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31,455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1134"/>
        <w:spacing w:after="0" w:line="296" w:lineRule="auto"/>
        <w:rPr>
          <w:sz w:val="20"/>
          <w:szCs w:val="20"/>
          <w:color w:val="auto"/>
        </w:rPr>
      </w:pPr>
      <w:r>
        <w:rPr>
          <w:rFonts w:ascii="Arial" w:cs="Arial" w:eastAsia="Arial" w:hAnsi="Arial"/>
          <w:sz w:val="16"/>
          <w:szCs w:val="16"/>
          <w:color w:val="auto"/>
        </w:rPr>
        <w:t>Research and development expenses for the six months ended June 30, 2021 was $37.7 million compared to $31.5 million for the six months ended June 30, 2020. The increase of $6.3 million is primarily attributable to employee related expenses, driven by headcount, salaries and stock-based compensation expense, and an increase in clinical trial expenses largely due to underlying clinical conduct associated with our Phase 2 trials for PLN 74809. The increases were partially offset by a decrease in expenses related to intellectual property rights as we expensed a $2.4 million milestone payment due to the University of California upon the close of our IPO associated with certain patents and technology relating to α</w:t>
      </w:r>
      <w:r>
        <w:rPr>
          <w:rFonts w:ascii="Arial" w:cs="Arial" w:eastAsia="Arial" w:hAnsi="Arial"/>
          <w:sz w:val="14"/>
          <w:szCs w:val="14"/>
          <w:color w:val="auto"/>
        </w:rPr>
        <w:t>v</w:t>
      </w:r>
      <w:r>
        <w:rPr>
          <w:rFonts w:ascii="Arial" w:cs="Arial" w:eastAsia="Arial" w:hAnsi="Arial"/>
          <w:sz w:val="16"/>
          <w:szCs w:val="16"/>
          <w:color w:val="auto"/>
        </w:rPr>
        <w:t>ß1.</w:t>
      </w:r>
    </w:p>
    <w:p>
      <w:pPr>
        <w:sectPr>
          <w:pgSz w:w="11900" w:h="16838" w:orient="portrait"/>
          <w:cols w:equalWidth="0" w:num="1">
            <w:col w:w="11220"/>
          </w:cols>
          <w:pgMar w:left="320" w:top="1003"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type w:val="continuous"/>
        </w:sectPr>
      </w:pPr>
    </w:p>
    <w:bookmarkStart w:id="27" w:name="page28"/>
    <w:bookmarkEnd w:id="27"/>
    <w:p>
      <w:pPr>
        <w:ind w:right="100" w:firstLine="1134"/>
        <w:spacing w:after="0" w:line="257" w:lineRule="auto"/>
        <w:rPr>
          <w:sz w:val="20"/>
          <w:szCs w:val="20"/>
          <w:color w:val="auto"/>
        </w:rPr>
      </w:pPr>
      <w:r>
        <w:rPr>
          <w:rFonts w:ascii="Arial" w:cs="Arial" w:eastAsia="Arial" w:hAnsi="Arial"/>
          <w:sz w:val="18"/>
          <w:szCs w:val="18"/>
          <w:color w:val="auto"/>
        </w:rPr>
        <w:t>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firstLine="1134"/>
        <w:spacing w:after="0" w:line="282" w:lineRule="auto"/>
        <w:rPr>
          <w:sz w:val="20"/>
          <w:szCs w:val="20"/>
          <w:color w:val="auto"/>
        </w:rPr>
      </w:pPr>
      <w:r>
        <w:rPr>
          <w:rFonts w:ascii="Arial" w:cs="Arial" w:eastAsia="Arial" w:hAnsi="Arial"/>
          <w:sz w:val="16"/>
          <w:szCs w:val="16"/>
          <w:color w:val="auto"/>
        </w:rPr>
        <w:t>General and administrative expenses for the six months ended June 30, 2021 was $12.0 million compared to $7.1 million for the six months ended June 30, 2020. The increase of $5.0 million is primarily attributable to employee related expenses, driven by salaries and stock-based compensation expense, and increased costs associated with our operating as a public company, for example, insurance premiums and accounting and audit expenses.</w:t>
      </w:r>
    </w:p>
    <w:p>
      <w:pPr>
        <w:spacing w:after="0" w:line="2" w:lineRule="exact"/>
        <w:rPr>
          <w:sz w:val="20"/>
          <w:szCs w:val="20"/>
          <w:color w:val="auto"/>
        </w:rPr>
      </w:pPr>
    </w:p>
    <w:p>
      <w:pPr>
        <w:ind w:right="20" w:firstLine="1134"/>
        <w:spacing w:after="0" w:line="228" w:lineRule="auto"/>
        <w:rPr>
          <w:sz w:val="20"/>
          <w:szCs w:val="20"/>
          <w:color w:val="auto"/>
        </w:rPr>
      </w:pPr>
      <w:r>
        <w:rPr>
          <w:rFonts w:ascii="Arial" w:cs="Arial" w:eastAsia="Arial" w:hAnsi="Arial"/>
          <w:sz w:val="18"/>
          <w:szCs w:val="18"/>
          <w:color w:val="auto"/>
        </w:rPr>
        <w:t>We expect our general and administrative expenses to increase for the foreseeable future as we continue to build our administrative function to support our growth in operations and to meet the requirements of operating as a public company, particularly as we expect to cease being an emerging growth company on December 31, 2021.</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17" w:lineRule="exact"/>
        <w:rPr>
          <w:sz w:val="20"/>
          <w:szCs w:val="20"/>
          <w:color w:val="auto"/>
        </w:rPr>
      </w:pPr>
    </w:p>
    <w:p>
      <w:pPr>
        <w:ind w:right="80" w:firstLine="1134"/>
        <w:spacing w:after="0" w:line="263" w:lineRule="auto"/>
        <w:rPr>
          <w:sz w:val="20"/>
          <w:szCs w:val="20"/>
          <w:color w:val="auto"/>
        </w:rPr>
      </w:pPr>
      <w:r>
        <w:rPr>
          <w:rFonts w:ascii="Arial" w:cs="Arial" w:eastAsia="Arial" w:hAnsi="Arial"/>
          <w:sz w:val="18"/>
          <w:szCs w:val="18"/>
          <w:color w:val="auto"/>
        </w:rPr>
        <w:t>Interest and other income (expense), net for the six months ended June 30, 2021 was $136,000 compared to a net expense of $4,000 for the six months ended June 30, 2020. The increase of $140,000 resulted from higher interest income in the current period owing to larger investment balances following the increase in cash, cash equivalents and short-term investments resulting from our IPO.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2" w:lineRule="exact"/>
        <w:rPr>
          <w:sz w:val="20"/>
          <w:szCs w:val="20"/>
          <w:color w:val="auto"/>
        </w:rPr>
      </w:pPr>
    </w:p>
    <w:p>
      <w:pPr>
        <w:ind w:firstLine="1134"/>
        <w:spacing w:after="0" w:line="222" w:lineRule="auto"/>
        <w:rPr>
          <w:sz w:val="20"/>
          <w:szCs w:val="20"/>
          <w:color w:val="auto"/>
        </w:rPr>
      </w:pPr>
      <w:r>
        <w:rPr>
          <w:rFonts w:ascii="Arial" w:cs="Arial" w:eastAsia="Arial" w:hAnsi="Arial"/>
          <w:sz w:val="18"/>
          <w:szCs w:val="18"/>
          <w:color w:val="auto"/>
        </w:rPr>
        <w:t>As of June 30, 2021, we had $244.0 million of cash, cash equivalents and short-term investments. Our short-term investments consist of U.S. Treasury securities, U.S. Government agency securities and highly rated, investment-grade corporate debt securities. Subsequent to period end, we established an “at-the-market” facility for the sale of up to $150.0 million worth of shares of common stock from time to time by entering into a controlled offering equity sales agreement with Cantor Fitzgerald &amp; Co., as sales agent. We have not issued any shares pursuant to any at-the-market offerings but may do so at a future date. Based on our current operating plan, we anticipate that the aggregate of our current cash, cash equivalents and short-term investments will be sufficient to fund our planned operations, commitments and contractual obligations for a period of at least one year following the date of this Report and into 2023.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w:t>
      </w:r>
    </w:p>
    <w:p>
      <w:pPr>
        <w:spacing w:after="0" w:line="191" w:lineRule="exact"/>
        <w:rPr>
          <w:sz w:val="20"/>
          <w:szCs w:val="20"/>
          <w:color w:val="auto"/>
        </w:rPr>
      </w:pPr>
    </w:p>
    <w:p>
      <w:pPr>
        <w:jc w:val="both"/>
        <w:ind w:right="140" w:firstLine="1134"/>
        <w:spacing w:after="0" w:line="259" w:lineRule="auto"/>
        <w:rPr>
          <w:sz w:val="20"/>
          <w:szCs w:val="20"/>
          <w:color w:val="auto"/>
        </w:rPr>
      </w:pPr>
      <w:r>
        <w:rPr>
          <w:rFonts w:ascii="Arial" w:cs="Arial" w:eastAsia="Arial" w:hAnsi="Arial"/>
          <w:sz w:val="18"/>
          <w:szCs w:val="18"/>
          <w:color w:val="auto"/>
        </w:rPr>
        <w:t>Our operations have been financed primarily through the issuance and sale of convertible preferred stock, our collaboration with Novartis and issuance of common stock via our IPO. We completed our IPO in June 2020 and received $148.3 million, net of underwriting discounts, commissions and offering expenses. Concurrent with the completion of the IPO, we also issued 625,000 shares of our common stock to Novartis for proceeds of $10.0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117" w:lineRule="exact"/>
        <w:rPr>
          <w:sz w:val="20"/>
          <w:szCs w:val="20"/>
          <w:color w:val="auto"/>
        </w:rPr>
      </w:pPr>
    </w:p>
    <w:p>
      <w:pPr>
        <w:ind w:right="200" w:firstLine="1134"/>
        <w:spacing w:after="0" w:line="263" w:lineRule="auto"/>
        <w:rPr>
          <w:sz w:val="20"/>
          <w:szCs w:val="20"/>
          <w:color w:val="auto"/>
        </w:rPr>
      </w:pPr>
      <w:r>
        <w:rPr>
          <w:rFonts w:ascii="Arial" w:cs="Arial" w:eastAsia="Arial" w:hAnsi="Arial"/>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117" w:lineRule="exact"/>
        <w:rPr>
          <w:sz w:val="20"/>
          <w:szCs w:val="20"/>
          <w:color w:val="auto"/>
        </w:rPr>
      </w:pPr>
    </w:p>
    <w:p>
      <w:pPr>
        <w:ind w:left="2100" w:hanging="958"/>
        <w:spacing w:after="0"/>
        <w:tabs>
          <w:tab w:leader="none" w:pos="2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w:t>
      </w:r>
    </w:p>
    <w:p>
      <w:pPr>
        <w:spacing w:after="0" w:line="117" w:lineRule="exact"/>
        <w:rPr>
          <w:rFonts w:ascii="Arial" w:cs="Arial" w:eastAsia="Arial" w:hAnsi="Arial"/>
          <w:sz w:val="18"/>
          <w:szCs w:val="18"/>
          <w:color w:val="auto"/>
        </w:rPr>
      </w:pPr>
    </w:p>
    <w:p>
      <w:pPr>
        <w:ind w:left="2100" w:hanging="958"/>
        <w:spacing w:after="0"/>
        <w:tabs>
          <w:tab w:leader="none" w:pos="2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clinical development plans we establish for these product candidates;</w:t>
      </w:r>
    </w:p>
    <w:p>
      <w:pPr>
        <w:spacing w:after="0" w:line="117" w:lineRule="exact"/>
        <w:rPr>
          <w:rFonts w:ascii="Arial" w:cs="Arial" w:eastAsia="Arial" w:hAnsi="Arial"/>
          <w:sz w:val="18"/>
          <w:szCs w:val="18"/>
          <w:color w:val="auto"/>
        </w:rPr>
      </w:pPr>
    </w:p>
    <w:p>
      <w:pPr>
        <w:ind w:left="2120" w:right="140" w:hanging="978"/>
        <w:spacing w:after="0" w:line="277" w:lineRule="auto"/>
        <w:tabs>
          <w:tab w:leader="none" w:pos="21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timelines of our clinical trials and the overall costs to conduct and complete the clinical trials, which may be impacted by the COVID-19 pandemic;</w:t>
      </w:r>
    </w:p>
    <w:p>
      <w:pPr>
        <w:spacing w:after="0" w:line="62" w:lineRule="exact"/>
        <w:rPr>
          <w:rFonts w:ascii="Arial" w:cs="Arial" w:eastAsia="Arial" w:hAnsi="Arial"/>
          <w:sz w:val="18"/>
          <w:szCs w:val="18"/>
          <w:color w:val="auto"/>
        </w:rPr>
      </w:pPr>
    </w:p>
    <w:p>
      <w:pPr>
        <w:ind w:left="2100" w:hanging="958"/>
        <w:spacing w:after="0"/>
        <w:tabs>
          <w:tab w:leader="none" w:pos="2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w:t>
      </w:r>
    </w:p>
    <w:p>
      <w:pPr>
        <w:spacing w:after="0" w:line="117" w:lineRule="exact"/>
        <w:rPr>
          <w:rFonts w:ascii="Arial" w:cs="Arial" w:eastAsia="Arial" w:hAnsi="Arial"/>
          <w:sz w:val="18"/>
          <w:szCs w:val="18"/>
          <w:color w:val="auto"/>
        </w:rPr>
      </w:pPr>
    </w:p>
    <w:p>
      <w:pPr>
        <w:ind w:left="2120" w:right="260" w:hanging="978"/>
        <w:spacing w:after="0" w:line="277" w:lineRule="auto"/>
        <w:tabs>
          <w:tab w:leader="none" w:pos="21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U.S. Food and Drug Administration, or FDA, and other comparable foreign regulatory authorities;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8" w:name="page29"/>
    <w:bookmarkEnd w:id="28"/>
    <w:p>
      <w:pPr>
        <w:ind w:left="2100" w:hanging="958"/>
        <w:spacing w:after="0"/>
        <w:tabs>
          <w:tab w:leader="none" w:pos="2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enter into any collaboration agreements and the terms of any such agreements;</w:t>
      </w:r>
    </w:p>
    <w:p>
      <w:pPr>
        <w:spacing w:after="0" w:line="117" w:lineRule="exact"/>
        <w:rPr>
          <w:rFonts w:ascii="Arial" w:cs="Arial" w:eastAsia="Arial" w:hAnsi="Arial"/>
          <w:sz w:val="18"/>
          <w:szCs w:val="18"/>
          <w:color w:val="auto"/>
        </w:rPr>
      </w:pPr>
    </w:p>
    <w:p>
      <w:pPr>
        <w:ind w:left="2100" w:hanging="958"/>
        <w:spacing w:after="0"/>
        <w:tabs>
          <w:tab w:leader="none" w:pos="2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our patent claims and other intellectual property rights;</w:t>
      </w:r>
    </w:p>
    <w:p>
      <w:pPr>
        <w:spacing w:after="0" w:line="117" w:lineRule="exact"/>
        <w:rPr>
          <w:rFonts w:ascii="Arial" w:cs="Arial" w:eastAsia="Arial" w:hAnsi="Arial"/>
          <w:sz w:val="18"/>
          <w:szCs w:val="18"/>
          <w:color w:val="auto"/>
        </w:rPr>
      </w:pPr>
    </w:p>
    <w:p>
      <w:pPr>
        <w:ind w:left="2120" w:hanging="978"/>
        <w:spacing w:after="0" w:line="277" w:lineRule="auto"/>
        <w:tabs>
          <w:tab w:leader="none" w:pos="21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 against us or our product candidates;</w:t>
      </w:r>
    </w:p>
    <w:p>
      <w:pPr>
        <w:spacing w:after="0" w:line="62" w:lineRule="exact"/>
        <w:rPr>
          <w:rFonts w:ascii="Arial" w:cs="Arial" w:eastAsia="Arial" w:hAnsi="Arial"/>
          <w:sz w:val="18"/>
          <w:szCs w:val="18"/>
          <w:color w:val="auto"/>
        </w:rPr>
      </w:pPr>
    </w:p>
    <w:p>
      <w:pPr>
        <w:ind w:left="2100" w:hanging="958"/>
        <w:spacing w:after="0"/>
        <w:tabs>
          <w:tab w:leader="none" w:pos="2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2100" w:hanging="958"/>
        <w:spacing w:after="0"/>
        <w:tabs>
          <w:tab w:leader="none" w:pos="2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outsourced manufacturing activities;</w:t>
      </w:r>
    </w:p>
    <w:p>
      <w:pPr>
        <w:spacing w:after="0" w:line="117" w:lineRule="exact"/>
        <w:rPr>
          <w:rFonts w:ascii="Arial" w:cs="Arial" w:eastAsia="Arial" w:hAnsi="Arial"/>
          <w:sz w:val="18"/>
          <w:szCs w:val="18"/>
          <w:color w:val="auto"/>
        </w:rPr>
      </w:pPr>
    </w:p>
    <w:p>
      <w:pPr>
        <w:ind w:left="2120" w:right="340" w:hanging="978"/>
        <w:spacing w:after="0" w:line="277" w:lineRule="auto"/>
        <w:tabs>
          <w:tab w:leader="none" w:pos="21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on our own; and</w:t>
      </w:r>
    </w:p>
    <w:p>
      <w:pPr>
        <w:spacing w:after="0" w:line="62" w:lineRule="exact"/>
        <w:rPr>
          <w:rFonts w:ascii="Arial" w:cs="Arial" w:eastAsia="Arial" w:hAnsi="Arial"/>
          <w:sz w:val="18"/>
          <w:szCs w:val="18"/>
          <w:color w:val="auto"/>
        </w:rPr>
      </w:pPr>
    </w:p>
    <w:p>
      <w:pPr>
        <w:ind w:left="2100" w:hanging="958"/>
        <w:spacing w:after="0"/>
        <w:tabs>
          <w:tab w:leader="none" w:pos="2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operating as a public company.</w:t>
      </w:r>
    </w:p>
    <w:p>
      <w:pPr>
        <w:spacing w:after="0" w:line="225" w:lineRule="exact"/>
        <w:rPr>
          <w:sz w:val="20"/>
          <w:szCs w:val="20"/>
          <w:color w:val="auto"/>
        </w:rPr>
      </w:pPr>
    </w:p>
    <w:p>
      <w:pPr>
        <w:ind w:right="120" w:firstLine="1134"/>
        <w:spacing w:after="0" w:line="289" w:lineRule="auto"/>
        <w:rPr>
          <w:sz w:val="20"/>
          <w:szCs w:val="20"/>
          <w:color w:val="auto"/>
        </w:rPr>
      </w:pPr>
      <w:r>
        <w:rPr>
          <w:rFonts w:ascii="Arial" w:cs="Arial" w:eastAsia="Arial" w:hAnsi="Arial"/>
          <w:sz w:val="16"/>
          <w:szCs w:val="16"/>
          <w:color w:val="auto"/>
        </w:rPr>
        <w:t>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additional capital through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summarizes our cash flows for the periods indicated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8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r>
      <w:tr>
        <w:trPr>
          <w:trHeight w:val="187"/>
        </w:trPr>
        <w:tc>
          <w:tcPr>
            <w:tcW w:w="63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r>
      <w:tr>
        <w:trPr>
          <w:trHeight w:val="231"/>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(28,074)</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Net cash provided by/(used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(117,692)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133,508</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215,340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(213,778)</w:t>
            </w:r>
          </w:p>
        </w:tc>
      </w:tr>
      <w:tr>
        <w:trPr>
          <w:trHeight w:val="223"/>
        </w:trPr>
        <w:tc>
          <w:tcPr>
            <w:tcW w:w="6340" w:type="dxa"/>
            <w:vAlign w:val="bottom"/>
          </w:tcPr>
          <w:p>
            <w:pPr>
              <w:ind w:left="220"/>
              <w:spacing w:after="0"/>
              <w:rPr>
                <w:sz w:val="20"/>
                <w:szCs w:val="20"/>
                <w:color w:val="auto"/>
              </w:rPr>
            </w:pPr>
            <w:r>
              <w:rPr>
                <w:rFonts w:ascii="Arial" w:cs="Arial" w:eastAsia="Arial" w:hAnsi="Arial"/>
                <w:sz w:val="18"/>
                <w:szCs w:val="18"/>
                <w:color w:val="auto"/>
              </w:rPr>
              <w:t>Net (decrease)/increase in cash and cash equivalents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92,654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(108,344)</w:t>
            </w:r>
          </w:p>
        </w:tc>
      </w:tr>
      <w:tr>
        <w:trPr>
          <w:trHeight w:val="20"/>
        </w:trPr>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firstLine="1134"/>
        <w:spacing w:after="0" w:line="259" w:lineRule="auto"/>
        <w:rPr>
          <w:sz w:val="20"/>
          <w:szCs w:val="20"/>
          <w:color w:val="auto"/>
        </w:rPr>
      </w:pPr>
      <w:r>
        <w:rPr>
          <w:rFonts w:ascii="Arial" w:cs="Arial" w:eastAsia="Arial" w:hAnsi="Arial"/>
          <w:sz w:val="18"/>
          <w:szCs w:val="18"/>
          <w:color w:val="auto"/>
        </w:rPr>
        <w:t>Net cash used in operating activities increased by $28.1 million to $33.1 million for the six months ended June 30, 2021 compared to the same period in 2020. The change over prior year is primarily attributable to an increase in operating expenses of approximately $12 million during the current year and less revenues owing to the achievement, and receipt, of a $25.0 million milestone in the first quarter of 2020 associated with the PLN-1474 collaboration with Novartis.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by/Used in Investing Activities</w:t>
      </w:r>
    </w:p>
    <w:p>
      <w:pPr>
        <w:spacing w:after="0" w:line="117" w:lineRule="exact"/>
        <w:rPr>
          <w:sz w:val="20"/>
          <w:szCs w:val="20"/>
          <w:color w:val="auto"/>
        </w:rPr>
      </w:pPr>
    </w:p>
    <w:p>
      <w:pPr>
        <w:ind w:right="20" w:firstLine="1134"/>
        <w:spacing w:after="0" w:line="259" w:lineRule="auto"/>
        <w:rPr>
          <w:sz w:val="20"/>
          <w:szCs w:val="20"/>
          <w:color w:val="auto"/>
        </w:rPr>
      </w:pPr>
      <w:r>
        <w:rPr>
          <w:rFonts w:ascii="Arial" w:cs="Arial" w:eastAsia="Arial" w:hAnsi="Arial"/>
          <w:sz w:val="18"/>
          <w:szCs w:val="18"/>
          <w:color w:val="auto"/>
        </w:rPr>
        <w:t>Net cash provided by investing activities increased by $133.5 million to $15.8 million for the six months ended June 30, 2021 compared to the same period in 2020. The difference is due to maturities within the investment portfolio exceeding current period purchases, while the six months ended 2020 saw significantly greater purchases relative to maturities as the second quarter of 2020 included our initial investment of financing cash flows associated with the IPO and private placement offering with Novartis.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140" w:firstLine="1134"/>
        <w:spacing w:after="0" w:line="277" w:lineRule="auto"/>
        <w:rPr>
          <w:sz w:val="20"/>
          <w:szCs w:val="20"/>
          <w:color w:val="auto"/>
        </w:rPr>
      </w:pPr>
      <w:r>
        <w:rPr>
          <w:rFonts w:ascii="Arial" w:cs="Arial" w:eastAsia="Arial" w:hAnsi="Arial"/>
          <w:sz w:val="18"/>
          <w:szCs w:val="18"/>
          <w:color w:val="auto"/>
        </w:rPr>
        <w:t>Net cash provided by financing activities decreased by $213.8 million to $1.6 million for the six months ended June 30, 2021 compared to the same period in 2020. The decrease is attributable to proceeds from the IPO, private placement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and Series C preferred stock being received in 2020 whereas the only financing activity during 2021 was derived from the exercise of stock options.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right="460" w:firstLine="1134"/>
        <w:spacing w:after="0" w:line="277" w:lineRule="auto"/>
        <w:rPr>
          <w:sz w:val="20"/>
          <w:szCs w:val="20"/>
          <w:color w:val="auto"/>
        </w:rPr>
      </w:pPr>
      <w:r>
        <w:rPr>
          <w:rFonts w:ascii="Arial" w:cs="Arial" w:eastAsia="Arial" w:hAnsi="Arial"/>
          <w:sz w:val="18"/>
          <w:szCs w:val="18"/>
          <w:color w:val="auto"/>
        </w:rPr>
        <w:t>There have been no material changes to our contractual obligations and other commitments as of June 30, 2021, as compared to those disclosed in our Annual Report on Form 10-K for the fiscal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60" w:firstLine="1134"/>
        <w:spacing w:after="0" w:line="277"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or holdings in any variable interest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121" w:lineRule="exact"/>
        <w:rPr>
          <w:sz w:val="20"/>
          <w:szCs w:val="20"/>
          <w:color w:val="auto"/>
        </w:rPr>
      </w:pPr>
    </w:p>
    <w:p>
      <w:pPr>
        <w:ind w:right="40" w:firstLine="1134"/>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4" w:lineRule="exact"/>
        <w:rPr>
          <w:sz w:val="20"/>
          <w:szCs w:val="20"/>
          <w:color w:val="auto"/>
        </w:rPr>
      </w:pPr>
    </w:p>
    <w:p>
      <w:pPr>
        <w:ind w:right="40" w:firstLine="1134"/>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and estimates from those described in “Part II, Item 7. Management’s Discussion and Analysis of Financial Condition and Results of Operations” included in our Annual Report on Form 10-K for the fiscal year ended December 31, 2020 filed with the SEC.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See Note 2 to our condensed financial statements appearing elsewhere in this Report for more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and JOBS Act Accounting Election</w:t>
      </w:r>
    </w:p>
    <w:p>
      <w:pPr>
        <w:spacing w:after="0" w:line="121" w:lineRule="exact"/>
        <w:rPr>
          <w:sz w:val="20"/>
          <w:szCs w:val="20"/>
          <w:color w:val="auto"/>
        </w:rPr>
      </w:pPr>
    </w:p>
    <w:p>
      <w:pPr>
        <w:ind w:right="20" w:firstLine="1134"/>
        <w:spacing w:after="0" w:line="268" w:lineRule="auto"/>
        <w:rPr>
          <w:sz w:val="20"/>
          <w:szCs w:val="20"/>
          <w:color w:val="auto"/>
        </w:rPr>
      </w:pPr>
      <w:r>
        <w:rPr>
          <w:rFonts w:ascii="Arial" w:cs="Arial" w:eastAsia="Arial" w:hAnsi="Arial"/>
          <w:sz w:val="17"/>
          <w:szCs w:val="17"/>
          <w:color w:val="auto"/>
        </w:rPr>
        <w:t xml:space="preserve">We are currently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avail ourselves of this exemption and adopt ASU No. 2016-02 </w:t>
      </w:r>
      <w:r>
        <w:rPr>
          <w:rFonts w:ascii="Arial" w:cs="Arial" w:eastAsia="Arial" w:hAnsi="Arial"/>
          <w:sz w:val="17"/>
          <w:szCs w:val="17"/>
          <w:i w:val="1"/>
          <w:iCs w:val="1"/>
          <w:color w:val="auto"/>
        </w:rPr>
        <w:t>(Topic 842</w:t>
      </w:r>
      <w:r>
        <w:rPr>
          <w:rFonts w:ascii="Arial" w:cs="Arial" w:eastAsia="Arial" w:hAnsi="Arial"/>
          <w:sz w:val="17"/>
          <w:szCs w:val="17"/>
          <w:color w:val="auto"/>
        </w:rPr>
        <w:t>), Leases when the standard is effective for private companies which is for fiscal years beginning after December 15, 2021. As a result, our financial statements may not be comparable to companies that comply with new or revised accounting pronouncements as of public company effective dates.</w:t>
      </w:r>
    </w:p>
    <w:p>
      <w:pPr>
        <w:spacing w:after="0" w:line="3" w:lineRule="exact"/>
        <w:rPr>
          <w:sz w:val="20"/>
          <w:szCs w:val="20"/>
          <w:color w:val="auto"/>
        </w:rPr>
      </w:pPr>
    </w:p>
    <w:p>
      <w:pPr>
        <w:ind w:right="180" w:firstLine="1134"/>
        <w:spacing w:after="0" w:line="264" w:lineRule="auto"/>
        <w:rPr>
          <w:sz w:val="20"/>
          <w:szCs w:val="20"/>
          <w:color w:val="auto"/>
        </w:rPr>
      </w:pPr>
      <w:r>
        <w:rPr>
          <w:rFonts w:ascii="Arial" w:cs="Arial" w:eastAsia="Arial" w:hAnsi="Arial"/>
          <w:sz w:val="16"/>
          <w:szCs w:val="16"/>
          <w:color w:val="auto"/>
        </w:rPr>
        <w:t>In addition, we intend to rely on the other exemptions and reduced reporting requirements provided by the JOBS Act for the duration that we remain as an “emerging growth company”. Subject to certain conditions set forth in the JOBS Act, if as an “emerging growth company” we intend to rely on such exemptions, we are not required to, among other things, (i) provide an auditor’s attestation report on our system of internal controls over financial reporting pursuant to Section 404(b) of the Sarbanes-Oxley Act of 2002, (ii) provide all of the compensation disclosure that may be required</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These exemptions will apply until we no longer meet the requirements of being an emerging growth company. We will remain an emerging growth company until the earliest of (i) December 31, 2025;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0" w:name="page31"/>
    <w:bookmarkEnd w:id="30"/>
    <w:p>
      <w:pPr>
        <w:ind w:right="20"/>
        <w:spacing w:after="0" w:line="246" w:lineRule="auto"/>
        <w:rPr>
          <w:sz w:val="20"/>
          <w:szCs w:val="20"/>
          <w:color w:val="auto"/>
        </w:rPr>
      </w:pPr>
      <w:r>
        <w:rPr>
          <w:rFonts w:ascii="Arial" w:cs="Arial" w:eastAsia="Arial" w:hAnsi="Arial"/>
          <w:sz w:val="18"/>
          <w:szCs w:val="18"/>
          <w:color w:val="auto"/>
        </w:rPr>
        <w:t>Based on the market value of our common stock held by our non-affiliates as of June 30, 2021, we currently expect to be deemed a “large accelerated filer” on December 31, 2021 and thus lose our status as an emerging growth company as of such date.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0" w:firstLine="1134"/>
        <w:spacing w:after="0" w:line="253" w:lineRule="auto"/>
        <w:rPr>
          <w:sz w:val="20"/>
          <w:szCs w:val="20"/>
          <w:color w:val="auto"/>
        </w:rPr>
      </w:pPr>
      <w:r>
        <w:rPr>
          <w:rFonts w:ascii="Arial" w:cs="Arial" w:eastAsia="Arial" w:hAnsi="Arial"/>
          <w:sz w:val="18"/>
          <w:szCs w:val="18"/>
          <w:color w:val="auto"/>
        </w:rPr>
        <w:t>The primary objectives of our investment activities are to ensure liquidity and to preserve capital. We are exposed to market risks in the ordinary course of our business. These risks primarily include interest rate sensitivities. We had cash, cash equivalents and short-term investments of $244.0 million as of June 30, 2021 which consisted of bank deposits, highly liquid money market funds and short-term investments in U.S. treasury securities, U.S. government agency securities and corporate debt securities. Historical fluctuations in interest rates have not been significant for us. We had no outstanding debt as of June 30, 2021. Due to the short-term maturities of our cash equivalents and short-term investments, an immediate 100 basis point change in interest rates would not have a material effect on the fair market value of our cash equivalents or short-term investments. To minimize the risk, we maintain our portfolio of cash equivalents and short-term investments in institutional market funds that are composed of U.S. Treasury and U.S. Treasury-backed repurchase agreements or short-term U.S. Treasury securities, U.S. government agency securities and corporate debt securities. We do not believe that inflation, interest rate changes, or exchange rate fluctuations had a significant impact on our results of operations for any periods presented herein.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1134"/>
        <w:spacing w:after="0" w:line="255" w:lineRule="auto"/>
        <w:rPr>
          <w:sz w:val="20"/>
          <w:szCs w:val="20"/>
          <w:color w:val="auto"/>
        </w:rPr>
      </w:pPr>
      <w:r>
        <w:rPr>
          <w:rFonts w:ascii="Arial" w:cs="Arial" w:eastAsia="Arial" w:hAnsi="Arial"/>
          <w:sz w:val="18"/>
          <w:szCs w:val="18"/>
          <w:color w:val="auto"/>
        </w:rPr>
        <w:t>As of June 30, 2021, our management, with the participation of our Chief Executive Officer and Chief Financial Officer, performed an evaluation of the effectiveness of the design and operation of our disclosure controls and procedures as defined in Rules 13a-15(e) and 15d-15(e) under the Exchange Act. Our disclosure controls and procedures are designed to 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disclosures.</w:t>
      </w:r>
    </w:p>
    <w:p>
      <w:pPr>
        <w:spacing w:after="0" w:line="192" w:lineRule="exact"/>
        <w:rPr>
          <w:sz w:val="20"/>
          <w:szCs w:val="20"/>
          <w:color w:val="auto"/>
        </w:rPr>
      </w:pPr>
    </w:p>
    <w:p>
      <w:pPr>
        <w:ind w:firstLine="1134"/>
        <w:spacing w:after="0" w:line="259"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June 30, 2021, the design and operation of our disclosure controls and procedures were effective at a reasonable assurance level.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60" w:firstLine="1134"/>
        <w:spacing w:after="0" w:line="257" w:lineRule="auto"/>
        <w:rPr>
          <w:sz w:val="20"/>
          <w:szCs w:val="20"/>
          <w:color w:val="auto"/>
        </w:rPr>
      </w:pPr>
      <w:r>
        <w:rPr>
          <w:rFonts w:ascii="Arial" w:cs="Arial" w:eastAsia="Arial" w:hAnsi="Arial"/>
          <w:sz w:val="18"/>
          <w:szCs w:val="18"/>
          <w:color w:val="auto"/>
        </w:rPr>
        <w:t>There was no change in our internal controls over financial reporting identified in connection with the evaluation required by Rule 13a-15(d) and 15d-15(d) under the Exchange Act that occurred during the quarter ended June 30, 2021 that has materially affected, or is reasonably likely to materially affect, our internal control over financial reporting. We considered our internal controls over financial reporting in regards to the impact of COVID-19 and concluded that our controls continue to operate in a remote environment without material effect on our internal controls over financial reporting.</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400" w:firstLine="1134"/>
        <w:spacing w:after="0" w:line="311" w:lineRule="auto"/>
        <w:rPr>
          <w:sz w:val="20"/>
          <w:szCs w:val="20"/>
          <w:color w:val="auto"/>
        </w:rPr>
      </w:pPr>
      <w:r>
        <w:rPr>
          <w:rFonts w:ascii="Arial" w:cs="Arial" w:eastAsia="Arial" w:hAnsi="Arial"/>
          <w:sz w:val="16"/>
          <w:szCs w:val="16"/>
          <w:color w:val="auto"/>
        </w:rPr>
        <w:t>As of the date of this filing,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have incurred significant net losses since inception and we expect to continue to incur significant net losses for the foreseeable future.</w:t>
      </w:r>
    </w:p>
    <w:p>
      <w:pPr>
        <w:spacing w:after="0" w:line="221" w:lineRule="exact"/>
        <w:rPr>
          <w:sz w:val="20"/>
          <w:szCs w:val="20"/>
          <w:color w:val="auto"/>
        </w:rPr>
      </w:pPr>
    </w:p>
    <w:p>
      <w:pPr>
        <w:ind w:right="80" w:firstLine="434"/>
        <w:spacing w:after="0" w:line="254" w:lineRule="auto"/>
        <w:rPr>
          <w:sz w:val="20"/>
          <w:szCs w:val="20"/>
          <w:color w:val="auto"/>
        </w:rPr>
      </w:pPr>
      <w:r>
        <w:rPr>
          <w:rFonts w:ascii="Arial" w:cs="Arial" w:eastAsia="Arial" w:hAnsi="Arial"/>
          <w:sz w:val="18"/>
          <w:szCs w:val="18"/>
          <w:color w:val="auto"/>
        </w:rPr>
        <w:t>We have incurred significant net losses since our inception and have financed our operations principally through equity financing and our collaboration with Novartis. We continue to incur significant research and development and other expenses related to our ongoing operations. Our net loss was $22.8 million and $45.7 million for the three and six months ended June 30, 2021, respectively. As of June 30, 2021, we had an accumulated deficit of $163.5 million.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expect to continue to incur significant losses for the foreseeable future, and we anticipate that our expenses will increase substantially if, and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w:t>
      </w:r>
    </w:p>
    <w:p>
      <w:pPr>
        <w:spacing w:after="0" w:line="170" w:lineRule="exact"/>
        <w:rPr>
          <w:sz w:val="20"/>
          <w:szCs w:val="20"/>
          <w:color w:val="auto"/>
        </w:rPr>
      </w:pPr>
    </w:p>
    <w:p>
      <w:pPr>
        <w:ind w:left="880" w:right="120" w:hanging="438"/>
        <w:spacing w:after="0" w:line="277" w:lineRule="auto"/>
        <w:tabs>
          <w:tab w:leader="none" w:pos="8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our lead product candidate, PLN-74809, and our other product candidates through clinical development, and, if successful, later-stage clinical trials;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discover and develop new product candidates;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our preclinical development programs into clinical development;</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further develop manufacturing processes and manufacture our product candidates;</w:t>
      </w:r>
    </w:p>
    <w:p>
      <w:pPr>
        <w:spacing w:after="0" w:line="198" w:lineRule="exact"/>
        <w:rPr>
          <w:rFonts w:ascii="Arial" w:cs="Arial" w:eastAsia="Arial" w:hAnsi="Arial"/>
          <w:sz w:val="18"/>
          <w:szCs w:val="18"/>
          <w:color w:val="auto"/>
        </w:rPr>
      </w:pPr>
    </w:p>
    <w:p>
      <w:pPr>
        <w:ind w:left="880" w:right="200" w:hanging="438"/>
        <w:spacing w:after="0" w:line="277" w:lineRule="auto"/>
        <w:tabs>
          <w:tab w:leader="none" w:pos="8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delays or interruptions to preclinical studies, clinical trials, our receipt of services from our third-party service providers on whom we rely, or our supply chain due to the COVID-19 pandemic;</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commercialize PLN-74809, our other product candidates and any future product candidates, if approved;</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the amount of research and development activities to identify and develop product candidates;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additional clinical development, quality control, scientific and management personnel;</w:t>
      </w:r>
    </w:p>
    <w:p>
      <w:pPr>
        <w:spacing w:after="0" w:line="184" w:lineRule="exact"/>
        <w:rPr>
          <w:rFonts w:ascii="Arial" w:cs="Arial" w:eastAsia="Arial" w:hAnsi="Arial"/>
          <w:sz w:val="18"/>
          <w:szCs w:val="18"/>
          <w:color w:val="auto"/>
        </w:rPr>
      </w:pPr>
    </w:p>
    <w:p>
      <w:pPr>
        <w:ind w:left="880" w:right="300" w:hanging="438"/>
        <w:spacing w:after="0" w:line="277" w:lineRule="auto"/>
        <w:tabs>
          <w:tab w:leader="none" w:pos="8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clinical development and manufacturing efforts and our operations as a public company;</w:t>
      </w:r>
    </w:p>
    <w:p>
      <w:pPr>
        <w:spacing w:after="0" w:line="143" w:lineRule="exact"/>
        <w:rPr>
          <w:rFonts w:ascii="Arial" w:cs="Arial" w:eastAsia="Arial" w:hAnsi="Arial"/>
          <w:sz w:val="18"/>
          <w:szCs w:val="18"/>
          <w:color w:val="auto"/>
        </w:rPr>
      </w:pPr>
    </w:p>
    <w:p>
      <w:pPr>
        <w:ind w:left="880" w:right="180" w:hanging="438"/>
        <w:spacing w:after="0" w:line="277" w:lineRule="auto"/>
        <w:tabs>
          <w:tab w:leader="none" w:pos="8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products for which we may obtain marketing approval and intend to commercialize on our own or jointly with third parties;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 in or in-license other technologies or product candidates; and</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build out our organization to engage in such activities.</w:t>
      </w:r>
    </w:p>
    <w:p>
      <w:pPr>
        <w:spacing w:after="0" w:line="185" w:lineRule="exact"/>
        <w:rPr>
          <w:sz w:val="20"/>
          <w:szCs w:val="20"/>
          <w:color w:val="auto"/>
        </w:rPr>
      </w:pPr>
    </w:p>
    <w:p>
      <w:pPr>
        <w:ind w:firstLine="427"/>
        <w:spacing w:after="0" w:line="254" w:lineRule="auto"/>
        <w:rPr>
          <w:sz w:val="20"/>
          <w:szCs w:val="20"/>
          <w:color w:val="auto"/>
        </w:rPr>
      </w:pPr>
      <w:r>
        <w:rPr>
          <w:rFonts w:ascii="Arial" w:cs="Arial" w:eastAsia="Arial" w:hAnsi="Arial"/>
          <w:sz w:val="18"/>
          <w:szCs w:val="18"/>
          <w:color w:val="auto"/>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2" w:name="page33"/>
    <w:bookmarkEnd w:id="32"/>
    <w:p>
      <w:pPr>
        <w:jc w:val="both"/>
        <w:ind w:left="220"/>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157" w:lineRule="exact"/>
        <w:rPr>
          <w:sz w:val="20"/>
          <w:szCs w:val="20"/>
          <w:color w:val="auto"/>
        </w:rPr>
      </w:pPr>
    </w:p>
    <w:p>
      <w:pPr>
        <w:ind w:right="40" w:firstLine="434"/>
        <w:spacing w:after="0" w:line="291" w:lineRule="auto"/>
        <w:rPr>
          <w:sz w:val="20"/>
          <w:szCs w:val="20"/>
          <w:color w:val="auto"/>
        </w:rPr>
      </w:pPr>
      <w:r>
        <w:rPr>
          <w:rFonts w:ascii="Arial" w:cs="Arial" w:eastAsia="Arial" w:hAnsi="Arial"/>
          <w:sz w:val="16"/>
          <w:szCs w:val="16"/>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planned clinical trials of PLN-74809 and any future product candidates that we may develop, seek regulatory approvals for our product candidates and to launch and commercialize any products for which we receive regulatory approval. We also expect to incur additional costs associated with operating as a public company. Accordingly, we will need to obtain substantial additional funding in order to maintain our continuing operations. If we are unable to raise capital when needed or on acceptable terms, we may be forced to delay, reduce, or eliminate one or more of our research and drug development programs or future commercialization efforts.</w:t>
      </w:r>
    </w:p>
    <w:p>
      <w:pPr>
        <w:spacing w:after="0" w:line="126" w:lineRule="exact"/>
        <w:rPr>
          <w:sz w:val="20"/>
          <w:szCs w:val="20"/>
          <w:color w:val="auto"/>
        </w:rPr>
      </w:pPr>
    </w:p>
    <w:p>
      <w:pPr>
        <w:ind w:right="20" w:firstLine="434"/>
        <w:spacing w:after="0" w:line="254" w:lineRule="auto"/>
        <w:rPr>
          <w:sz w:val="20"/>
          <w:szCs w:val="20"/>
          <w:color w:val="auto"/>
        </w:rPr>
      </w:pPr>
      <w:r>
        <w:rPr>
          <w:rFonts w:ascii="Arial" w:cs="Arial" w:eastAsia="Arial" w:hAnsi="Arial"/>
          <w:sz w:val="18"/>
          <w:szCs w:val="18"/>
          <w:color w:val="auto"/>
        </w:rPr>
        <w:t>As of June 30, 2021, we had approximately $244.0 million in cash, cash equivalents and short-term investments. Based on our current operating plan, we believe that our existing cash, cash equivalents and short-term investments, will be sufficient to fund our operating expenses and capital expenditure requirements into 2023.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spacing w:after="0" w:line="151" w:lineRule="exact"/>
        <w:rPr>
          <w:sz w:val="20"/>
          <w:szCs w:val="20"/>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development plans we establish for these product candidates;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timelines of our clinical trials and the overall costs to conduct and complete the clinical trials due to the COVID-19 pandemic;</w:t>
      </w:r>
    </w:p>
    <w:p>
      <w:pPr>
        <w:spacing w:after="0" w:line="184" w:lineRule="exact"/>
        <w:rPr>
          <w:rFonts w:ascii="Arial" w:cs="Arial" w:eastAsia="Arial" w:hAnsi="Arial"/>
          <w:sz w:val="18"/>
          <w:szCs w:val="18"/>
          <w:color w:val="auto"/>
        </w:rPr>
      </w:pPr>
    </w:p>
    <w:p>
      <w:pPr>
        <w:ind w:left="880" w:right="180" w:hanging="438"/>
        <w:spacing w:after="0" w:line="277" w:lineRule="auto"/>
        <w:tabs>
          <w:tab w:leader="none" w:pos="8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capital commitments required for developing manufacturing processes for our product candidates and manufacturing our product candidates at clinical and commercial scales;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outcome, timing and cost of meeting regulatory requirements established by the FDA and other comparable foreign regulatory authorities;</w:t>
      </w:r>
    </w:p>
    <w:p>
      <w:pPr>
        <w:spacing w:after="0" w:line="207" w:lineRule="exact"/>
        <w:rPr>
          <w:rFonts w:ascii="Arial" w:cs="Arial" w:eastAsia="Arial" w:hAnsi="Arial"/>
          <w:sz w:val="16"/>
          <w:szCs w:val="16"/>
          <w:color w:val="auto"/>
        </w:rPr>
      </w:pPr>
    </w:p>
    <w:p>
      <w:pPr>
        <w:ind w:left="880" w:right="280" w:hanging="438"/>
        <w:spacing w:after="0" w:line="277" w:lineRule="auto"/>
        <w:tabs>
          <w:tab w:leader="none" w:pos="8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are able to maintain our existing collaboration with Novartis and enter into additional collaboration agreements and the terms of any such agreements;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our patent claims and other intellectual property rights;</w:t>
      </w:r>
    </w:p>
    <w:p>
      <w:pPr>
        <w:spacing w:after="0" w:line="184" w:lineRule="exact"/>
        <w:rPr>
          <w:rFonts w:ascii="Arial" w:cs="Arial" w:eastAsia="Arial" w:hAnsi="Arial"/>
          <w:sz w:val="18"/>
          <w:szCs w:val="18"/>
          <w:color w:val="auto"/>
        </w:rPr>
      </w:pPr>
    </w:p>
    <w:p>
      <w:pPr>
        <w:ind w:left="880" w:right="360" w:hanging="438"/>
        <w:spacing w:after="0" w:line="277" w:lineRule="auto"/>
        <w:tabs>
          <w:tab w:leader="none" w:pos="8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 against us or our product candidates;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outsourced manufacturing activities; and</w:t>
      </w:r>
    </w:p>
    <w:p>
      <w:pPr>
        <w:spacing w:after="0" w:line="184" w:lineRule="exact"/>
        <w:rPr>
          <w:rFonts w:ascii="Arial" w:cs="Arial" w:eastAsia="Arial" w:hAnsi="Arial"/>
          <w:sz w:val="18"/>
          <w:szCs w:val="18"/>
          <w:color w:val="auto"/>
        </w:rPr>
      </w:pPr>
    </w:p>
    <w:p>
      <w:pPr>
        <w:ind w:left="880" w:right="120" w:hanging="438"/>
        <w:spacing w:after="0" w:line="277" w:lineRule="auto"/>
        <w:tabs>
          <w:tab w:leader="none" w:pos="8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130" w:lineRule="exact"/>
        <w:rPr>
          <w:sz w:val="20"/>
          <w:szCs w:val="20"/>
          <w:color w:val="auto"/>
        </w:rPr>
      </w:pPr>
    </w:p>
    <w:p>
      <w:pPr>
        <w:ind w:right="40" w:firstLine="434"/>
        <w:spacing w:after="0" w:line="273" w:lineRule="auto"/>
        <w:rPr>
          <w:sz w:val="20"/>
          <w:szCs w:val="20"/>
          <w:color w:val="auto"/>
        </w:rPr>
      </w:pPr>
      <w:r>
        <w:rPr>
          <w:rFonts w:ascii="Arial" w:cs="Arial" w:eastAsia="Arial" w:hAnsi="Arial"/>
          <w:sz w:val="17"/>
          <w:szCs w:val="17"/>
          <w:color w:val="auto"/>
        </w:rPr>
        <w:t>We do not have any committed external source of funds or other support for our development efforts and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the rights of our common stockholders. Further, to the extent that we raise additional capital through the sale of common stock or securities convertible or exchangeable into</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3" w:name="page34"/>
    <w:bookmarkEnd w:id="33"/>
    <w:p>
      <w:pPr>
        <w:ind w:right="20"/>
        <w:spacing w:after="0" w:line="269" w:lineRule="auto"/>
        <w:rPr>
          <w:sz w:val="20"/>
          <w:szCs w:val="20"/>
          <w:color w:val="auto"/>
        </w:rPr>
      </w:pPr>
      <w:r>
        <w:rPr>
          <w:rFonts w:ascii="Arial" w:cs="Arial" w:eastAsia="Arial" w:hAnsi="Arial"/>
          <w:sz w:val="17"/>
          <w:szCs w:val="17"/>
          <w:color w:val="auto"/>
        </w:rPr>
        <w:t>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the COVID-19 pandemic or other factors could also adversely impact our ability to access capital as and when needed. 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spacing w:after="0" w:line="155"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b w:val="1"/>
          <w:bCs w:val="1"/>
          <w:i w:val="1"/>
          <w:iCs w:val="1"/>
          <w:color w:val="auto"/>
        </w:rPr>
        <w:t>The amount of our future losses is uncertain and our quarterly operating results may fluctuate significantly or may fall below the expectations of investors or securities analysts, each of which may cause our stock price to fluctuate or decline.</w:t>
      </w:r>
    </w:p>
    <w:p>
      <w:pPr>
        <w:spacing w:after="0" w:line="130" w:lineRule="exact"/>
        <w:rPr>
          <w:sz w:val="20"/>
          <w:szCs w:val="20"/>
          <w:color w:val="auto"/>
        </w:rPr>
      </w:pPr>
    </w:p>
    <w:p>
      <w:pPr>
        <w:ind w:right="500" w:firstLine="434"/>
        <w:spacing w:after="0" w:line="277" w:lineRule="auto"/>
        <w:rPr>
          <w:sz w:val="20"/>
          <w:szCs w:val="20"/>
          <w:color w:val="auto"/>
        </w:rPr>
      </w:pPr>
      <w:r>
        <w:rPr>
          <w:rFonts w:ascii="Arial" w:cs="Arial" w:eastAsia="Arial" w:hAnsi="Arial"/>
          <w:sz w:val="18"/>
          <w:szCs w:val="18"/>
          <w:color w:val="auto"/>
        </w:rPr>
        <w:t>Our quarterly and annual operating results may fluctuate significantly in the future due to a variety of factors, many of which are outside of our control and may be difficult to predict, including the following:</w:t>
      </w:r>
    </w:p>
    <w:p>
      <w:pPr>
        <w:spacing w:after="0" w:line="130" w:lineRule="exact"/>
        <w:rPr>
          <w:sz w:val="20"/>
          <w:szCs w:val="20"/>
          <w:color w:val="auto"/>
        </w:rPr>
      </w:pPr>
    </w:p>
    <w:p>
      <w:pPr>
        <w:ind w:left="880" w:right="560" w:hanging="438"/>
        <w:spacing w:after="0" w:line="277" w:lineRule="auto"/>
        <w:tabs>
          <w:tab w:leader="none" w:pos="8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recruit and retain subjects for clinical trials, and any delays caused by difficulties in such efforts;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obtain marketing approval for our product candidates, and the timing and scope of any such approvals we may receive;</w:t>
      </w:r>
    </w:p>
    <w:p>
      <w:pPr>
        <w:spacing w:after="0" w:line="196" w:lineRule="exact"/>
        <w:rPr>
          <w:rFonts w:ascii="Arial" w:cs="Arial" w:eastAsia="Arial" w:hAnsi="Arial"/>
          <w:sz w:val="17"/>
          <w:szCs w:val="17"/>
          <w:color w:val="auto"/>
        </w:rPr>
      </w:pPr>
    </w:p>
    <w:p>
      <w:pPr>
        <w:ind w:left="880" w:right="280" w:hanging="438"/>
        <w:spacing w:after="0" w:line="277" w:lineRule="auto"/>
        <w:tabs>
          <w:tab w:leader="none" w:pos="8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143" w:lineRule="exact"/>
        <w:rPr>
          <w:rFonts w:ascii="Arial" w:cs="Arial" w:eastAsia="Arial" w:hAnsi="Arial"/>
          <w:sz w:val="18"/>
          <w:szCs w:val="18"/>
          <w:color w:val="auto"/>
        </w:rPr>
      </w:pPr>
    </w:p>
    <w:p>
      <w:pPr>
        <w:ind w:left="880" w:right="200" w:hanging="438"/>
        <w:spacing w:after="0" w:line="277" w:lineRule="auto"/>
        <w:tabs>
          <w:tab w:leader="none" w:pos="8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difficulty of manufacture, quantity of production and the terms of our agreements with manufacturers;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expenditures that we will or may incur to develop additional product candidates;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demand for our product candidates should they receive approval, which may vary significantly;</w:t>
      </w:r>
    </w:p>
    <w:p>
      <w:pPr>
        <w:spacing w:after="0" w:line="184" w:lineRule="exact"/>
        <w:rPr>
          <w:rFonts w:ascii="Arial" w:cs="Arial" w:eastAsia="Arial" w:hAnsi="Arial"/>
          <w:sz w:val="18"/>
          <w:szCs w:val="18"/>
          <w:color w:val="auto"/>
        </w:rPr>
      </w:pPr>
    </w:p>
    <w:p>
      <w:pPr>
        <w:ind w:left="880" w:right="220" w:hanging="438"/>
        <w:spacing w:after="0" w:line="277" w:lineRule="auto"/>
        <w:tabs>
          <w:tab w:leader="none" w:pos="8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market conditions or extraordinary external events, such as recessions or the COVID-19 pandemic;</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changing and volatile U.S. and global economic environments; and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85" w:lineRule="exact"/>
        <w:rPr>
          <w:sz w:val="20"/>
          <w:szCs w:val="20"/>
          <w:color w:val="auto"/>
        </w:rPr>
      </w:pPr>
    </w:p>
    <w:p>
      <w:pPr>
        <w:ind w:right="20" w:firstLine="434"/>
        <w:spacing w:after="0" w:line="255"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Research and Development and the Biopharmaceutical Industry</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prospects and likelihood of success.</w:t>
      </w:r>
    </w:p>
    <w:p>
      <w:pPr>
        <w:spacing w:after="0" w:line="185" w:lineRule="exact"/>
        <w:rPr>
          <w:sz w:val="20"/>
          <w:szCs w:val="20"/>
          <w:color w:val="auto"/>
        </w:rPr>
      </w:pPr>
    </w:p>
    <w:p>
      <w:pPr>
        <w:ind w:left="220" w:right="20" w:firstLine="427"/>
        <w:spacing w:after="0" w:line="285" w:lineRule="auto"/>
        <w:rPr>
          <w:sz w:val="20"/>
          <w:szCs w:val="20"/>
          <w:color w:val="auto"/>
        </w:rPr>
      </w:pPr>
      <w:r>
        <w:rPr>
          <w:rFonts w:ascii="Arial" w:cs="Arial" w:eastAsia="Arial" w:hAnsi="Arial"/>
          <w:sz w:val="16"/>
          <w:szCs w:val="16"/>
          <w:color w:val="auto"/>
        </w:rPr>
        <w:t>We are a clinical-stage biopharmaceutical company with a limited operating history. We were incorporated in 2015, have no products approved for commercial sale and have not generated any revenue from product sales to date.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TGF-ß,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In addition, our lead product candidate, PLN-74809, is in early clinical development for the treatment of IPF and PSC, and a second product candidate, PLN-1474, is in early clinical development. Both programs will require substantial additional development and clinical research time and resources, either from us or our collaborators, before we would be able to apply for or receive regulatory approvals and begin generating revenue from product sales. We have not yet demonstrated the ability to progress any product candidate through clinical trials. We are still in preclinical and early clinical development and may be unable to obtain regulatory approval, manufacture a commercial scale product, or arrange for a third party to do so on our behalf, or conduct sales and marketing activities necessary for successful product commercialization. 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have no meaningful history of operations upon which to evaluate our business, and predictions about our future success or viability may not be as accurate as they could be if we had a longer operating history or a history of successfully developing and commercializing drug products.</w:t>
      </w:r>
    </w:p>
    <w:p>
      <w:pPr>
        <w:spacing w:after="0" w:line="131" w:lineRule="exact"/>
        <w:rPr>
          <w:sz w:val="20"/>
          <w:szCs w:val="20"/>
          <w:color w:val="auto"/>
        </w:rPr>
      </w:pPr>
    </w:p>
    <w:p>
      <w:pPr>
        <w:jc w:val="both"/>
        <w:ind w:left="220" w:firstLine="427"/>
        <w:spacing w:after="0" w:line="263" w:lineRule="auto"/>
        <w:rPr>
          <w:sz w:val="20"/>
          <w:szCs w:val="20"/>
          <w:color w:val="auto"/>
        </w:rPr>
      </w:pPr>
      <w:r>
        <w:rPr>
          <w:rFonts w:ascii="Arial" w:cs="Arial" w:eastAsia="Arial" w:hAnsi="Arial"/>
          <w:sz w:val="18"/>
          <w:szCs w:val="18"/>
          <w:b w:val="1"/>
          <w:bCs w:val="1"/>
          <w:i w:val="1"/>
          <w:iCs w:val="1"/>
          <w:color w:val="auto"/>
        </w:rPr>
        <w:t>Our business is highly dependent on the success of our lead product candidate, PLN-74809,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157" w:lineRule="exact"/>
        <w:rPr>
          <w:sz w:val="20"/>
          <w:szCs w:val="20"/>
          <w:color w:val="auto"/>
        </w:rPr>
      </w:pPr>
    </w:p>
    <w:p>
      <w:pPr>
        <w:ind w:right="20" w:firstLine="434"/>
        <w:spacing w:after="0" w:line="269" w:lineRule="auto"/>
        <w:rPr>
          <w:sz w:val="20"/>
          <w:szCs w:val="20"/>
          <w:color w:val="auto"/>
        </w:rPr>
      </w:pPr>
      <w:r>
        <w:rPr>
          <w:rFonts w:ascii="Arial" w:cs="Arial" w:eastAsia="Arial" w:hAnsi="Arial"/>
          <w:sz w:val="17"/>
          <w:szCs w:val="17"/>
          <w:color w:val="auto"/>
        </w:rPr>
        <w:t>We currently have no products that are approved for commercial sale and may never be able to develop marketable products. We are very early in our clinical development for both PLN-74809 and PLN-1474. Because PLN-74809 is our lead product candidate, if PLN-74809 encounters safety or efficacy problems, development delays, regulatory issues or other problems, our development plans and business would be significantly harmed. We have completed various Phase 1 trials of PLN-74809. We are enrolling two Phase 2a trials in IPF, including a PET imaging trial. We are also conducting a Phase 2a PSC trial which is currently enrolling patients. We are also collaborating with Novartis to develop PLN-1474 for liver fibrosis associated with NASH and have completed a Phase 1a SAD/MAD study evaluating PLN-1474 in healthy volunteers. The IND for this candidate was transferred to Novartis in the first quarter of 2021, and Novartis is responsible for all PLN-1474 development, manufacturing, and commercialization activities after the initial development period. All of the risks and uncertainties that apply to PLN-74809 or any candidates that we develop independently apply equally to our collaborator with respect to advancement of PLN-1474. In addition, we also face risks resulting from our reliance on Novartis for development of this candidate. See “—Risks Related to Our Reliance on Third Parties.”</w:t>
      </w:r>
    </w:p>
    <w:p>
      <w:pPr>
        <w:spacing w:after="0" w:line="145" w:lineRule="exact"/>
        <w:rPr>
          <w:sz w:val="20"/>
          <w:szCs w:val="20"/>
          <w:color w:val="auto"/>
        </w:rPr>
      </w:pPr>
    </w:p>
    <w:p>
      <w:pPr>
        <w:ind w:right="40" w:firstLine="434"/>
        <w:spacing w:after="0" w:line="257" w:lineRule="auto"/>
        <w:rPr>
          <w:sz w:val="20"/>
          <w:szCs w:val="20"/>
          <w:color w:val="auto"/>
        </w:rPr>
      </w:pPr>
      <w:r>
        <w:rPr>
          <w:rFonts w:ascii="Arial" w:cs="Arial" w:eastAsia="Arial" w:hAnsi="Arial"/>
          <w:sz w:val="18"/>
          <w:szCs w:val="18"/>
          <w:color w:val="auto"/>
        </w:rPr>
        <w:t>Before we can generate any revenue from sales of our lead product candidate, PLN-74809,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5" w:name="page36"/>
    <w:bookmarkEnd w:id="35"/>
    <w:p>
      <w:pPr>
        <w:ind w:left="440"/>
        <w:spacing w:after="0"/>
        <w:rPr>
          <w:sz w:val="20"/>
          <w:szCs w:val="20"/>
          <w:color w:val="auto"/>
        </w:rPr>
      </w:pPr>
      <w:r>
        <w:rPr>
          <w:rFonts w:ascii="Arial" w:cs="Arial" w:eastAsia="Arial" w:hAnsi="Arial"/>
          <w:sz w:val="16"/>
          <w:szCs w:val="16"/>
          <w:color w:val="auto"/>
        </w:rPr>
        <w:t>We may experience setbacks that could delay or prevent regulatory approval of, or our ability to commercialize, our product candidates, including:</w:t>
      </w:r>
    </w:p>
    <w:p>
      <w:pPr>
        <w:spacing w:after="0" w:line="221" w:lineRule="exact"/>
        <w:rPr>
          <w:sz w:val="20"/>
          <w:szCs w:val="20"/>
          <w:color w:val="auto"/>
        </w:rPr>
      </w:pPr>
    </w:p>
    <w:p>
      <w:pPr>
        <w:ind w:left="880" w:right="380" w:hanging="438"/>
        <w:spacing w:after="0" w:line="308" w:lineRule="auto"/>
        <w:tabs>
          <w:tab w:leader="none" w:pos="8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spacing w:after="0" w:line="105" w:lineRule="exact"/>
        <w:rPr>
          <w:rFonts w:ascii="Arial" w:cs="Arial" w:eastAsia="Arial" w:hAnsi="Arial"/>
          <w:sz w:val="17"/>
          <w:szCs w:val="17"/>
          <w:color w:val="auto"/>
        </w:rPr>
      </w:pPr>
    </w:p>
    <w:p>
      <w:pPr>
        <w:ind w:left="880" w:right="320" w:hanging="438"/>
        <w:spacing w:after="0" w:line="277" w:lineRule="auto"/>
        <w:tabs>
          <w:tab w:leader="none" w:pos="8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product-related side effects experienced by subjects in our clinical trials or by individuals using drugs or therapeutics similar to our product candidates;</w:t>
      </w:r>
    </w:p>
    <w:p>
      <w:pPr>
        <w:spacing w:after="0" w:line="129" w:lineRule="exact"/>
        <w:rPr>
          <w:rFonts w:ascii="Arial" w:cs="Arial" w:eastAsia="Arial" w:hAnsi="Arial"/>
          <w:sz w:val="18"/>
          <w:szCs w:val="18"/>
          <w:color w:val="auto"/>
        </w:rPr>
      </w:pPr>
    </w:p>
    <w:p>
      <w:pPr>
        <w:ind w:left="880" w:right="480" w:hanging="438"/>
        <w:spacing w:after="0" w:line="277" w:lineRule="auto"/>
        <w:tabs>
          <w:tab w:leader="none" w:pos="8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enrolling subjects in clinical trials, including due to the COVID-19 pandemic;</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 drop-out rates of subjects from clinical trials;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inadequate supply or quality of product candidates or other materials necessary for the conduct of our clinical trials;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manufacturing our product candidates to regulatory requirements in a cost effective manner;</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compete with other therapies;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poor efficacy of our product candidates during clinical trials;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98" w:lineRule="exact"/>
        <w:rPr>
          <w:rFonts w:ascii="Arial" w:cs="Arial" w:eastAsia="Arial" w:hAnsi="Arial"/>
          <w:sz w:val="18"/>
          <w:szCs w:val="18"/>
          <w:color w:val="auto"/>
        </w:rPr>
      </w:pPr>
    </w:p>
    <w:p>
      <w:pPr>
        <w:ind w:left="880" w:right="100" w:hanging="438"/>
        <w:spacing w:after="0" w:line="277" w:lineRule="auto"/>
        <w:tabs>
          <w:tab w:leader="none" w:pos="8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129" w:lineRule="exact"/>
        <w:rPr>
          <w:rFonts w:ascii="Arial" w:cs="Arial" w:eastAsia="Arial" w:hAnsi="Arial"/>
          <w:sz w:val="18"/>
          <w:szCs w:val="18"/>
          <w:color w:val="auto"/>
        </w:rPr>
      </w:pPr>
    </w:p>
    <w:p>
      <w:pPr>
        <w:ind w:left="880" w:right="160" w:hanging="438"/>
        <w:spacing w:after="0" w:line="277" w:lineRule="auto"/>
        <w:tabs>
          <w:tab w:leader="none" w:pos="8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related to the impact of the spread of the COVID-19 pandemic, including the impact of COVID-19 on the FDA’s ability to continue its normal operations;</w:t>
      </w:r>
    </w:p>
    <w:p>
      <w:pPr>
        <w:spacing w:after="0" w:line="129" w:lineRule="exact"/>
        <w:rPr>
          <w:rFonts w:ascii="Arial" w:cs="Arial" w:eastAsia="Arial" w:hAnsi="Arial"/>
          <w:sz w:val="18"/>
          <w:szCs w:val="18"/>
          <w:color w:val="auto"/>
        </w:rPr>
      </w:pPr>
    </w:p>
    <w:p>
      <w:pPr>
        <w:ind w:left="880" w:right="520" w:hanging="438"/>
        <w:spacing w:after="0" w:line="277" w:lineRule="auto"/>
        <w:tabs>
          <w:tab w:leader="none" w:pos="8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185" w:lineRule="exact"/>
        <w:rPr>
          <w:sz w:val="20"/>
          <w:szCs w:val="20"/>
          <w:color w:val="auto"/>
        </w:rPr>
      </w:pPr>
    </w:p>
    <w:p>
      <w:pPr>
        <w:ind w:firstLine="434"/>
        <w:spacing w:after="0" w:line="342" w:lineRule="auto"/>
        <w:rPr>
          <w:sz w:val="20"/>
          <w:szCs w:val="20"/>
          <w:color w:val="auto"/>
        </w:rPr>
      </w:pPr>
      <w:r>
        <w:rPr>
          <w:rFonts w:ascii="Arial" w:cs="Arial" w:eastAsia="Arial" w:hAnsi="Arial"/>
          <w:sz w:val="16"/>
          <w:szCs w:val="16"/>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83" w:lineRule="exact"/>
        <w:rPr>
          <w:sz w:val="20"/>
          <w:szCs w:val="20"/>
          <w:color w:val="auto"/>
        </w:rPr>
      </w:pPr>
    </w:p>
    <w:p>
      <w:pPr>
        <w:ind w:left="220" w:right="320"/>
        <w:spacing w:after="0" w:line="277" w:lineRule="auto"/>
        <w:rPr>
          <w:sz w:val="20"/>
          <w:szCs w:val="20"/>
          <w:color w:val="auto"/>
        </w:rPr>
      </w:pPr>
      <w:r>
        <w:rPr>
          <w:rFonts w:ascii="Arial" w:cs="Arial" w:eastAsia="Arial" w:hAnsi="Arial"/>
          <w:sz w:val="18"/>
          <w:szCs w:val="18"/>
          <w:b w:val="1"/>
          <w:bCs w:val="1"/>
          <w:i w:val="1"/>
          <w:iCs w:val="1"/>
          <w:color w:val="auto"/>
        </w:rPr>
        <w:t>Our approach to drug discovery and development in the area of fibrotic diseases, with an initial focus on tissue-specific integrin modulation and TGF-ß signaling inhibition, is unproven and may not result in marketable products.</w:t>
      </w:r>
    </w:p>
    <w:p>
      <w:pPr>
        <w:spacing w:after="0" w:line="143" w:lineRule="exact"/>
        <w:rPr>
          <w:sz w:val="20"/>
          <w:szCs w:val="20"/>
          <w:color w:val="auto"/>
        </w:rPr>
      </w:pPr>
    </w:p>
    <w:p>
      <w:pPr>
        <w:ind w:right="100" w:firstLine="434"/>
        <w:spacing w:after="0" w:line="254" w:lineRule="auto"/>
        <w:rPr>
          <w:sz w:val="20"/>
          <w:szCs w:val="20"/>
          <w:color w:val="auto"/>
        </w:rPr>
      </w:pPr>
      <w:r>
        <w:rPr>
          <w:rFonts w:ascii="Arial" w:cs="Arial" w:eastAsia="Arial" w:hAnsi="Arial"/>
          <w:sz w:val="18"/>
          <w:szCs w:val="18"/>
          <w:color w:val="auto"/>
        </w:rPr>
        <w:t>Our approach is designed to discover and develop targeted treatments for fibrosis with an initial focus on the antagonism of tissue-specific TGF-ß signaling through the inhibition of integrins known to mediate the release of activated TGF-ß in fibrotic tissue. However, although multiple studies are currently underway, to date, this mechanism has not been definitively proven to successfully treat fibrosis. Targeting integrins to treat fibrosis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We have primarily tested our lead product candidate, PLN-74809, in healthy volunteers. Therefore, we may ultimately discover that our approach and any product candidates resulting therefrom do not possess properties required for therapeutic effectiveness. As a result, we may never succeed in developing a marketable product.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6" w:name="page37"/>
    <w:bookmarkEnd w:id="36"/>
    <w:p>
      <w:pPr>
        <w:ind w:right="60" w:firstLine="434"/>
        <w:spacing w:after="0" w:line="290" w:lineRule="auto"/>
        <w:rPr>
          <w:sz w:val="20"/>
          <w:szCs w:val="20"/>
          <w:color w:val="auto"/>
        </w:rPr>
      </w:pPr>
      <w:r>
        <w:rPr>
          <w:rFonts w:ascii="Arial" w:cs="Arial" w:eastAsia="Arial" w:hAnsi="Arial"/>
          <w:sz w:val="16"/>
          <w:szCs w:val="16"/>
          <w:color w:val="auto"/>
        </w:rPr>
        <w:t>In addition, while we have developed an extensive panel of cell assays and precision cut tissue assays and have utilized animal models to uncover biological pathways, understood gene expression changes and optimized the potency and selectivity of our potential product candidates, there can be no assurance that our technology will yield their intended benefits. While we believe our assays represent a differentiator in our approach to drug development, our approach has not yet been clinically proven to yield results. Our practice of evaluating our product candidates in live human fibrotic tissue samples before advancing them into the clinic is intended to serve as a bridge between animal models and clinical proof-of-concept. However, there can be no assurance that positive results observed from preclinical animal testing and human fibrotic tissue models will be replicated when a program is advanced into clinical development. In addition, our practice of utilizing live human fibrotic tissue as part of our development efforts may become more widespread in the future, and this approach may be adopted and replicated by others, including our competitors.</w:t>
      </w:r>
    </w:p>
    <w:p>
      <w:pPr>
        <w:spacing w:after="0" w:line="138" w:lineRule="exact"/>
        <w:rPr>
          <w:sz w:val="20"/>
          <w:szCs w:val="20"/>
          <w:color w:val="auto"/>
        </w:rPr>
      </w:pPr>
    </w:p>
    <w:p>
      <w:pPr>
        <w:ind w:right="380" w:firstLine="434"/>
        <w:spacing w:after="0" w:line="296" w:lineRule="auto"/>
        <w:rPr>
          <w:sz w:val="20"/>
          <w:szCs w:val="20"/>
          <w:color w:val="auto"/>
        </w:rPr>
      </w:pPr>
      <w:r>
        <w:rPr>
          <w:rFonts w:ascii="Arial" w:cs="Arial" w:eastAsia="Arial" w:hAnsi="Arial"/>
          <w:sz w:val="16"/>
          <w:szCs w:val="16"/>
          <w:color w:val="auto"/>
        </w:rPr>
        <w:t>Studies involving human tissue samples may also be subject to institutional and government human subject privacy policies that may vary by territory. We or our partners who provide us with human tissue samples or conduct tissue and/or animal studies on our behalf, may be found to be in violation of one or more of these regulations or policies and may be subject to closure, censure or other penalties. In some cases, these penalties could materially impact the performance, availability, or validity of studies conducted by us or on our behalf. Even in the absence of violations resulting in penalties, regulatory and other authorities may refuse to authorize the conduct or to accept the results of studies for regulatory or ethical reasons.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Clinical development involves a lengthy, complex, and expensive process, with an uncertain outcome.</w:t>
      </w:r>
    </w:p>
    <w:p>
      <w:pPr>
        <w:spacing w:after="0" w:line="185" w:lineRule="exact"/>
        <w:rPr>
          <w:sz w:val="20"/>
          <w:szCs w:val="20"/>
          <w:color w:val="auto"/>
        </w:rPr>
      </w:pPr>
    </w:p>
    <w:p>
      <w:pPr>
        <w:ind w:firstLine="434"/>
        <w:spacing w:after="0" w:line="268" w:lineRule="auto"/>
        <w:rPr>
          <w:sz w:val="20"/>
          <w:szCs w:val="20"/>
          <w:color w:val="auto"/>
        </w:rPr>
      </w:pPr>
      <w:r>
        <w:rPr>
          <w:rFonts w:ascii="Arial" w:cs="Arial" w:eastAsia="Arial" w:hAnsi="Arial"/>
          <w:sz w:val="17"/>
          <w:szCs w:val="17"/>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 development of PLN-74809 or any of our other product candidates. Product candidates that appear promising in the early phases of development may fail to reach the market for several reasons, including:</w:t>
      </w:r>
    </w:p>
    <w:p>
      <w:pPr>
        <w:spacing w:after="0" w:line="157" w:lineRule="exact"/>
        <w:rPr>
          <w:sz w:val="20"/>
          <w:szCs w:val="20"/>
          <w:color w:val="auto"/>
        </w:rPr>
      </w:pPr>
    </w:p>
    <w:p>
      <w:pPr>
        <w:ind w:left="880" w:hanging="438"/>
        <w:spacing w:after="0" w:line="277" w:lineRule="auto"/>
        <w:tabs>
          <w:tab w:leader="none" w:pos="8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preclinical studies or clinical trials may show the product candidates to be less effective than expected (e.g., a clinical trial could fail to meet its primary endpoint(s)) or to have unacceptable side effects or toxicities;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establish clinical endpoints that applicable regulatory authorities would consider clinically meaningful;</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 of competing products in the same disease state;</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manufacturing costs, formulation issues, pricing or reimbursement issues, or other factors that make a product candidate uneconomical; and</w:t>
      </w:r>
    </w:p>
    <w:p>
      <w:pPr>
        <w:spacing w:after="0" w:line="207" w:lineRule="exact"/>
        <w:rPr>
          <w:rFonts w:ascii="Arial" w:cs="Arial" w:eastAsia="Arial" w:hAnsi="Arial"/>
          <w:sz w:val="16"/>
          <w:szCs w:val="16"/>
          <w:color w:val="auto"/>
        </w:rPr>
      </w:pPr>
    </w:p>
    <w:p>
      <w:pPr>
        <w:ind w:left="880" w:right="420" w:hanging="438"/>
        <w:spacing w:after="0" w:line="277" w:lineRule="auto"/>
        <w:tabs>
          <w:tab w:leader="none" w:pos="8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proprietary rights of others and their competing products and technologies that may prevent one of our product candidates from being commercialized.</w:t>
      </w:r>
    </w:p>
    <w:p>
      <w:pPr>
        <w:spacing w:after="0" w:line="143" w:lineRule="exact"/>
        <w:rPr>
          <w:sz w:val="20"/>
          <w:szCs w:val="20"/>
          <w:color w:val="auto"/>
        </w:rPr>
      </w:pPr>
    </w:p>
    <w:p>
      <w:pPr>
        <w:ind w:right="40" w:firstLine="434"/>
        <w:spacing w:after="0" w:line="272" w:lineRule="auto"/>
        <w:rPr>
          <w:sz w:val="20"/>
          <w:szCs w:val="20"/>
          <w:color w:val="auto"/>
        </w:rPr>
      </w:pPr>
      <w:r>
        <w:rPr>
          <w:rFonts w:ascii="Arial" w:cs="Arial" w:eastAsia="Arial" w:hAnsi="Arial"/>
          <w:sz w:val="17"/>
          <w:szCs w:val="17"/>
          <w:color w:val="auto"/>
        </w:rPr>
        <w:t>In addition, differences in trial design between early-stage clinical trials and later-stage clinical trials make it difficult to extrapolate the results of earlier clinical trials to later clinical trials. Further, as we rely on novel technologies including sophisticated imaging technologies to generate data relating to our clinical endpoints, there is an increased risk that we may not properly measure, analyze or interpret this data.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are open-label studies, where both the patient and investigator know whether the patient is receiving the investigational product candidate or either an existing approved drug or placebo. Most typically, open-label clinical trials test only the investigational product candidate and</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37" w:name="page38"/>
    <w:bookmarkEnd w:id="37"/>
    <w:p>
      <w:pPr>
        <w:ind w:right="20"/>
        <w:spacing w:after="0" w:line="257" w:lineRule="auto"/>
        <w:rPr>
          <w:sz w:val="20"/>
          <w:szCs w:val="20"/>
          <w:color w:val="auto"/>
        </w:rPr>
      </w:pPr>
      <w:r>
        <w:rPr>
          <w:rFonts w:ascii="Arial" w:cs="Arial" w:eastAsia="Arial" w:hAnsi="Arial"/>
          <w:sz w:val="18"/>
          <w:szCs w:val="18"/>
          <w:color w:val="auto"/>
        </w:rPr>
        <w:t>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spacing w:after="0" w:line="161" w:lineRule="exact"/>
        <w:rPr>
          <w:sz w:val="20"/>
          <w:szCs w:val="20"/>
          <w:color w:val="auto"/>
        </w:rPr>
      </w:pPr>
    </w:p>
    <w:p>
      <w:pPr>
        <w:ind w:right="20" w:firstLine="434"/>
        <w:spacing w:after="0" w:line="288" w:lineRule="auto"/>
        <w:rPr>
          <w:sz w:val="20"/>
          <w:szCs w:val="20"/>
          <w:color w:val="auto"/>
        </w:rPr>
      </w:pPr>
      <w:r>
        <w:rPr>
          <w:rFonts w:ascii="Arial" w:cs="Arial" w:eastAsia="Arial" w:hAnsi="Arial"/>
          <w:sz w:val="16"/>
          <w:szCs w:val="16"/>
          <w:color w:val="auto"/>
        </w:rPr>
        <w:t>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are also considering the development of biological 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spacing w:after="0" w:line="128" w:lineRule="exact"/>
        <w:rPr>
          <w:sz w:val="20"/>
          <w:szCs w:val="20"/>
          <w:color w:val="auto"/>
        </w:rPr>
      </w:pPr>
    </w:p>
    <w:p>
      <w:pPr>
        <w:ind w:right="20" w:firstLine="434"/>
        <w:spacing w:after="0" w:line="255" w:lineRule="auto"/>
        <w:rPr>
          <w:sz w:val="20"/>
          <w:szCs w:val="20"/>
          <w:color w:val="auto"/>
        </w:rPr>
      </w:pPr>
      <w:r>
        <w:rPr>
          <w:rFonts w:ascii="Arial" w:cs="Arial" w:eastAsia="Arial" w:hAnsi="Arial"/>
          <w:sz w:val="18"/>
          <w:szCs w:val="18"/>
          <w:color w:val="auto"/>
        </w:rPr>
        <w:t>If we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152" w:lineRule="exact"/>
        <w:rPr>
          <w:sz w:val="20"/>
          <w:szCs w:val="20"/>
          <w:color w:val="auto"/>
        </w:rPr>
      </w:pPr>
    </w:p>
    <w:p>
      <w:pPr>
        <w:ind w:right="220" w:firstLine="434"/>
        <w:spacing w:after="0" w:line="257" w:lineRule="auto"/>
        <w:rPr>
          <w:sz w:val="20"/>
          <w:szCs w:val="20"/>
          <w:color w:val="auto"/>
        </w:rPr>
      </w:pPr>
      <w:r>
        <w:rPr>
          <w:rFonts w:ascii="Arial" w:cs="Arial" w:eastAsia="Arial" w:hAnsi="Arial"/>
          <w:sz w:val="18"/>
          <w:szCs w:val="18"/>
          <w:color w:val="auto"/>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spacing w:after="0" w:line="161" w:lineRule="exact"/>
        <w:rPr>
          <w:sz w:val="20"/>
          <w:szCs w:val="20"/>
          <w:color w:val="auto"/>
        </w:rPr>
      </w:pPr>
    </w:p>
    <w:p>
      <w:pPr>
        <w:ind w:left="220" w:right="24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 commercialization of PLN-74809 or any other product candidates.</w:t>
      </w:r>
    </w:p>
    <w:p>
      <w:pPr>
        <w:spacing w:after="0" w:line="130" w:lineRule="exact"/>
        <w:rPr>
          <w:sz w:val="20"/>
          <w:szCs w:val="20"/>
          <w:color w:val="auto"/>
        </w:rPr>
      </w:pPr>
    </w:p>
    <w:p>
      <w:pPr>
        <w:ind w:firstLine="434"/>
        <w:spacing w:after="0" w:line="263" w:lineRule="auto"/>
        <w:rPr>
          <w:sz w:val="20"/>
          <w:szCs w:val="20"/>
          <w:color w:val="auto"/>
        </w:rPr>
      </w:pPr>
      <w:r>
        <w:rPr>
          <w:rFonts w:ascii="Arial" w:cs="Arial" w:eastAsia="Arial" w:hAnsi="Arial"/>
          <w:sz w:val="18"/>
          <w:szCs w:val="18"/>
          <w:color w:val="auto"/>
        </w:rPr>
        <w:t>We may experience delays in initiating or completing clinical trials. We also may experience numerous unforeseen events during, or as a result of, any future clinical trials that could delay or prevent our ability to receive marketing approval or commercialize PLN-74809 or any other product candidates, including:</w:t>
      </w:r>
    </w:p>
    <w:p>
      <w:pPr>
        <w:spacing w:after="0" w:line="143" w:lineRule="exact"/>
        <w:rPr>
          <w:sz w:val="20"/>
          <w:szCs w:val="20"/>
          <w:color w:val="auto"/>
        </w:rPr>
      </w:pPr>
    </w:p>
    <w:p>
      <w:pPr>
        <w:ind w:left="880" w:right="20" w:hanging="438"/>
        <w:spacing w:after="0" w:line="277" w:lineRule="auto"/>
        <w:tabs>
          <w:tab w:leader="none" w:pos="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143" w:lineRule="exact"/>
        <w:rPr>
          <w:rFonts w:ascii="Arial" w:cs="Arial" w:eastAsia="Arial" w:hAnsi="Arial"/>
          <w:sz w:val="18"/>
          <w:szCs w:val="18"/>
          <w:color w:val="auto"/>
        </w:rPr>
      </w:pPr>
    </w:p>
    <w:p>
      <w:pPr>
        <w:ind w:left="880" w:right="320" w:hanging="438"/>
        <w:spacing w:after="0" w:line="263" w:lineRule="auto"/>
        <w:tabs>
          <w:tab w:leader="none" w:pos="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spacing w:after="0" w:line="143" w:lineRule="exact"/>
        <w:rPr>
          <w:rFonts w:ascii="Arial" w:cs="Arial" w:eastAsia="Arial" w:hAnsi="Arial"/>
          <w:sz w:val="18"/>
          <w:szCs w:val="18"/>
          <w:color w:val="auto"/>
        </w:rPr>
      </w:pPr>
    </w:p>
    <w:p>
      <w:pPr>
        <w:ind w:left="880" w:right="40" w:hanging="438"/>
        <w:spacing w:after="0" w:line="277" w:lineRule="auto"/>
        <w:tabs>
          <w:tab w:leader="none" w:pos="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CROs, which can be subject to extensive negotiation and may vary significantly among different CROs and trial sites;</w:t>
      </w:r>
    </w:p>
    <w:p>
      <w:pPr>
        <w:spacing w:after="0" w:line="129" w:lineRule="exact"/>
        <w:rPr>
          <w:rFonts w:ascii="Arial" w:cs="Arial" w:eastAsia="Arial" w:hAnsi="Arial"/>
          <w:sz w:val="18"/>
          <w:szCs w:val="18"/>
          <w:color w:val="auto"/>
        </w:rPr>
      </w:pPr>
    </w:p>
    <w:p>
      <w:pPr>
        <w:ind w:left="880" w:right="140" w:hanging="438"/>
        <w:spacing w:after="0" w:line="277" w:lineRule="auto"/>
        <w:tabs>
          <w:tab w:leader="none" w:pos="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any product candidates may be larger than we anticipate or subjects may drop out of these clinical trials or fail to return for post-treatment follow-up at a higher rate than we anticipate;</w:t>
      </w:r>
    </w:p>
    <w:p>
      <w:pPr>
        <w:spacing w:after="0" w:line="143" w:lineRule="exact"/>
        <w:rPr>
          <w:rFonts w:ascii="Arial" w:cs="Arial" w:eastAsia="Arial" w:hAnsi="Arial"/>
          <w:sz w:val="18"/>
          <w:szCs w:val="18"/>
          <w:color w:val="auto"/>
        </w:rPr>
      </w:pPr>
    </w:p>
    <w:p>
      <w:pPr>
        <w:jc w:val="both"/>
        <w:ind w:left="880" w:right="40" w:hanging="438"/>
        <w:spacing w:after="0" w:line="342" w:lineRule="auto"/>
        <w:tabs>
          <w:tab w:leader="none" w:pos="8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8" w:name="page39"/>
    <w:bookmarkEnd w:id="38"/>
    <w:p>
      <w:pPr>
        <w:ind w:left="880" w:right="20" w:hanging="438"/>
        <w:spacing w:after="0" w:line="286" w:lineRule="auto"/>
        <w:tabs>
          <w:tab w:leader="none" w:pos="8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due to the impact of the COVID-19 pandemic, we have experienced, and may continue to experience, delays and interruptions to our preclinical studies and clinical trials, we may experience delays or interruptions to our manufacturing supply chain, or we could suffer delays in reaching, or we may fail to reach, agreement on acceptable terms with third-party service providers on whom we rely;</w:t>
      </w:r>
    </w:p>
    <w:p>
      <w:pPr>
        <w:spacing w:after="0" w:line="138" w:lineRule="exact"/>
        <w:rPr>
          <w:rFonts w:ascii="Arial" w:cs="Arial" w:eastAsia="Arial" w:hAnsi="Arial"/>
          <w:sz w:val="17"/>
          <w:szCs w:val="17"/>
          <w:color w:val="auto"/>
        </w:rPr>
      </w:pPr>
    </w:p>
    <w:p>
      <w:pPr>
        <w:ind w:left="880" w:right="20" w:hanging="438"/>
        <w:spacing w:after="0" w:line="277" w:lineRule="auto"/>
        <w:tabs>
          <w:tab w:leader="none" w:pos="8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delays and interruptions to our clinical trials could extend the duration of the trials and increase the overall costs to finish the trials as our fixed costs are not substantially reduced during delays;</w:t>
      </w:r>
    </w:p>
    <w:p>
      <w:pPr>
        <w:spacing w:after="0" w:line="129" w:lineRule="exact"/>
        <w:rPr>
          <w:rFonts w:ascii="Arial" w:cs="Arial" w:eastAsia="Arial" w:hAnsi="Arial"/>
          <w:sz w:val="18"/>
          <w:szCs w:val="18"/>
          <w:color w:val="auto"/>
        </w:rPr>
      </w:pPr>
    </w:p>
    <w:p>
      <w:pPr>
        <w:ind w:left="880" w:hanging="438"/>
        <w:spacing w:after="0" w:line="263" w:lineRule="auto"/>
        <w:tabs>
          <w:tab w:leader="none" w:pos="8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143" w:lineRule="exact"/>
        <w:rPr>
          <w:rFonts w:ascii="Arial" w:cs="Arial" w:eastAsia="Arial" w:hAnsi="Arial"/>
          <w:sz w:val="18"/>
          <w:szCs w:val="18"/>
          <w:color w:val="auto"/>
        </w:rPr>
      </w:pPr>
    </w:p>
    <w:p>
      <w:pPr>
        <w:ind w:left="880" w:right="760" w:hanging="438"/>
        <w:spacing w:after="0" w:line="277" w:lineRule="auto"/>
        <w:tabs>
          <w:tab w:leader="none" w:pos="8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have the financial resources available to begin and complete the planned trials, or the cost of clinical trials of any product candidates may be greater than we anticipate;</w:t>
      </w:r>
    </w:p>
    <w:p>
      <w:pPr>
        <w:spacing w:after="0" w:line="143" w:lineRule="exact"/>
        <w:rPr>
          <w:rFonts w:ascii="Arial" w:cs="Arial" w:eastAsia="Arial" w:hAnsi="Arial"/>
          <w:sz w:val="18"/>
          <w:szCs w:val="18"/>
          <w:color w:val="auto"/>
        </w:rPr>
      </w:pPr>
    </w:p>
    <w:p>
      <w:pPr>
        <w:ind w:left="880" w:right="720" w:hanging="438"/>
        <w:spacing w:after="0" w:line="277" w:lineRule="auto"/>
        <w:tabs>
          <w:tab w:leader="none" w:pos="8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to initiate or complete a given clinical trial; and</w:t>
      </w:r>
    </w:p>
    <w:p>
      <w:pPr>
        <w:spacing w:after="0" w:line="129" w:lineRule="exact"/>
        <w:rPr>
          <w:rFonts w:ascii="Arial" w:cs="Arial" w:eastAsia="Arial" w:hAnsi="Arial"/>
          <w:sz w:val="18"/>
          <w:szCs w:val="18"/>
          <w:color w:val="auto"/>
        </w:rPr>
      </w:pPr>
    </w:p>
    <w:p>
      <w:pPr>
        <w:ind w:left="880" w:right="240" w:hanging="438"/>
        <w:spacing w:after="0" w:line="277" w:lineRule="auto"/>
        <w:tabs>
          <w:tab w:leader="none" w:pos="8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require us to submit additional data such as long-term toxicology studies, or impose other requirements before permitting us to initiate a clinical trial.</w:t>
      </w:r>
    </w:p>
    <w:p>
      <w:pPr>
        <w:spacing w:after="0" w:line="130" w:lineRule="exact"/>
        <w:rPr>
          <w:sz w:val="20"/>
          <w:szCs w:val="20"/>
          <w:color w:val="auto"/>
        </w:rPr>
      </w:pPr>
    </w:p>
    <w:p>
      <w:pPr>
        <w:ind w:right="80" w:firstLine="434"/>
        <w:spacing w:after="0" w:line="272" w:lineRule="auto"/>
        <w:rPr>
          <w:sz w:val="20"/>
          <w:szCs w:val="20"/>
          <w:color w:val="auto"/>
        </w:rPr>
      </w:pPr>
      <w:r>
        <w:rPr>
          <w:rFonts w:ascii="Arial" w:cs="Arial" w:eastAsia="Arial" w:hAnsi="Arial"/>
          <w:sz w:val="17"/>
          <w:szCs w:val="17"/>
          <w:color w:val="auto"/>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timeframes we announce and expect, the approval and commercialization of our product candidates may be delayed or prevented entirely.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50" w:lineRule="exact"/>
        <w:rPr>
          <w:sz w:val="20"/>
          <w:szCs w:val="20"/>
          <w:color w:val="auto"/>
        </w:rPr>
      </w:pPr>
    </w:p>
    <w:p>
      <w:pPr>
        <w:ind w:left="220" w:right="40"/>
        <w:spacing w:after="0" w:line="381" w:lineRule="auto"/>
        <w:rPr>
          <w:sz w:val="20"/>
          <w:szCs w:val="20"/>
          <w:color w:val="auto"/>
        </w:rPr>
      </w:pPr>
      <w:r>
        <w:rPr>
          <w:rFonts w:ascii="Arial" w:cs="Arial" w:eastAsia="Arial" w:hAnsi="Arial"/>
          <w:sz w:val="15"/>
          <w:szCs w:val="15"/>
          <w:b w:val="1"/>
          <w:bCs w:val="1"/>
          <w:i w:val="1"/>
          <w:iCs w:val="1"/>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60" w:lineRule="exact"/>
        <w:rPr>
          <w:sz w:val="20"/>
          <w:szCs w:val="20"/>
          <w:color w:val="auto"/>
        </w:rPr>
      </w:pPr>
    </w:p>
    <w:p>
      <w:pPr>
        <w:ind w:right="120" w:firstLine="434"/>
        <w:spacing w:after="0" w:line="272" w:lineRule="auto"/>
        <w:rPr>
          <w:sz w:val="20"/>
          <w:szCs w:val="20"/>
          <w:color w:val="auto"/>
        </w:rPr>
      </w:pPr>
      <w:r>
        <w:rPr>
          <w:rFonts w:ascii="Arial" w:cs="Arial" w:eastAsia="Arial" w:hAnsi="Arial"/>
          <w:sz w:val="17"/>
          <w:szCs w:val="17"/>
          <w:color w:val="auto"/>
        </w:rPr>
        <w:t>We completed our Phase 1a clinical trial of our lead product candidate PLN-74809 in healthy volunteers, and, with the exception of a number of reported minor adverse events, the product candidate was observed to be generally well-tolerated across all doses in 71 trial participants. However, 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addition, in our ongoing Phase 2a clinical trials, we are evaluating PLN-74809 administered with approved IPF agents. As a result, we may encounter unexpected drug-drug interactions in our planned trials, and may be required to further test these candidates, including in drug-drug interaction studies, which may be expensive, time-consuming and result in delays to our programs.</w:t>
      </w:r>
    </w:p>
    <w:p>
      <w:pPr>
        <w:spacing w:after="0" w:line="137" w:lineRule="exact"/>
        <w:rPr>
          <w:sz w:val="20"/>
          <w:szCs w:val="20"/>
          <w:color w:val="auto"/>
        </w:rPr>
      </w:pPr>
    </w:p>
    <w:p>
      <w:pPr>
        <w:ind w:right="20" w:firstLine="434"/>
        <w:spacing w:after="0" w:line="259" w:lineRule="auto"/>
        <w:rPr>
          <w:sz w:val="20"/>
          <w:szCs w:val="20"/>
          <w:color w:val="auto"/>
        </w:rPr>
      </w:pPr>
      <w:r>
        <w:rPr>
          <w:rFonts w:ascii="Arial" w:cs="Arial" w:eastAsia="Arial" w:hAnsi="Arial"/>
          <w:sz w:val="18"/>
          <w:szCs w:val="18"/>
          <w:color w:val="auto"/>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9" w:name="page40"/>
    <w:bookmarkEnd w:id="39"/>
    <w:p>
      <w:pPr>
        <w:ind w:left="220" w:right="560"/>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43" w:lineRule="exact"/>
        <w:rPr>
          <w:sz w:val="20"/>
          <w:szCs w:val="20"/>
          <w:color w:val="auto"/>
        </w:rPr>
      </w:pPr>
    </w:p>
    <w:p>
      <w:pPr>
        <w:ind w:right="640" w:firstLine="434"/>
        <w:spacing w:after="0" w:line="263"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143" w:lineRule="exact"/>
        <w:rPr>
          <w:sz w:val="20"/>
          <w:szCs w:val="20"/>
          <w:color w:val="auto"/>
        </w:rPr>
      </w:pPr>
    </w:p>
    <w:p>
      <w:pPr>
        <w:ind w:left="860" w:hanging="41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patient eligibility and exclusion criteria defined in the protocol;</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 and the process for identifying patients;</w:t>
      </w:r>
    </w:p>
    <w:p>
      <w:pPr>
        <w:spacing w:after="0" w:line="198" w:lineRule="exact"/>
        <w:rPr>
          <w:rFonts w:ascii="Arial" w:cs="Arial" w:eastAsia="Arial" w:hAnsi="Arial"/>
          <w:sz w:val="18"/>
          <w:szCs w:val="18"/>
          <w:color w:val="auto"/>
        </w:rPr>
      </w:pPr>
    </w:p>
    <w:p>
      <w:pPr>
        <w:ind w:left="880" w:right="40" w:hanging="438"/>
        <w:spacing w:after="0" w:line="277" w:lineRule="auto"/>
        <w:tabs>
          <w:tab w:leader="none" w:pos="8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or availability (including legality under applicable COVID-19 shelter-in-place regulations) of patients to participate in our trials (including due to fears of contracting COVID-19);</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84" w:lineRule="exact"/>
        <w:rPr>
          <w:rFonts w:ascii="Arial" w:cs="Arial" w:eastAsia="Arial" w:hAnsi="Arial"/>
          <w:sz w:val="18"/>
          <w:szCs w:val="18"/>
          <w:color w:val="auto"/>
        </w:rPr>
      </w:pPr>
    </w:p>
    <w:p>
      <w:pPr>
        <w:ind w:left="880" w:right="60" w:hanging="438"/>
        <w:spacing w:after="0" w:line="277" w:lineRule="auto"/>
        <w:tabs>
          <w:tab w:leader="none" w:pos="8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product candidates’ clinical trials;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and maintain patient informed consents; and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185" w:lineRule="exact"/>
        <w:rPr>
          <w:sz w:val="20"/>
          <w:szCs w:val="20"/>
          <w:color w:val="auto"/>
        </w:rPr>
      </w:pPr>
    </w:p>
    <w:p>
      <w:pPr>
        <w:ind w:firstLine="434"/>
        <w:spacing w:after="0" w:line="254" w:lineRule="auto"/>
        <w:rPr>
          <w:sz w:val="20"/>
          <w:szCs w:val="20"/>
          <w:color w:val="auto"/>
        </w:rPr>
      </w:pPr>
      <w:r>
        <w:rPr>
          <w:rFonts w:ascii="Arial" w:cs="Arial" w:eastAsia="Arial" w:hAnsi="Arial"/>
          <w:sz w:val="18"/>
          <w:szCs w:val="18"/>
          <w:color w:val="auto"/>
        </w:rPr>
        <w:t>For example, we are initially developing PLN-74809 for the treatment of IPF and PSC, each of which is an orphan indication. In the United States, IPF is estimated to affect approximately 140,000 patients, while PSC is estimated to affect approximately 30,000 to 45,000 patients. As a result, we may encounter difficulties enrolling subjects in our clinical trials of PLN-74809 due, in part, to the small size of these patient populations.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165" w:lineRule="exact"/>
        <w:rPr>
          <w:sz w:val="20"/>
          <w:szCs w:val="20"/>
          <w:color w:val="auto"/>
        </w:rPr>
      </w:pPr>
    </w:p>
    <w:p>
      <w:pPr>
        <w:ind w:right="20" w:firstLine="434"/>
        <w:spacing w:after="0" w:line="269" w:lineRule="auto"/>
        <w:rPr>
          <w:sz w:val="20"/>
          <w:szCs w:val="20"/>
          <w:color w:val="auto"/>
        </w:rPr>
      </w:pPr>
      <w:r>
        <w:rPr>
          <w:rFonts w:ascii="Arial" w:cs="Arial" w:eastAsia="Arial" w:hAnsi="Arial"/>
          <w:sz w:val="17"/>
          <w:szCs w:val="17"/>
          <w:color w:val="auto"/>
        </w:rPr>
        <w:t>Further, timely enrollment in clinical trials is reliant on clinical trial sites which may be adversely affected by global health matters, including, among other things, pandemics. For example, our clinical trial sites have been affected by the COVID-19 pandemic. Commencement of enrollment of our clinical trials of PLN-74809 in IPF and PSC was delayed. While these trials have resumed patient enrollment, we believe we are experiencing slower than expected enrollment due to the pandemic. With respect to our PLN-74809 program for COVID-19 ARDS, we initiated a Phase 2a trial in 2020 evaluating the potential of this candidate, but recently ceased enrollment due to dramatically declining numbers of severe and critical COVID-19 cases, given the availability of COVID-19 vaccines and the increased and successful measures taken to contain the virus. While the Phase 1 trial of PLN-1474 has completed, this trial also experienced delays due to COVID-19 In addition, after enrollment in these trials, if patients contract COVID-19 during participation in our trials or are subject to isolation or shelter-in-place restrictions, this may cause them to drop out of our trials, miss scheduled doses or follow-up visits or otherwise fail to follow trial protocols. If patients are unable to follow the trial protocols or if our trial results are otherwise disputed due to the effects of the COVID-19 pandemic or actions taken to mitigate its spread, the integrity of data from our trials may be compromised or not accepted by the FDA or other regulatory authorities, which would represent a significant setback for the applicable program.</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0" w:name="page41"/>
    <w:bookmarkEnd w:id="40"/>
    <w:p>
      <w:pPr>
        <w:ind w:left="440"/>
        <w:spacing w:after="0"/>
        <w:rPr>
          <w:sz w:val="20"/>
          <w:szCs w:val="20"/>
          <w:color w:val="auto"/>
        </w:rPr>
      </w:pPr>
      <w:r>
        <w:rPr>
          <w:rFonts w:ascii="Arial" w:cs="Arial" w:eastAsia="Arial" w:hAnsi="Arial"/>
          <w:sz w:val="18"/>
          <w:szCs w:val="18"/>
          <w:color w:val="auto"/>
        </w:rPr>
        <w:t>Some factors from the COVID-19 pandemic that we believe may adversely affect enrollment in our trials include:</w:t>
      </w:r>
    </w:p>
    <w:p>
      <w:pPr>
        <w:spacing w:after="0" w:line="198" w:lineRule="exact"/>
        <w:rPr>
          <w:sz w:val="20"/>
          <w:szCs w:val="20"/>
          <w:color w:val="auto"/>
        </w:rPr>
      </w:pPr>
    </w:p>
    <w:p>
      <w:pPr>
        <w:jc w:val="both"/>
        <w:ind w:left="880" w:right="160" w:hanging="438"/>
        <w:spacing w:after="0" w:line="263" w:lineRule="auto"/>
        <w:tabs>
          <w:tab w:leader="none" w:pos="8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diversion of healthcare resources away from the conduct of clinical trial matters to focus on pandemic concerns, including the attention of infectious disease physicians serving as our clinical trial investigators, hospitals serving as our clinical trial sites and hospital staff supporting the conduct of our clinical trials;</w:t>
      </w:r>
    </w:p>
    <w:p>
      <w:pPr>
        <w:spacing w:after="0" w:line="143" w:lineRule="exact"/>
        <w:rPr>
          <w:rFonts w:ascii="Arial" w:cs="Arial" w:eastAsia="Arial" w:hAnsi="Arial"/>
          <w:sz w:val="18"/>
          <w:szCs w:val="18"/>
          <w:color w:val="auto"/>
        </w:rPr>
      </w:pPr>
    </w:p>
    <w:p>
      <w:pPr>
        <w:ind w:left="880" w:right="80" w:hanging="438"/>
        <w:spacing w:after="0" w:line="263" w:lineRule="auto"/>
        <w:tabs>
          <w:tab w:leader="none" w:pos="8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given that our clinical trials target respiratory indications, patients who would otherwise be candidates for enrollment in our clinical trials, may become infected with coronavirus, which may kill some patients and render others too ill to participate, limiting the available pool of participants for our trials;</w:t>
      </w:r>
    </w:p>
    <w:p>
      <w:pPr>
        <w:spacing w:after="0" w:line="143" w:lineRule="exact"/>
        <w:rPr>
          <w:rFonts w:ascii="Arial" w:cs="Arial" w:eastAsia="Arial" w:hAnsi="Arial"/>
          <w:sz w:val="18"/>
          <w:szCs w:val="18"/>
          <w:color w:val="auto"/>
        </w:rPr>
      </w:pPr>
    </w:p>
    <w:p>
      <w:pPr>
        <w:ind w:left="880" w:right="380" w:hanging="438"/>
        <w:spacing w:after="0" w:line="277" w:lineRule="auto"/>
        <w:tabs>
          <w:tab w:leader="none" w:pos="8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patients to come to hospitals and universities to participate in our trial, which may force us to conduct our trials in patients’ homes, rendering the trials more difficult and costly to conduct;</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travel that interrupt key trial activities, such as clinical trial site initiations and monitoring;</w:t>
      </w:r>
    </w:p>
    <w:p>
      <w:pPr>
        <w:spacing w:after="0" w:line="184" w:lineRule="exact"/>
        <w:rPr>
          <w:rFonts w:ascii="Arial" w:cs="Arial" w:eastAsia="Arial" w:hAnsi="Arial"/>
          <w:sz w:val="18"/>
          <w:szCs w:val="18"/>
          <w:color w:val="auto"/>
        </w:rPr>
      </w:pPr>
    </w:p>
    <w:p>
      <w:pPr>
        <w:ind w:left="880" w:right="40" w:hanging="438"/>
        <w:spacing w:after="0" w:line="277" w:lineRule="auto"/>
        <w:tabs>
          <w:tab w:leader="none" w:pos="8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investigational drug product and comparator drugs used in our trials; and</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employee furlough days that delay necessary interactions with local regulators, ethics committees and other important agencies and contractors.</w:t>
      </w:r>
    </w:p>
    <w:p>
      <w:pPr>
        <w:spacing w:after="0" w:line="221" w:lineRule="exact"/>
        <w:rPr>
          <w:sz w:val="20"/>
          <w:szCs w:val="20"/>
          <w:color w:val="auto"/>
        </w:rPr>
      </w:pPr>
    </w:p>
    <w:p>
      <w:pPr>
        <w:ind w:right="380" w:firstLine="434"/>
        <w:spacing w:after="0" w:line="277" w:lineRule="auto"/>
        <w:rPr>
          <w:sz w:val="20"/>
          <w:szCs w:val="20"/>
          <w:color w:val="auto"/>
        </w:rPr>
      </w:pPr>
      <w:r>
        <w:rPr>
          <w:rFonts w:ascii="Arial" w:cs="Arial" w:eastAsia="Arial" w:hAnsi="Arial"/>
          <w:sz w:val="18"/>
          <w:szCs w:val="18"/>
          <w:color w:val="auto"/>
        </w:rPr>
        <w:t>The global outbreak of the COVID-19 pandemic continues to evolve and the conduct of our trials may continue to be adversely affected, despite efforts to mitigate this impact.</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design or execution of our ongoing and future clinical trials may not support marketing approval.</w:t>
      </w:r>
    </w:p>
    <w:p>
      <w:pPr>
        <w:spacing w:after="0" w:line="185" w:lineRule="exact"/>
        <w:rPr>
          <w:sz w:val="20"/>
          <w:szCs w:val="20"/>
          <w:color w:val="auto"/>
        </w:rPr>
      </w:pPr>
    </w:p>
    <w:p>
      <w:pPr>
        <w:ind w:right="40" w:firstLine="434"/>
        <w:spacing w:after="0" w:line="280" w:lineRule="auto"/>
        <w:rPr>
          <w:sz w:val="20"/>
          <w:szCs w:val="20"/>
          <w:color w:val="auto"/>
        </w:rPr>
      </w:pPr>
      <w:r>
        <w:rPr>
          <w:rFonts w:ascii="Arial" w:cs="Arial" w:eastAsia="Arial" w:hAnsi="Arial"/>
          <w:sz w:val="16"/>
          <w:szCs w:val="16"/>
          <w:color w:val="auto"/>
        </w:rPr>
        <w:t>The design or execution of a clinical trial can determine whether its results will support marketing approval, and flaws in the design or execution of a clinical trial may not become apparent until the clinical trial is well advanced. We are currently recruiting two Phase 2a trials of PLN-74809 in IPF. In the first of these trials, the study is designed to enroll IPF patients and utilize a positron emission tomography, or PET, ligand to measure α</w:t>
      </w:r>
      <w:r>
        <w:rPr>
          <w:rFonts w:ascii="Arial" w:cs="Arial" w:eastAsia="Arial" w:hAnsi="Arial"/>
          <w:sz w:val="20"/>
          <w:szCs w:val="20"/>
          <w:color w:val="auto"/>
          <w:vertAlign w:val="subscript"/>
        </w:rPr>
        <w:t>v</w:t>
      </w:r>
      <w:r>
        <w:rPr>
          <w:rFonts w:ascii="Arial" w:cs="Arial" w:eastAsia="Arial" w:hAnsi="Arial"/>
          <w:sz w:val="16"/>
          <w:szCs w:val="16"/>
          <w:color w:val="auto"/>
        </w:rPr>
        <w:t>β</w:t>
      </w:r>
      <w:r>
        <w:rPr>
          <w:rFonts w:ascii="Arial" w:cs="Arial" w:eastAsia="Arial" w:hAnsi="Arial"/>
          <w:sz w:val="20"/>
          <w:szCs w:val="20"/>
          <w:color w:val="auto"/>
          <w:vertAlign w:val="subscript"/>
        </w:rPr>
        <w:t>6</w:t>
      </w:r>
      <w:r>
        <w:rPr>
          <w:rFonts w:ascii="Arial" w:cs="Arial" w:eastAsia="Arial" w:hAnsi="Arial"/>
          <w:sz w:val="16"/>
          <w:szCs w:val="16"/>
          <w:color w:val="auto"/>
        </w:rPr>
        <w:t xml:space="preserve"> target engagement by PLN-74809 in the lungs post-treatment. The second trial is a 12-week double blind placebo-controlled trial to evaluate safety, tolerability and PK of up three doses of PLN-74809. It is possible that we may need to amend our clinical trial, which would require us to resubmit our clinical trial protocols to competent authorities and ethics committees for reexamination, and may impact the costs, timing, or successful completion of such clinical trial. In addition, we may desire to test PLN-74809 at doses exceeding those evaluated in an ongoing Phase 1a trial and may not be able to do so.</w:t>
      </w:r>
    </w:p>
    <w:p>
      <w:pPr>
        <w:spacing w:after="0" w:line="145" w:lineRule="exact"/>
        <w:rPr>
          <w:sz w:val="20"/>
          <w:szCs w:val="20"/>
          <w:color w:val="auto"/>
        </w:rPr>
      </w:pPr>
    </w:p>
    <w:p>
      <w:pPr>
        <w:ind w:firstLine="434"/>
        <w:spacing w:after="0" w:line="279" w:lineRule="auto"/>
        <w:rPr>
          <w:sz w:val="20"/>
          <w:szCs w:val="20"/>
          <w:color w:val="auto"/>
        </w:rPr>
      </w:pPr>
      <w:r>
        <w:rPr>
          <w:rFonts w:ascii="Arial" w:cs="Arial" w:eastAsia="Arial" w:hAnsi="Arial"/>
          <w:sz w:val="17"/>
          <w:szCs w:val="17"/>
          <w:color w:val="auto"/>
        </w:rPr>
        <w:t>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w:t>
      </w:r>
    </w:p>
    <w:p>
      <w:pPr>
        <w:spacing w:after="0" w:line="131" w:lineRule="exact"/>
        <w:rPr>
          <w:sz w:val="20"/>
          <w:szCs w:val="20"/>
          <w:color w:val="auto"/>
        </w:rPr>
      </w:pPr>
    </w:p>
    <w:p>
      <w:pPr>
        <w:ind w:right="40" w:firstLine="434"/>
        <w:spacing w:after="0" w:line="290" w:lineRule="auto"/>
        <w:rPr>
          <w:sz w:val="20"/>
          <w:szCs w:val="20"/>
          <w:color w:val="auto"/>
        </w:rPr>
      </w:pPr>
      <w:r>
        <w:rPr>
          <w:rFonts w:ascii="Arial" w:cs="Arial" w:eastAsia="Arial" w:hAnsi="Arial"/>
          <w:sz w:val="16"/>
          <w:szCs w:val="16"/>
          <w:color w:val="auto"/>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spacing w:after="0" w:line="125" w:lineRule="exact"/>
        <w:rPr>
          <w:sz w:val="20"/>
          <w:szCs w:val="20"/>
          <w:color w:val="auto"/>
        </w:rPr>
      </w:pPr>
    </w:p>
    <w:p>
      <w:pPr>
        <w:ind w:right="480" w:firstLine="434"/>
        <w:spacing w:after="0" w:line="277" w:lineRule="auto"/>
        <w:rPr>
          <w:sz w:val="20"/>
          <w:szCs w:val="20"/>
          <w:color w:val="auto"/>
        </w:rPr>
      </w:pPr>
      <w:r>
        <w:rPr>
          <w:rFonts w:ascii="Arial" w:cs="Arial" w:eastAsia="Arial" w:hAnsi="Arial"/>
          <w:sz w:val="18"/>
          <w:szCs w:val="18"/>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143" w:lineRule="exact"/>
        <w:rPr>
          <w:sz w:val="20"/>
          <w:szCs w:val="20"/>
          <w:color w:val="auto"/>
        </w:rPr>
      </w:pPr>
    </w:p>
    <w:p>
      <w:pPr>
        <w:ind w:left="220" w:right="240"/>
        <w:spacing w:after="0" w:line="277" w:lineRule="auto"/>
        <w:rPr>
          <w:sz w:val="20"/>
          <w:szCs w:val="20"/>
          <w:color w:val="auto"/>
        </w:rPr>
      </w:pPr>
      <w:r>
        <w:rPr>
          <w:rFonts w:ascii="Arial" w:cs="Arial" w:eastAsia="Arial" w:hAnsi="Arial"/>
          <w:sz w:val="18"/>
          <w:szCs w:val="18"/>
          <w:b w:val="1"/>
          <w:bCs w:val="1"/>
          <w:i w:val="1"/>
          <w:iCs w:val="1"/>
          <w:color w:val="auto"/>
        </w:rPr>
        <w:t>Although we have received U.S. orphan drug designation for PLN-74809 for IPF and PSC indications, we may be unable to obtain and maintain orphan drug designation for our other product candidates and, even if we obtain such</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1" w:name="page42"/>
    <w:bookmarkEnd w:id="41"/>
    <w:p>
      <w:pPr>
        <w:ind w:left="220" w:right="240"/>
        <w:spacing w:after="0" w:line="277" w:lineRule="auto"/>
        <w:rPr>
          <w:sz w:val="20"/>
          <w:szCs w:val="20"/>
          <w:color w:val="auto"/>
        </w:rPr>
      </w:pPr>
      <w:r>
        <w:rPr>
          <w:rFonts w:ascii="Arial" w:cs="Arial" w:eastAsia="Arial" w:hAnsi="Arial"/>
          <w:sz w:val="18"/>
          <w:szCs w:val="18"/>
          <w:b w:val="1"/>
          <w:bCs w:val="1"/>
          <w:i w:val="1"/>
          <w:iCs w:val="1"/>
          <w:color w:val="auto"/>
        </w:rPr>
        <w:t>designation, we may not be able to realize the benefits of such designation, including potential marketing exclusivity of our product candidates, if approved.</w:t>
      </w:r>
    </w:p>
    <w:p>
      <w:pPr>
        <w:spacing w:after="0" w:line="143" w:lineRule="exact"/>
        <w:rPr>
          <w:sz w:val="20"/>
          <w:szCs w:val="20"/>
          <w:color w:val="auto"/>
        </w:rPr>
      </w:pPr>
    </w:p>
    <w:p>
      <w:pPr>
        <w:ind w:right="20" w:firstLine="434"/>
        <w:spacing w:after="0" w:line="257" w:lineRule="auto"/>
        <w:rPr>
          <w:sz w:val="20"/>
          <w:szCs w:val="20"/>
          <w:color w:val="auto"/>
        </w:rPr>
      </w:pPr>
      <w:r>
        <w:rPr>
          <w:rFonts w:ascii="Arial" w:cs="Arial" w:eastAsia="Arial" w:hAnsi="Arial"/>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spacing w:after="0" w:line="147" w:lineRule="exact"/>
        <w:rPr>
          <w:sz w:val="20"/>
          <w:szCs w:val="20"/>
          <w:color w:val="auto"/>
        </w:rPr>
      </w:pPr>
    </w:p>
    <w:p>
      <w:pPr>
        <w:ind w:right="100" w:firstLine="434"/>
        <w:spacing w:after="0" w:line="259" w:lineRule="auto"/>
        <w:rPr>
          <w:sz w:val="20"/>
          <w:szCs w:val="20"/>
          <w:color w:val="auto"/>
        </w:rPr>
      </w:pPr>
      <w:r>
        <w:rPr>
          <w:rFonts w:ascii="Arial" w:cs="Arial" w:eastAsia="Arial" w:hAnsi="Arial"/>
          <w:sz w:val="18"/>
          <w:szCs w:val="18"/>
          <w:color w:val="auto"/>
        </w:rPr>
        <w:t>Although we have received U.S. orphan drug designation for PLN-74809 for IPF and PSC indications,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spacing w:after="0" w:line="146" w:lineRule="exact"/>
        <w:rPr>
          <w:sz w:val="20"/>
          <w:szCs w:val="20"/>
          <w:color w:val="auto"/>
        </w:rPr>
      </w:pPr>
    </w:p>
    <w:p>
      <w:pPr>
        <w:ind w:firstLine="434"/>
        <w:spacing w:after="0" w:line="255" w:lineRule="auto"/>
        <w:rPr>
          <w:sz w:val="20"/>
          <w:szCs w:val="20"/>
          <w:color w:val="auto"/>
        </w:rPr>
      </w:pPr>
      <w:r>
        <w:rPr>
          <w:rFonts w:ascii="Arial" w:cs="Arial" w:eastAsia="Arial" w:hAnsi="Arial"/>
          <w:sz w:val="18"/>
          <w:szCs w:val="18"/>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The applicable period is seven years in the United States.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65" w:lineRule="exact"/>
        <w:rPr>
          <w:sz w:val="20"/>
          <w:szCs w:val="20"/>
          <w:color w:val="auto"/>
        </w:rPr>
      </w:pPr>
    </w:p>
    <w:p>
      <w:pPr>
        <w:ind w:right="60" w:firstLine="434"/>
        <w:spacing w:after="0" w:line="259"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85" w:lineRule="exact"/>
        <w:rPr>
          <w:sz w:val="20"/>
          <w:szCs w:val="20"/>
          <w:color w:val="auto"/>
        </w:rPr>
      </w:pPr>
    </w:p>
    <w:p>
      <w:pPr>
        <w:ind w:right="180" w:firstLine="434"/>
        <w:spacing w:after="0" w:line="254" w:lineRule="auto"/>
        <w:rPr>
          <w:sz w:val="20"/>
          <w:szCs w:val="20"/>
          <w:color w:val="auto"/>
        </w:rPr>
      </w:pPr>
      <w:r>
        <w:rPr>
          <w:rFonts w:ascii="Arial" w:cs="Arial" w:eastAsia="Arial" w:hAnsi="Arial"/>
          <w:sz w:val="18"/>
          <w:szCs w:val="18"/>
          <w:color w:val="auto"/>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68" w:lineRule="exact"/>
        <w:rPr>
          <w:sz w:val="20"/>
          <w:szCs w:val="20"/>
          <w:color w:val="auto"/>
        </w:rPr>
      </w:pPr>
    </w:p>
    <w:p>
      <w:pPr>
        <w:ind w:right="120" w:firstLine="434"/>
        <w:spacing w:after="0" w:line="289" w:lineRule="auto"/>
        <w:rPr>
          <w:sz w:val="20"/>
          <w:szCs w:val="20"/>
          <w:color w:val="auto"/>
        </w:rPr>
      </w:pPr>
      <w:r>
        <w:rPr>
          <w:rFonts w:ascii="Arial" w:cs="Arial" w:eastAsia="Arial" w:hAnsi="Arial"/>
          <w:sz w:val="16"/>
          <w:szCs w:val="16"/>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2" w:name="page43"/>
    <w:bookmarkEnd w:id="42"/>
    <w:p>
      <w:pPr>
        <w:ind w:left="220"/>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in the future.</w:t>
      </w:r>
    </w:p>
    <w:p>
      <w:pPr>
        <w:spacing w:after="0" w:line="198" w:lineRule="exact"/>
        <w:rPr>
          <w:sz w:val="20"/>
          <w:szCs w:val="20"/>
          <w:color w:val="auto"/>
        </w:rPr>
      </w:pPr>
    </w:p>
    <w:p>
      <w:pPr>
        <w:ind w:right="640" w:firstLine="434"/>
        <w:spacing w:after="0" w:line="277" w:lineRule="auto"/>
        <w:rPr>
          <w:sz w:val="20"/>
          <w:szCs w:val="20"/>
          <w:color w:val="auto"/>
        </w:rPr>
      </w:pPr>
      <w:r>
        <w:rPr>
          <w:rFonts w:ascii="Arial" w:cs="Arial" w:eastAsia="Arial" w:hAnsi="Arial"/>
          <w:sz w:val="18"/>
          <w:szCs w:val="18"/>
          <w:color w:val="auto"/>
        </w:rPr>
        <w:t>Our research programs may initially show promise in identifying potential product candidates, yet fail to yield product candidates for clinical development for a number of reasons, including:</w:t>
      </w:r>
    </w:p>
    <w:p>
      <w:pPr>
        <w:spacing w:after="0" w:line="130" w:lineRule="exact"/>
        <w:rPr>
          <w:sz w:val="20"/>
          <w:szCs w:val="20"/>
          <w:color w:val="auto"/>
        </w:rPr>
      </w:pPr>
    </w:p>
    <w:p>
      <w:pPr>
        <w:ind w:left="860" w:hanging="418"/>
        <w:spacing w:after="0"/>
        <w:tabs>
          <w:tab w:leader="none" w:pos="8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design such product candidates with the pharmacological properties that we desire or attractive pharmacokinetics; or</w:t>
      </w:r>
    </w:p>
    <w:p>
      <w:pPr>
        <w:spacing w:after="0" w:line="196" w:lineRule="exact"/>
        <w:rPr>
          <w:rFonts w:ascii="Arial" w:cs="Arial" w:eastAsia="Arial" w:hAnsi="Arial"/>
          <w:sz w:val="17"/>
          <w:szCs w:val="17"/>
          <w:color w:val="auto"/>
        </w:rPr>
      </w:pPr>
    </w:p>
    <w:p>
      <w:pPr>
        <w:ind w:left="880" w:right="400" w:hanging="438"/>
        <w:spacing w:after="0" w:line="277" w:lineRule="auto"/>
        <w:tabs>
          <w:tab w:leader="none" w:pos="8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143" w:lineRule="exact"/>
        <w:rPr>
          <w:sz w:val="20"/>
          <w:szCs w:val="20"/>
          <w:color w:val="auto"/>
        </w:rPr>
      </w:pPr>
    </w:p>
    <w:p>
      <w:pPr>
        <w:ind w:right="200" w:firstLine="434"/>
        <w:spacing w:after="0" w:line="263"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spacing w:after="0" w:line="143" w:lineRule="exact"/>
        <w:rPr>
          <w:sz w:val="20"/>
          <w:szCs w:val="20"/>
          <w:color w:val="auto"/>
        </w:rPr>
      </w:pPr>
    </w:p>
    <w:p>
      <w:pPr>
        <w:ind w:left="220" w:right="780"/>
        <w:spacing w:after="0" w:line="277" w:lineRule="auto"/>
        <w:rPr>
          <w:sz w:val="20"/>
          <w:szCs w:val="20"/>
          <w:color w:val="auto"/>
        </w:rPr>
      </w:pPr>
      <w:r>
        <w:rPr>
          <w:rFonts w:ascii="Arial" w:cs="Arial" w:eastAsia="Arial" w:hAnsi="Arial"/>
          <w:sz w:val="18"/>
          <w:szCs w:val="18"/>
          <w:b w:val="1"/>
          <w:bCs w:val="1"/>
          <w:i w:val="1"/>
          <w:iCs w:val="1"/>
          <w:color w:val="auto"/>
        </w:rPr>
        <w:t>Due to our limited resources and access to capital, we must make decisions on the allocation of resources to certain programs and product candidates; these decisions may prove to be wrong and may adversely affect our business.</w:t>
      </w:r>
    </w:p>
    <w:p>
      <w:pPr>
        <w:spacing w:after="0" w:line="130" w:lineRule="exact"/>
        <w:rPr>
          <w:sz w:val="20"/>
          <w:szCs w:val="20"/>
          <w:color w:val="auto"/>
        </w:rPr>
      </w:pPr>
    </w:p>
    <w:p>
      <w:pPr>
        <w:ind w:firstLine="434"/>
        <w:spacing w:after="0" w:line="254" w:lineRule="auto"/>
        <w:rPr>
          <w:sz w:val="20"/>
          <w:szCs w:val="20"/>
          <w:color w:val="auto"/>
        </w:rPr>
      </w:pPr>
      <w:r>
        <w:rPr>
          <w:rFonts w:ascii="Arial" w:cs="Arial" w:eastAsia="Arial" w:hAnsi="Arial"/>
          <w:sz w:val="18"/>
          <w:szCs w:val="18"/>
          <w:color w:val="auto"/>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spacing w:after="0" w:line="168" w:lineRule="exact"/>
        <w:rPr>
          <w:sz w:val="20"/>
          <w:szCs w:val="20"/>
          <w:color w:val="auto"/>
        </w:rPr>
      </w:pPr>
    </w:p>
    <w:p>
      <w:pPr>
        <w:jc w:val="both"/>
        <w:ind w:right="160" w:firstLine="434"/>
        <w:spacing w:after="0" w:line="286" w:lineRule="auto"/>
        <w:rPr>
          <w:sz w:val="20"/>
          <w:szCs w:val="20"/>
          <w:color w:val="auto"/>
        </w:rPr>
      </w:pPr>
      <w:r>
        <w:rPr>
          <w:rFonts w:ascii="Arial" w:cs="Arial" w:eastAsia="Arial" w:hAnsi="Arial"/>
          <w:sz w:val="17"/>
          <w:szCs w:val="17"/>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25" w:lineRule="exact"/>
        <w:rPr>
          <w:sz w:val="20"/>
          <w:szCs w:val="20"/>
          <w:color w:val="auto"/>
        </w:rPr>
      </w:pPr>
    </w:p>
    <w:p>
      <w:pPr>
        <w:ind w:left="220" w:right="11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financial or other liabilities and may be required to limit commercialization of our product candidates.</w:t>
      </w:r>
    </w:p>
    <w:p>
      <w:pPr>
        <w:spacing w:after="0" w:line="130" w:lineRule="exact"/>
        <w:rPr>
          <w:sz w:val="20"/>
          <w:szCs w:val="20"/>
          <w:color w:val="auto"/>
        </w:rPr>
      </w:pPr>
    </w:p>
    <w:p>
      <w:pPr>
        <w:ind w:right="20" w:firstLine="434"/>
        <w:spacing w:after="0" w:line="272" w:lineRule="auto"/>
        <w:rPr>
          <w:sz w:val="20"/>
          <w:szCs w:val="20"/>
          <w:color w:val="auto"/>
        </w:rPr>
      </w:pPr>
      <w:r>
        <w:rPr>
          <w:rFonts w:ascii="Arial" w:cs="Arial" w:eastAsia="Arial" w:hAnsi="Arial"/>
          <w:sz w:val="17"/>
          <w:szCs w:val="17"/>
          <w:color w:val="auto"/>
        </w:rPr>
        <w:t>We face an inherent risk of product liability as a result of testing PLN-74809 and any of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50" w:lineRule="exact"/>
        <w:rPr>
          <w:sz w:val="20"/>
          <w:szCs w:val="20"/>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bring a product candidate to the market;</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injunctions or criminal penalties;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3" w:name="page44"/>
    <w:bookmarkEnd w:id="43"/>
    <w:p>
      <w:pPr>
        <w:ind w:left="860" w:hanging="418"/>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if approved; and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decline in our share price.</w:t>
      </w:r>
    </w:p>
    <w:p>
      <w:pPr>
        <w:spacing w:after="0" w:line="198" w:lineRule="exact"/>
        <w:rPr>
          <w:sz w:val="20"/>
          <w:szCs w:val="20"/>
          <w:color w:val="auto"/>
        </w:rPr>
      </w:pPr>
    </w:p>
    <w:p>
      <w:pPr>
        <w:ind w:right="60" w:firstLine="434"/>
        <w:spacing w:after="0" w:line="254"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PLN-74809 continues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51" w:lineRule="exact"/>
        <w:rPr>
          <w:sz w:val="20"/>
          <w:szCs w:val="20"/>
          <w:color w:val="auto"/>
        </w:rPr>
      </w:pPr>
    </w:p>
    <w:p>
      <w:pPr>
        <w:ind w:left="220" w:right="1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130" w:lineRule="exact"/>
        <w:rPr>
          <w:sz w:val="20"/>
          <w:szCs w:val="20"/>
          <w:color w:val="auto"/>
        </w:rPr>
      </w:pPr>
    </w:p>
    <w:p>
      <w:pPr>
        <w:ind w:right="80" w:firstLine="434"/>
        <w:spacing w:after="0" w:line="257"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1" w:lineRule="exact"/>
        <w:rPr>
          <w:sz w:val="20"/>
          <w:szCs w:val="20"/>
          <w:color w:val="auto"/>
        </w:rPr>
      </w:pPr>
    </w:p>
    <w:p>
      <w:pPr>
        <w:ind w:right="60" w:firstLine="434"/>
        <w:spacing w:after="0" w:line="257" w:lineRule="auto"/>
        <w:rPr>
          <w:sz w:val="20"/>
          <w:szCs w:val="20"/>
          <w:color w:val="auto"/>
        </w:rPr>
      </w:pPr>
      <w:r>
        <w:rPr>
          <w:rFonts w:ascii="Arial" w:cs="Arial" w:eastAsia="Arial" w:hAnsi="Arial"/>
          <w:sz w:val="18"/>
          <w:szCs w:val="18"/>
          <w:color w:val="auto"/>
        </w:rPr>
        <w:t>There are a number of large biopharmaceutical and biotechnology companies that are currently pursuing the development of products for the treatment of fibrosis. Companies that we are aware of that are targeting the treatment of various fibrosis indications through inhibiting various parts of the TGF-ß pathway include large companies with significant financial resources such as Biogen, Inc., AbbVie Inc., Gilead Sciences, Inc., Indalo Therapeutics, Inc., FibroGen, Inc., Galapagos NV, Bristol Myers Squibb Co. and Novartis AG. However, we know of no other companies currently in clinical development with an orally bioavailable small molecule, selective integrin inhibitor.</w:t>
      </w:r>
    </w:p>
    <w:p>
      <w:pPr>
        <w:spacing w:after="0" w:line="147" w:lineRule="exact"/>
        <w:rPr>
          <w:sz w:val="20"/>
          <w:szCs w:val="20"/>
          <w:color w:val="auto"/>
        </w:rPr>
      </w:pPr>
    </w:p>
    <w:p>
      <w:pPr>
        <w:ind w:right="100" w:firstLine="434"/>
        <w:spacing w:after="0" w:line="263" w:lineRule="auto"/>
        <w:rPr>
          <w:sz w:val="20"/>
          <w:szCs w:val="20"/>
          <w:color w:val="auto"/>
        </w:rPr>
      </w:pPr>
      <w:r>
        <w:rPr>
          <w:rFonts w:ascii="Arial" w:cs="Arial" w:eastAsia="Arial" w:hAnsi="Arial"/>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143"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such products significant regulatory and market timing advantages over PLN-74809 or other product candidates that we may identify. Our competitors also may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 The availability of competitive products could limit the demand, and the price we are able to charge, for any products that we may develop and commercialize.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Risks Related to Marketing, Reimbursement, Healthcare Regulations and Ongoing Regulatory Compliance</w:t>
      </w:r>
    </w:p>
    <w:p>
      <w:pPr>
        <w:spacing w:after="0" w:line="202" w:lineRule="exact"/>
        <w:rPr>
          <w:sz w:val="20"/>
          <w:szCs w:val="20"/>
          <w:color w:val="auto"/>
        </w:rPr>
      </w:pPr>
    </w:p>
    <w:p>
      <w:pPr>
        <w:ind w:left="220" w:right="160"/>
        <w:spacing w:after="0" w:line="277" w:lineRule="auto"/>
        <w:rPr>
          <w:sz w:val="20"/>
          <w:szCs w:val="20"/>
          <w:color w:val="auto"/>
        </w:rPr>
      </w:pPr>
      <w:r>
        <w:rPr>
          <w:rFonts w:ascii="Arial" w:cs="Arial" w:eastAsia="Arial" w:hAnsi="Arial"/>
          <w:sz w:val="18"/>
          <w:szCs w:val="18"/>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w:t>
      </w:r>
    </w:p>
    <w:p>
      <w:pPr>
        <w:spacing w:after="0" w:line="130" w:lineRule="exact"/>
        <w:rPr>
          <w:sz w:val="20"/>
          <w:szCs w:val="20"/>
          <w:color w:val="auto"/>
        </w:rPr>
      </w:pPr>
    </w:p>
    <w:p>
      <w:pPr>
        <w:ind w:right="180" w:firstLine="434"/>
        <w:spacing w:after="0" w:line="257" w:lineRule="auto"/>
        <w:rPr>
          <w:sz w:val="20"/>
          <w:szCs w:val="20"/>
          <w:color w:val="auto"/>
        </w:rPr>
      </w:pPr>
      <w:r>
        <w:rPr>
          <w:rFonts w:ascii="Arial" w:cs="Arial" w:eastAsia="Arial" w:hAnsi="Arial"/>
          <w:sz w:val="18"/>
          <w:szCs w:val="18"/>
          <w:color w:val="auto"/>
        </w:rPr>
        <w:t>Even if PLN-74809 or any other product candidate we develop receives marketing approval, it may nonetheless fail to gain sufficient market acceptance by physicians, patients, third-party payors, such as Medicare and Medicaid programs, managed care organizations,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degree of market acceptance of any product candidate, if approved for commercial sale, will depend on a number of factors, including:</w:t>
      </w:r>
    </w:p>
    <w:p>
      <w:pPr>
        <w:spacing w:after="0" w:line="210" w:lineRule="exact"/>
        <w:rPr>
          <w:sz w:val="20"/>
          <w:szCs w:val="20"/>
          <w:color w:val="auto"/>
        </w:rPr>
      </w:pPr>
    </w:p>
    <w:p>
      <w:pPr>
        <w:ind w:left="860" w:hanging="41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84" w:lineRule="exact"/>
        <w:rPr>
          <w:rFonts w:ascii="Arial" w:cs="Arial" w:eastAsia="Arial" w:hAnsi="Arial"/>
          <w:sz w:val="18"/>
          <w:szCs w:val="18"/>
          <w:color w:val="auto"/>
        </w:rPr>
      </w:pPr>
    </w:p>
    <w:p>
      <w:pPr>
        <w:ind w:left="880" w:right="40" w:hanging="438"/>
        <w:spacing w:after="0" w:line="277" w:lineRule="auto"/>
        <w:tabs>
          <w:tab w:leader="none" w:pos="8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recommendations with respect to our product candidates in guidelines published by various scientific organizations applicable to us and our product candidates;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and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85" w:lineRule="exact"/>
        <w:rPr>
          <w:sz w:val="20"/>
          <w:szCs w:val="20"/>
          <w:color w:val="auto"/>
        </w:rPr>
      </w:pPr>
    </w:p>
    <w:p>
      <w:pPr>
        <w:ind w:right="180" w:firstLine="434"/>
        <w:spacing w:after="0" w:line="277" w:lineRule="auto"/>
        <w:rPr>
          <w:sz w:val="20"/>
          <w:szCs w:val="20"/>
          <w:color w:val="auto"/>
        </w:rPr>
      </w:pPr>
      <w:r>
        <w:rPr>
          <w:rFonts w:ascii="Arial" w:cs="Arial" w:eastAsia="Arial" w:hAnsi="Arial"/>
          <w:sz w:val="18"/>
          <w:szCs w:val="18"/>
          <w:color w:val="auto"/>
        </w:rPr>
        <w:t>If government and other third-party payors do not provide coverage and adequate reimbursement levels for any products we commercialize, market acceptance and commercial success would be reduced.</w:t>
      </w:r>
    </w:p>
    <w:p>
      <w:pPr>
        <w:spacing w:after="0" w:line="143"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130" w:lineRule="exact"/>
        <w:rPr>
          <w:sz w:val="20"/>
          <w:szCs w:val="20"/>
          <w:color w:val="auto"/>
        </w:rPr>
      </w:pPr>
    </w:p>
    <w:p>
      <w:pPr>
        <w:ind w:right="140" w:firstLine="434"/>
        <w:spacing w:after="0" w:line="270"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 Patients are unlikely to use our product candidates unless coverage is provided, and reimbursement is adequate to cover a significant portion of the cost.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40" w:lineRule="exact"/>
        <w:rPr>
          <w:sz w:val="20"/>
          <w:szCs w:val="20"/>
          <w:color w:val="auto"/>
        </w:rPr>
      </w:pPr>
    </w:p>
    <w:p>
      <w:pPr>
        <w:ind w:right="120" w:firstLine="434"/>
        <w:spacing w:after="0" w:line="342" w:lineRule="auto"/>
        <w:rPr>
          <w:sz w:val="20"/>
          <w:szCs w:val="20"/>
          <w:color w:val="auto"/>
        </w:rPr>
      </w:pPr>
      <w:r>
        <w:rPr>
          <w:rFonts w:ascii="Arial" w:cs="Arial" w:eastAsia="Arial" w:hAnsi="Arial"/>
          <w:sz w:val="16"/>
          <w:szCs w:val="16"/>
          <w:color w:val="auto"/>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spacing w:after="0" w:line="97" w:lineRule="exact"/>
        <w:rPr>
          <w:sz w:val="20"/>
          <w:szCs w:val="20"/>
          <w:color w:val="auto"/>
        </w:rPr>
      </w:pPr>
    </w:p>
    <w:p>
      <w:pPr>
        <w:ind w:left="860" w:hanging="41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5" w:name="page46"/>
    <w:bookmarkEnd w:id="45"/>
    <w:p>
      <w:pPr>
        <w:ind w:left="860" w:hanging="418"/>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98" w:lineRule="exact"/>
        <w:rPr>
          <w:sz w:val="20"/>
          <w:szCs w:val="20"/>
          <w:color w:val="auto"/>
        </w:rPr>
      </w:pPr>
    </w:p>
    <w:p>
      <w:pPr>
        <w:ind w:right="60" w:firstLine="434"/>
        <w:spacing w:after="0" w:line="254" w:lineRule="auto"/>
        <w:rPr>
          <w:sz w:val="20"/>
          <w:szCs w:val="20"/>
          <w:color w:val="auto"/>
        </w:rPr>
      </w:pPr>
      <w:r>
        <w:rPr>
          <w:rFonts w:ascii="Arial" w:cs="Arial" w:eastAsia="Arial" w:hAnsi="Arial"/>
          <w:sz w:val="18"/>
          <w:szCs w:val="18"/>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our product candidates, if approved.</w:t>
      </w:r>
    </w:p>
    <w:p>
      <w:pPr>
        <w:spacing w:after="0" w:line="151" w:lineRule="exact"/>
        <w:rPr>
          <w:sz w:val="20"/>
          <w:szCs w:val="20"/>
          <w:color w:val="auto"/>
        </w:rPr>
      </w:pPr>
    </w:p>
    <w:p>
      <w:pPr>
        <w:ind w:firstLine="434"/>
        <w:spacing w:after="0" w:line="269" w:lineRule="auto"/>
        <w:rPr>
          <w:sz w:val="20"/>
          <w:szCs w:val="20"/>
          <w:color w:val="auto"/>
        </w:rPr>
      </w:pPr>
      <w:r>
        <w:rPr>
          <w:rFonts w:ascii="Arial" w:cs="Arial" w:eastAsia="Arial" w:hAnsi="Arial"/>
          <w:sz w:val="17"/>
          <w:szCs w:val="17"/>
          <w:color w:val="auto"/>
        </w:rPr>
        <w:t>The Medicare Prescription Drug, Improvement, and Modernization Act of 2003, also called the Medicare Modernization Act, or the MMA, established the Medicare Part D program to provide a voluntary prescription drug and biologic benefit to Medicare beneficiaries. Under Part D, Medicare beneficiaries may enroll in prescription drug plans offered by private entities that provide coverage of outpatient prescription drugs and biologics. Unlike Medicare Parts A and B, Part D coverage is not standardized. Part D prescription drug plan sponsors are not required to pay for all covered Part D drugs and biologics, and each drug plan can develop its own formulary that identifies which drugs and biologics it will cover, and at what tier or level. However, Part D prescription drug formularies must include products within each therapeutic category and class of covered Part D drugs, though not necessarily all the drugs and biologics in each category or class. Any formulary used by a Part D prescription drug plan must be developed and reviewed by a pharmacy and therapeutic committee. Government payment for some of the costs of prescription drugs and biologics may increase demand for products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38" w:lineRule="exact"/>
        <w:rPr>
          <w:sz w:val="20"/>
          <w:szCs w:val="20"/>
          <w:color w:val="auto"/>
        </w:rPr>
      </w:pPr>
    </w:p>
    <w:p>
      <w:pPr>
        <w:ind w:right="260" w:firstLine="434"/>
        <w:spacing w:after="0" w:line="293" w:lineRule="auto"/>
        <w:rPr>
          <w:sz w:val="20"/>
          <w:szCs w:val="20"/>
          <w:color w:val="auto"/>
        </w:rPr>
      </w:pPr>
      <w:r>
        <w:rPr>
          <w:rFonts w:ascii="Arial" w:cs="Arial" w:eastAsia="Arial" w:hAnsi="Arial"/>
          <w:sz w:val="16"/>
          <w:szCs w:val="16"/>
          <w:color w:val="auto"/>
        </w:rPr>
        <w:t>For a drug or biologic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average manufacturer price, or AMP, and Medicaid rebate amounts reported by the manufacturer. The entities entitled to participate and the discounts available under this program, as well of other aspects of this program, are the subject of frequent legislative and regulatory review and litigation. It is difficult to predict how program revisions and litigation could affect covered hospitals who might purchase our products in the future and affect the rates we may charge such facilities for our approved products.</w:t>
      </w:r>
    </w:p>
    <w:p>
      <w:pPr>
        <w:spacing w:after="0" w:line="137" w:lineRule="exact"/>
        <w:rPr>
          <w:sz w:val="20"/>
          <w:szCs w:val="20"/>
          <w:color w:val="auto"/>
        </w:rPr>
      </w:pPr>
    </w:p>
    <w:p>
      <w:pPr>
        <w:ind w:right="80" w:firstLine="434"/>
        <w:spacing w:after="0" w:line="263" w:lineRule="auto"/>
        <w:rPr>
          <w:sz w:val="20"/>
          <w:szCs w:val="20"/>
          <w:color w:val="auto"/>
        </w:rPr>
      </w:pPr>
      <w:r>
        <w:rPr>
          <w:rFonts w:ascii="Arial" w:cs="Arial" w:eastAsia="Arial" w:hAnsi="Arial"/>
          <w:sz w:val="18"/>
          <w:szCs w:val="18"/>
          <w:color w:val="auto"/>
        </w:rPr>
        <w:t>Changes to these current laws and state and federal healthcare reform measures that may be adopted in the future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143" w:lineRule="exact"/>
        <w:rPr>
          <w:sz w:val="20"/>
          <w:szCs w:val="20"/>
          <w:color w:val="auto"/>
        </w:rPr>
      </w:pPr>
    </w:p>
    <w:p>
      <w:pPr>
        <w:ind w:left="220" w:right="360"/>
        <w:spacing w:after="0" w:line="277"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130" w:lineRule="exact"/>
        <w:rPr>
          <w:sz w:val="20"/>
          <w:szCs w:val="20"/>
          <w:color w:val="auto"/>
        </w:rPr>
      </w:pPr>
    </w:p>
    <w:p>
      <w:pPr>
        <w:ind w:right="40" w:firstLine="434"/>
        <w:spacing w:after="0" w:line="269" w:lineRule="auto"/>
        <w:rPr>
          <w:sz w:val="20"/>
          <w:szCs w:val="20"/>
          <w:color w:val="auto"/>
        </w:rPr>
      </w:pPr>
      <w:r>
        <w:rPr>
          <w:rFonts w:ascii="Arial" w:cs="Arial" w:eastAsia="Arial" w:hAnsi="Arial"/>
          <w:sz w:val="17"/>
          <w:szCs w:val="17"/>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155" w:lineRule="exact"/>
        <w:rPr>
          <w:sz w:val="20"/>
          <w:szCs w:val="20"/>
          <w:color w:val="auto"/>
        </w:rPr>
      </w:pPr>
    </w:p>
    <w:p>
      <w:pPr>
        <w:ind w:left="220" w:right="320"/>
        <w:spacing w:after="0" w:line="277"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46" w:name="page47"/>
    <w:bookmarkEnd w:id="46"/>
    <w:p>
      <w:pPr>
        <w:ind w:left="220" w:right="120"/>
        <w:spacing w:after="0" w:line="277" w:lineRule="auto"/>
        <w:rPr>
          <w:sz w:val="20"/>
          <w:szCs w:val="20"/>
          <w:color w:val="auto"/>
        </w:rPr>
      </w:pPr>
      <w:r>
        <w:rPr>
          <w:rFonts w:ascii="Arial" w:cs="Arial" w:eastAsia="Arial" w:hAnsi="Arial"/>
          <w:sz w:val="18"/>
          <w:szCs w:val="18"/>
          <w:b w:val="1"/>
          <w:bCs w:val="1"/>
          <w:i w:val="1"/>
          <w:iCs w:val="1"/>
          <w:color w:val="auto"/>
        </w:rPr>
        <w:t>marketing and sales capabilities or enter into agreements with third parties to market and sell our products, we may not be able to generate product revenue.</w:t>
      </w:r>
    </w:p>
    <w:p>
      <w:pPr>
        <w:spacing w:after="0" w:line="143" w:lineRule="exact"/>
        <w:rPr>
          <w:sz w:val="20"/>
          <w:szCs w:val="20"/>
          <w:color w:val="auto"/>
        </w:rPr>
      </w:pPr>
    </w:p>
    <w:p>
      <w:pPr>
        <w:ind w:firstLine="434"/>
        <w:spacing w:after="0" w:line="286" w:lineRule="auto"/>
        <w:rPr>
          <w:sz w:val="20"/>
          <w:szCs w:val="20"/>
          <w:color w:val="auto"/>
        </w:rPr>
      </w:pPr>
      <w:r>
        <w:rPr>
          <w:rFonts w:ascii="Arial" w:cs="Arial" w:eastAsia="Arial" w:hAnsi="Arial"/>
          <w:sz w:val="16"/>
          <w:szCs w:val="16"/>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130" w:lineRule="exact"/>
        <w:rPr>
          <w:sz w:val="20"/>
          <w:szCs w:val="20"/>
          <w:color w:val="auto"/>
        </w:rPr>
      </w:pPr>
    </w:p>
    <w:p>
      <w:pPr>
        <w:ind w:left="220" w:right="160"/>
        <w:spacing w:after="0" w:line="263"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43" w:lineRule="exact"/>
        <w:rPr>
          <w:sz w:val="20"/>
          <w:szCs w:val="20"/>
          <w:color w:val="auto"/>
        </w:rPr>
      </w:pPr>
    </w:p>
    <w:p>
      <w:pPr>
        <w:ind w:right="20" w:firstLine="434"/>
        <w:spacing w:after="0" w:line="269" w:lineRule="auto"/>
        <w:rPr>
          <w:sz w:val="20"/>
          <w:szCs w:val="20"/>
          <w:color w:val="auto"/>
        </w:rPr>
      </w:pPr>
      <w:r>
        <w:rPr>
          <w:rFonts w:ascii="Arial" w:cs="Arial" w:eastAsia="Arial" w:hAnsi="Arial"/>
          <w:sz w:val="17"/>
          <w:szCs w:val="17"/>
          <w:color w:val="auto"/>
        </w:rPr>
        <w:t>Healthcare providers, physicians and third-party payors in the United States and elsewhere play a primary role in the recommendation and prescription of biopharmaceutical products. Arrangements with third-party payors and customers can expose biopharmaceutical manufacturers to broadly applicable fraud and abuse and other healthcare laws and regulations, including, without limitation, the federal Anti-Kickback Statute and the federal False Claims Act, or FCA, which may constrain the business or financial arrangements and relationships through which such companies sell, market and distribute biopharmaceutical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remuneration provided to health care professionals and their affiliates, charitable donations and other business arrangements generally. Activities subject to these laws also involve the improper use of information obtained in the course of patient recruitment for clinical trials. The applicable federal, state and foreign healthcare laws and regulations that may affect our ability to operate include, but are not limited to:</w:t>
      </w:r>
    </w:p>
    <w:p>
      <w:pPr>
        <w:spacing w:after="0" w:line="209" w:lineRule="exact"/>
        <w:rPr>
          <w:sz w:val="20"/>
          <w:szCs w:val="20"/>
          <w:color w:val="auto"/>
        </w:rPr>
      </w:pPr>
    </w:p>
    <w:p>
      <w:pPr>
        <w:ind w:left="820" w:right="20" w:hanging="326"/>
        <w:spacing w:after="0" w:line="287" w:lineRule="auto"/>
        <w:tabs>
          <w:tab w:leader="none" w:pos="815"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submitted for payment to any federal health care program that includes items or services that were made as a result of a violation of the federal Anti-Kickback Statute constitutes a false or fraudulent claim for purposes of the FCA. The Anti-Kickback Statute has been interpreted to apply to arrangements between biopharmaceutical manufacturers on the one hand, and prescribers, purchasers, and formulary managers, among others, on the other. On November 20, 2020, the U.S. Department of Health and Human Services, or DHHS, Office of Inspector General, or OIG, finalized further modifications to the federal Anti-Kickback Statute. Under the final rules, OIG added safe harbor protections under the Anti-Kickback Statute for certain coordinated care and value-based arrangements among clinicians, providers and others. These rules (with exceptions) became effective January 19, 2021. We continue to evaluate what effect, if any, these rules will have on our business.</w:t>
      </w:r>
    </w:p>
    <w:p>
      <w:pPr>
        <w:spacing w:after="0" w:line="140" w:lineRule="exact"/>
        <w:rPr>
          <w:rFonts w:ascii="Arial" w:cs="Arial" w:eastAsia="Arial" w:hAnsi="Arial"/>
          <w:sz w:val="16"/>
          <w:szCs w:val="16"/>
          <w:color w:val="auto"/>
        </w:rPr>
      </w:pPr>
    </w:p>
    <w:p>
      <w:pPr>
        <w:ind w:left="880" w:right="20" w:hanging="438"/>
        <w:spacing w:after="0" w:line="259" w:lineRule="auto"/>
        <w:tabs>
          <w:tab w:leader="none" w:pos="8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FCA, and the federal Civil Monetary Penalties Law which prohibit, among other things, individuals or entities from knowingly presenting, or causing to be presented, false, fictitious or fraudulent claims for payment to, or approval by Medicare, Medicaid or other federal healthcare programs; knowingly making, using or causing to be made or used a false record or statement material to a false or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7" w:name="page48"/>
    <w:bookmarkEnd w:id="47"/>
    <w:p>
      <w:pPr>
        <w:ind w:left="440"/>
        <w:spacing w:after="0" w:line="273" w:lineRule="auto"/>
        <w:rPr>
          <w:sz w:val="20"/>
          <w:szCs w:val="20"/>
          <w:color w:val="auto"/>
        </w:rPr>
      </w:pPr>
      <w:r>
        <w:rPr>
          <w:rFonts w:ascii="Arial" w:cs="Arial" w:eastAsia="Arial" w:hAnsi="Arial"/>
          <w:sz w:val="17"/>
          <w:szCs w:val="17"/>
          <w:color w:val="auto"/>
        </w:rPr>
        <w:t xml:space="preserve">fraudulent claim or an obligation to pay or transmit money or property to the federal government; or knowingly concealing or knowingly and improperly avoiding or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on behalf of the federal government alleging violations of the FCA and to share in any monetary recovery;</w:t>
      </w:r>
    </w:p>
    <w:p>
      <w:pPr>
        <w:spacing w:after="0" w:line="151" w:lineRule="exact"/>
        <w:rPr>
          <w:sz w:val="20"/>
          <w:szCs w:val="20"/>
          <w:color w:val="auto"/>
        </w:rPr>
      </w:pPr>
    </w:p>
    <w:p>
      <w:pPr>
        <w:ind w:left="440" w:right="100" w:hanging="438"/>
        <w:spacing w:after="0" w:line="272" w:lineRule="auto"/>
        <w:tabs>
          <w:tab w:leader="none" w:pos="4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36" w:lineRule="exact"/>
        <w:rPr>
          <w:rFonts w:ascii="Arial" w:cs="Arial" w:eastAsia="Arial" w:hAnsi="Arial"/>
          <w:sz w:val="17"/>
          <w:szCs w:val="17"/>
          <w:color w:val="auto"/>
        </w:rPr>
      </w:pPr>
    </w:p>
    <w:p>
      <w:pPr>
        <w:ind w:left="440" w:right="100" w:hanging="438"/>
        <w:spacing w:after="0" w:line="259" w:lineRule="auto"/>
        <w:tabs>
          <w:tab w:leader="none" w:pos="4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46" w:lineRule="exact"/>
        <w:rPr>
          <w:rFonts w:ascii="Arial" w:cs="Arial" w:eastAsia="Arial" w:hAnsi="Arial"/>
          <w:sz w:val="18"/>
          <w:szCs w:val="18"/>
          <w:color w:val="auto"/>
        </w:rPr>
      </w:pPr>
    </w:p>
    <w:p>
      <w:pPr>
        <w:ind w:left="440" w:right="20" w:hanging="438"/>
        <w:spacing w:after="0" w:line="290" w:lineRule="auto"/>
        <w:tabs>
          <w:tab w:leader="none" w:pos="4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which impose, among other things,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and their subcontractors, that perform services for covered entities that involve the creation, use, receipt, maintenance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38" w:lineRule="exact"/>
        <w:rPr>
          <w:rFonts w:ascii="Arial" w:cs="Arial" w:eastAsia="Arial" w:hAnsi="Arial"/>
          <w:sz w:val="16"/>
          <w:szCs w:val="16"/>
          <w:color w:val="auto"/>
        </w:rPr>
      </w:pPr>
    </w:p>
    <w:p>
      <w:pPr>
        <w:ind w:left="440" w:right="120" w:hanging="438"/>
        <w:spacing w:after="0" w:line="271" w:lineRule="auto"/>
        <w:tabs>
          <w:tab w:leader="none" w:pos="4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Physician Payments Sunshine Act, created under the Patient Protection and Affordable Care Act, as amended by the Health Care and Education Reconciliation Act, or collectively, the ACA, and its implementing regulations, which require some manufacturers of drugs, devices, biologics and medical supplies for which payment is available under Medicare, Medicaid or the Children’s Health Insurance Program (with certain exceptions) to report annually to the U.S. Centers for Medicare and Medicaid Services, or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in the previous year to certain non-physician providers such as physician assistants and nurse practitioners;</w:t>
      </w:r>
    </w:p>
    <w:p>
      <w:pPr>
        <w:spacing w:after="0" w:line="137" w:lineRule="exact"/>
        <w:rPr>
          <w:rFonts w:ascii="Arial" w:cs="Arial" w:eastAsia="Arial" w:hAnsi="Arial"/>
          <w:sz w:val="17"/>
          <w:szCs w:val="17"/>
          <w:color w:val="auto"/>
        </w:rPr>
      </w:pPr>
    </w:p>
    <w:p>
      <w:pPr>
        <w:ind w:left="440" w:right="120" w:hanging="438"/>
        <w:spacing w:after="0" w:line="277" w:lineRule="auto"/>
        <w:tabs>
          <w:tab w:leader="none" w:pos="4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r>
        <w:rPr>
          <w:rFonts w:ascii="Arial" w:cs="Arial" w:eastAsia="Arial" w:hAnsi="Arial"/>
          <w:sz w:val="18"/>
          <w:szCs w:val="18"/>
          <w:color w:val="0000FF"/>
        </w:rPr>
        <w:t>;</w:t>
      </w:r>
    </w:p>
    <w:p>
      <w:pPr>
        <w:spacing w:after="0" w:line="129" w:lineRule="exact"/>
        <w:rPr>
          <w:rFonts w:ascii="Arial" w:cs="Arial" w:eastAsia="Arial" w:hAnsi="Arial"/>
          <w:sz w:val="18"/>
          <w:szCs w:val="18"/>
          <w:color w:val="auto"/>
        </w:rPr>
      </w:pPr>
    </w:p>
    <w:p>
      <w:pPr>
        <w:ind w:left="420" w:hanging="418"/>
        <w:spacing w:after="0"/>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federal consumer protection and unfair competition laws, which broadly regulate marketplace activities that potentially harm consumers; and</w:t>
      </w:r>
    </w:p>
    <w:p>
      <w:pPr>
        <w:spacing w:after="0" w:line="221" w:lineRule="exact"/>
        <w:rPr>
          <w:rFonts w:ascii="Arial" w:cs="Arial" w:eastAsia="Arial" w:hAnsi="Arial"/>
          <w:sz w:val="16"/>
          <w:szCs w:val="16"/>
          <w:color w:val="auto"/>
        </w:rPr>
      </w:pPr>
    </w:p>
    <w:p>
      <w:pPr>
        <w:ind w:left="440" w:right="40" w:hanging="438"/>
        <w:spacing w:after="0" w:line="272" w:lineRule="auto"/>
        <w:tabs>
          <w:tab w:leader="none" w:pos="4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third-party payors, including private insurers, and may be broader in scope than their federal equivalents; state and foreign laws that require biopharmaceutical companies to comply with the biopharmaceutical industry’s voluntary compliance guidelines and the relevant compliance guidance promulgated by the federal government or otherwise restrict payments that may be made to healthcare providers and other potential referral sources; state and foreign laws that require drug manufacturers to report information related to payments and other transfers of value to physicians and other healthcare providers, marketing expenditures or drug pricing; state and local laws that require</w:t>
      </w:r>
    </w:p>
    <w:p>
      <w:pPr>
        <w:spacing w:after="0" w:line="200" w:lineRule="exact"/>
        <w:rPr>
          <w:sz w:val="20"/>
          <w:szCs w:val="20"/>
          <w:color w:val="auto"/>
        </w:rPr>
      </w:pPr>
    </w:p>
    <w:p>
      <w:pPr>
        <w:spacing w:after="0" w:line="3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070" w:right="339" w:bottom="1440" w:gutter="0" w:footer="0" w:header="0"/>
        </w:sectPr>
      </w:pPr>
    </w:p>
    <w:bookmarkStart w:id="48" w:name="page49"/>
    <w:bookmarkEnd w:id="48"/>
    <w:p>
      <w:pPr>
        <w:jc w:val="both"/>
        <w:ind w:left="880" w:right="100"/>
        <w:spacing w:after="0" w:line="263" w:lineRule="auto"/>
        <w:rPr>
          <w:sz w:val="20"/>
          <w:szCs w:val="20"/>
          <w:color w:val="auto"/>
        </w:rPr>
      </w:pPr>
      <w:r>
        <w:rPr>
          <w:rFonts w:ascii="Arial" w:cs="Arial" w:eastAsia="Arial" w:hAnsi="Arial"/>
          <w:sz w:val="18"/>
          <w:szCs w:val="18"/>
          <w:color w:val="auto"/>
        </w:rPr>
        <w:t>the registration of biopharmaceutical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57" w:lineRule="exact"/>
        <w:rPr>
          <w:sz w:val="20"/>
          <w:szCs w:val="20"/>
          <w:color w:val="auto"/>
        </w:rPr>
      </w:pPr>
    </w:p>
    <w:p>
      <w:pPr>
        <w:ind w:right="200" w:firstLine="434"/>
        <w:spacing w:after="0" w:line="277" w:lineRule="auto"/>
        <w:rPr>
          <w:sz w:val="20"/>
          <w:szCs w:val="20"/>
          <w:color w:val="auto"/>
        </w:rPr>
      </w:pPr>
      <w:r>
        <w:rPr>
          <w:rFonts w:ascii="Arial" w:cs="Arial" w:eastAsia="Arial" w:hAnsi="Arial"/>
          <w:sz w:val="18"/>
          <w:szCs w:val="18"/>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130" w:lineRule="exact"/>
        <w:rPr>
          <w:sz w:val="20"/>
          <w:szCs w:val="20"/>
          <w:color w:val="auto"/>
        </w:rPr>
      </w:pPr>
    </w:p>
    <w:p>
      <w:pPr>
        <w:jc w:val="both"/>
        <w:ind w:right="80" w:firstLine="434"/>
        <w:spacing w:after="0" w:line="311"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108" w:lineRule="exact"/>
        <w:rPr>
          <w:sz w:val="20"/>
          <w:szCs w:val="20"/>
          <w:color w:val="auto"/>
        </w:rPr>
      </w:pPr>
    </w:p>
    <w:p>
      <w:pPr>
        <w:ind w:firstLine="434"/>
        <w:spacing w:after="0" w:line="221" w:lineRule="auto"/>
        <w:rPr>
          <w:sz w:val="20"/>
          <w:szCs w:val="20"/>
          <w:color w:val="auto"/>
        </w:rPr>
      </w:pPr>
      <w:r>
        <w:rPr>
          <w:rFonts w:ascii="Arial" w:cs="Arial" w:eastAsia="Arial" w:hAnsi="Arial"/>
          <w:sz w:val="17"/>
          <w:szCs w:val="17"/>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40" w:lineRule="exact"/>
        <w:rPr>
          <w:sz w:val="20"/>
          <w:szCs w:val="20"/>
          <w:color w:val="auto"/>
        </w:rPr>
      </w:pPr>
    </w:p>
    <w:p>
      <w:pPr>
        <w:ind w:left="220" w:right="260"/>
        <w:spacing w:after="0" w:line="224"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36" w:lineRule="exact"/>
        <w:rPr>
          <w:sz w:val="20"/>
          <w:szCs w:val="20"/>
          <w:color w:val="auto"/>
        </w:rPr>
      </w:pPr>
    </w:p>
    <w:p>
      <w:pPr>
        <w:ind w:right="40" w:firstLine="434"/>
        <w:spacing w:after="0" w:line="216" w:lineRule="auto"/>
        <w:rPr>
          <w:sz w:val="20"/>
          <w:szCs w:val="20"/>
          <w:color w:val="auto"/>
        </w:rPr>
      </w:pPr>
      <w:r>
        <w:rPr>
          <w:rFonts w:ascii="Arial" w:cs="Arial" w:eastAsia="Arial" w:hAnsi="Arial"/>
          <w:sz w:val="18"/>
          <w:szCs w:val="18"/>
          <w:color w:val="auto"/>
        </w:rPr>
        <w:t>If any of our product candidates are approved, they will be subject to ongoing regulatory requirements for manufacturing, labeling, packaging, storage, advertising, promotion, sampling, record-keeping, conduct of post- marketing studies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 or cGMP, and Good Clinical Practice, or GCP, requirements for any clinical trials that we conduct post-approval.</w:t>
      </w:r>
    </w:p>
    <w:p>
      <w:pPr>
        <w:spacing w:after="0" w:line="135" w:lineRule="exact"/>
        <w:rPr>
          <w:sz w:val="20"/>
          <w:szCs w:val="20"/>
          <w:color w:val="auto"/>
        </w:rPr>
      </w:pPr>
    </w:p>
    <w:p>
      <w:pPr>
        <w:ind w:right="240" w:firstLine="434"/>
        <w:spacing w:after="0" w:line="228" w:lineRule="auto"/>
        <w:rPr>
          <w:sz w:val="20"/>
          <w:szCs w:val="20"/>
          <w:color w:val="auto"/>
        </w:rPr>
      </w:pPr>
      <w:r>
        <w:rPr>
          <w:rFonts w:ascii="Arial" w:cs="Arial" w:eastAsia="Arial" w:hAnsi="Arial"/>
          <w:sz w:val="17"/>
          <w:szCs w:val="17"/>
          <w:color w:val="auto"/>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38" w:lineRule="exact"/>
        <w:rPr>
          <w:sz w:val="20"/>
          <w:szCs w:val="20"/>
          <w:color w:val="auto"/>
        </w:rPr>
      </w:pPr>
    </w:p>
    <w:p>
      <w:pPr>
        <w:ind w:right="40" w:firstLine="434"/>
        <w:spacing w:after="0" w:line="272"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150" w:lineRule="exact"/>
        <w:rPr>
          <w:sz w:val="20"/>
          <w:szCs w:val="20"/>
          <w:color w:val="auto"/>
        </w:rPr>
      </w:pPr>
    </w:p>
    <w:p>
      <w:pPr>
        <w:ind w:right="440" w:firstLine="434"/>
        <w:spacing w:after="0" w:line="259" w:lineRule="auto"/>
        <w:rPr>
          <w:sz w:val="20"/>
          <w:szCs w:val="20"/>
          <w:color w:val="auto"/>
        </w:rPr>
      </w:pPr>
      <w:r>
        <w:rPr>
          <w:rFonts w:ascii="Arial" w:cs="Arial" w:eastAsia="Arial" w:hAnsi="Arial"/>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9" w:name="page50"/>
    <w:bookmarkEnd w:id="49"/>
    <w:p>
      <w:pPr>
        <w:ind w:right="320"/>
        <w:spacing w:after="0" w:line="277" w:lineRule="auto"/>
        <w:rPr>
          <w:sz w:val="20"/>
          <w:szCs w:val="20"/>
          <w:color w:val="auto"/>
        </w:rPr>
      </w:pPr>
      <w:r>
        <w:rPr>
          <w:rFonts w:ascii="Arial" w:cs="Arial" w:eastAsia="Arial" w:hAnsi="Arial"/>
          <w:sz w:val="18"/>
          <w:szCs w:val="18"/>
          <w:color w:val="auto"/>
        </w:rPr>
        <w:t>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43" w:lineRule="exact"/>
        <w:rPr>
          <w:sz w:val="20"/>
          <w:szCs w:val="20"/>
          <w:color w:val="auto"/>
        </w:rPr>
      </w:pPr>
    </w:p>
    <w:p>
      <w:pPr>
        <w:ind w:left="880" w:right="160" w:hanging="438"/>
        <w:spacing w:after="0" w:line="277" w:lineRule="auto"/>
        <w:tabs>
          <w:tab w:leader="none" w:pos="8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84" w:lineRule="exact"/>
        <w:rPr>
          <w:rFonts w:ascii="Arial" w:cs="Arial" w:eastAsia="Arial" w:hAnsi="Arial"/>
          <w:sz w:val="18"/>
          <w:szCs w:val="18"/>
          <w:color w:val="auto"/>
        </w:rPr>
      </w:pPr>
    </w:p>
    <w:p>
      <w:pPr>
        <w:ind w:left="880" w:right="100" w:hanging="438"/>
        <w:spacing w:after="0" w:line="277" w:lineRule="auto"/>
        <w:tabs>
          <w:tab w:leader="none" w:pos="8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firstLine="434"/>
        <w:spacing w:after="0" w:line="253"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Ongoing healthcare legislative and regulatory reform measures may have a material adverse effect on our business and results of operations.</w:t>
      </w:r>
    </w:p>
    <w:p>
      <w:pPr>
        <w:spacing w:after="0" w:line="208" w:lineRule="exact"/>
        <w:rPr>
          <w:sz w:val="20"/>
          <w:szCs w:val="20"/>
          <w:color w:val="auto"/>
        </w:rPr>
      </w:pPr>
    </w:p>
    <w:p>
      <w:pPr>
        <w:ind w:right="280" w:firstLine="434"/>
        <w:spacing w:after="0" w:line="311"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08" w:lineRule="exact"/>
        <w:rPr>
          <w:sz w:val="20"/>
          <w:szCs w:val="20"/>
          <w:color w:val="auto"/>
        </w:rPr>
      </w:pPr>
    </w:p>
    <w:p>
      <w:pPr>
        <w:ind w:right="60" w:firstLine="434"/>
        <w:spacing w:after="0" w:line="282"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ACA was passed, which substantially changed the way health care is financed by both governmental and private insurers, and significantly impacted the U.S. biopharmaceutical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There have been many legal challenges to the ACA as well as legislative and regulatory modifications. There are also other initiatives at the federal and state level intended to contain healthcare costs by requiring manufacturers to provide greater discounts or by limiting the amount of government reimbursement for pharmaceutical products. We expect these changes to continue between now and the time we may launch a commercial product with uncertain consequences.</w:t>
      </w:r>
    </w:p>
    <w:p>
      <w:pPr>
        <w:ind w:firstLine="434"/>
        <w:spacing w:after="0" w:line="251"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December 2018,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0" w:name="page51"/>
    <w:bookmarkEnd w:id="50"/>
    <w:p>
      <w:pPr>
        <w:ind w:right="180"/>
        <w:spacing w:after="0" w:line="307" w:lineRule="auto"/>
        <w:rPr>
          <w:sz w:val="20"/>
          <w:szCs w:val="20"/>
          <w:color w:val="auto"/>
        </w:rPr>
      </w:pPr>
      <w:r>
        <w:rPr>
          <w:rFonts w:ascii="Arial" w:cs="Arial" w:eastAsia="Arial" w:hAnsi="Arial"/>
          <w:sz w:val="16"/>
          <w:szCs w:val="16"/>
          <w:color w:val="auto"/>
        </w:rPr>
        <w:t>adjustment. Since then, the ACA risk adjustment program payment parameters have been updated annually. We cannot predict what effect the healthcare reform measures of the Biden administration or other efforts, if any, to challenge, repeal or replace the ACA would have on our business.</w:t>
      </w:r>
    </w:p>
    <w:p>
      <w:pPr>
        <w:spacing w:after="0" w:line="96" w:lineRule="exact"/>
        <w:rPr>
          <w:sz w:val="20"/>
          <w:szCs w:val="20"/>
          <w:color w:val="auto"/>
        </w:rPr>
      </w:pPr>
    </w:p>
    <w:p>
      <w:pPr>
        <w:ind w:right="60" w:firstLine="434"/>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and, due to subsequent legislative amendments, will remain in effect through 2030 unless additional Congressional action is taken. Pursuant to the Coronavirus Aid, Relief, and Economic Security Act, also known as the CARES Act, as well as subsequent legislation, these reductions have been suspended from May 1, 2020 through December 31, 2021 due to the COVID-19 pandemic. Proposed legislation, if passed, would extend this suspension until the end of the pandemic.</w:t>
      </w:r>
    </w:p>
    <w:p>
      <w:pPr>
        <w:spacing w:after="0" w:line="151" w:lineRule="exact"/>
        <w:rPr>
          <w:sz w:val="20"/>
          <w:szCs w:val="20"/>
          <w:color w:val="auto"/>
        </w:rPr>
      </w:pPr>
    </w:p>
    <w:p>
      <w:pPr>
        <w:ind w:right="120" w:firstLine="434"/>
        <w:spacing w:after="0" w:line="293" w:lineRule="auto"/>
        <w:rPr>
          <w:sz w:val="20"/>
          <w:szCs w:val="20"/>
          <w:color w:val="auto"/>
        </w:rPr>
      </w:pPr>
      <w:r>
        <w:rPr>
          <w:rFonts w:ascii="Arial" w:cs="Arial" w:eastAsia="Arial" w:hAnsi="Arial"/>
          <w:sz w:val="16"/>
          <w:szCs w:val="16"/>
          <w:color w:val="auto"/>
        </w:rPr>
        <w:t>Separately,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24" w:lineRule="exact"/>
        <w:rPr>
          <w:sz w:val="20"/>
          <w:szCs w:val="20"/>
          <w:color w:val="auto"/>
        </w:rPr>
      </w:pPr>
    </w:p>
    <w:p>
      <w:pPr>
        <w:ind w:right="40" w:firstLine="434"/>
        <w:spacing w:after="0" w:line="270" w:lineRule="auto"/>
        <w:rPr>
          <w:sz w:val="20"/>
          <w:szCs w:val="20"/>
          <w:color w:val="auto"/>
        </w:rPr>
      </w:pPr>
      <w:r>
        <w:rPr>
          <w:rFonts w:ascii="Arial" w:cs="Arial" w:eastAsia="Arial" w:hAnsi="Arial"/>
          <w:sz w:val="17"/>
          <w:szCs w:val="17"/>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Fiscal Years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w:t>
      </w:r>
    </w:p>
    <w:p>
      <w:pPr>
        <w:spacing w:after="0" w:line="140" w:lineRule="exact"/>
        <w:rPr>
          <w:sz w:val="20"/>
          <w:szCs w:val="20"/>
          <w:color w:val="auto"/>
        </w:rPr>
      </w:pPr>
    </w:p>
    <w:p>
      <w:pPr>
        <w:ind w:firstLine="434"/>
        <w:spacing w:after="0" w:line="286" w:lineRule="auto"/>
        <w:rPr>
          <w:sz w:val="20"/>
          <w:szCs w:val="20"/>
          <w:color w:val="auto"/>
        </w:rPr>
      </w:pPr>
      <w:r>
        <w:rPr>
          <w:rFonts w:ascii="Arial" w:cs="Arial" w:eastAsia="Arial" w:hAnsi="Arial"/>
          <w:sz w:val="16"/>
          <w:szCs w:val="16"/>
          <w:color w:val="auto"/>
        </w:rPr>
        <w:t>At the federal level, the Trump administration used several means to propose or implement drug pricing reform, including through federal budget proposals, executive orders and policy initiatives. For example, on July 24, 2020 and September 13, 2020, former President Trump announced several executive orders related to prescription drug pricing that seek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Additionally, on November 20, 2020, DHHS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Implementation of the amendments to the discount safe harbor have been delayed until at least January 1, 2023.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140" w:lineRule="exact"/>
        <w:rPr>
          <w:sz w:val="20"/>
          <w:szCs w:val="20"/>
          <w:color w:val="auto"/>
        </w:rPr>
      </w:pPr>
    </w:p>
    <w:p>
      <w:pPr>
        <w:ind w:firstLine="434"/>
        <w:spacing w:after="0" w:line="279" w:lineRule="auto"/>
        <w:rPr>
          <w:sz w:val="20"/>
          <w:szCs w:val="20"/>
          <w:color w:val="auto"/>
        </w:rPr>
      </w:pPr>
      <w:r>
        <w:rPr>
          <w:rFonts w:ascii="Arial" w:cs="Arial" w:eastAsia="Arial" w:hAnsi="Arial"/>
          <w:sz w:val="17"/>
          <w:szCs w:val="17"/>
          <w:color w:val="auto"/>
        </w:rPr>
        <w:t>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51" w:name="page52"/>
    <w:bookmarkEnd w:id="51"/>
    <w:p>
      <w:pPr>
        <w:jc w:val="both"/>
        <w:ind w:right="160" w:firstLine="434"/>
        <w:spacing w:after="0" w:line="286"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8" w:lineRule="exact"/>
        <w:rPr>
          <w:sz w:val="20"/>
          <w:szCs w:val="20"/>
          <w:color w:val="auto"/>
        </w:rPr>
      </w:pPr>
    </w:p>
    <w:p>
      <w:pPr>
        <w:ind w:right="20" w:firstLine="434"/>
        <w:spacing w:after="0" w:line="275" w:lineRule="auto"/>
        <w:rPr>
          <w:sz w:val="20"/>
          <w:szCs w:val="20"/>
          <w:color w:val="auto"/>
        </w:rPr>
      </w:pPr>
      <w:r>
        <w:rPr>
          <w:rFonts w:ascii="Arial" w:cs="Arial" w:eastAsia="Arial" w:hAnsi="Arial"/>
          <w:sz w:val="17"/>
          <w:szCs w:val="17"/>
          <w:color w:val="auto"/>
        </w:rPr>
        <w:t>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136" w:lineRule="exact"/>
        <w:rPr>
          <w:sz w:val="20"/>
          <w:szCs w:val="20"/>
          <w:color w:val="auto"/>
        </w:rPr>
      </w:pPr>
    </w:p>
    <w:p>
      <w:pPr>
        <w:ind w:left="220" w:right="8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90" w:lineRule="exact"/>
        <w:rPr>
          <w:sz w:val="20"/>
          <w:szCs w:val="20"/>
          <w:color w:val="auto"/>
        </w:rPr>
      </w:pPr>
    </w:p>
    <w:p>
      <w:pPr>
        <w:ind w:firstLine="434"/>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30" w:lineRule="exact"/>
        <w:rPr>
          <w:sz w:val="20"/>
          <w:szCs w:val="20"/>
          <w:color w:val="auto"/>
        </w:rPr>
      </w:pPr>
    </w:p>
    <w:p>
      <w:pPr>
        <w:ind w:firstLine="434"/>
        <w:spacing w:after="0" w:line="285"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Separately, since March 2020 when foreign and domestic inspections were largely placed on hold due to the COVID-19 pandemic, the FDA has been working to resume routine surveillance, bioresearch monitoring and pre-approval inspections on a prioritized basis. The FDA has developed a rating system to assist in determining when and where it is safest to conduct prioritized domestic inspections and resumed inspections in China and India in early 2021. In April 2021, the FDA issued guidance for industry formally announcing plans to employ remote interactive evaluations, using risk management methods, to meet user fee commitments and goal dates. Should the FDA determine that an inspection is necessary for approval and an inspection cannot be completed during the review cycle due to restrictions on travel, and the FDA does not determine a remote interactive evaluation to be appropriate, the agency has stated that it generally intends to issue a complete response letter. Further, if there is inadequate information to make a determination on the acceptability of a facility, the FDA may defer action on the application until an inspection can be completed. Additionally, as of March 18, 2021, the FDA noted it is continuing to ensure timely reviews of applications for medical products during the COVID-19 pandemic in line with its user fee performance goals and conducting mission critical domestic and foreign inspections to ensure compliance of manufacturing facilities with the FDA quality standards. However, the FDA may not be able to continue its current pace and approval timelines could be extended, including where a pre-approval inspection or an inspection of clinical sites is required and due to the COVID-19 pandemic and travel restrictions FDA is unable to complete such required inspections during the review period. In 2020, several companies announced receipt of complete response letters due to the FDA's inability to complete required inspections for their applications.</w:t>
      </w:r>
    </w:p>
    <w:p>
      <w:pPr>
        <w:spacing w:after="0" w:line="136" w:lineRule="exact"/>
        <w:rPr>
          <w:sz w:val="20"/>
          <w:szCs w:val="20"/>
          <w:color w:val="auto"/>
        </w:rPr>
      </w:pPr>
    </w:p>
    <w:p>
      <w:pPr>
        <w:ind w:right="80" w:firstLine="434"/>
        <w:spacing w:after="0" w:line="296" w:lineRule="auto"/>
        <w:rPr>
          <w:sz w:val="20"/>
          <w:szCs w:val="20"/>
          <w:color w:val="auto"/>
        </w:rPr>
      </w:pPr>
      <w:r>
        <w:rPr>
          <w:rFonts w:ascii="Arial" w:cs="Arial" w:eastAsia="Arial" w:hAnsi="Arial"/>
          <w:sz w:val="16"/>
          <w:szCs w:val="16"/>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21" w:lineRule="exact"/>
        <w:rPr>
          <w:sz w:val="20"/>
          <w:szCs w:val="20"/>
          <w:color w:val="auto"/>
        </w:rPr>
      </w:pPr>
    </w:p>
    <w:p>
      <w:pPr>
        <w:ind w:left="220" w:right="680"/>
        <w:spacing w:after="0" w:line="277"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products in the European Union member states.</w:t>
      </w:r>
    </w:p>
    <w:p>
      <w:pPr>
        <w:spacing w:after="0" w:line="143" w:lineRule="exact"/>
        <w:rPr>
          <w:sz w:val="20"/>
          <w:szCs w:val="20"/>
          <w:color w:val="auto"/>
        </w:rPr>
      </w:pPr>
    </w:p>
    <w:p>
      <w:pPr>
        <w:ind w:right="160" w:firstLine="434"/>
        <w:spacing w:after="0" w:line="257" w:lineRule="auto"/>
        <w:rPr>
          <w:sz w:val="20"/>
          <w:szCs w:val="20"/>
          <w:color w:val="auto"/>
        </w:rPr>
      </w:pPr>
      <w:r>
        <w:rPr>
          <w:rFonts w:ascii="Arial" w:cs="Arial" w:eastAsia="Arial" w:hAnsi="Arial"/>
          <w:sz w:val="18"/>
          <w:szCs w:val="18"/>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2" w:name="page53"/>
    <w:bookmarkEnd w:id="52"/>
    <w:p>
      <w:pPr>
        <w:spacing w:after="0" w:line="342" w:lineRule="auto"/>
        <w:rPr>
          <w:sz w:val="20"/>
          <w:szCs w:val="20"/>
          <w:color w:val="auto"/>
        </w:rPr>
      </w:pPr>
      <w:r>
        <w:rPr>
          <w:rFonts w:ascii="Arial" w:cs="Arial" w:eastAsia="Arial" w:hAnsi="Arial"/>
          <w:sz w:val="16"/>
          <w:szCs w:val="16"/>
          <w:color w:val="auto"/>
        </w:rPr>
        <w:t>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97" w:lineRule="exact"/>
        <w:rPr>
          <w:sz w:val="20"/>
          <w:szCs w:val="20"/>
          <w:color w:val="auto"/>
        </w:rPr>
      </w:pPr>
    </w:p>
    <w:p>
      <w:pPr>
        <w:ind w:right="20" w:firstLine="427"/>
        <w:spacing w:after="0" w:line="290" w:lineRule="auto"/>
        <w:rPr>
          <w:sz w:val="20"/>
          <w:szCs w:val="20"/>
          <w:color w:val="auto"/>
        </w:rPr>
      </w:pPr>
      <w:r>
        <w:rPr>
          <w:rFonts w:ascii="Arial" w:cs="Arial" w:eastAsia="Arial" w:hAnsi="Arial"/>
          <w:sz w:val="16"/>
          <w:szCs w:val="16"/>
          <w:color w:val="auto"/>
        </w:rPr>
        <w:t>Much like the federal Anti-Kickback Statute prohibition in the United States, the provision of benefits or advantages to induce or reward improper performance generally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in respect of the U.K. (which is no longer a member of the EU), the Bribery Act 2010.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125" w:lineRule="exact"/>
        <w:rPr>
          <w:sz w:val="20"/>
          <w:szCs w:val="20"/>
          <w:color w:val="auto"/>
        </w:rPr>
      </w:pPr>
    </w:p>
    <w:p>
      <w:pPr>
        <w:ind w:right="100" w:firstLine="434"/>
        <w:spacing w:after="0" w:line="25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61" w:lineRule="exact"/>
        <w:rPr>
          <w:sz w:val="20"/>
          <w:szCs w:val="20"/>
          <w:color w:val="auto"/>
        </w:rPr>
      </w:pPr>
    </w:p>
    <w:p>
      <w:pPr>
        <w:ind w:right="40" w:firstLine="434"/>
        <w:spacing w:after="0" w:line="286" w:lineRule="auto"/>
        <w:rPr>
          <w:sz w:val="20"/>
          <w:szCs w:val="20"/>
          <w:color w:val="auto"/>
        </w:rPr>
      </w:pPr>
      <w:r>
        <w:rPr>
          <w:rFonts w:ascii="Arial" w:cs="Arial" w:eastAsia="Arial" w:hAnsi="Arial"/>
          <w:sz w:val="16"/>
          <w:szCs w:val="16"/>
          <w:color w:val="auto"/>
        </w:rPr>
        <w:t>In addition, in most foreign countries, including the European Economic Area, or EEA, the proposed pricing for a drug must be approved before it may be lawfully marketed.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Additional laws and regulations governing international operations could negatively impact or restrict our operations.</w:t>
      </w:r>
    </w:p>
    <w:p>
      <w:pPr>
        <w:spacing w:after="0" w:line="171" w:lineRule="exact"/>
        <w:rPr>
          <w:sz w:val="20"/>
          <w:szCs w:val="20"/>
          <w:color w:val="auto"/>
        </w:rPr>
      </w:pPr>
    </w:p>
    <w:p>
      <w:pPr>
        <w:ind w:right="180" w:firstLine="434"/>
        <w:spacing w:after="0" w:line="272"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50" w:lineRule="exact"/>
        <w:rPr>
          <w:sz w:val="20"/>
          <w:szCs w:val="20"/>
          <w:color w:val="auto"/>
        </w:rPr>
      </w:pPr>
    </w:p>
    <w:p>
      <w:pPr>
        <w:ind w:firstLine="434"/>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spacing w:after="0" w:line="131" w:lineRule="exact"/>
        <w:rPr>
          <w:sz w:val="20"/>
          <w:szCs w:val="20"/>
          <w:color w:val="auto"/>
        </w:rPr>
      </w:pPr>
    </w:p>
    <w:p>
      <w:pPr>
        <w:ind w:right="60" w:firstLine="434"/>
        <w:spacing w:after="0" w:line="219"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3" w:name="page54"/>
    <w:bookmarkEnd w:id="53"/>
    <w:p>
      <w:pPr>
        <w:ind w:right="380"/>
        <w:spacing w:after="0" w:line="235" w:lineRule="auto"/>
        <w:rPr>
          <w:sz w:val="20"/>
          <w:szCs w:val="20"/>
          <w:color w:val="auto"/>
        </w:rPr>
      </w:pPr>
      <w:r>
        <w:rPr>
          <w:rFonts w:ascii="Arial" w:cs="Arial" w:eastAsia="Arial" w:hAnsi="Arial"/>
          <w:sz w:val="18"/>
          <w:szCs w:val="18"/>
          <w:color w:val="auto"/>
        </w:rPr>
        <w:t>manufacturing, or selling certain products and product candidates outside of the United States, which could limit our growth potential and increase our development costs.</w:t>
      </w:r>
    </w:p>
    <w:p>
      <w:pPr>
        <w:spacing w:after="0" w:line="135" w:lineRule="exact"/>
        <w:rPr>
          <w:sz w:val="20"/>
          <w:szCs w:val="20"/>
          <w:color w:val="auto"/>
        </w:rPr>
      </w:pPr>
    </w:p>
    <w:p>
      <w:pPr>
        <w:jc w:val="both"/>
        <w:ind w:right="300" w:firstLine="434"/>
        <w:spacing w:after="0" w:line="224"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We are subject to certain U.S. and foreign anti-corruption, anti-money laundering, export control, sanctions, and other trade laws and regulations.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can face serious consequences for violations.</w:t>
      </w:r>
    </w:p>
    <w:p>
      <w:pPr>
        <w:spacing w:after="0" w:line="142" w:lineRule="exact"/>
        <w:rPr>
          <w:sz w:val="20"/>
          <w:szCs w:val="20"/>
          <w:color w:val="auto"/>
        </w:rPr>
      </w:pPr>
    </w:p>
    <w:p>
      <w:pPr>
        <w:ind w:right="20" w:firstLine="434"/>
        <w:spacing w:after="0" w:line="236"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ind w:left="220" w:right="800"/>
        <w:spacing w:after="0" w:line="277"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30" w:lineRule="exact"/>
        <w:rPr>
          <w:sz w:val="20"/>
          <w:szCs w:val="20"/>
          <w:color w:val="auto"/>
        </w:rPr>
      </w:pPr>
    </w:p>
    <w:p>
      <w:pPr>
        <w:ind w:right="60" w:firstLine="434"/>
        <w:spacing w:after="0" w:line="254" w:lineRule="auto"/>
        <w:rPr>
          <w:sz w:val="20"/>
          <w:szCs w:val="20"/>
          <w:color w:val="auto"/>
        </w:rPr>
      </w:pPr>
      <w:r>
        <w:rPr>
          <w:rFonts w:ascii="Arial" w:cs="Arial" w:eastAsia="Arial" w:hAnsi="Arial"/>
          <w:sz w:val="18"/>
          <w:szCs w:val="18"/>
          <w:color w:val="auto"/>
        </w:rPr>
        <w:t>Our business will depend in large part on obtaining and maintaining patent,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151" w:lineRule="exact"/>
        <w:rPr>
          <w:sz w:val="20"/>
          <w:szCs w:val="20"/>
          <w:color w:val="auto"/>
        </w:rPr>
      </w:pPr>
    </w:p>
    <w:p>
      <w:pPr>
        <w:ind w:right="40" w:firstLine="434"/>
        <w:spacing w:after="0" w:line="275"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149" w:lineRule="exact"/>
        <w:rPr>
          <w:sz w:val="20"/>
          <w:szCs w:val="20"/>
          <w:color w:val="auto"/>
        </w:rPr>
      </w:pPr>
    </w:p>
    <w:p>
      <w:pPr>
        <w:ind w:firstLine="434"/>
        <w:spacing w:after="0" w:line="290" w:lineRule="auto"/>
        <w:rPr>
          <w:sz w:val="20"/>
          <w:szCs w:val="20"/>
          <w:color w:val="auto"/>
        </w:rPr>
      </w:pPr>
      <w:r>
        <w:rPr>
          <w:rFonts w:ascii="Arial" w:cs="Arial" w:eastAsia="Arial" w:hAnsi="Arial"/>
          <w:sz w:val="16"/>
          <w:szCs w:val="16"/>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25" w:lineRule="exact"/>
        <w:rPr>
          <w:sz w:val="20"/>
          <w:szCs w:val="20"/>
          <w:color w:val="auto"/>
        </w:rPr>
      </w:pPr>
    </w:p>
    <w:p>
      <w:pPr>
        <w:ind w:right="140" w:firstLine="434"/>
        <w:spacing w:after="0" w:line="277" w:lineRule="auto"/>
        <w:rPr>
          <w:sz w:val="20"/>
          <w:szCs w:val="20"/>
          <w:color w:val="auto"/>
        </w:rPr>
      </w:pPr>
      <w:r>
        <w:rPr>
          <w:rFonts w:ascii="Arial" w:cs="Arial" w:eastAsia="Arial" w:hAnsi="Arial"/>
          <w:sz w:val="18"/>
          <w:szCs w:val="18"/>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130" w:lineRule="exact"/>
        <w:rPr>
          <w:sz w:val="20"/>
          <w:szCs w:val="20"/>
          <w:color w:val="auto"/>
        </w:rPr>
      </w:pPr>
    </w:p>
    <w:p>
      <w:pPr>
        <w:ind w:right="180" w:firstLine="434"/>
        <w:spacing w:after="0" w:line="259" w:lineRule="auto"/>
        <w:rPr>
          <w:sz w:val="20"/>
          <w:szCs w:val="20"/>
          <w:color w:val="auto"/>
        </w:rPr>
      </w:pPr>
      <w:r>
        <w:rPr>
          <w:rFonts w:ascii="Arial" w:cs="Arial" w:eastAsia="Arial" w:hAnsi="Arial"/>
          <w:sz w:val="18"/>
          <w:szCs w:val="18"/>
          <w:color w:val="auto"/>
        </w:rPr>
        <w:t>We cannot be certain that we are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4" w:name="page55"/>
    <w:bookmarkEnd w:id="54"/>
    <w:p>
      <w:pPr>
        <w:ind w:right="120"/>
        <w:spacing w:after="0" w:line="342" w:lineRule="auto"/>
        <w:rPr>
          <w:sz w:val="20"/>
          <w:szCs w:val="20"/>
          <w:color w:val="auto"/>
        </w:rPr>
      </w:pPr>
      <w:r>
        <w:rPr>
          <w:rFonts w:ascii="Arial" w:cs="Arial" w:eastAsia="Arial" w:hAnsi="Arial"/>
          <w:sz w:val="16"/>
          <w:szCs w:val="16"/>
          <w:color w:val="auto"/>
        </w:rPr>
        <w:t>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97" w:lineRule="exact"/>
        <w:rPr>
          <w:sz w:val="20"/>
          <w:szCs w:val="20"/>
          <w:color w:val="auto"/>
        </w:rPr>
      </w:pPr>
    </w:p>
    <w:p>
      <w:pPr>
        <w:ind w:firstLine="434"/>
        <w:spacing w:after="0" w:line="269"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145"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31" w:lineRule="exact"/>
        <w:rPr>
          <w:sz w:val="20"/>
          <w:szCs w:val="20"/>
          <w:color w:val="auto"/>
        </w:rPr>
      </w:pPr>
    </w:p>
    <w:p>
      <w:pPr>
        <w:ind w:right="380" w:firstLine="434"/>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43" w:lineRule="exact"/>
        <w:rPr>
          <w:sz w:val="20"/>
          <w:szCs w:val="20"/>
          <w:color w:val="auto"/>
        </w:rPr>
      </w:pPr>
    </w:p>
    <w:p>
      <w:pPr>
        <w:ind w:left="880" w:right="360" w:hanging="438"/>
        <w:spacing w:after="0" w:line="277" w:lineRule="auto"/>
        <w:tabs>
          <w:tab w:leader="none" w:pos="8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compositions of our product candidates but that are not covered by the claims of our patents or those of our licensors;</w:t>
      </w:r>
    </w:p>
    <w:p>
      <w:pPr>
        <w:spacing w:after="0" w:line="129" w:lineRule="exact"/>
        <w:rPr>
          <w:rFonts w:ascii="Arial" w:cs="Arial" w:eastAsia="Arial" w:hAnsi="Arial"/>
          <w:sz w:val="18"/>
          <w:szCs w:val="18"/>
          <w:color w:val="auto"/>
        </w:rPr>
      </w:pPr>
    </w:p>
    <w:p>
      <w:pPr>
        <w:ind w:left="880" w:right="20" w:hanging="438"/>
        <w:spacing w:after="0" w:line="277" w:lineRule="auto"/>
        <w:tabs>
          <w:tab w:leader="none" w:pos="8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84" w:lineRule="exact"/>
        <w:rPr>
          <w:rFonts w:ascii="Arial" w:cs="Arial" w:eastAsia="Arial" w:hAnsi="Arial"/>
          <w:sz w:val="18"/>
          <w:szCs w:val="18"/>
          <w:color w:val="auto"/>
        </w:rPr>
      </w:pPr>
    </w:p>
    <w:p>
      <w:pPr>
        <w:ind w:left="880" w:right="60" w:hanging="438"/>
        <w:spacing w:after="0" w:line="277" w:lineRule="auto"/>
        <w:tabs>
          <w:tab w:leader="none" w:pos="8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184" w:lineRule="exact"/>
        <w:rPr>
          <w:rFonts w:ascii="Arial" w:cs="Arial" w:eastAsia="Arial" w:hAnsi="Arial"/>
          <w:sz w:val="18"/>
          <w:szCs w:val="18"/>
          <w:color w:val="auto"/>
        </w:rPr>
      </w:pPr>
    </w:p>
    <w:p>
      <w:pPr>
        <w:ind w:left="880" w:right="160" w:hanging="438"/>
        <w:spacing w:after="0" w:line="277" w:lineRule="auto"/>
        <w:tabs>
          <w:tab w:leader="none" w:pos="8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products or technology similar to ours;</w:t>
      </w:r>
    </w:p>
    <w:p>
      <w:pPr>
        <w:spacing w:after="0" w:line="129" w:lineRule="exact"/>
        <w:rPr>
          <w:rFonts w:ascii="Arial" w:cs="Arial" w:eastAsia="Arial" w:hAnsi="Arial"/>
          <w:sz w:val="18"/>
          <w:szCs w:val="18"/>
          <w:color w:val="auto"/>
        </w:rPr>
      </w:pPr>
    </w:p>
    <w:p>
      <w:pPr>
        <w:ind w:left="880" w:right="220" w:hanging="438"/>
        <w:spacing w:after="0" w:line="277" w:lineRule="auto"/>
        <w:tabs>
          <w:tab w:leader="none" w:pos="8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5" w:name="page56"/>
    <w:bookmarkEnd w:id="55"/>
    <w:p>
      <w:pPr>
        <w:ind w:left="880" w:right="140" w:hanging="438"/>
        <w:spacing w:after="0" w:line="277" w:lineRule="auto"/>
        <w:tabs>
          <w:tab w:leader="none" w:pos="8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43" w:lineRule="exact"/>
        <w:rPr>
          <w:rFonts w:ascii="Arial" w:cs="Arial" w:eastAsia="Arial" w:hAnsi="Arial"/>
          <w:sz w:val="18"/>
          <w:szCs w:val="18"/>
          <w:color w:val="auto"/>
        </w:rPr>
      </w:pPr>
    </w:p>
    <w:p>
      <w:pPr>
        <w:ind w:left="880" w:right="80" w:hanging="438"/>
        <w:spacing w:after="0" w:line="342" w:lineRule="auto"/>
        <w:tabs>
          <w:tab w:leader="none" w:pos="87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83" w:lineRule="exact"/>
        <w:rPr>
          <w:rFonts w:ascii="Arial" w:cs="Arial" w:eastAsia="Arial" w:hAnsi="Arial"/>
          <w:sz w:val="16"/>
          <w:szCs w:val="16"/>
          <w:color w:val="auto"/>
        </w:rPr>
      </w:pPr>
    </w:p>
    <w:p>
      <w:pPr>
        <w:ind w:left="880" w:right="60" w:hanging="438"/>
        <w:spacing w:after="0" w:line="263" w:lineRule="auto"/>
        <w:tabs>
          <w:tab w:leader="none" w:pos="8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43" w:lineRule="exact"/>
        <w:rPr>
          <w:rFonts w:ascii="Arial" w:cs="Arial" w:eastAsia="Arial" w:hAnsi="Arial"/>
          <w:sz w:val="18"/>
          <w:szCs w:val="18"/>
          <w:color w:val="auto"/>
        </w:rPr>
      </w:pPr>
    </w:p>
    <w:p>
      <w:pPr>
        <w:ind w:left="880" w:right="300" w:hanging="438"/>
        <w:spacing w:after="0" w:line="277" w:lineRule="auto"/>
        <w:tabs>
          <w:tab w:leader="none" w:pos="8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196" w:lineRule="exact"/>
        <w:rPr>
          <w:rFonts w:ascii="Arial" w:cs="Arial" w:eastAsia="Arial" w:hAnsi="Arial"/>
          <w:sz w:val="17"/>
          <w:szCs w:val="17"/>
          <w:color w:val="auto"/>
        </w:rPr>
      </w:pPr>
    </w:p>
    <w:p>
      <w:pPr>
        <w:ind w:left="860" w:hanging="418"/>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98" w:lineRule="exact"/>
        <w:rPr>
          <w:sz w:val="20"/>
          <w:szCs w:val="20"/>
          <w:color w:val="auto"/>
        </w:rPr>
      </w:pPr>
    </w:p>
    <w:p>
      <w:pPr>
        <w:ind w:left="220" w:right="220"/>
        <w:spacing w:after="0" w:line="342" w:lineRule="auto"/>
        <w:rPr>
          <w:sz w:val="20"/>
          <w:szCs w:val="20"/>
          <w:color w:val="auto"/>
        </w:rPr>
      </w:pPr>
      <w:r>
        <w:rPr>
          <w:rFonts w:ascii="Arial" w:cs="Arial" w:eastAsia="Arial" w:hAnsi="Arial"/>
          <w:sz w:val="16"/>
          <w:szCs w:val="16"/>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83" w:lineRule="exact"/>
        <w:rPr>
          <w:sz w:val="20"/>
          <w:szCs w:val="20"/>
          <w:color w:val="auto"/>
        </w:rPr>
      </w:pPr>
    </w:p>
    <w:p>
      <w:pPr>
        <w:ind w:right="120" w:firstLine="434"/>
        <w:spacing w:after="0" w:line="301" w:lineRule="auto"/>
        <w:rPr>
          <w:sz w:val="20"/>
          <w:szCs w:val="20"/>
          <w:color w:val="auto"/>
        </w:rPr>
      </w:pPr>
      <w:r>
        <w:rPr>
          <w:rFonts w:ascii="Arial" w:cs="Arial" w:eastAsia="Arial" w:hAnsi="Arial"/>
          <w:sz w:val="16"/>
          <w:szCs w:val="16"/>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198" w:lineRule="exact"/>
        <w:rPr>
          <w:sz w:val="20"/>
          <w:szCs w:val="20"/>
          <w:color w:val="auto"/>
        </w:rPr>
      </w:pPr>
    </w:p>
    <w:p>
      <w:pPr>
        <w:ind w:left="860" w:hanging="418"/>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84" w:lineRule="exact"/>
        <w:rPr>
          <w:rFonts w:ascii="Arial" w:cs="Arial" w:eastAsia="Arial" w:hAnsi="Arial"/>
          <w:sz w:val="18"/>
          <w:szCs w:val="18"/>
          <w:color w:val="auto"/>
        </w:rPr>
      </w:pPr>
    </w:p>
    <w:p>
      <w:pPr>
        <w:ind w:left="880" w:right="200" w:hanging="438"/>
        <w:spacing w:after="0" w:line="277" w:lineRule="auto"/>
        <w:tabs>
          <w:tab w:leader="none" w:pos="8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our product candidates, technology and processes infringe on intellectual property of the licensor that is not subject to the licensing agreement;</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84" w:lineRule="exact"/>
        <w:rPr>
          <w:rFonts w:ascii="Arial" w:cs="Arial" w:eastAsia="Arial" w:hAnsi="Arial"/>
          <w:sz w:val="18"/>
          <w:szCs w:val="18"/>
          <w:color w:val="auto"/>
        </w:rPr>
      </w:pPr>
    </w:p>
    <w:p>
      <w:pPr>
        <w:ind w:left="880" w:right="280" w:hanging="438"/>
        <w:spacing w:after="0" w:line="277" w:lineRule="auto"/>
        <w:tabs>
          <w:tab w:leader="none" w:pos="8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98" w:lineRule="exact"/>
        <w:rPr>
          <w:sz w:val="20"/>
          <w:szCs w:val="20"/>
          <w:color w:val="auto"/>
        </w:rPr>
      </w:pPr>
    </w:p>
    <w:p>
      <w:pPr>
        <w:ind w:firstLine="434"/>
        <w:spacing w:after="0" w:line="272"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37" w:lineRule="exact"/>
        <w:rPr>
          <w:sz w:val="20"/>
          <w:szCs w:val="20"/>
          <w:color w:val="auto"/>
        </w:rPr>
      </w:pPr>
    </w:p>
    <w:p>
      <w:pPr>
        <w:ind w:right="420" w:firstLine="434"/>
        <w:spacing w:after="0" w:line="228" w:lineRule="auto"/>
        <w:rPr>
          <w:sz w:val="20"/>
          <w:szCs w:val="20"/>
          <w:color w:val="auto"/>
        </w:rPr>
      </w:pPr>
      <w:r>
        <w:rPr>
          <w:rFonts w:ascii="Arial" w:cs="Arial" w:eastAsia="Arial" w:hAnsi="Arial"/>
          <w:sz w:val="18"/>
          <w:szCs w:val="18"/>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6" w:name="page57"/>
    <w:bookmarkEnd w:id="56"/>
    <w:p>
      <w:pPr>
        <w:ind w:right="460"/>
        <w:spacing w:after="0" w:line="246" w:lineRule="auto"/>
        <w:rPr>
          <w:sz w:val="20"/>
          <w:szCs w:val="20"/>
          <w:color w:val="auto"/>
        </w:rPr>
      </w:pPr>
      <w:r>
        <w:rPr>
          <w:rFonts w:ascii="Arial" w:cs="Arial" w:eastAsia="Arial" w:hAnsi="Arial"/>
          <w:sz w:val="18"/>
          <w:szCs w:val="18"/>
          <w:color w:val="auto"/>
        </w:rPr>
        <w:t>property rights or defend certain of the intellectual property that is licensed to us. It is possible that the licensors’ infringement proceeding, or defense activities may be less vigorous than had we conducted them ourselves.</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71" w:lineRule="exact"/>
        <w:rPr>
          <w:sz w:val="20"/>
          <w:szCs w:val="20"/>
          <w:color w:val="auto"/>
        </w:rPr>
      </w:pPr>
    </w:p>
    <w:p>
      <w:pPr>
        <w:ind w:firstLine="434"/>
        <w:spacing w:after="0" w:line="235" w:lineRule="auto"/>
        <w:rPr>
          <w:sz w:val="20"/>
          <w:szCs w:val="20"/>
          <w:color w:val="auto"/>
        </w:rPr>
      </w:pPr>
      <w:r>
        <w:rPr>
          <w:rFonts w:ascii="Arial" w:cs="Arial" w:eastAsia="Arial" w:hAnsi="Arial"/>
          <w:sz w:val="17"/>
          <w:szCs w:val="17"/>
          <w:color w:val="auto"/>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158" w:lineRule="exact"/>
        <w:rPr>
          <w:sz w:val="20"/>
          <w:szCs w:val="20"/>
          <w:color w:val="auto"/>
        </w:rPr>
      </w:pPr>
    </w:p>
    <w:p>
      <w:pPr>
        <w:ind w:right="140" w:firstLine="434"/>
        <w:spacing w:after="0" w:line="257" w:lineRule="auto"/>
        <w:rPr>
          <w:sz w:val="20"/>
          <w:szCs w:val="20"/>
          <w:color w:val="auto"/>
        </w:rPr>
      </w:pPr>
      <w:r>
        <w:rPr>
          <w:rFonts w:ascii="Arial" w:cs="Arial" w:eastAsia="Arial" w:hAnsi="Arial"/>
          <w:sz w:val="18"/>
          <w:szCs w:val="18"/>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161" w:lineRule="exact"/>
        <w:rPr>
          <w:sz w:val="20"/>
          <w:szCs w:val="20"/>
          <w:color w:val="auto"/>
        </w:rPr>
      </w:pPr>
    </w:p>
    <w:p>
      <w:pPr>
        <w:ind w:right="140" w:firstLine="427"/>
        <w:spacing w:after="0" w:line="270"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product discovery and development efforts.</w:t>
      </w:r>
    </w:p>
    <w:p>
      <w:pPr>
        <w:spacing w:after="0" w:line="185" w:lineRule="exact"/>
        <w:rPr>
          <w:sz w:val="20"/>
          <w:szCs w:val="20"/>
          <w:color w:val="auto"/>
        </w:rPr>
      </w:pPr>
    </w:p>
    <w:p>
      <w:pPr>
        <w:ind w:right="20" w:firstLine="427"/>
        <w:spacing w:after="0" w:line="287" w:lineRule="auto"/>
        <w:rPr>
          <w:sz w:val="20"/>
          <w:szCs w:val="20"/>
          <w:color w:val="auto"/>
        </w:rPr>
      </w:pPr>
      <w:r>
        <w:rPr>
          <w:rFonts w:ascii="Arial" w:cs="Arial" w:eastAsia="Arial" w:hAnsi="Arial"/>
          <w:sz w:val="16"/>
          <w:szCs w:val="16"/>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7" w:name="page58"/>
    <w:bookmarkEnd w:id="57"/>
    <w:p>
      <w:pPr>
        <w:ind w:left="440"/>
        <w:spacing w:after="0"/>
        <w:rPr>
          <w:sz w:val="20"/>
          <w:szCs w:val="20"/>
          <w:color w:val="auto"/>
        </w:rPr>
      </w:pPr>
      <w:r>
        <w:rPr>
          <w:rFonts w:ascii="Arial" w:cs="Arial" w:eastAsia="Arial" w:hAnsi="Arial"/>
          <w:sz w:val="18"/>
          <w:szCs w:val="18"/>
          <w:color w:val="auto"/>
        </w:rPr>
        <w:t>If a third-party claim that we infringe its intellectual property rights, we may face a number of issues, including, but not limited to:</w:t>
      </w:r>
    </w:p>
    <w:p>
      <w:pPr>
        <w:spacing w:after="0" w:line="158" w:lineRule="exact"/>
        <w:rPr>
          <w:sz w:val="20"/>
          <w:szCs w:val="20"/>
          <w:color w:val="auto"/>
        </w:rPr>
      </w:pPr>
    </w:p>
    <w:p>
      <w:pPr>
        <w:ind w:left="880" w:right="20" w:hanging="438"/>
        <w:spacing w:after="0" w:line="235" w:lineRule="auto"/>
        <w:tabs>
          <w:tab w:leader="none" w:pos="8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which, regardless of merit, may be expensive and time-consuming to litigate and may divert our management’s attention from our core business;</w:t>
      </w:r>
    </w:p>
    <w:p>
      <w:pPr>
        <w:spacing w:after="0" w:line="134" w:lineRule="exact"/>
        <w:rPr>
          <w:rFonts w:ascii="Arial" w:cs="Arial" w:eastAsia="Arial" w:hAnsi="Arial"/>
          <w:sz w:val="18"/>
          <w:szCs w:val="18"/>
          <w:color w:val="auto"/>
        </w:rPr>
      </w:pPr>
    </w:p>
    <w:p>
      <w:pPr>
        <w:jc w:val="both"/>
        <w:ind w:left="880" w:right="180" w:hanging="438"/>
        <w:spacing w:after="0" w:line="224" w:lineRule="auto"/>
        <w:tabs>
          <w:tab w:leader="none" w:pos="8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135" w:lineRule="exact"/>
        <w:rPr>
          <w:rFonts w:ascii="Arial" w:cs="Arial" w:eastAsia="Arial" w:hAnsi="Arial"/>
          <w:sz w:val="18"/>
          <w:szCs w:val="18"/>
          <w:color w:val="auto"/>
        </w:rPr>
      </w:pPr>
    </w:p>
    <w:p>
      <w:pPr>
        <w:ind w:left="880" w:hanging="438"/>
        <w:spacing w:after="0" w:line="235" w:lineRule="auto"/>
        <w:tabs>
          <w:tab w:leader="none" w:pos="8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134" w:lineRule="exact"/>
        <w:rPr>
          <w:rFonts w:ascii="Arial" w:cs="Arial" w:eastAsia="Arial" w:hAnsi="Arial"/>
          <w:sz w:val="18"/>
          <w:szCs w:val="18"/>
          <w:color w:val="auto"/>
        </w:rPr>
      </w:pPr>
    </w:p>
    <w:p>
      <w:pPr>
        <w:ind w:left="880" w:right="40" w:hanging="438"/>
        <w:spacing w:after="0" w:line="224" w:lineRule="auto"/>
        <w:tabs>
          <w:tab w:leader="none" w:pos="8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135" w:lineRule="exact"/>
        <w:rPr>
          <w:rFonts w:ascii="Arial" w:cs="Arial" w:eastAsia="Arial" w:hAnsi="Arial"/>
          <w:sz w:val="18"/>
          <w:szCs w:val="18"/>
          <w:color w:val="auto"/>
        </w:rPr>
      </w:pPr>
    </w:p>
    <w:p>
      <w:pPr>
        <w:ind w:left="880" w:right="580" w:hanging="438"/>
        <w:spacing w:after="0" w:line="235" w:lineRule="auto"/>
        <w:tabs>
          <w:tab w:leader="none" w:pos="8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redesigning our product candidates or processes so they do not infringe, which may not be possible or may require substantial monetary expenditures and time.</w:t>
      </w:r>
    </w:p>
    <w:p>
      <w:pPr>
        <w:spacing w:after="0" w:line="135" w:lineRule="exact"/>
        <w:rPr>
          <w:sz w:val="20"/>
          <w:szCs w:val="20"/>
          <w:color w:val="auto"/>
        </w:rPr>
      </w:pPr>
    </w:p>
    <w:p>
      <w:pPr>
        <w:ind w:right="120" w:firstLine="434"/>
        <w:spacing w:after="0" w:line="244" w:lineRule="auto"/>
        <w:rPr>
          <w:sz w:val="20"/>
          <w:szCs w:val="20"/>
          <w:color w:val="auto"/>
        </w:rPr>
      </w:pPr>
      <w:r>
        <w:rPr>
          <w:rFonts w:ascii="Arial" w:cs="Arial" w:eastAsia="Arial" w:hAnsi="Arial"/>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131" w:lineRule="exact"/>
        <w:rPr>
          <w:sz w:val="20"/>
          <w:szCs w:val="20"/>
          <w:color w:val="auto"/>
        </w:rPr>
      </w:pPr>
    </w:p>
    <w:p>
      <w:pPr>
        <w:ind w:left="220" w:right="140"/>
        <w:spacing w:after="0" w:line="308"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119" w:lineRule="exact"/>
        <w:rPr>
          <w:sz w:val="20"/>
          <w:szCs w:val="20"/>
          <w:color w:val="auto"/>
        </w:rPr>
      </w:pPr>
    </w:p>
    <w:p>
      <w:pPr>
        <w:ind w:right="20" w:firstLine="434"/>
        <w:spacing w:after="0" w:line="254" w:lineRule="auto"/>
        <w:rPr>
          <w:sz w:val="20"/>
          <w:szCs w:val="20"/>
          <w:color w:val="auto"/>
        </w:rPr>
      </w:pPr>
      <w:r>
        <w:rPr>
          <w:rFonts w:ascii="Arial" w:cs="Arial" w:eastAsia="Arial" w:hAnsi="Arial"/>
          <w:sz w:val="18"/>
          <w:szCs w:val="18"/>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Third parties may assert that we are employing their proprietary technology without authorization.</w:t>
      </w:r>
    </w:p>
    <w:p>
      <w:pPr>
        <w:spacing w:after="0" w:line="185"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41" w:lineRule="exact"/>
        <w:rPr>
          <w:sz w:val="20"/>
          <w:szCs w:val="20"/>
          <w:color w:val="auto"/>
        </w:rPr>
      </w:pPr>
    </w:p>
    <w:p>
      <w:pPr>
        <w:ind w:right="60" w:firstLine="434"/>
        <w:spacing w:after="0" w:line="257" w:lineRule="auto"/>
        <w:rPr>
          <w:sz w:val="20"/>
          <w:szCs w:val="20"/>
          <w:color w:val="auto"/>
        </w:rPr>
      </w:pPr>
      <w:r>
        <w:rPr>
          <w:rFonts w:ascii="Arial" w:cs="Arial" w:eastAsia="Arial" w:hAnsi="Arial"/>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8" w:name="page59"/>
    <w:bookmarkEnd w:id="58"/>
    <w:p>
      <w:pPr>
        <w:ind w:right="100"/>
        <w:spacing w:after="0" w:line="257" w:lineRule="auto"/>
        <w:rPr>
          <w:sz w:val="20"/>
          <w:szCs w:val="20"/>
          <w:color w:val="auto"/>
        </w:rPr>
      </w:pPr>
      <w:r>
        <w:rPr>
          <w:rFonts w:ascii="Arial" w:cs="Arial" w:eastAsia="Arial" w:hAnsi="Arial"/>
          <w:sz w:val="18"/>
          <w:szCs w:val="18"/>
          <w:color w:val="auto"/>
        </w:rPr>
        <w:t>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47" w:lineRule="exact"/>
        <w:rPr>
          <w:sz w:val="20"/>
          <w:szCs w:val="20"/>
          <w:color w:val="auto"/>
        </w:rPr>
      </w:pPr>
    </w:p>
    <w:p>
      <w:pPr>
        <w:ind w:left="220" w:right="340"/>
        <w:spacing w:after="0" w:line="235"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35" w:lineRule="exact"/>
        <w:rPr>
          <w:sz w:val="20"/>
          <w:szCs w:val="20"/>
          <w:color w:val="auto"/>
        </w:rPr>
      </w:pPr>
    </w:p>
    <w:p>
      <w:pPr>
        <w:ind w:firstLine="434"/>
        <w:spacing w:after="0" w:line="234" w:lineRule="auto"/>
        <w:rPr>
          <w:sz w:val="20"/>
          <w:szCs w:val="20"/>
          <w:color w:val="auto"/>
        </w:rPr>
      </w:pPr>
      <w:r>
        <w:rPr>
          <w:rFonts w:ascii="Arial" w:cs="Arial" w:eastAsia="Arial" w:hAnsi="Arial"/>
          <w:sz w:val="16"/>
          <w:szCs w:val="16"/>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196" w:lineRule="exact"/>
        <w:rPr>
          <w:sz w:val="20"/>
          <w:szCs w:val="20"/>
          <w:color w:val="auto"/>
        </w:rPr>
      </w:pPr>
    </w:p>
    <w:p>
      <w:pPr>
        <w:ind w:right="240" w:firstLine="445"/>
        <w:spacing w:after="0" w:line="235" w:lineRule="auto"/>
        <w:rPr>
          <w:sz w:val="20"/>
          <w:szCs w:val="20"/>
          <w:color w:val="auto"/>
        </w:rPr>
      </w:pPr>
      <w:r>
        <w:rPr>
          <w:rFonts w:ascii="Arial" w:cs="Arial" w:eastAsia="Arial" w:hAnsi="Arial"/>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135" w:lineRule="exact"/>
        <w:rPr>
          <w:sz w:val="20"/>
          <w:szCs w:val="20"/>
          <w:color w:val="auto"/>
        </w:rPr>
      </w:pPr>
    </w:p>
    <w:p>
      <w:pPr>
        <w:ind w:firstLine="445"/>
        <w:spacing w:after="0" w:line="237" w:lineRule="auto"/>
        <w:rPr>
          <w:sz w:val="20"/>
          <w:szCs w:val="20"/>
          <w:color w:val="auto"/>
        </w:rPr>
      </w:pPr>
      <w:r>
        <w:rPr>
          <w:rFonts w:ascii="Arial" w:cs="Arial" w:eastAsia="Arial" w:hAnsi="Arial"/>
          <w:sz w:val="16"/>
          <w:szCs w:val="16"/>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53"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51" w:lineRule="exact"/>
        <w:rPr>
          <w:sz w:val="20"/>
          <w:szCs w:val="20"/>
          <w:color w:val="auto"/>
        </w:rPr>
      </w:pPr>
    </w:p>
    <w:p>
      <w:pPr>
        <w:ind w:right="20" w:firstLine="434"/>
        <w:spacing w:after="0" w:line="296" w:lineRule="auto"/>
        <w:rPr>
          <w:sz w:val="20"/>
          <w:szCs w:val="20"/>
          <w:color w:val="auto"/>
        </w:rPr>
      </w:pPr>
      <w:r>
        <w:rPr>
          <w:rFonts w:ascii="Arial" w:cs="Arial" w:eastAsia="Arial" w:hAnsi="Arial"/>
          <w:sz w:val="16"/>
          <w:szCs w:val="16"/>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9" w:name="page60"/>
    <w:bookmarkEnd w:id="59"/>
    <w:p>
      <w:pPr>
        <w:ind w:left="220" w:right="440"/>
        <w:spacing w:after="0" w:line="235"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48" w:lineRule="exact"/>
        <w:rPr>
          <w:sz w:val="20"/>
          <w:szCs w:val="20"/>
          <w:color w:val="auto"/>
        </w:rPr>
      </w:pPr>
    </w:p>
    <w:p>
      <w:pPr>
        <w:ind w:right="20" w:firstLine="434"/>
        <w:spacing w:after="0" w:line="254" w:lineRule="auto"/>
        <w:rPr>
          <w:sz w:val="20"/>
          <w:szCs w:val="20"/>
          <w:color w:val="auto"/>
        </w:rPr>
      </w:pPr>
      <w:r>
        <w:rPr>
          <w:rFonts w:ascii="Arial" w:cs="Arial" w:eastAsia="Arial" w:hAnsi="Arial"/>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54" w:lineRule="exact"/>
        <w:rPr>
          <w:sz w:val="20"/>
          <w:szCs w:val="20"/>
          <w:color w:val="auto"/>
        </w:rPr>
      </w:pPr>
    </w:p>
    <w:p>
      <w:pPr>
        <w:jc w:val="both"/>
        <w:ind w:firstLine="434"/>
        <w:spacing w:after="0" w:line="259" w:lineRule="auto"/>
        <w:rPr>
          <w:sz w:val="20"/>
          <w:szCs w:val="20"/>
          <w:color w:val="auto"/>
        </w:rPr>
      </w:pPr>
      <w:r>
        <w:rPr>
          <w:rFonts w:ascii="Arial" w:cs="Arial" w:eastAsia="Arial" w:hAnsi="Arial"/>
          <w:sz w:val="16"/>
          <w:szCs w:val="16"/>
          <w:color w:val="auto"/>
        </w:rPr>
        <w:t xml:space="preserve">We may choose to challenge the patentability of claims in a third-party’s U.S. patent by requesting that the USPTO review the patent claims in an </w:t>
      </w:r>
      <w:r>
        <w:rPr>
          <w:rFonts w:ascii="Arial" w:cs="Arial" w:eastAsia="Arial" w:hAnsi="Arial"/>
          <w:sz w:val="16"/>
          <w:szCs w:val="16"/>
          <w:i w:val="1"/>
          <w:iCs w:val="1"/>
          <w:color w:val="auto"/>
        </w:rPr>
        <w:t xml:space="preserve">ex-parte </w:t>
      </w:r>
      <w:r>
        <w:rPr>
          <w:rFonts w:ascii="Arial" w:cs="Arial" w:eastAsia="Arial" w:hAnsi="Arial"/>
          <w:sz w:val="16"/>
          <w:szCs w:val="16"/>
          <w:color w:val="auto"/>
        </w:rPr>
        <w:t>re-examination,</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or post-grant review proceedings. These proceedings are expensive and may consume our time or other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We may choose to challenge a third-party’s patent in patent opposition proceedings in the European Patent Office, or EPO, or other foreign patent office.</w:t>
      </w:r>
    </w:p>
    <w:p>
      <w:pPr>
        <w:spacing w:after="0" w:line="120" w:lineRule="exact"/>
        <w:rPr>
          <w:sz w:val="20"/>
          <w:szCs w:val="20"/>
          <w:color w:val="auto"/>
        </w:rPr>
      </w:pPr>
    </w:p>
    <w:p>
      <w:pPr>
        <w:ind w:right="80" w:firstLine="434"/>
        <w:spacing w:after="0" w:line="224" w:lineRule="auto"/>
        <w:rPr>
          <w:sz w:val="20"/>
          <w:szCs w:val="20"/>
          <w:color w:val="auto"/>
        </w:rPr>
      </w:pPr>
      <w:r>
        <w:rPr>
          <w:rFonts w:ascii="Arial" w:cs="Arial" w:eastAsia="Arial" w:hAnsi="Arial"/>
          <w:sz w:val="18"/>
          <w:szCs w:val="18"/>
          <w:color w:val="auto"/>
        </w:rPr>
        <w:t>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136" w:lineRule="exact"/>
        <w:rPr>
          <w:sz w:val="20"/>
          <w:szCs w:val="20"/>
          <w:color w:val="auto"/>
        </w:rPr>
      </w:pPr>
    </w:p>
    <w:p>
      <w:pPr>
        <w:ind w:right="20" w:firstLine="434"/>
        <w:spacing w:after="0" w:line="236"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135" w:lineRule="exact"/>
        <w:rPr>
          <w:sz w:val="20"/>
          <w:szCs w:val="20"/>
          <w:color w:val="auto"/>
        </w:rPr>
      </w:pPr>
    </w:p>
    <w:p>
      <w:pPr>
        <w:ind w:right="100" w:firstLine="434"/>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65" w:lineRule="exact"/>
        <w:rPr>
          <w:sz w:val="20"/>
          <w:szCs w:val="20"/>
          <w:color w:val="auto"/>
        </w:rPr>
      </w:pPr>
    </w:p>
    <w:p>
      <w:pPr>
        <w:ind w:right="200" w:firstLine="434"/>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46" w:lineRule="exact"/>
        <w:rPr>
          <w:sz w:val="20"/>
          <w:szCs w:val="20"/>
          <w:color w:val="auto"/>
        </w:rPr>
      </w:pPr>
    </w:p>
    <w:p>
      <w:pPr>
        <w:jc w:val="both"/>
        <w:ind w:left="220" w:right="3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3" w:lineRule="exact"/>
        <w:rPr>
          <w:sz w:val="20"/>
          <w:szCs w:val="20"/>
          <w:color w:val="auto"/>
        </w:rPr>
      </w:pPr>
    </w:p>
    <w:p>
      <w:pPr>
        <w:ind w:right="40" w:firstLine="434"/>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color w:val="auto"/>
        </w:rPr>
        <w:t>patent rights. In such an event, our competitors might be able to enter the market, which would have a material adverse effect on our business.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Any patents, if issued patents covering our product candidates could be found invalid or unenforceable if challenged in court or the USPTO.</w:t>
      </w:r>
    </w:p>
    <w:p>
      <w:pPr>
        <w:spacing w:after="0" w:line="181" w:lineRule="exact"/>
        <w:rPr>
          <w:sz w:val="20"/>
          <w:szCs w:val="20"/>
          <w:color w:val="auto"/>
        </w:rPr>
      </w:pPr>
    </w:p>
    <w:p>
      <w:pPr>
        <w:ind w:right="60" w:firstLine="434"/>
        <w:spacing w:after="0" w:line="235" w:lineRule="auto"/>
        <w:rPr>
          <w:sz w:val="20"/>
          <w:szCs w:val="20"/>
          <w:color w:val="auto"/>
        </w:rPr>
      </w:pPr>
      <w:r>
        <w:rPr>
          <w:rFonts w:ascii="Arial" w:cs="Arial" w:eastAsia="Arial" w:hAnsi="Arial"/>
          <w:sz w:val="16"/>
          <w:szCs w:val="16"/>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138" w:lineRule="exact"/>
        <w:rPr>
          <w:sz w:val="20"/>
          <w:szCs w:val="20"/>
          <w:color w:val="auto"/>
        </w:rPr>
      </w:pPr>
    </w:p>
    <w:p>
      <w:pPr>
        <w:ind w:firstLine="434"/>
        <w:spacing w:after="0" w:line="214" w:lineRule="auto"/>
        <w:rPr>
          <w:sz w:val="20"/>
          <w:szCs w:val="20"/>
          <w:color w:val="auto"/>
        </w:rPr>
      </w:pPr>
      <w:r>
        <w:rPr>
          <w:rFonts w:ascii="Arial" w:cs="Arial" w:eastAsia="Arial" w:hAnsi="Arial"/>
          <w:sz w:val="18"/>
          <w:szCs w:val="18"/>
          <w:color w:val="auto"/>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2040, without taking into account any possible patent term adjustments or extensions. However, we cannot be assured that the USPTO or relevant foreign patent offices will grant any of these patent applications.</w:t>
      </w:r>
    </w:p>
    <w:p>
      <w:pPr>
        <w:spacing w:after="0" w:line="148" w:lineRule="exact"/>
        <w:rPr>
          <w:sz w:val="20"/>
          <w:szCs w:val="20"/>
          <w:color w:val="auto"/>
        </w:rPr>
      </w:pPr>
    </w:p>
    <w:p>
      <w:pPr>
        <w:ind w:left="220" w:right="20"/>
        <w:spacing w:after="0" w:line="277" w:lineRule="auto"/>
        <w:rPr>
          <w:sz w:val="20"/>
          <w:szCs w:val="20"/>
          <w:color w:val="auto"/>
        </w:rPr>
      </w:pPr>
      <w:r>
        <w:rPr>
          <w:rFonts w:ascii="Arial" w:cs="Arial" w:eastAsia="Arial" w:hAnsi="Arial"/>
          <w:sz w:val="18"/>
          <w:szCs w:val="18"/>
          <w:b w:val="1"/>
          <w:bCs w:val="1"/>
          <w:i w:val="1"/>
          <w:iCs w:val="1"/>
          <w:color w:val="auto"/>
        </w:rPr>
        <w:t>Changes in patent law in the U.S. and in foreign jurisdictions could diminish the value of patents in general, thereby impairing our ability to protect our products.</w:t>
      </w:r>
    </w:p>
    <w:p>
      <w:pPr>
        <w:spacing w:after="0" w:line="130" w:lineRule="exact"/>
        <w:rPr>
          <w:sz w:val="20"/>
          <w:szCs w:val="20"/>
          <w:color w:val="auto"/>
        </w:rPr>
      </w:pPr>
    </w:p>
    <w:p>
      <w:pPr>
        <w:ind w:right="20" w:firstLine="434"/>
        <w:spacing w:after="0" w:line="235"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138" w:lineRule="exact"/>
        <w:rPr>
          <w:sz w:val="20"/>
          <w:szCs w:val="20"/>
          <w:color w:val="auto"/>
        </w:rPr>
      </w:pPr>
    </w:p>
    <w:p>
      <w:pPr>
        <w:ind w:right="20" w:firstLine="434"/>
        <w:spacing w:after="0" w:line="222" w:lineRule="auto"/>
        <w:rPr>
          <w:sz w:val="20"/>
          <w:szCs w:val="20"/>
          <w:color w:val="auto"/>
        </w:rPr>
      </w:pPr>
      <w:r>
        <w:rPr>
          <w:rFonts w:ascii="Arial" w:cs="Arial" w:eastAsia="Arial" w:hAnsi="Arial"/>
          <w:sz w:val="17"/>
          <w:szCs w:val="17"/>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36" w:lineRule="exact"/>
        <w:rPr>
          <w:sz w:val="20"/>
          <w:szCs w:val="20"/>
          <w:color w:val="auto"/>
        </w:rPr>
      </w:pPr>
    </w:p>
    <w:p>
      <w:pPr>
        <w:ind w:right="80" w:firstLine="434"/>
        <w:spacing w:after="0" w:line="244" w:lineRule="auto"/>
        <w:rPr>
          <w:sz w:val="20"/>
          <w:szCs w:val="20"/>
          <w:color w:val="auto"/>
        </w:rPr>
      </w:pPr>
      <w:r>
        <w:rPr>
          <w:rFonts w:ascii="Arial" w:cs="Arial" w:eastAsia="Arial" w:hAnsi="Arial"/>
          <w:sz w:val="16"/>
          <w:szCs w:val="16"/>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1" w:name="page62"/>
    <w:bookmarkEnd w:id="61"/>
    <w:p>
      <w:pPr>
        <w:ind w:left="220"/>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69" w:lineRule="exact"/>
        <w:rPr>
          <w:sz w:val="20"/>
          <w:szCs w:val="20"/>
          <w:color w:val="auto"/>
        </w:rPr>
      </w:pPr>
    </w:p>
    <w:p>
      <w:pPr>
        <w:ind w:firstLine="434"/>
        <w:spacing w:after="0" w:line="222"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41" w:lineRule="exact"/>
        <w:rPr>
          <w:sz w:val="20"/>
          <w:szCs w:val="20"/>
          <w:color w:val="auto"/>
        </w:rPr>
      </w:pPr>
    </w:p>
    <w:p>
      <w:pPr>
        <w:ind w:right="20" w:firstLine="434"/>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85" w:lineRule="exact"/>
        <w:rPr>
          <w:sz w:val="20"/>
          <w:szCs w:val="20"/>
          <w:color w:val="auto"/>
        </w:rPr>
      </w:pPr>
    </w:p>
    <w:p>
      <w:pPr>
        <w:ind w:right="60" w:firstLine="434"/>
        <w:spacing w:after="0" w:line="293"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If we do not obtain patent term extension and data exclusivity for any product candidates we may develop, our business may be materially harmed.</w:t>
      </w:r>
    </w:p>
    <w:p>
      <w:pPr>
        <w:spacing w:after="0" w:line="233" w:lineRule="exact"/>
        <w:rPr>
          <w:sz w:val="20"/>
          <w:szCs w:val="20"/>
          <w:color w:val="auto"/>
        </w:rPr>
      </w:pPr>
    </w:p>
    <w:p>
      <w:pPr>
        <w:ind w:right="20" w:firstLine="434"/>
        <w:spacing w:after="0" w:line="288"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28" w:lineRule="exact"/>
        <w:rPr>
          <w:sz w:val="20"/>
          <w:szCs w:val="20"/>
          <w:color w:val="auto"/>
        </w:rPr>
      </w:pPr>
    </w:p>
    <w:p>
      <w:pPr>
        <w:ind w:left="220" w:right="2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0" w:lineRule="exact"/>
        <w:rPr>
          <w:sz w:val="20"/>
          <w:szCs w:val="20"/>
          <w:color w:val="auto"/>
        </w:rPr>
      </w:pPr>
    </w:p>
    <w:p>
      <w:pPr>
        <w:ind w:right="220" w:firstLine="434"/>
        <w:spacing w:after="0" w:line="277"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2" w:name="page63"/>
    <w:bookmarkEnd w:id="62"/>
    <w:p>
      <w:pPr>
        <w:ind w:right="340"/>
        <w:spacing w:after="0" w:line="342" w:lineRule="auto"/>
        <w:rPr>
          <w:sz w:val="20"/>
          <w:szCs w:val="20"/>
          <w:color w:val="auto"/>
        </w:rPr>
      </w:pPr>
      <w:r>
        <w:rPr>
          <w:rFonts w:ascii="Arial" w:cs="Arial" w:eastAsia="Arial" w:hAnsi="Arial"/>
          <w:sz w:val="16"/>
          <w:szCs w:val="16"/>
          <w:color w:val="auto"/>
        </w:rPr>
        <w:t>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89" w:lineRule="exact"/>
        <w:rPr>
          <w:sz w:val="20"/>
          <w:szCs w:val="20"/>
          <w:color w:val="auto"/>
        </w:rPr>
      </w:pPr>
    </w:p>
    <w:p>
      <w:pPr>
        <w:ind w:left="220"/>
        <w:spacing w:after="0" w:line="327" w:lineRule="auto"/>
        <w:rPr>
          <w:sz w:val="20"/>
          <w:szCs w:val="20"/>
          <w:color w:val="auto"/>
        </w:rPr>
      </w:pPr>
      <w:r>
        <w:rPr>
          <w:rFonts w:ascii="Arial" w:cs="Arial" w:eastAsia="Arial" w:hAnsi="Arial"/>
          <w:sz w:val="15"/>
          <w:szCs w:val="15"/>
          <w:b w:val="1"/>
          <w:bCs w:val="1"/>
          <w:i w:val="1"/>
          <w:iCs w:val="1"/>
          <w:color w:val="auto"/>
        </w:rPr>
        <w:t>We have entered into a collaboration agreement with Novartis for the development of PLN-1474, and may in the future seek to enter into collaborations with third parties for the development and commercialization of other product candidates. If we fail to enter into such collaborations, or if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99" w:lineRule="exact"/>
        <w:rPr>
          <w:sz w:val="20"/>
          <w:szCs w:val="20"/>
          <w:color w:val="auto"/>
        </w:rPr>
      </w:pPr>
    </w:p>
    <w:p>
      <w:pPr>
        <w:ind w:right="20" w:firstLine="434"/>
        <w:spacing w:after="0" w:line="268" w:lineRule="auto"/>
        <w:rPr>
          <w:sz w:val="20"/>
          <w:szCs w:val="20"/>
          <w:color w:val="auto"/>
        </w:rPr>
      </w:pPr>
      <w:r>
        <w:rPr>
          <w:rFonts w:ascii="Arial" w:cs="Arial" w:eastAsia="Arial" w:hAnsi="Arial"/>
          <w:sz w:val="17"/>
          <w:szCs w:val="17"/>
          <w:color w:val="auto"/>
        </w:rPr>
        <w:t>In October 2019, we entered into a license and collaboration agreement with Novartis for the development and commercialization of our then preclinical product candidate, PLN-1474, and up to three integrin research targets. In December 2019, we received an upfront license payment of $50.0 million for the worldwide exclusive license to PLN-1474 and, upon achievement of the first patient dosing milestone, received a payment of $25.0 million in the second quarter of 2020. Pursuant to the Novartis Agreement, we expect to receive research and development funding totaling up to $19.6 million for PLN-1474 development services and funding of up to $13.4 million for optional research and development services on the integrin research targets. Additionally, we are eligible to receive additional developmental, regulatory and commercial milestone payments of up to $391.0 million if defined development, regulatory and commercialization milestones are achieved and tiered royalties, on a product-by-product basis based on annual net sales of products, at percentages ranging from high-single digits to low teens of the applicable licensed products and mid-single digits to high-single digits for any products resulting from the research programs. The IND application candidate was transferred to Novartis in the first quarter of 2021, and Novartis is responsible for all PLN-1474 development, manufacturing, and commercialization activities after the initial development period. As a result, we are reliant on Novartis and its efforts and capabilities with respect to the advancement of this candidate. If we or our collaborators are unable to successfully advance the development of our product candidates, including PLN-1474, or achieve milestones, revenue and cash resources from milestone payments under our collaboration agreements will be substantially less than expected.</w:t>
      </w:r>
    </w:p>
    <w:p>
      <w:pPr>
        <w:spacing w:after="0" w:line="159" w:lineRule="exact"/>
        <w:rPr>
          <w:sz w:val="20"/>
          <w:szCs w:val="20"/>
          <w:color w:val="auto"/>
        </w:rPr>
      </w:pPr>
    </w:p>
    <w:p>
      <w:pPr>
        <w:ind w:right="20" w:firstLine="434"/>
        <w:spacing w:after="0" w:line="259" w:lineRule="auto"/>
        <w:rPr>
          <w:sz w:val="20"/>
          <w:szCs w:val="20"/>
          <w:color w:val="auto"/>
        </w:rPr>
      </w:pPr>
      <w:r>
        <w:rPr>
          <w:rFonts w:ascii="Arial" w:cs="Arial" w:eastAsia="Arial" w:hAnsi="Arial"/>
          <w:sz w:val="18"/>
          <w:szCs w:val="18"/>
          <w:color w:val="auto"/>
        </w:rPr>
        <w:t>In addition, to the extent that any of our existing or future collaborators were to terminate a collaboration agreement, we may be forced to independently develop these product candidates, including funding preclinical or clinical trials, assuming marketing and distribution costs and defending intellectual property rights, or, in certain instances, abandon product candidates altogether, any of which could result in a change to our business plan and a material and adverse effect on our business, financial condition, results of operations and prospects.</w:t>
      </w:r>
    </w:p>
    <w:p>
      <w:pPr>
        <w:spacing w:after="0" w:line="146" w:lineRule="exact"/>
        <w:rPr>
          <w:sz w:val="20"/>
          <w:szCs w:val="20"/>
          <w:color w:val="auto"/>
        </w:rPr>
      </w:pPr>
    </w:p>
    <w:p>
      <w:pPr>
        <w:jc w:val="both"/>
        <w:ind w:left="220" w:right="26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spacing w:after="0" w:line="143" w:lineRule="exact"/>
        <w:rPr>
          <w:sz w:val="20"/>
          <w:szCs w:val="20"/>
          <w:color w:val="auto"/>
        </w:rPr>
      </w:pPr>
    </w:p>
    <w:p>
      <w:pPr>
        <w:jc w:val="both"/>
        <w:ind w:right="300" w:firstLine="434"/>
        <w:spacing w:after="0" w:line="263" w:lineRule="auto"/>
        <w:rPr>
          <w:sz w:val="20"/>
          <w:szCs w:val="20"/>
          <w:color w:val="auto"/>
        </w:rPr>
      </w:pPr>
      <w:r>
        <w:rPr>
          <w:rFonts w:ascii="Arial" w:cs="Arial" w:eastAsia="Arial" w:hAnsi="Arial"/>
          <w:sz w:val="18"/>
          <w:szCs w:val="18"/>
          <w:color w:val="auto"/>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spacing w:after="0" w:line="157" w:lineRule="exact"/>
        <w:rPr>
          <w:sz w:val="20"/>
          <w:szCs w:val="20"/>
          <w:color w:val="auto"/>
        </w:rPr>
      </w:pPr>
    </w:p>
    <w:p>
      <w:pPr>
        <w:ind w:right="100" w:firstLine="434"/>
        <w:spacing w:after="0" w:line="269" w:lineRule="auto"/>
        <w:rPr>
          <w:sz w:val="20"/>
          <w:szCs w:val="20"/>
          <w:color w:val="auto"/>
        </w:rPr>
      </w:pPr>
      <w:r>
        <w:rPr>
          <w:rFonts w:ascii="Arial" w:cs="Arial" w:eastAsia="Arial" w:hAnsi="Arial"/>
          <w:sz w:val="17"/>
          <w:szCs w:val="17"/>
          <w:color w:val="auto"/>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spacing w:after="0" w:line="145" w:lineRule="exact"/>
        <w:rPr>
          <w:sz w:val="20"/>
          <w:szCs w:val="20"/>
          <w:color w:val="auto"/>
        </w:rPr>
      </w:pPr>
    </w:p>
    <w:p>
      <w:pPr>
        <w:jc w:val="both"/>
        <w:ind w:firstLine="434"/>
        <w:spacing w:after="0" w:line="263" w:lineRule="auto"/>
        <w:rPr>
          <w:sz w:val="20"/>
          <w:szCs w:val="20"/>
          <w:color w:val="auto"/>
        </w:rPr>
      </w:pPr>
      <w:r>
        <w:rPr>
          <w:rFonts w:ascii="Arial" w:cs="Arial" w:eastAsia="Arial" w:hAnsi="Arial"/>
          <w:sz w:val="18"/>
          <w:szCs w:val="18"/>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63" w:name="page64"/>
    <w:bookmarkEnd w:id="63"/>
    <w:p>
      <w:pPr>
        <w:ind w:right="100" w:firstLine="434"/>
        <w:spacing w:after="0" w:line="288" w:lineRule="auto"/>
        <w:rPr>
          <w:sz w:val="20"/>
          <w:szCs w:val="20"/>
          <w:color w:val="auto"/>
        </w:rPr>
      </w:pPr>
      <w:r>
        <w:rPr>
          <w:rFonts w:ascii="Arial" w:cs="Arial" w:eastAsia="Arial" w:hAnsi="Arial"/>
          <w:sz w:val="16"/>
          <w:szCs w:val="16"/>
          <w:color w:val="auto"/>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the COVID-19 pandemic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41" w:lineRule="exact"/>
        <w:rPr>
          <w:sz w:val="20"/>
          <w:szCs w:val="20"/>
          <w:color w:val="auto"/>
        </w:rPr>
      </w:pPr>
    </w:p>
    <w:p>
      <w:pPr>
        <w:ind w:right="180" w:firstLine="434"/>
        <w:spacing w:after="0" w:line="277" w:lineRule="auto"/>
        <w:rPr>
          <w:sz w:val="20"/>
          <w:szCs w:val="20"/>
          <w:color w:val="auto"/>
        </w:rPr>
      </w:pPr>
      <w:r>
        <w:rPr>
          <w:rFonts w:ascii="Arial" w:cs="Arial" w:eastAsia="Arial" w:hAnsi="Arial"/>
          <w:sz w:val="18"/>
          <w:szCs w:val="18"/>
          <w:color w:val="auto"/>
        </w:rPr>
        <w:t>If any of our relationships with these third-party CROs or others terminate, we may not be able to enter into arrangements with alternative CROs or other third parties or to do so on commercially reasonable terms.</w:t>
      </w:r>
    </w:p>
    <w:p>
      <w:pPr>
        <w:spacing w:after="0" w:line="130" w:lineRule="exact"/>
        <w:rPr>
          <w:sz w:val="20"/>
          <w:szCs w:val="20"/>
          <w:color w:val="auto"/>
        </w:rPr>
      </w:pPr>
    </w:p>
    <w:p>
      <w:pPr>
        <w:ind w:right="240" w:firstLine="434"/>
        <w:spacing w:after="0" w:line="301"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17" w:lineRule="exact"/>
        <w:rPr>
          <w:sz w:val="20"/>
          <w:szCs w:val="20"/>
          <w:color w:val="auto"/>
        </w:rPr>
      </w:pPr>
    </w:p>
    <w:p>
      <w:pPr>
        <w:ind w:left="220" w:right="240"/>
        <w:spacing w:after="0" w:line="277" w:lineRule="auto"/>
        <w:rPr>
          <w:sz w:val="20"/>
          <w:szCs w:val="20"/>
          <w:color w:val="auto"/>
        </w:rPr>
      </w:pPr>
      <w:r>
        <w:rPr>
          <w:rFonts w:ascii="Arial" w:cs="Arial" w:eastAsia="Arial" w:hAnsi="Arial"/>
          <w:sz w:val="18"/>
          <w:szCs w:val="18"/>
          <w:b w:val="1"/>
          <w:bCs w:val="1"/>
          <w:i w:val="1"/>
          <w:iCs w:val="1"/>
          <w:color w:val="auto"/>
        </w:rPr>
        <w:t>We rely on third parties for tissue samples and other materials required for our research and development activities, and if we are unable to reach agreements with these third parties our research and development activities would be delayed.</w:t>
      </w:r>
    </w:p>
    <w:p>
      <w:pPr>
        <w:spacing w:after="0" w:line="143" w:lineRule="exact"/>
        <w:rPr>
          <w:sz w:val="20"/>
          <w:szCs w:val="20"/>
          <w:color w:val="auto"/>
        </w:rPr>
      </w:pPr>
    </w:p>
    <w:p>
      <w:pPr>
        <w:ind w:right="60" w:firstLine="434"/>
        <w:spacing w:after="0" w:line="271" w:lineRule="auto"/>
        <w:rPr>
          <w:sz w:val="20"/>
          <w:szCs w:val="20"/>
          <w:color w:val="auto"/>
        </w:rPr>
      </w:pPr>
      <w:r>
        <w:rPr>
          <w:rFonts w:ascii="Arial" w:cs="Arial" w:eastAsia="Arial" w:hAnsi="Arial"/>
          <w:sz w:val="17"/>
          <w:szCs w:val="17"/>
          <w:color w:val="auto"/>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our ability to implement a key part of our development strategy will be compromised.</w:t>
      </w:r>
    </w:p>
    <w:p>
      <w:pPr>
        <w:spacing w:after="0" w:line="138" w:lineRule="exact"/>
        <w:rPr>
          <w:sz w:val="20"/>
          <w:szCs w:val="20"/>
          <w:color w:val="auto"/>
        </w:rPr>
      </w:pPr>
    </w:p>
    <w:p>
      <w:pPr>
        <w:ind w:left="220" w:right="280"/>
        <w:spacing w:after="0" w:line="277" w:lineRule="auto"/>
        <w:rPr>
          <w:sz w:val="20"/>
          <w:szCs w:val="20"/>
          <w:color w:val="auto"/>
        </w:rPr>
      </w:pPr>
      <w:r>
        <w:rPr>
          <w:rFonts w:ascii="Arial" w:cs="Arial" w:eastAsia="Arial" w:hAnsi="Arial"/>
          <w:sz w:val="18"/>
          <w:szCs w:val="18"/>
          <w:b w:val="1"/>
          <w:bCs w:val="1"/>
          <w:i w:val="1"/>
          <w:iCs w:val="1"/>
          <w:color w:val="auto"/>
        </w:rPr>
        <w:t>Because we rely on third-party manufacturing and supply vendors, our supply of research and development, preclinical and clinical development materials may become limited or interrupted or may not be of satisfactory quantity or quality.</w:t>
      </w:r>
    </w:p>
    <w:p>
      <w:pPr>
        <w:spacing w:after="0" w:line="130" w:lineRule="exact"/>
        <w:rPr>
          <w:sz w:val="20"/>
          <w:szCs w:val="20"/>
          <w:color w:val="auto"/>
        </w:rPr>
      </w:pPr>
    </w:p>
    <w:p>
      <w:pPr>
        <w:ind w:right="140" w:firstLine="434"/>
        <w:spacing w:after="0" w:line="288" w:lineRule="auto"/>
        <w:rPr>
          <w:sz w:val="20"/>
          <w:szCs w:val="20"/>
          <w:color w:val="auto"/>
        </w:rPr>
      </w:pPr>
      <w:r>
        <w:rPr>
          <w:rFonts w:ascii="Arial" w:cs="Arial" w:eastAsia="Arial" w:hAnsi="Arial"/>
          <w:sz w:val="16"/>
          <w:szCs w:val="16"/>
          <w:color w:val="auto"/>
        </w:rPr>
        <w:t>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 In particular, any replacement of our manufacturer could require significant effort and expertise because there may be a limited number of qualified replacements. In addition, three vaccines for COVID-19 were granted Emergency Use Authorization by the FDA in late 2020 and early 2021, and more are likely to be authorized in the coming months. The resultant demand for vaccines and potential for manufacturing facilities and materials to be commandeered under the Defense Production Act of 1950, equivalent foreign legislation or heightened demand on manufacturers may make it more difficult to obtain materials or manufacturing slots for the products needed for our development efforts, which could lead to delays in our clinical trials and scientific development efforts.</w:t>
      </w:r>
    </w:p>
    <w:p>
      <w:pPr>
        <w:spacing w:after="0" w:line="128" w:lineRule="exact"/>
        <w:rPr>
          <w:sz w:val="20"/>
          <w:szCs w:val="20"/>
          <w:color w:val="auto"/>
        </w:rPr>
      </w:pPr>
    </w:p>
    <w:p>
      <w:pPr>
        <w:ind w:firstLine="445"/>
        <w:spacing w:after="0" w:line="223" w:lineRule="auto"/>
        <w:rPr>
          <w:sz w:val="20"/>
          <w:szCs w:val="20"/>
          <w:color w:val="auto"/>
        </w:rPr>
      </w:pPr>
      <w:r>
        <w:rPr>
          <w:rFonts w:ascii="Arial" w:cs="Arial" w:eastAsia="Arial" w:hAnsi="Arial"/>
          <w:sz w:val="17"/>
          <w:szCs w:val="17"/>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4" w:name="page65"/>
    <w:bookmarkEnd w:id="64"/>
    <w:p>
      <w:pPr>
        <w:ind w:right="340"/>
        <w:spacing w:after="0" w:line="216" w:lineRule="auto"/>
        <w:rPr>
          <w:sz w:val="20"/>
          <w:szCs w:val="20"/>
          <w:color w:val="auto"/>
        </w:rPr>
      </w:pPr>
      <w:r>
        <w:rPr>
          <w:rFonts w:ascii="Arial" w:cs="Arial" w:eastAsia="Arial" w:hAnsi="Arial"/>
          <w:sz w:val="18"/>
          <w:szCs w:val="18"/>
          <w:color w:val="auto"/>
        </w:rPr>
        <w:t>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35" w:lineRule="exact"/>
        <w:rPr>
          <w:sz w:val="20"/>
          <w:szCs w:val="20"/>
          <w:color w:val="auto"/>
        </w:rPr>
      </w:pPr>
    </w:p>
    <w:p>
      <w:pPr>
        <w:ind w:right="180" w:firstLine="445"/>
        <w:spacing w:after="0" w:line="226" w:lineRule="auto"/>
        <w:rPr>
          <w:sz w:val="20"/>
          <w:szCs w:val="20"/>
          <w:color w:val="auto"/>
        </w:rPr>
      </w:pPr>
      <w:r>
        <w:rPr>
          <w:rFonts w:ascii="Arial" w:cs="Arial" w:eastAsia="Arial" w:hAnsi="Arial"/>
          <w:sz w:val="17"/>
          <w:szCs w:val="17"/>
          <w:color w:val="auto"/>
        </w:rPr>
        <w:t>We expect to continue to rely on third-party manufacturers if we receive regulatory approval for PLN-74809 or any other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and comply with cGMP could adversely affect our business in a number of ways, including:</w:t>
      </w:r>
    </w:p>
    <w:p>
      <w:pPr>
        <w:spacing w:after="0" w:line="138" w:lineRule="exact"/>
        <w:rPr>
          <w:sz w:val="20"/>
          <w:szCs w:val="20"/>
          <w:color w:val="auto"/>
        </w:rPr>
      </w:pPr>
    </w:p>
    <w:p>
      <w:pPr>
        <w:ind w:left="860" w:hanging="418"/>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the cooperation of an existing or future collaborator;</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57" w:lineRule="exact"/>
        <w:rPr>
          <w:rFonts w:ascii="Arial" w:cs="Arial" w:eastAsia="Arial" w:hAnsi="Arial"/>
          <w:sz w:val="18"/>
          <w:szCs w:val="18"/>
          <w:color w:val="auto"/>
        </w:rPr>
      </w:pPr>
    </w:p>
    <w:p>
      <w:pPr>
        <w:ind w:left="860" w:hanging="418"/>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57" w:lineRule="exact"/>
        <w:rPr>
          <w:rFonts w:ascii="Arial" w:cs="Arial" w:eastAsia="Arial" w:hAnsi="Arial"/>
          <w:sz w:val="18"/>
          <w:szCs w:val="18"/>
          <w:color w:val="auto"/>
        </w:rPr>
      </w:pPr>
    </w:p>
    <w:p>
      <w:pPr>
        <w:ind w:left="860" w:hanging="418"/>
        <w:spacing w:after="0"/>
        <w:tabs>
          <w:tab w:leader="none" w:pos="8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169" w:lineRule="exact"/>
        <w:rPr>
          <w:sz w:val="20"/>
          <w:szCs w:val="20"/>
          <w:color w:val="auto"/>
        </w:rPr>
      </w:pPr>
    </w:p>
    <w:p>
      <w:pPr>
        <w:ind w:firstLine="434"/>
        <w:spacing w:after="0" w:line="214" w:lineRule="auto"/>
        <w:rPr>
          <w:sz w:val="20"/>
          <w:szCs w:val="20"/>
          <w:color w:val="auto"/>
        </w:rPr>
      </w:pPr>
      <w:r>
        <w:rPr>
          <w:rFonts w:ascii="Arial" w:cs="Arial" w:eastAsia="Arial" w:hAnsi="Arial"/>
          <w:sz w:val="18"/>
          <w:szCs w:val="18"/>
          <w:color w:val="auto"/>
        </w:rPr>
        <w:t>We rely on a sole supplier for the manufacture of PLN-74809.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spacing w:after="0" w:line="135" w:lineRule="exact"/>
        <w:rPr>
          <w:sz w:val="20"/>
          <w:szCs w:val="20"/>
          <w:color w:val="auto"/>
        </w:rPr>
      </w:pPr>
    </w:p>
    <w:p>
      <w:pPr>
        <w:ind w:firstLine="434"/>
        <w:spacing w:after="0" w:line="225" w:lineRule="auto"/>
        <w:rPr>
          <w:sz w:val="20"/>
          <w:szCs w:val="20"/>
          <w:color w:val="auto"/>
        </w:rPr>
      </w:pPr>
      <w:r>
        <w:rPr>
          <w:rFonts w:ascii="Arial" w:cs="Arial" w:eastAsia="Arial" w:hAnsi="Arial"/>
          <w:sz w:val="17"/>
          <w:szCs w:val="17"/>
          <w:color w:val="auto"/>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spacing w:after="0" w:line="135"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b w:val="1"/>
          <w:bCs w:val="1"/>
          <w:i w:val="1"/>
          <w:iCs w:val="1"/>
          <w:color w:val="auto"/>
        </w:rPr>
        <w:t>Our existing collaborations and future collaborations are and will be important to our business. If we are unable to enter into new collaborations, or if these collaborations are not successful, our business could be adversely affected.</w:t>
      </w:r>
    </w:p>
    <w:p>
      <w:pPr>
        <w:spacing w:after="0" w:line="143" w:lineRule="exact"/>
        <w:rPr>
          <w:sz w:val="20"/>
          <w:szCs w:val="20"/>
          <w:color w:val="auto"/>
        </w:rPr>
      </w:pPr>
    </w:p>
    <w:p>
      <w:pPr>
        <w:ind w:right="40" w:firstLine="434"/>
        <w:spacing w:after="0" w:line="259" w:lineRule="auto"/>
        <w:rPr>
          <w:sz w:val="20"/>
          <w:szCs w:val="20"/>
          <w:color w:val="auto"/>
        </w:rPr>
      </w:pPr>
      <w:r>
        <w:rPr>
          <w:rFonts w:ascii="Arial" w:cs="Arial" w:eastAsia="Arial" w:hAnsi="Arial"/>
          <w:sz w:val="18"/>
          <w:szCs w:val="18"/>
          <w:color w:val="auto"/>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and may in the future enter into collaborations with other companies to provide us with important technologies and funding for our programs and technology.</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existing collaborations and any future collaborations we enter into may pose a number of risks, including the following:</w:t>
      </w:r>
    </w:p>
    <w:p>
      <w:pPr>
        <w:spacing w:after="0" w:line="185" w:lineRule="exact"/>
        <w:rPr>
          <w:sz w:val="20"/>
          <w:szCs w:val="20"/>
          <w:color w:val="auto"/>
        </w:rPr>
      </w:pPr>
    </w:p>
    <w:p>
      <w:pPr>
        <w:ind w:left="860" w:hanging="418"/>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84" w:lineRule="exact"/>
        <w:rPr>
          <w:rFonts w:ascii="Arial" w:cs="Arial" w:eastAsia="Arial" w:hAnsi="Arial"/>
          <w:sz w:val="18"/>
          <w:szCs w:val="18"/>
          <w:color w:val="auto"/>
        </w:rPr>
      </w:pPr>
    </w:p>
    <w:p>
      <w:pPr>
        <w:ind w:left="880" w:right="120" w:hanging="438"/>
        <w:spacing w:after="0" w:line="259" w:lineRule="auto"/>
        <w:tabs>
          <w:tab w:leader="none" w:pos="8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5" w:name="page66"/>
    <w:bookmarkEnd w:id="65"/>
    <w:p>
      <w:pPr>
        <w:ind w:left="880" w:right="620" w:hanging="438"/>
        <w:spacing w:after="0" w:line="308" w:lineRule="auto"/>
        <w:tabs>
          <w:tab w:leader="none" w:pos="8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19" w:lineRule="exact"/>
        <w:rPr>
          <w:rFonts w:ascii="Arial" w:cs="Arial" w:eastAsia="Arial" w:hAnsi="Arial"/>
          <w:sz w:val="17"/>
          <w:szCs w:val="17"/>
          <w:color w:val="auto"/>
        </w:rPr>
      </w:pPr>
    </w:p>
    <w:p>
      <w:pPr>
        <w:ind w:left="880" w:right="360" w:hanging="438"/>
        <w:spacing w:after="0" w:line="263" w:lineRule="auto"/>
        <w:tabs>
          <w:tab w:leader="none" w:pos="8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143" w:lineRule="exact"/>
        <w:rPr>
          <w:rFonts w:ascii="Arial" w:cs="Arial" w:eastAsia="Arial" w:hAnsi="Arial"/>
          <w:sz w:val="18"/>
          <w:szCs w:val="18"/>
          <w:color w:val="auto"/>
        </w:rPr>
      </w:pPr>
    </w:p>
    <w:p>
      <w:pPr>
        <w:ind w:left="880" w:right="40" w:hanging="438"/>
        <w:spacing w:after="0" w:line="308" w:lineRule="auto"/>
        <w:tabs>
          <w:tab w:leader="none" w:pos="8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05" w:lineRule="exact"/>
        <w:rPr>
          <w:rFonts w:ascii="Arial" w:cs="Arial" w:eastAsia="Arial" w:hAnsi="Arial"/>
          <w:sz w:val="17"/>
          <w:szCs w:val="17"/>
          <w:color w:val="auto"/>
        </w:rPr>
      </w:pPr>
    </w:p>
    <w:p>
      <w:pPr>
        <w:ind w:left="880" w:right="60" w:hanging="438"/>
        <w:spacing w:after="0" w:line="277" w:lineRule="auto"/>
        <w:tabs>
          <w:tab w:leader="none" w:pos="8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fail to comply with applicable regulatory requirements regarding the development, manufacture, distribution or marketing of a product candidate or product;</w:t>
      </w:r>
    </w:p>
    <w:p>
      <w:pPr>
        <w:spacing w:after="0" w:line="143" w:lineRule="exact"/>
        <w:rPr>
          <w:rFonts w:ascii="Arial" w:cs="Arial" w:eastAsia="Arial" w:hAnsi="Arial"/>
          <w:sz w:val="18"/>
          <w:szCs w:val="18"/>
          <w:color w:val="auto"/>
        </w:rPr>
      </w:pPr>
    </w:p>
    <w:p>
      <w:pPr>
        <w:ind w:left="880" w:right="80" w:hanging="438"/>
        <w:spacing w:after="0" w:line="277" w:lineRule="auto"/>
        <w:tabs>
          <w:tab w:leader="none" w:pos="8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129" w:lineRule="exact"/>
        <w:rPr>
          <w:rFonts w:ascii="Arial" w:cs="Arial" w:eastAsia="Arial" w:hAnsi="Arial"/>
          <w:sz w:val="18"/>
          <w:szCs w:val="18"/>
          <w:color w:val="auto"/>
        </w:rPr>
      </w:pPr>
    </w:p>
    <w:p>
      <w:pPr>
        <w:ind w:left="880" w:right="260" w:hanging="438"/>
        <w:spacing w:after="0" w:line="263" w:lineRule="auto"/>
        <w:tabs>
          <w:tab w:leader="none" w:pos="8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spacing w:after="0" w:line="143" w:lineRule="exact"/>
        <w:rPr>
          <w:rFonts w:ascii="Arial" w:cs="Arial" w:eastAsia="Arial" w:hAnsi="Arial"/>
          <w:sz w:val="18"/>
          <w:szCs w:val="18"/>
          <w:color w:val="auto"/>
        </w:rPr>
      </w:pPr>
    </w:p>
    <w:p>
      <w:pPr>
        <w:ind w:left="880" w:right="360" w:hanging="438"/>
        <w:spacing w:after="0" w:line="259" w:lineRule="auto"/>
        <w:tabs>
          <w:tab w:leader="none" w:pos="8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59" w:lineRule="exact"/>
        <w:rPr>
          <w:rFonts w:ascii="Arial" w:cs="Arial" w:eastAsia="Arial" w:hAnsi="Arial"/>
          <w:sz w:val="18"/>
          <w:szCs w:val="18"/>
          <w:color w:val="auto"/>
        </w:rPr>
      </w:pPr>
    </w:p>
    <w:p>
      <w:pPr>
        <w:ind w:left="880" w:right="240" w:hanging="438"/>
        <w:spacing w:after="0" w:line="342" w:lineRule="auto"/>
        <w:tabs>
          <w:tab w:leader="none" w:pos="875"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83" w:lineRule="exact"/>
        <w:rPr>
          <w:rFonts w:ascii="Arial" w:cs="Arial" w:eastAsia="Arial" w:hAnsi="Arial"/>
          <w:sz w:val="16"/>
          <w:szCs w:val="16"/>
          <w:color w:val="auto"/>
        </w:rPr>
      </w:pPr>
    </w:p>
    <w:p>
      <w:pPr>
        <w:ind w:left="860" w:hanging="418"/>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84" w:lineRule="exact"/>
        <w:rPr>
          <w:rFonts w:ascii="Arial" w:cs="Arial" w:eastAsia="Arial" w:hAnsi="Arial"/>
          <w:sz w:val="18"/>
          <w:szCs w:val="18"/>
          <w:color w:val="auto"/>
        </w:rPr>
      </w:pPr>
    </w:p>
    <w:p>
      <w:pPr>
        <w:ind w:left="880" w:right="900" w:hanging="438"/>
        <w:spacing w:after="0" w:line="277" w:lineRule="auto"/>
        <w:tabs>
          <w:tab w:leader="none" w:pos="8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143" w:lineRule="exact"/>
        <w:rPr>
          <w:rFonts w:ascii="Arial" w:cs="Arial" w:eastAsia="Arial" w:hAnsi="Arial"/>
          <w:sz w:val="18"/>
          <w:szCs w:val="18"/>
          <w:color w:val="auto"/>
        </w:rPr>
      </w:pPr>
    </w:p>
    <w:p>
      <w:pPr>
        <w:ind w:left="880" w:right="500" w:hanging="438"/>
        <w:spacing w:after="0" w:line="277" w:lineRule="auto"/>
        <w:tabs>
          <w:tab w:leader="none" w:pos="8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30" w:lineRule="exact"/>
        <w:rPr>
          <w:sz w:val="20"/>
          <w:szCs w:val="20"/>
          <w:color w:val="auto"/>
        </w:rPr>
      </w:pPr>
    </w:p>
    <w:p>
      <w:pPr>
        <w:ind w:right="100" w:firstLine="434"/>
        <w:spacing w:after="0" w:line="259" w:lineRule="auto"/>
        <w:rPr>
          <w:sz w:val="20"/>
          <w:szCs w:val="20"/>
          <w:color w:val="auto"/>
        </w:rPr>
      </w:pPr>
      <w:r>
        <w:rPr>
          <w:rFonts w:ascii="Arial" w:cs="Arial" w:eastAsia="Arial" w:hAnsi="Arial"/>
          <w:sz w:val="18"/>
          <w:szCs w:val="18"/>
          <w:color w:val="auto"/>
        </w:rPr>
        <w:t>If our existing collaborations and any future collaborations we enter into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Report also apply to the activities of our therapeutic collaborators.</w:t>
      </w:r>
    </w:p>
    <w:p>
      <w:pPr>
        <w:spacing w:after="0" w:line="146" w:lineRule="exact"/>
        <w:rPr>
          <w:sz w:val="20"/>
          <w:szCs w:val="20"/>
          <w:color w:val="auto"/>
        </w:rPr>
      </w:pPr>
    </w:p>
    <w:p>
      <w:pPr>
        <w:ind w:right="100" w:firstLine="434"/>
        <w:spacing w:after="0" w:line="277" w:lineRule="auto"/>
        <w:rPr>
          <w:sz w:val="20"/>
          <w:szCs w:val="20"/>
          <w:color w:val="auto"/>
        </w:rPr>
      </w:pPr>
      <w:r>
        <w:rPr>
          <w:rFonts w:ascii="Arial" w:cs="Arial" w:eastAsia="Arial" w:hAnsi="Arial"/>
          <w:sz w:val="18"/>
          <w:szCs w:val="18"/>
          <w:color w:val="auto"/>
        </w:rPr>
        <w:t>Additionally, if one of our existing or future collaborators terminates its agreement with us, we may find it more difficult to attract new collaborators and our perception in the business and financial communities could be adversely affected.</w:t>
      </w:r>
    </w:p>
    <w:p>
      <w:pPr>
        <w:spacing w:after="0" w:line="143" w:lineRule="exact"/>
        <w:rPr>
          <w:sz w:val="20"/>
          <w:szCs w:val="20"/>
          <w:color w:val="auto"/>
        </w:rPr>
      </w:pPr>
    </w:p>
    <w:p>
      <w:pPr>
        <w:ind w:firstLine="434"/>
        <w:spacing w:after="0" w:line="270" w:lineRule="auto"/>
        <w:rPr>
          <w:sz w:val="20"/>
          <w:szCs w:val="20"/>
          <w:color w:val="auto"/>
        </w:rPr>
      </w:pPr>
      <w:r>
        <w:rPr>
          <w:rFonts w:ascii="Arial" w:cs="Arial" w:eastAsia="Arial" w:hAnsi="Arial"/>
          <w:sz w:val="17"/>
          <w:szCs w:val="17"/>
          <w:color w:val="auto"/>
        </w:rPr>
        <w:t>We face significant competition in seeking appropriate collaborators for our product candidates, and the negotiation process is time-consuming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6" w:name="page67"/>
    <w:bookmarkEnd w:id="66"/>
    <w:p>
      <w:pPr>
        <w:ind w:right="40"/>
        <w:spacing w:after="0" w:line="288" w:lineRule="auto"/>
        <w:rPr>
          <w:sz w:val="20"/>
          <w:szCs w:val="20"/>
          <w:color w:val="auto"/>
        </w:rPr>
      </w:pPr>
      <w:r>
        <w:rPr>
          <w:rFonts w:ascii="Arial" w:cs="Arial" w:eastAsia="Arial" w:hAnsi="Arial"/>
          <w:sz w:val="16"/>
          <w:szCs w:val="16"/>
          <w:color w:val="auto"/>
        </w:rPr>
        <w:t>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Managing Our Business and Operations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The outbreak of the novel coronavirus disease, COVID-19, could adversely impact our business, including our preclinical studies and clinical trials.</w:t>
      </w:r>
    </w:p>
    <w:p>
      <w:pPr>
        <w:spacing w:after="0" w:line="219" w:lineRule="exact"/>
        <w:rPr>
          <w:sz w:val="20"/>
          <w:szCs w:val="20"/>
          <w:color w:val="auto"/>
        </w:rPr>
      </w:pPr>
    </w:p>
    <w:p>
      <w:pPr>
        <w:ind w:firstLine="434"/>
        <w:spacing w:after="0" w:line="290" w:lineRule="auto"/>
        <w:rPr>
          <w:sz w:val="20"/>
          <w:szCs w:val="20"/>
          <w:color w:val="auto"/>
        </w:rPr>
      </w:pPr>
      <w:r>
        <w:rPr>
          <w:rFonts w:ascii="Arial" w:cs="Arial" w:eastAsia="Arial" w:hAnsi="Arial"/>
          <w:sz w:val="16"/>
          <w:szCs w:val="16"/>
          <w:color w:val="auto"/>
        </w:rPr>
        <w:t>In December 2019, a novel strain of the coronavirus disease, COVID-19, was identified in Wuhan, China. This virus continues to spread globally and has spread to a number of countries globally,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significantly limited access to our executive offices with the majority of our administrative employees continuing their work outside of our offices and limited the presence of our staff in the laboratory and in the administrative spaces to levels that adhere to social distancing protocols. As a result of the COVID-19 pandemic, we have experienced disruptions and may continue to experience disruptions that could severely impact our business, preclinical studies and clinical trials, including:</w:t>
      </w:r>
    </w:p>
    <w:p>
      <w:pPr>
        <w:spacing w:after="0" w:line="138" w:lineRule="exact"/>
        <w:rPr>
          <w:sz w:val="20"/>
          <w:szCs w:val="20"/>
          <w:color w:val="auto"/>
        </w:rPr>
      </w:pPr>
    </w:p>
    <w:p>
      <w:pPr>
        <w:ind w:left="880" w:right="60" w:hanging="438"/>
        <w:spacing w:after="0" w:line="275" w:lineRule="auto"/>
        <w:tabs>
          <w:tab w:leader="none" w:pos="875"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delays or difficulties in commencing enrollment of patients in our clinical trials, including our Phase 2a clinical trials of PLN-74809 in IPF and PSC and our Phase 1 clinical trial of PLN-1474. With respect to the Phase 2a trials of PLN-74809 in IPF and PSC, following delays in site initiation due to the impacts of COVID-19, both trials have resumed active enrollment of patients. With respect to the Phase 1 trial of PLN-1474, the Phase 1 trial site experienced delays due to its location in an area heavily impacted by COVID-19; however, the trial site reopened and completed dosing the remaining cohorts, and the trial was subsequently completed;</w:t>
      </w:r>
    </w:p>
    <w:p>
      <w:pPr>
        <w:spacing w:after="0" w:line="135" w:lineRule="exact"/>
        <w:rPr>
          <w:rFonts w:ascii="Arial" w:cs="Arial" w:eastAsia="Arial" w:hAnsi="Arial"/>
          <w:sz w:val="17"/>
          <w:szCs w:val="17"/>
          <w:color w:val="auto"/>
        </w:rPr>
      </w:pPr>
    </w:p>
    <w:p>
      <w:pPr>
        <w:ind w:left="880" w:right="640" w:hanging="438"/>
        <w:spacing w:after="0" w:line="277" w:lineRule="auto"/>
        <w:tabs>
          <w:tab w:leader="none" w:pos="8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from potential delays, including potential difficulties in clinical site initiation, including difficulties in recruiting clinical site investigators and clinical site staff;</w:t>
      </w:r>
    </w:p>
    <w:p>
      <w:pPr>
        <w:spacing w:after="0" w:line="129" w:lineRule="exact"/>
        <w:rPr>
          <w:rFonts w:ascii="Arial" w:cs="Arial" w:eastAsia="Arial" w:hAnsi="Arial"/>
          <w:sz w:val="18"/>
          <w:szCs w:val="18"/>
          <w:color w:val="auto"/>
        </w:rPr>
      </w:pPr>
    </w:p>
    <w:p>
      <w:pPr>
        <w:ind w:left="880" w:right="160" w:hanging="438"/>
        <w:spacing w:after="0" w:line="277" w:lineRule="auto"/>
        <w:tabs>
          <w:tab w:leader="none" w:pos="8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43" w:lineRule="exact"/>
        <w:rPr>
          <w:rFonts w:ascii="Arial" w:cs="Arial" w:eastAsia="Arial" w:hAnsi="Arial"/>
          <w:sz w:val="18"/>
          <w:szCs w:val="18"/>
          <w:color w:val="auto"/>
        </w:rPr>
      </w:pPr>
    </w:p>
    <w:p>
      <w:pPr>
        <w:ind w:left="880" w:right="240" w:hanging="438"/>
        <w:spacing w:after="0" w:line="263" w:lineRule="auto"/>
        <w:tabs>
          <w:tab w:leader="none" w:pos="8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that are deemed non-essential, which may impact the integrity of subject data and clinical study endpoints;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84" w:lineRule="exact"/>
        <w:rPr>
          <w:rFonts w:ascii="Arial" w:cs="Arial" w:eastAsia="Arial" w:hAnsi="Arial"/>
          <w:sz w:val="18"/>
          <w:szCs w:val="18"/>
          <w:color w:val="auto"/>
        </w:rPr>
      </w:pPr>
    </w:p>
    <w:p>
      <w:pPr>
        <w:ind w:left="880" w:right="640" w:hanging="438"/>
        <w:spacing w:after="0" w:line="277" w:lineRule="auto"/>
        <w:tabs>
          <w:tab w:leader="none" w:pos="8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84" w:lineRule="exact"/>
        <w:rPr>
          <w:rFonts w:ascii="Arial" w:cs="Arial" w:eastAsia="Arial" w:hAnsi="Arial"/>
          <w:sz w:val="18"/>
          <w:szCs w:val="18"/>
          <w:color w:val="auto"/>
        </w:rPr>
      </w:pPr>
    </w:p>
    <w:p>
      <w:pPr>
        <w:ind w:left="880" w:right="540" w:hanging="438"/>
        <w:spacing w:after="0" w:line="342" w:lineRule="auto"/>
        <w:tabs>
          <w:tab w:leader="none" w:pos="875" w:val="left"/>
        </w:tabs>
        <w:numPr>
          <w:ilvl w:val="0"/>
          <w:numId w:val="42"/>
        </w:numPr>
        <w:rPr>
          <w:rFonts w:ascii="Arial" w:cs="Arial" w:eastAsia="Arial" w:hAnsi="Arial"/>
          <w:sz w:val="16"/>
          <w:szCs w:val="16"/>
          <w:color w:val="auto"/>
        </w:rPr>
      </w:pPr>
      <w:r>
        <w:rPr>
          <w:rFonts w:ascii="Arial" w:cs="Arial" w:eastAsia="Arial" w:hAnsi="Arial"/>
          <w:sz w:val="16"/>
          <w:szCs w:val="16"/>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83" w:lineRule="exact"/>
        <w:rPr>
          <w:rFonts w:ascii="Arial" w:cs="Arial" w:eastAsia="Arial" w:hAnsi="Arial"/>
          <w:sz w:val="16"/>
          <w:szCs w:val="16"/>
          <w:color w:val="auto"/>
        </w:rPr>
      </w:pPr>
    </w:p>
    <w:p>
      <w:pPr>
        <w:ind w:left="860" w:hanging="418"/>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7" w:name="page68"/>
    <w:bookmarkEnd w:id="67"/>
    <w:p>
      <w:pPr>
        <w:ind w:firstLine="434"/>
        <w:spacing w:after="0" w:line="257" w:lineRule="auto"/>
        <w:rPr>
          <w:sz w:val="20"/>
          <w:szCs w:val="20"/>
          <w:color w:val="auto"/>
        </w:rPr>
      </w:pPr>
      <w:r>
        <w:rPr>
          <w:rFonts w:ascii="Arial" w:cs="Arial" w:eastAsia="Arial" w:hAnsi="Arial"/>
          <w:sz w:val="18"/>
          <w:szCs w:val="18"/>
          <w:color w:val="auto"/>
        </w:rPr>
        <w:t>The COVID-19 pandemic continues to rapidly evolve and new variants of the virus continue to emerge. The extent to which the outbreak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85" w:lineRule="exact"/>
        <w:rPr>
          <w:sz w:val="20"/>
          <w:szCs w:val="20"/>
          <w:color w:val="auto"/>
        </w:rPr>
      </w:pPr>
    </w:p>
    <w:p>
      <w:pPr>
        <w:ind w:right="140" w:firstLine="434"/>
        <w:spacing w:after="0" w:line="257" w:lineRule="auto"/>
        <w:rPr>
          <w:sz w:val="20"/>
          <w:szCs w:val="20"/>
          <w:color w:val="auto"/>
        </w:rPr>
      </w:pPr>
      <w:r>
        <w:rPr>
          <w:rFonts w:ascii="Arial" w:cs="Arial" w:eastAsia="Arial" w:hAnsi="Arial"/>
          <w:sz w:val="18"/>
          <w:szCs w:val="18"/>
          <w:color w:val="auto"/>
        </w:rPr>
        <w:t>As of June 30, 2021, we had 90 full-time employees. As our clinical development and commercialization plans and strategies develop, and as we transition into operating as a public company,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spacing w:after="0" w:line="147" w:lineRule="exact"/>
        <w:rPr>
          <w:sz w:val="20"/>
          <w:szCs w:val="20"/>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98" w:lineRule="exact"/>
        <w:rPr>
          <w:rFonts w:ascii="Arial" w:cs="Arial" w:eastAsia="Arial" w:hAnsi="Arial"/>
          <w:sz w:val="18"/>
          <w:szCs w:val="18"/>
          <w:color w:val="auto"/>
        </w:rPr>
      </w:pPr>
    </w:p>
    <w:p>
      <w:pPr>
        <w:ind w:left="880" w:right="180" w:hanging="438"/>
        <w:spacing w:after="0" w:line="308" w:lineRule="auto"/>
        <w:tabs>
          <w:tab w:leader="none" w:pos="875" w:val="left"/>
        </w:tabs>
        <w:numPr>
          <w:ilvl w:val="0"/>
          <w:numId w:val="43"/>
        </w:numPr>
        <w:rPr>
          <w:rFonts w:ascii="Arial" w:cs="Arial" w:eastAsia="Arial" w:hAnsi="Arial"/>
          <w:sz w:val="17"/>
          <w:szCs w:val="17"/>
          <w:color w:val="auto"/>
        </w:rPr>
      </w:pPr>
      <w:r>
        <w:rPr>
          <w:rFonts w:ascii="Arial" w:cs="Arial" w:eastAsia="Arial" w:hAnsi="Arial"/>
          <w:sz w:val="17"/>
          <w:szCs w:val="17"/>
          <w:color w:val="auto"/>
        </w:rPr>
        <w:t>managing our development and commercialization efforts effectively, including the clinical and FDA review process for PLN-74809 and any other product candidates, while complying with our contractual obligations to contractors and other third parties; and</w:t>
      </w:r>
    </w:p>
    <w:p>
      <w:pPr>
        <w:spacing w:after="0" w:line="105" w:lineRule="exact"/>
        <w:rPr>
          <w:rFonts w:ascii="Arial" w:cs="Arial" w:eastAsia="Arial" w:hAnsi="Arial"/>
          <w:sz w:val="17"/>
          <w:szCs w:val="17"/>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85" w:lineRule="exact"/>
        <w:rPr>
          <w:sz w:val="20"/>
          <w:szCs w:val="20"/>
          <w:color w:val="auto"/>
        </w:rPr>
      </w:pPr>
    </w:p>
    <w:p>
      <w:pPr>
        <w:ind w:right="60" w:firstLine="434"/>
        <w:spacing w:after="0" w:line="263" w:lineRule="auto"/>
        <w:rPr>
          <w:sz w:val="20"/>
          <w:szCs w:val="20"/>
          <w:color w:val="auto"/>
        </w:rPr>
      </w:pPr>
      <w:r>
        <w:rPr>
          <w:rFonts w:ascii="Arial" w:cs="Arial" w:eastAsia="Arial" w:hAnsi="Arial"/>
          <w:sz w:val="18"/>
          <w:szCs w:val="18"/>
          <w:color w:val="auto"/>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57" w:lineRule="exact"/>
        <w:rPr>
          <w:sz w:val="20"/>
          <w:szCs w:val="20"/>
          <w:color w:val="auto"/>
        </w:rPr>
      </w:pPr>
    </w:p>
    <w:p>
      <w:pPr>
        <w:ind w:right="40" w:firstLine="434"/>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contract manufacturers and companies focused on research and development and discovery activities.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51" w:lineRule="exact"/>
        <w:rPr>
          <w:sz w:val="20"/>
          <w:szCs w:val="20"/>
          <w:color w:val="auto"/>
        </w:rPr>
      </w:pPr>
    </w:p>
    <w:p>
      <w:pPr>
        <w:ind w:right="100" w:firstLine="434"/>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PLN-74809 or any other product candidates and, accordingly, may not achieve our research, development and commercialization goals.</w:t>
      </w:r>
    </w:p>
    <w:p>
      <w:pPr>
        <w:spacing w:after="0" w:line="143" w:lineRule="exact"/>
        <w:rPr>
          <w:sz w:val="20"/>
          <w:szCs w:val="20"/>
          <w:color w:val="auto"/>
        </w:rPr>
      </w:pPr>
    </w:p>
    <w:p>
      <w:pPr>
        <w:ind w:right="140" w:firstLine="434"/>
        <w:spacing w:after="0" w:line="259" w:lineRule="auto"/>
        <w:rPr>
          <w:sz w:val="20"/>
          <w:szCs w:val="20"/>
          <w:color w:val="auto"/>
        </w:rPr>
      </w:pPr>
      <w:r>
        <w:rPr>
          <w:rFonts w:ascii="Arial" w:cs="Arial" w:eastAsia="Arial" w:hAnsi="Arial"/>
          <w:sz w:val="18"/>
          <w:szCs w:val="18"/>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160" w:lineRule="exact"/>
        <w:rPr>
          <w:sz w:val="20"/>
          <w:szCs w:val="20"/>
          <w:color w:val="auto"/>
        </w:rPr>
      </w:pPr>
    </w:p>
    <w:p>
      <w:pPr>
        <w:ind w:left="220" w:right="40"/>
        <w:spacing w:after="0" w:line="381" w:lineRule="auto"/>
        <w:rPr>
          <w:sz w:val="20"/>
          <w:szCs w:val="20"/>
          <w:color w:val="auto"/>
        </w:rPr>
      </w:pPr>
      <w:r>
        <w:rPr>
          <w:rFonts w:ascii="Arial" w:cs="Arial" w:eastAsia="Arial" w:hAnsi="Arial"/>
          <w:sz w:val="15"/>
          <w:szCs w:val="15"/>
          <w:b w:val="1"/>
          <w:bCs w:val="1"/>
          <w:i w:val="1"/>
          <w:iCs w:val="1"/>
          <w:color w:val="auto"/>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spacing w:after="0" w:line="60" w:lineRule="exact"/>
        <w:rPr>
          <w:sz w:val="20"/>
          <w:szCs w:val="20"/>
          <w:color w:val="auto"/>
        </w:rPr>
      </w:pPr>
    </w:p>
    <w:p>
      <w:pPr>
        <w:ind w:right="40" w:firstLine="434"/>
        <w:spacing w:after="0" w:line="255" w:lineRule="auto"/>
        <w:rPr>
          <w:sz w:val="20"/>
          <w:szCs w:val="20"/>
          <w:color w:val="auto"/>
        </w:rPr>
      </w:pPr>
      <w:r>
        <w:rPr>
          <w:rFonts w:ascii="Arial" w:cs="Arial" w:eastAsia="Arial" w:hAnsi="Arial"/>
          <w:sz w:val="18"/>
          <w:szCs w:val="18"/>
          <w:color w:val="auto"/>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Bernard Coulie, M.D., Ph.D., our President and Chief Executive Officer, Keith Cummings, M.D., our Chief Financial Officer, Barbara Howes, our Chief Human Resources Officer, Johannes (Hans) Hull, J.D., our Chief Business Officer and Éric Lefebvre, M.D., our Chief Medical Officer. The loss of the services of any of our executive officers, other key employees and other scientific and medical advisors, and our inability to find suitable replacements could result in delays in product development and harm our business.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8" w:name="page69"/>
    <w:bookmarkEnd w:id="68"/>
    <w:p>
      <w:pPr>
        <w:ind w:firstLine="434"/>
        <w:spacing w:after="0" w:line="263" w:lineRule="auto"/>
        <w:rPr>
          <w:sz w:val="20"/>
          <w:szCs w:val="20"/>
          <w:color w:val="auto"/>
        </w:rPr>
      </w:pPr>
      <w:r>
        <w:rPr>
          <w:rFonts w:ascii="Arial" w:cs="Arial" w:eastAsia="Arial" w:hAnsi="Arial"/>
          <w:sz w:val="18"/>
          <w:szCs w:val="18"/>
          <w:color w:val="auto"/>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w:t>
      </w:r>
    </w:p>
    <w:p>
      <w:pPr>
        <w:spacing w:after="0" w:line="157" w:lineRule="exact"/>
        <w:rPr>
          <w:sz w:val="20"/>
          <w:szCs w:val="20"/>
          <w:color w:val="auto"/>
        </w:rPr>
      </w:pPr>
    </w:p>
    <w:p>
      <w:pPr>
        <w:ind w:right="40" w:firstLine="434"/>
        <w:spacing w:after="0" w:line="272"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spacing w:after="0" w:line="137" w:lineRule="exact"/>
        <w:rPr>
          <w:sz w:val="20"/>
          <w:szCs w:val="20"/>
          <w:color w:val="auto"/>
        </w:rPr>
      </w:pPr>
    </w:p>
    <w:p>
      <w:pPr>
        <w:ind w:left="220"/>
        <w:spacing w:after="0" w:line="263" w:lineRule="auto"/>
        <w:rPr>
          <w:sz w:val="20"/>
          <w:szCs w:val="20"/>
          <w:color w:val="auto"/>
        </w:rPr>
      </w:pPr>
      <w:r>
        <w:rPr>
          <w:rFonts w:ascii="Arial" w:cs="Arial" w:eastAsia="Arial" w:hAnsi="Arial"/>
          <w:sz w:val="18"/>
          <w:szCs w:val="18"/>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spacing w:after="0" w:line="143" w:lineRule="exact"/>
        <w:rPr>
          <w:sz w:val="20"/>
          <w:szCs w:val="20"/>
          <w:color w:val="auto"/>
        </w:rPr>
      </w:pPr>
    </w:p>
    <w:p>
      <w:pPr>
        <w:ind w:right="40" w:firstLine="434"/>
        <w:spacing w:after="0" w:line="269" w:lineRule="auto"/>
        <w:rPr>
          <w:sz w:val="20"/>
          <w:szCs w:val="20"/>
          <w:color w:val="auto"/>
        </w:rPr>
      </w:pPr>
      <w:r>
        <w:rPr>
          <w:rFonts w:ascii="Arial" w:cs="Arial" w:eastAsia="Arial" w:hAnsi="Arial"/>
          <w:sz w:val="17"/>
          <w:szCs w:val="17"/>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spacing w:after="0" w:line="158" w:lineRule="exact"/>
        <w:rPr>
          <w:sz w:val="20"/>
          <w:szCs w:val="20"/>
          <w:color w:val="auto"/>
        </w:rPr>
      </w:pPr>
    </w:p>
    <w:p>
      <w:pPr>
        <w:ind w:firstLine="434"/>
        <w:spacing w:after="0" w:line="293"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9" w:name="page70"/>
    <w:bookmarkEnd w:id="69"/>
    <w:p>
      <w:pPr>
        <w:ind w:left="220" w:right="6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collaborators and vendors may engage in misconduct or other improper activities, including noncompliance with regulatory standards and requirements.</w:t>
      </w:r>
    </w:p>
    <w:p>
      <w:pPr>
        <w:spacing w:after="0" w:line="143" w:lineRule="exact"/>
        <w:rPr>
          <w:sz w:val="20"/>
          <w:szCs w:val="20"/>
          <w:color w:val="auto"/>
        </w:rPr>
      </w:pPr>
    </w:p>
    <w:p>
      <w:pPr>
        <w:ind w:firstLine="434"/>
        <w:spacing w:after="0" w:line="268" w:lineRule="auto"/>
        <w:rPr>
          <w:sz w:val="20"/>
          <w:szCs w:val="20"/>
          <w:color w:val="auto"/>
        </w:rPr>
      </w:pPr>
      <w:r>
        <w:rPr>
          <w:rFonts w:ascii="Arial" w:cs="Arial" w:eastAsia="Arial" w:hAnsi="Arial"/>
          <w:sz w:val="17"/>
          <w:szCs w:val="17"/>
          <w:color w:val="auto"/>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85" w:lineRule="exact"/>
        <w:rPr>
          <w:sz w:val="20"/>
          <w:szCs w:val="20"/>
          <w:color w:val="auto"/>
        </w:rPr>
      </w:pPr>
    </w:p>
    <w:p>
      <w:pPr>
        <w:ind w:right="80" w:firstLine="434"/>
        <w:spacing w:after="0" w:line="271" w:lineRule="auto"/>
        <w:rPr>
          <w:sz w:val="20"/>
          <w:szCs w:val="20"/>
          <w:color w:val="auto"/>
        </w:rPr>
      </w:pPr>
      <w:r>
        <w:rPr>
          <w:rFonts w:ascii="Arial" w:cs="Arial" w:eastAsia="Arial" w:hAnsi="Arial"/>
          <w:sz w:val="17"/>
          <w:szCs w:val="17"/>
          <w:color w:val="auto"/>
        </w:rPr>
        <w:t>Our research programs involve the use of hazardous materials and chemicals, which are currently only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151" w:lineRule="exact"/>
        <w:rPr>
          <w:sz w:val="20"/>
          <w:szCs w:val="20"/>
          <w:color w:val="auto"/>
        </w:rPr>
      </w:pPr>
    </w:p>
    <w:p>
      <w:pPr>
        <w:ind w:left="220" w:right="3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30" w:lineRule="exact"/>
        <w:rPr>
          <w:sz w:val="20"/>
          <w:szCs w:val="20"/>
          <w:color w:val="auto"/>
        </w:rPr>
      </w:pPr>
    </w:p>
    <w:p>
      <w:pPr>
        <w:ind w:right="20" w:firstLine="434"/>
        <w:spacing w:after="0" w:line="26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44" w:lineRule="exact"/>
        <w:rPr>
          <w:sz w:val="20"/>
          <w:szCs w:val="20"/>
          <w:color w:val="auto"/>
        </w:rPr>
      </w:pPr>
    </w:p>
    <w:p>
      <w:pPr>
        <w:jc w:val="both"/>
        <w:ind w:right="40" w:firstLine="434"/>
        <w:spacing w:after="0" w:line="26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0" w:name="page71"/>
    <w:bookmarkEnd w:id="70"/>
    <w:p>
      <w:pPr>
        <w:ind w:right="40"/>
        <w:spacing w:after="0" w:line="277" w:lineRule="auto"/>
        <w:rPr>
          <w:sz w:val="20"/>
          <w:szCs w:val="20"/>
          <w:color w:val="auto"/>
        </w:rPr>
      </w:pPr>
      <w:r>
        <w:rPr>
          <w:rFonts w:ascii="Arial" w:cs="Arial" w:eastAsia="Arial" w:hAnsi="Arial"/>
          <w:sz w:val="18"/>
          <w:szCs w:val="18"/>
          <w:color w:val="auto"/>
        </w:rPr>
        <w:t>coverage, workers’ compensation or property and casualty and general liability insurance policies that include coverage for damages and fines arising from biological or hazardous waste exposure or contamination.</w:t>
      </w:r>
    </w:p>
    <w:p>
      <w:pPr>
        <w:spacing w:after="0" w:line="143" w:lineRule="exact"/>
        <w:rPr>
          <w:sz w:val="20"/>
          <w:szCs w:val="20"/>
          <w:color w:val="auto"/>
        </w:rPr>
      </w:pPr>
    </w:p>
    <w:p>
      <w:pPr>
        <w:ind w:left="220" w:right="260"/>
        <w:spacing w:after="0" w:line="277" w:lineRule="auto"/>
        <w:rPr>
          <w:sz w:val="20"/>
          <w:szCs w:val="20"/>
          <w:color w:val="auto"/>
        </w:rPr>
      </w:pPr>
      <w:r>
        <w:rPr>
          <w:rFonts w:ascii="Arial" w:cs="Arial" w:eastAsia="Arial" w:hAnsi="Arial"/>
          <w:sz w:val="18"/>
          <w:szCs w:val="18"/>
          <w:b w:val="1"/>
          <w:bCs w:val="1"/>
          <w:i w:val="1"/>
          <w:iCs w:val="1"/>
          <w:color w:val="auto"/>
        </w:rPr>
        <w:t>Compliance with governmental regulations regarding the treatment of animals used in research could increase our operating costs, which would adversely affect the commercialization of our products.</w:t>
      </w:r>
    </w:p>
    <w:p>
      <w:pPr>
        <w:spacing w:after="0" w:line="130" w:lineRule="exact"/>
        <w:rPr>
          <w:sz w:val="20"/>
          <w:szCs w:val="20"/>
          <w:color w:val="auto"/>
        </w:rPr>
      </w:pPr>
    </w:p>
    <w:p>
      <w:pPr>
        <w:ind w:firstLine="434"/>
        <w:spacing w:after="0" w:line="272" w:lineRule="auto"/>
        <w:rPr>
          <w:sz w:val="20"/>
          <w:szCs w:val="20"/>
          <w:color w:val="auto"/>
        </w:rPr>
      </w:pPr>
      <w:r>
        <w:rPr>
          <w:rFonts w:ascii="Arial" w:cs="Arial" w:eastAsia="Arial" w:hAnsi="Arial"/>
          <w:sz w:val="17"/>
          <w:szCs w:val="17"/>
          <w:color w:val="auto"/>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198" w:lineRule="exact"/>
        <w:rPr>
          <w:sz w:val="20"/>
          <w:szCs w:val="20"/>
          <w:color w:val="auto"/>
        </w:rPr>
      </w:pPr>
    </w:p>
    <w:p>
      <w:pPr>
        <w:ind w:right="20" w:firstLine="434"/>
        <w:spacing w:after="0" w:line="286" w:lineRule="auto"/>
        <w:rPr>
          <w:sz w:val="20"/>
          <w:szCs w:val="20"/>
          <w:color w:val="auto"/>
        </w:rPr>
      </w:pPr>
      <w:r>
        <w:rPr>
          <w:rFonts w:ascii="Arial" w:cs="Arial" w:eastAsia="Arial" w:hAnsi="Arial"/>
          <w:sz w:val="16"/>
          <w:szCs w:val="16"/>
          <w:color w:val="auto"/>
        </w:rPr>
        <w:t>As of December 31, 2020, we had net operating loss carryforwards for U.S. federal and state income tax purposes of $96.5 million and $97.3 million, respectively, some of which will begin to expire in 2035. As of December 31, 2020, we also had available tax credit carryforwards for U.S. federal income tax purposes of $7.5 million, which begin to expire in 2036, and state income tax purposes of $2.5 million. Under Section 382 of the Internal Revenue Code,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completed a Section 382 study of transactions in our stock ownership through December 31, 2020 and concluded that we have experienced ownership changes since inception and our utilization of pre-change net operating loss and credit carryforwards will be subject to the limitation. In addition, we may experience subsequent ownership changes as a result of future equity offerings or other changes in our stock ownership. Any such limitation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An active or liquid market for our common stock may not be sustained</w:t>
      </w:r>
    </w:p>
    <w:p>
      <w:pPr>
        <w:spacing w:after="0" w:line="23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Prior to our initial public offering in June 2020, there was no public market for shares of our common stock. In connection with our initial public offering, our common stock was listed for trading on the Nasdaq Global Select Market. However, an active or liquid market in our common stock may not be sustained.</w:t>
      </w:r>
    </w:p>
    <w:p>
      <w:pPr>
        <w:spacing w:after="0" w:line="143" w:lineRule="exact"/>
        <w:rPr>
          <w:sz w:val="20"/>
          <w:szCs w:val="20"/>
          <w:color w:val="auto"/>
        </w:rPr>
      </w:pPr>
    </w:p>
    <w:p>
      <w:pPr>
        <w:ind w:right="40" w:firstLine="434"/>
        <w:spacing w:after="0" w:line="277" w:lineRule="auto"/>
        <w:rPr>
          <w:sz w:val="20"/>
          <w:szCs w:val="20"/>
          <w:color w:val="auto"/>
        </w:rPr>
      </w:pPr>
      <w:r>
        <w:rPr>
          <w:rFonts w:ascii="Arial" w:cs="Arial" w:eastAsia="Arial" w:hAnsi="Arial"/>
          <w:sz w:val="18"/>
          <w:szCs w:val="18"/>
          <w:color w:val="auto"/>
        </w:rPr>
        <w:t>Further,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71" w:name="page72"/>
    <w:bookmarkEnd w:id="71"/>
    <w:p>
      <w:pPr>
        <w:ind w:left="22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98" w:lineRule="exact"/>
        <w:rPr>
          <w:sz w:val="20"/>
          <w:szCs w:val="20"/>
          <w:color w:val="auto"/>
        </w:rPr>
      </w:pPr>
    </w:p>
    <w:p>
      <w:pPr>
        <w:ind w:firstLine="434"/>
        <w:spacing w:after="0" w:line="263" w:lineRule="auto"/>
        <w:rPr>
          <w:sz w:val="20"/>
          <w:szCs w:val="20"/>
          <w:color w:val="auto"/>
        </w:rPr>
      </w:pPr>
      <w:r>
        <w:rPr>
          <w:rFonts w:ascii="Arial" w:cs="Arial" w:eastAsia="Arial" w:hAnsi="Arial"/>
          <w:sz w:val="18"/>
          <w:szCs w:val="18"/>
          <w:color w:val="auto"/>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spacing w:after="0" w:line="143" w:lineRule="exact"/>
        <w:rPr>
          <w:sz w:val="20"/>
          <w:szCs w:val="20"/>
          <w:color w:val="auto"/>
        </w:rPr>
      </w:pPr>
    </w:p>
    <w:p>
      <w:pPr>
        <w:ind w:left="880" w:right="400" w:hanging="438"/>
        <w:spacing w:after="0" w:line="277" w:lineRule="auto"/>
        <w:tabs>
          <w:tab w:leader="none" w:pos="8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commencement, enrollment or results of our current Phase 2a clinical trials of PLN-74809 and any other clinical trials for our product candidates conducted by us or our collaborators;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delay in identifying and advancing a clinical candidate for our other development programs;</w:t>
      </w:r>
    </w:p>
    <w:p>
      <w:pPr>
        <w:spacing w:after="0" w:line="198" w:lineRule="exact"/>
        <w:rPr>
          <w:rFonts w:ascii="Arial" w:cs="Arial" w:eastAsia="Arial" w:hAnsi="Arial"/>
          <w:sz w:val="18"/>
          <w:szCs w:val="18"/>
          <w:color w:val="auto"/>
        </w:rPr>
      </w:pPr>
    </w:p>
    <w:p>
      <w:pPr>
        <w:ind w:left="880" w:right="160" w:hanging="438"/>
        <w:spacing w:after="0" w:line="263" w:lineRule="auto"/>
        <w:tabs>
          <w:tab w:leader="none" w:pos="8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delay in our regulatory filings for PLN-74809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results or delays in future clinical trials;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PLN-74809 or any other product candidate;</w:t>
      </w:r>
    </w:p>
    <w:p>
      <w:pPr>
        <w:spacing w:after="0" w:line="184" w:lineRule="exact"/>
        <w:rPr>
          <w:rFonts w:ascii="Arial" w:cs="Arial" w:eastAsia="Arial" w:hAnsi="Arial"/>
          <w:sz w:val="18"/>
          <w:szCs w:val="18"/>
          <w:color w:val="auto"/>
        </w:rPr>
      </w:pPr>
    </w:p>
    <w:p>
      <w:pPr>
        <w:ind w:left="880" w:right="80" w:hanging="438"/>
        <w:spacing w:after="0" w:line="277" w:lineRule="auto"/>
        <w:tabs>
          <w:tab w:leader="none" w:pos="8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laws or regulations applicable to PLN-74809 or any other product candidate, including but not limited to clinical trial requirements for approvals;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developments concerning our manufacturers;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 if approved;</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PLN-74809 or any other product candidate;</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or our competitors;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84" w:lineRule="exact"/>
        <w:rPr>
          <w:rFonts w:ascii="Arial" w:cs="Arial" w:eastAsia="Arial" w:hAnsi="Arial"/>
          <w:sz w:val="18"/>
          <w:szCs w:val="18"/>
          <w:color w:val="auto"/>
        </w:rPr>
      </w:pPr>
    </w:p>
    <w:p>
      <w:pPr>
        <w:ind w:left="880" w:right="600" w:hanging="438"/>
        <w:spacing w:after="0" w:line="277" w:lineRule="auto"/>
        <w:tabs>
          <w:tab w:leader="none" w:pos="8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product candidates in particular, or positive or negative recommendations or withdrawal of research coverage by securities analysts;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ectPr>
          <w:pgSz w:w="11900" w:h="16838" w:orient="portrait"/>
          <w:cols w:equalWidth="0" w:num="1">
            <w:col w:w="11180"/>
          </w:cols>
          <w:pgMar w:left="320" w:top="1070"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type w:val="continuous"/>
        </w:sectPr>
      </w:pPr>
    </w:p>
    <w:bookmarkStart w:id="72" w:name="page73"/>
    <w:bookmarkEnd w:id="72"/>
    <w:p>
      <w:pPr>
        <w:ind w:left="860" w:hanging="418"/>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84" w:lineRule="exact"/>
        <w:rPr>
          <w:rFonts w:ascii="Arial" w:cs="Arial" w:eastAsia="Arial" w:hAnsi="Arial"/>
          <w:sz w:val="18"/>
          <w:szCs w:val="18"/>
          <w:color w:val="auto"/>
        </w:rPr>
      </w:pPr>
    </w:p>
    <w:p>
      <w:pPr>
        <w:ind w:left="880" w:right="60" w:hanging="438"/>
        <w:spacing w:after="0" w:line="277" w:lineRule="auto"/>
        <w:tabs>
          <w:tab w:leader="none" w:pos="8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85" w:lineRule="exact"/>
        <w:rPr>
          <w:sz w:val="20"/>
          <w:szCs w:val="20"/>
          <w:color w:val="auto"/>
        </w:rPr>
      </w:pPr>
    </w:p>
    <w:p>
      <w:pPr>
        <w:ind w:right="40" w:firstLine="434"/>
        <w:spacing w:after="0" w:line="296" w:lineRule="auto"/>
        <w:rPr>
          <w:sz w:val="20"/>
          <w:szCs w:val="20"/>
          <w:color w:val="auto"/>
        </w:rPr>
      </w:pPr>
      <w:r>
        <w:rPr>
          <w:rFonts w:ascii="Arial" w:cs="Arial" w:eastAsia="Arial" w:hAnsi="Arial"/>
          <w:sz w:val="16"/>
          <w:szCs w:val="16"/>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the COVID-19 pandemic.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85" w:lineRule="exact"/>
        <w:rPr>
          <w:sz w:val="20"/>
          <w:szCs w:val="20"/>
          <w:color w:val="auto"/>
        </w:rPr>
      </w:pPr>
    </w:p>
    <w:p>
      <w:pPr>
        <w:ind w:right="140" w:firstLine="434"/>
        <w:spacing w:after="0" w:line="279"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to fund the development, operation and growth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131" w:lineRule="exact"/>
        <w:rPr>
          <w:sz w:val="20"/>
          <w:szCs w:val="20"/>
          <w:color w:val="auto"/>
        </w:rPr>
      </w:pPr>
    </w:p>
    <w:p>
      <w:pPr>
        <w:ind w:left="220" w:right="34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their affiliates and our principal stockholders own a significant percentage of our stock and will be able to exert significant control over matters subject to stockholder approval.</w:t>
      </w:r>
    </w:p>
    <w:p>
      <w:pPr>
        <w:spacing w:after="0" w:line="143" w:lineRule="exact"/>
        <w:rPr>
          <w:sz w:val="20"/>
          <w:szCs w:val="20"/>
          <w:color w:val="auto"/>
        </w:rPr>
      </w:pPr>
    </w:p>
    <w:p>
      <w:pPr>
        <w:ind w:firstLine="434"/>
        <w:spacing w:after="0" w:line="296" w:lineRule="auto"/>
        <w:rPr>
          <w:sz w:val="20"/>
          <w:szCs w:val="20"/>
          <w:color w:val="auto"/>
        </w:rPr>
      </w:pPr>
      <w:r>
        <w:rPr>
          <w:rFonts w:ascii="Arial" w:cs="Arial" w:eastAsia="Arial" w:hAnsi="Arial"/>
          <w:sz w:val="16"/>
          <w:szCs w:val="16"/>
          <w:color w:val="auto"/>
        </w:rPr>
        <w:t>Based on shares outstanding as of June 30, 2021, our executive officers, directors and their affiliates and our principal stockholders beneficially held, in the aggregate, approximately a quarter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21" w:lineRule="exact"/>
        <w:rPr>
          <w:sz w:val="20"/>
          <w:szCs w:val="20"/>
          <w:color w:val="auto"/>
        </w:rPr>
      </w:pPr>
    </w:p>
    <w:p>
      <w:pPr>
        <w:ind w:left="220" w:right="400"/>
        <w:spacing w:after="0" w:line="277" w:lineRule="auto"/>
        <w:rPr>
          <w:sz w:val="20"/>
          <w:szCs w:val="20"/>
          <w:color w:val="auto"/>
        </w:rPr>
      </w:pPr>
      <w:r>
        <w:rPr>
          <w:rFonts w:ascii="Arial" w:cs="Arial" w:eastAsia="Arial" w:hAnsi="Arial"/>
          <w:sz w:val="18"/>
          <w:szCs w:val="18"/>
          <w:b w:val="1"/>
          <w:bCs w:val="1"/>
          <w:i w:val="1"/>
          <w:iCs w:val="1"/>
          <w:color w:val="auto"/>
        </w:rPr>
        <w:t>We are currently an emerging growth company, and we cannot be certain if the reduced reporting requirements applicable to emerging growth companies will make our common stock less attractive to investors.</w:t>
      </w:r>
    </w:p>
    <w:p>
      <w:pPr>
        <w:spacing w:after="0" w:line="130" w:lineRule="exact"/>
        <w:rPr>
          <w:sz w:val="20"/>
          <w:szCs w:val="20"/>
          <w:color w:val="auto"/>
        </w:rPr>
      </w:pPr>
    </w:p>
    <w:p>
      <w:pPr>
        <w:ind w:right="60" w:firstLine="434"/>
        <w:spacing w:after="0" w:line="296" w:lineRule="auto"/>
        <w:rPr>
          <w:sz w:val="20"/>
          <w:szCs w:val="20"/>
          <w:color w:val="auto"/>
        </w:rPr>
      </w:pPr>
      <w:r>
        <w:rPr>
          <w:rFonts w:ascii="Arial" w:cs="Arial" w:eastAsia="Arial" w:hAnsi="Arial"/>
          <w:sz w:val="16"/>
          <w:szCs w:val="16"/>
          <w:color w:val="auto"/>
        </w:rPr>
        <w:t>We are currently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and our periodic reports and proxy statements and exemptions from the requirements of holding nonbinding advisory votes on executive compensation and stockholder approval of any golden parachute payments not previously approved.</w:t>
      </w:r>
    </w:p>
    <w:p>
      <w:pPr>
        <w:spacing w:after="0" w:line="121" w:lineRule="exact"/>
        <w:rPr>
          <w:sz w:val="20"/>
          <w:szCs w:val="20"/>
          <w:color w:val="auto"/>
        </w:rPr>
      </w:pPr>
    </w:p>
    <w:p>
      <w:pPr>
        <w:jc w:val="both"/>
        <w:ind w:right="100" w:firstLine="434"/>
        <w:spacing w:after="0" w:line="235" w:lineRule="auto"/>
        <w:rPr>
          <w:sz w:val="20"/>
          <w:szCs w:val="20"/>
          <w:color w:val="auto"/>
        </w:rPr>
      </w:pPr>
      <w:r>
        <w:rPr>
          <w:rFonts w:ascii="Arial" w:cs="Arial" w:eastAsia="Arial" w:hAnsi="Arial"/>
          <w:sz w:val="18"/>
          <w:szCs w:val="18"/>
          <w:color w:val="auto"/>
        </w:rPr>
        <w:t>We may take advantage of these exemptions until we are no longer an emerging growth company. Based on the market value of our common stock held by our non-affiliates as of June 30, 2021, we currently expect to be deemed a “large accelerated filer” on December 31, 2021 and thus lose our status as an emerging growth company as of such date.</w:t>
      </w:r>
    </w:p>
    <w:p>
      <w:pPr>
        <w:spacing w:after="0" w:line="134" w:lineRule="exact"/>
        <w:rPr>
          <w:sz w:val="20"/>
          <w:szCs w:val="20"/>
          <w:color w:val="auto"/>
        </w:rPr>
      </w:pPr>
    </w:p>
    <w:p>
      <w:pPr>
        <w:ind w:right="80" w:firstLine="434"/>
        <w:spacing w:after="0" w:line="253" w:lineRule="auto"/>
        <w:rPr>
          <w:sz w:val="20"/>
          <w:szCs w:val="20"/>
          <w:color w:val="auto"/>
        </w:rPr>
      </w:pPr>
      <w:r>
        <w:rPr>
          <w:rFonts w:ascii="Arial" w:cs="Arial" w:eastAsia="Arial" w:hAnsi="Arial"/>
          <w:sz w:val="17"/>
          <w:szCs w:val="17"/>
          <w:color w:val="auto"/>
        </w:rPr>
        <w:t>Until we are no longer an emerging growth company, we may choose to take advantage of some, but not all, of the available exemptions.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3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which may make our financial statements less comparable to companies that comply with new or revised accounting pronouncements as of public company effective dates.</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73" w:name="page74"/>
    <w:bookmarkEnd w:id="73"/>
    <w:p>
      <w:pPr>
        <w:ind w:left="220"/>
        <w:spacing w:after="0"/>
        <w:rPr>
          <w:sz w:val="20"/>
          <w:szCs w:val="20"/>
          <w:color w:val="auto"/>
        </w:rPr>
      </w:pPr>
      <w:r>
        <w:rPr>
          <w:rFonts w:ascii="Arial" w:cs="Arial" w:eastAsia="Arial" w:hAnsi="Arial"/>
          <w:sz w:val="18"/>
          <w:szCs w:val="18"/>
          <w:b w:val="1"/>
          <w:bCs w:val="1"/>
          <w:i w:val="1"/>
          <w:iCs w:val="1"/>
          <w:color w:val="auto"/>
        </w:rPr>
        <w:t>If there are substantial sales of shares of our common stock, the price of our common stock could decline.</w:t>
      </w:r>
    </w:p>
    <w:p>
      <w:pPr>
        <w:spacing w:after="0" w:line="158" w:lineRule="exact"/>
        <w:rPr>
          <w:sz w:val="20"/>
          <w:szCs w:val="20"/>
          <w:color w:val="auto"/>
        </w:rPr>
      </w:pPr>
    </w:p>
    <w:p>
      <w:pPr>
        <w:ind w:firstLine="434"/>
        <w:spacing w:after="0" w:line="289" w:lineRule="auto"/>
        <w:rPr>
          <w:sz w:val="20"/>
          <w:szCs w:val="20"/>
          <w:color w:val="auto"/>
        </w:rPr>
      </w:pPr>
      <w:r>
        <w:rPr>
          <w:rFonts w:ascii="Arial" w:cs="Arial" w:eastAsia="Arial" w:hAnsi="Arial"/>
          <w:sz w:val="16"/>
          <w:szCs w:val="16"/>
          <w:color w:val="auto"/>
        </w:rPr>
        <w:t>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Plan will automatically increase on January 1 of each year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ESPP will automatically increase on January 1 of each year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spacing w:after="0" w:line="139" w:lineRule="exact"/>
        <w:rPr>
          <w:sz w:val="20"/>
          <w:szCs w:val="20"/>
          <w:color w:val="auto"/>
        </w:rPr>
      </w:pPr>
    </w:p>
    <w:p>
      <w:pPr>
        <w:ind w:right="20" w:firstLine="434"/>
        <w:spacing w:after="0" w:line="275" w:lineRule="auto"/>
        <w:rPr>
          <w:sz w:val="20"/>
          <w:szCs w:val="20"/>
          <w:color w:val="auto"/>
        </w:rPr>
      </w:pPr>
      <w:r>
        <w:rPr>
          <w:rFonts w:ascii="Arial" w:cs="Arial" w:eastAsia="Arial" w:hAnsi="Arial"/>
          <w:sz w:val="17"/>
          <w:szCs w:val="17"/>
          <w:color w:val="auto"/>
        </w:rPr>
        <w:t>The holders of over 20 million shares of our common stock are entitled to rights with respect to the registration of their shares under the Securities Act of 1933, as amended, or the Securities Act, as provided under the terms of an investors’ rights agreement between us and certain of our stockholders.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or the perception that such sales could occur, could have a material adverse effect on the trading price of our common stock.</w:t>
      </w:r>
    </w:p>
    <w:p>
      <w:pPr>
        <w:spacing w:after="0" w:line="122" w:lineRule="exact"/>
        <w:rPr>
          <w:sz w:val="20"/>
          <w:szCs w:val="20"/>
          <w:color w:val="auto"/>
        </w:rPr>
      </w:pPr>
    </w:p>
    <w:p>
      <w:pPr>
        <w:ind w:left="220" w:right="220"/>
        <w:spacing w:after="0" w:line="289"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97" w:lineRule="exact"/>
        <w:rPr>
          <w:sz w:val="20"/>
          <w:szCs w:val="20"/>
          <w:color w:val="auto"/>
        </w:rPr>
      </w:pPr>
    </w:p>
    <w:p>
      <w:pPr>
        <w:ind w:right="420" w:firstLine="434"/>
        <w:spacing w:after="0" w:line="277"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143" w:lineRule="exact"/>
        <w:rPr>
          <w:sz w:val="20"/>
          <w:szCs w:val="20"/>
          <w:color w:val="auto"/>
        </w:rPr>
      </w:pPr>
    </w:p>
    <w:p>
      <w:pPr>
        <w:ind w:left="880" w:right="140" w:hanging="438"/>
        <w:spacing w:after="0" w:line="277" w:lineRule="auto"/>
        <w:tabs>
          <w:tab w:leader="none" w:pos="8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129" w:lineRule="exact"/>
        <w:rPr>
          <w:rFonts w:ascii="Arial" w:cs="Arial" w:eastAsia="Arial" w:hAnsi="Arial"/>
          <w:sz w:val="18"/>
          <w:szCs w:val="18"/>
          <w:color w:val="auto"/>
        </w:rPr>
      </w:pPr>
    </w:p>
    <w:p>
      <w:pPr>
        <w:ind w:left="880" w:right="900" w:hanging="438"/>
        <w:spacing w:after="0" w:line="277" w:lineRule="auto"/>
        <w:tabs>
          <w:tab w:leader="none" w:pos="8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129" w:lineRule="exact"/>
        <w:rPr>
          <w:rFonts w:ascii="Arial" w:cs="Arial" w:eastAsia="Arial" w:hAnsi="Arial"/>
          <w:sz w:val="18"/>
          <w:szCs w:val="18"/>
          <w:color w:val="auto"/>
        </w:rPr>
      </w:pPr>
    </w:p>
    <w:p>
      <w:pPr>
        <w:ind w:left="880" w:right="360" w:hanging="438"/>
        <w:spacing w:after="0" w:line="277" w:lineRule="auto"/>
        <w:tabs>
          <w:tab w:leader="none" w:pos="8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84" w:lineRule="exact"/>
        <w:rPr>
          <w:rFonts w:ascii="Arial" w:cs="Arial" w:eastAsia="Arial" w:hAnsi="Arial"/>
          <w:sz w:val="18"/>
          <w:szCs w:val="18"/>
          <w:color w:val="auto"/>
        </w:rPr>
      </w:pPr>
    </w:p>
    <w:p>
      <w:pPr>
        <w:ind w:left="880" w:right="160" w:hanging="438"/>
        <w:spacing w:after="0" w:line="263" w:lineRule="auto"/>
        <w:tabs>
          <w:tab w:leader="none" w:pos="8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43" w:lineRule="exact"/>
        <w:rPr>
          <w:rFonts w:ascii="Arial" w:cs="Arial" w:eastAsia="Arial" w:hAnsi="Arial"/>
          <w:sz w:val="18"/>
          <w:szCs w:val="18"/>
          <w:color w:val="auto"/>
        </w:rPr>
      </w:pPr>
    </w:p>
    <w:p>
      <w:pPr>
        <w:ind w:left="880" w:hanging="438"/>
        <w:spacing w:after="0" w:line="277" w:lineRule="auto"/>
        <w:tabs>
          <w:tab w:leader="none" w:pos="8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143" w:lineRule="exact"/>
        <w:rPr>
          <w:rFonts w:ascii="Arial" w:cs="Arial" w:eastAsia="Arial" w:hAnsi="Arial"/>
          <w:sz w:val="18"/>
          <w:szCs w:val="18"/>
          <w:color w:val="auto"/>
        </w:rPr>
      </w:pPr>
    </w:p>
    <w:p>
      <w:pPr>
        <w:ind w:left="880" w:right="140" w:hanging="438"/>
        <w:spacing w:after="0" w:line="277" w:lineRule="auto"/>
        <w:tabs>
          <w:tab w:leader="none" w:pos="8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30" w:lineRule="exact"/>
        <w:rPr>
          <w:sz w:val="20"/>
          <w:szCs w:val="20"/>
          <w:color w:val="auto"/>
        </w:rPr>
      </w:pPr>
    </w:p>
    <w:p>
      <w:pPr>
        <w:ind w:right="40" w:firstLine="434"/>
        <w:spacing w:after="0" w:line="291"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General Corporation Law of the State of Delaware, or the DGCL,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74" w:name="page75"/>
    <w:bookmarkEnd w:id="74"/>
    <w:p>
      <w:pPr>
        <w:ind w:left="220" w:right="220"/>
        <w:spacing w:after="0" w:line="277" w:lineRule="auto"/>
        <w:rPr>
          <w:sz w:val="20"/>
          <w:szCs w:val="20"/>
          <w:color w:val="auto"/>
        </w:rPr>
      </w:pPr>
      <w:r>
        <w:rPr>
          <w:rFonts w:ascii="Arial" w:cs="Arial" w:eastAsia="Arial" w:hAnsi="Arial"/>
          <w:sz w:val="18"/>
          <w:szCs w:val="18"/>
          <w:b w:val="1"/>
          <w:bCs w:val="1"/>
          <w:i w:val="1"/>
          <w:iCs w:val="1"/>
          <w:color w:val="231F20"/>
        </w:rPr>
        <w:t>Our bylaws designate certain courts as the exclusive forum for certain litigation that may be initiated by our stockholders, which could limit our stockholders’ ability to litigate disputes with us in a different judicial forum.</w:t>
      </w:r>
    </w:p>
    <w:p>
      <w:pPr>
        <w:spacing w:after="0" w:line="116" w:lineRule="exact"/>
        <w:rPr>
          <w:sz w:val="20"/>
          <w:szCs w:val="20"/>
          <w:color w:val="auto"/>
        </w:rPr>
      </w:pPr>
    </w:p>
    <w:p>
      <w:pPr>
        <w:ind w:firstLine="434"/>
        <w:spacing w:after="0" w:line="269" w:lineRule="auto"/>
        <w:rPr>
          <w:sz w:val="20"/>
          <w:szCs w:val="20"/>
          <w:color w:val="auto"/>
        </w:rPr>
      </w:pPr>
      <w:r>
        <w:rPr>
          <w:rFonts w:ascii="Arial" w:cs="Arial" w:eastAsia="Arial" w:hAnsi="Arial"/>
          <w:sz w:val="17"/>
          <w:szCs w:val="17"/>
          <w:color w:val="231F20"/>
        </w:rPr>
        <w:t>P</w:t>
      </w:r>
      <w:r>
        <w:rPr>
          <w:rFonts w:ascii="Arial" w:cs="Arial" w:eastAsia="Arial" w:hAnsi="Arial"/>
          <w:sz w:val="17"/>
          <w:szCs w:val="17"/>
          <w:color w:val="000000"/>
        </w:rPr>
        <w:t>ursuant to our bylaws, unless we consent in writing to the selection of an alternative forum, the Court of Chancery of the State of Delaware will be</w:t>
      </w:r>
      <w:r>
        <w:rPr>
          <w:rFonts w:ascii="Arial" w:cs="Arial" w:eastAsia="Arial" w:hAnsi="Arial"/>
          <w:sz w:val="17"/>
          <w:szCs w:val="17"/>
          <w:color w:val="231F20"/>
        </w:rPr>
        <w:t xml:space="preserve"> </w:t>
      </w:r>
      <w:r>
        <w:rPr>
          <w:rFonts w:ascii="Arial" w:cs="Arial" w:eastAsia="Arial" w:hAnsi="Arial"/>
          <w:sz w:val="17"/>
          <w:szCs w:val="17"/>
          <w:color w:val="000000"/>
        </w:rPr>
        <w:t>the sole 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DGCL, our certificate of incorporation or our bylaws; (iv) any action to interpret, apply, enforce or determine the validity of our certificate of incorporation or bylaws; or (v) any action asserting a claim governed by the internal affairs doctrine,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52"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231F20"/>
        </w:rPr>
        <w:t>General Risk Factors</w:t>
      </w:r>
    </w:p>
    <w:p>
      <w:pPr>
        <w:spacing w:after="0" w:line="256" w:lineRule="exact"/>
        <w:rPr>
          <w:sz w:val="20"/>
          <w:szCs w:val="20"/>
          <w:color w:val="auto"/>
        </w:rPr>
      </w:pPr>
    </w:p>
    <w:p>
      <w:pPr>
        <w:ind w:right="120" w:firstLine="1188"/>
        <w:spacing w:after="0" w:line="263"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30" w:lineRule="exact"/>
        <w:rPr>
          <w:sz w:val="20"/>
          <w:szCs w:val="20"/>
          <w:color w:val="auto"/>
        </w:rPr>
      </w:pPr>
    </w:p>
    <w:p>
      <w:pPr>
        <w:ind w:right="80" w:firstLine="434"/>
        <w:spacing w:after="0" w:line="255"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53" w:lineRule="exact"/>
        <w:rPr>
          <w:sz w:val="20"/>
          <w:szCs w:val="20"/>
          <w:color w:val="auto"/>
        </w:rPr>
      </w:pPr>
    </w:p>
    <w:p>
      <w:pPr>
        <w:ind w:right="40" w:firstLine="434"/>
        <w:spacing w:after="0" w:line="279"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assess the effectiveness of these controls annually. However, for as long as we are an emerging growth company, our independent registered public accounting firm is not required to attest to the effectiveness of our internal controls over financial reporting pursuant to Section 404. An independent assessment of the effectiveness of our internal controls over financial reporting could detect problems that our management’s assessment might not.</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231F20"/>
        </w:rPr>
        <w:t>Our disclosure controls and procedures may not prevent or detect all errors or acts of fraud.</w:t>
      </w:r>
    </w:p>
    <w:p>
      <w:pPr>
        <w:spacing w:after="0" w:line="158" w:lineRule="exact"/>
        <w:rPr>
          <w:sz w:val="20"/>
          <w:szCs w:val="20"/>
          <w:color w:val="auto"/>
        </w:rPr>
      </w:pPr>
    </w:p>
    <w:p>
      <w:pPr>
        <w:ind w:right="340" w:firstLine="434"/>
        <w:spacing w:after="0" w:line="235" w:lineRule="auto"/>
        <w:rPr>
          <w:sz w:val="20"/>
          <w:szCs w:val="20"/>
          <w:color w:val="auto"/>
        </w:rPr>
      </w:pPr>
      <w:r>
        <w:rPr>
          <w:rFonts w:ascii="Arial" w:cs="Arial" w:eastAsia="Arial" w:hAnsi="Arial"/>
          <w:sz w:val="18"/>
          <w:szCs w:val="18"/>
          <w:color w:val="auto"/>
        </w:rPr>
        <w:t>As a public reporting company, we are subject to certain reporting requirements of the Exchange Act. Our disclosure controls and procedures are designed to reasonably assure that information required to be disclosed by us in reports we file or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5" w:name="page76"/>
    <w:bookmarkEnd w:id="75"/>
    <w:p>
      <w:pPr>
        <w:spacing w:after="0" w:line="212" w:lineRule="auto"/>
        <w:rPr>
          <w:sz w:val="20"/>
          <w:szCs w:val="20"/>
          <w:color w:val="auto"/>
        </w:rPr>
      </w:pPr>
      <w:r>
        <w:rPr>
          <w:rFonts w:ascii="Arial" w:cs="Arial" w:eastAsia="Arial" w:hAnsi="Arial"/>
          <w:sz w:val="18"/>
          <w:szCs w:val="18"/>
          <w:color w:val="auto"/>
        </w:rPr>
        <w:t>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65" w:lineRule="exact"/>
        <w:rPr>
          <w:sz w:val="20"/>
          <w:szCs w:val="20"/>
          <w:color w:val="auto"/>
        </w:rPr>
      </w:pPr>
    </w:p>
    <w:p>
      <w:pPr>
        <w:ind w:right="640" w:firstLine="1188"/>
        <w:spacing w:after="0" w:line="277" w:lineRule="auto"/>
        <w:rPr>
          <w:sz w:val="20"/>
          <w:szCs w:val="20"/>
          <w:color w:val="auto"/>
        </w:rPr>
      </w:pPr>
      <w:r>
        <w:rPr>
          <w:rFonts w:ascii="Arial" w:cs="Arial" w:eastAsia="Arial" w:hAnsi="Arial"/>
          <w:sz w:val="18"/>
          <w:szCs w:val="18"/>
          <w:b w:val="1"/>
          <w:bCs w:val="1"/>
          <w:i w:val="1"/>
          <w:iCs w:val="1"/>
          <w:color w:val="231F20"/>
        </w:rPr>
        <w:t>Our issuance of additional capital stock in connection with financings, acquisitions, investments, our stock incentive plans or otherwise will dilute all other stockholders.</w:t>
      </w:r>
    </w:p>
    <w:p>
      <w:pPr>
        <w:spacing w:after="0" w:line="103" w:lineRule="exact"/>
        <w:rPr>
          <w:sz w:val="20"/>
          <w:szCs w:val="20"/>
          <w:color w:val="auto"/>
        </w:rPr>
      </w:pPr>
    </w:p>
    <w:p>
      <w:pPr>
        <w:ind w:right="40" w:firstLine="434"/>
        <w:spacing w:after="0" w:line="216"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continue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49" w:lineRule="exact"/>
        <w:rPr>
          <w:sz w:val="20"/>
          <w:szCs w:val="20"/>
          <w:color w:val="auto"/>
        </w:rPr>
      </w:pPr>
    </w:p>
    <w:p>
      <w:pPr>
        <w:ind w:right="60" w:firstLine="1188"/>
        <w:spacing w:after="0" w:line="277"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publish inaccurate or unfavorable research about our business, our stock price and trading volume could decline.</w:t>
      </w:r>
    </w:p>
    <w:p>
      <w:pPr>
        <w:spacing w:after="0" w:line="116" w:lineRule="exact"/>
        <w:rPr>
          <w:sz w:val="20"/>
          <w:szCs w:val="20"/>
          <w:color w:val="auto"/>
        </w:rPr>
      </w:pPr>
    </w:p>
    <w:p>
      <w:pPr>
        <w:ind w:right="80" w:firstLine="434"/>
        <w:spacing w:after="0" w:line="219"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217" w:lineRule="exact"/>
        <w:rPr>
          <w:sz w:val="20"/>
          <w:szCs w:val="20"/>
          <w:color w:val="auto"/>
        </w:rPr>
      </w:pPr>
    </w:p>
    <w:p>
      <w:pPr>
        <w:ind w:right="740" w:firstLine="1188"/>
        <w:spacing w:after="0" w:line="277" w:lineRule="auto"/>
        <w:rPr>
          <w:sz w:val="20"/>
          <w:szCs w:val="20"/>
          <w:color w:val="auto"/>
        </w:rPr>
      </w:pPr>
      <w:r>
        <w:rPr>
          <w:rFonts w:ascii="Arial" w:cs="Arial" w:eastAsia="Arial" w:hAnsi="Arial"/>
          <w:sz w:val="18"/>
          <w:szCs w:val="18"/>
          <w:b w:val="1"/>
          <w:bCs w:val="1"/>
          <w:i w:val="1"/>
          <w:iCs w:val="1"/>
          <w:color w:val="231F20"/>
        </w:rPr>
        <w:t>We incur significant increased costs as a result of operating as a public company, and our management is required to devote substantial time to new compliance initiatives.</w:t>
      </w:r>
    </w:p>
    <w:p>
      <w:pPr>
        <w:spacing w:after="0" w:line="103" w:lineRule="exact"/>
        <w:rPr>
          <w:sz w:val="20"/>
          <w:szCs w:val="20"/>
          <w:color w:val="auto"/>
        </w:rPr>
      </w:pPr>
    </w:p>
    <w:p>
      <w:pPr>
        <w:ind w:right="80" w:firstLine="434"/>
        <w:spacing w:after="0" w:line="221" w:lineRule="auto"/>
        <w:rPr>
          <w:sz w:val="20"/>
          <w:szCs w:val="20"/>
          <w:color w:val="auto"/>
        </w:rPr>
      </w:pPr>
      <w:r>
        <w:rPr>
          <w:rFonts w:ascii="Arial" w:cs="Arial" w:eastAsia="Arial" w:hAnsi="Arial"/>
          <w:sz w:val="17"/>
          <w:szCs w:val="17"/>
          <w:color w:val="auto"/>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the Nasdaq Stock Market, or Nasdaq,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Emerging growth companies are permitted to implement many of these requirements over a longer period and we will lose such allowance upon ceasing to be an emerging growth company, which we expect to occur on December 31, 2021.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26" w:lineRule="exact"/>
        <w:rPr>
          <w:sz w:val="20"/>
          <w:szCs w:val="20"/>
          <w:color w:val="auto"/>
        </w:rPr>
      </w:pPr>
    </w:p>
    <w:p>
      <w:pPr>
        <w:ind w:firstLine="434"/>
        <w:spacing w:after="0" w:line="237" w:lineRule="auto"/>
        <w:rPr>
          <w:sz w:val="20"/>
          <w:szCs w:val="20"/>
          <w:color w:val="auto"/>
        </w:rPr>
      </w:pPr>
      <w:r>
        <w:rPr>
          <w:rFonts w:ascii="Arial" w:cs="Arial" w:eastAsia="Arial" w:hAnsi="Arial"/>
          <w:sz w:val="16"/>
          <w:szCs w:val="16"/>
          <w:color w:val="auto"/>
        </w:rPr>
        <w:t>We expect the rules and regulations applicable to public companies to substantially increase our legal and financial compliance costs and to make some activities more time-consuming and costly, particularly as we expect to cease being an emerging growth company on December 31, 2021.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7" w:lineRule="exact"/>
        <w:rPr>
          <w:sz w:val="20"/>
          <w:szCs w:val="20"/>
          <w:color w:val="auto"/>
        </w:rPr>
      </w:pPr>
    </w:p>
    <w:p>
      <w:pPr>
        <w:ind w:right="140" w:firstLine="1188"/>
        <w:spacing w:after="0" w:line="277" w:lineRule="auto"/>
        <w:rPr>
          <w:sz w:val="20"/>
          <w:szCs w:val="20"/>
          <w:color w:val="auto"/>
        </w:rPr>
      </w:pPr>
      <w:r>
        <w:rPr>
          <w:rFonts w:ascii="Arial" w:cs="Arial" w:eastAsia="Arial" w:hAnsi="Arial"/>
          <w:sz w:val="18"/>
          <w:szCs w:val="18"/>
          <w:b w:val="1"/>
          <w:bCs w:val="1"/>
          <w:i w:val="1"/>
          <w:iCs w:val="1"/>
          <w:color w:val="231F20"/>
        </w:rPr>
        <w:t>We may incur substantial costs in our efforts to comply with evolving global data protection laws and regulations, and any failure or perceived failure by us to comply with such laws and regulations may harm our business and operations.</w:t>
      </w:r>
    </w:p>
    <w:p>
      <w:pPr>
        <w:spacing w:after="0" w:line="103" w:lineRule="exact"/>
        <w:rPr>
          <w:sz w:val="20"/>
          <w:szCs w:val="20"/>
          <w:color w:val="auto"/>
        </w:rPr>
      </w:pPr>
    </w:p>
    <w:p>
      <w:pPr>
        <w:ind w:firstLine="434"/>
        <w:spacing w:after="0" w:line="244" w:lineRule="auto"/>
        <w:rPr>
          <w:sz w:val="20"/>
          <w:szCs w:val="20"/>
          <w:color w:val="auto"/>
        </w:rPr>
      </w:pPr>
      <w:r>
        <w:rPr>
          <w:rFonts w:ascii="Arial" w:cs="Arial" w:eastAsia="Arial" w:hAnsi="Arial"/>
          <w:sz w:val="16"/>
          <w:szCs w:val="16"/>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76" w:name="page77"/>
    <w:bookmarkEnd w:id="76"/>
    <w:p>
      <w:pPr>
        <w:spacing w:after="0" w:line="223" w:lineRule="auto"/>
        <w:rPr>
          <w:sz w:val="20"/>
          <w:szCs w:val="20"/>
          <w:color w:val="auto"/>
        </w:rPr>
      </w:pPr>
      <w:r>
        <w:rPr>
          <w:rFonts w:ascii="Arial" w:cs="Arial" w:eastAsia="Arial" w:hAnsi="Arial"/>
          <w:sz w:val="17"/>
          <w:szCs w:val="17"/>
          <w:color w:val="auto"/>
        </w:rPr>
        <w:t>or other costs on us. Any failure or perceived failure by us to comply with federal, state, or foreign laws or self-regulatory standards could result in negative publicity, diversion of management time and effort and proceedings against us by governmental entities or others. Recently, California passed the California Consumer Protection Act of 2018, or the CCPA, which went into effect in January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w:t>
      </w:r>
    </w:p>
    <w:p>
      <w:pPr>
        <w:spacing w:after="0" w:line="140" w:lineRule="exact"/>
        <w:rPr>
          <w:sz w:val="20"/>
          <w:szCs w:val="20"/>
          <w:color w:val="auto"/>
        </w:rPr>
      </w:pPr>
    </w:p>
    <w:p>
      <w:pPr>
        <w:ind w:right="100" w:firstLine="434"/>
        <w:spacing w:after="0" w:line="226" w:lineRule="auto"/>
        <w:rPr>
          <w:sz w:val="20"/>
          <w:szCs w:val="20"/>
          <w:color w:val="auto"/>
        </w:rPr>
      </w:pPr>
      <w:r>
        <w:rPr>
          <w:rFonts w:ascii="Arial" w:cs="Arial" w:eastAsia="Arial" w:hAnsi="Arial"/>
          <w:sz w:val="17"/>
          <w:szCs w:val="17"/>
          <w:color w:val="auto"/>
        </w:rPr>
        <w:t>In addition, it is anticipated that the CCPA will be expanded on January 1, 2023, when the California Privacy Rights Act of 2020, or the CPRA, becomes operative.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law. Although there are limited exemptions for clinical trial data under the CCPA, the CCPA and other similar laws could impact our business activities depending on how it is interpreted.</w:t>
      </w:r>
    </w:p>
    <w:p>
      <w:pPr>
        <w:spacing w:after="0" w:line="124" w:lineRule="exact"/>
        <w:rPr>
          <w:sz w:val="20"/>
          <w:szCs w:val="20"/>
          <w:color w:val="auto"/>
        </w:rPr>
      </w:pPr>
    </w:p>
    <w:p>
      <w:pPr>
        <w:ind w:firstLine="434"/>
        <w:spacing w:after="0" w:line="216" w:lineRule="auto"/>
        <w:rPr>
          <w:sz w:val="20"/>
          <w:szCs w:val="20"/>
          <w:color w:val="auto"/>
        </w:rPr>
      </w:pPr>
      <w:r>
        <w:rPr>
          <w:rFonts w:ascii="Arial" w:cs="Arial" w:eastAsia="Arial" w:hAnsi="Arial"/>
          <w:sz w:val="18"/>
          <w:szCs w:val="18"/>
          <w:color w:val="auto"/>
        </w:rPr>
        <w:t>The CCPA and CPRA could mark the beginning of a trend toward more stringent privacy legislation in the United States, as other states or the federal government may follow California’s lead and increase protections for U.S. residents. For example, on March 2, 2021, the Virginia Consumer Data Protection Act, which will take effect on January 1, 2023, was signed into law. The CCPA has already prompted a number of proposals for new federal and state privacy legislation that, if passed, could increase our potential liability, add layers of complexity to compliance in the U.S. market, increase our compliance costs and adversely affect our business.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to our operations in the United States, which may be subject to healthcare and other laws relating to the privacy and security of health</w:t>
      </w:r>
    </w:p>
    <w:p>
      <w:pPr>
        <w:spacing w:after="0"/>
        <w:rPr>
          <w:sz w:val="20"/>
          <w:szCs w:val="20"/>
          <w:color w:val="auto"/>
        </w:rPr>
      </w:pPr>
      <w:r>
        <w:rPr>
          <w:rFonts w:ascii="Arial" w:cs="Arial" w:eastAsia="Arial" w:hAnsi="Arial"/>
          <w:sz w:val="16"/>
          <w:szCs w:val="16"/>
          <w:color w:val="auto"/>
        </w:rPr>
        <w:t>information and other personal information, we may seek to conduct clinical trials in the EEA and the U.K. and may become subject to additional European</w:t>
      </w:r>
    </w:p>
    <w:p>
      <w:pPr>
        <w:spacing w:after="0" w:line="228" w:lineRule="auto"/>
        <w:rPr>
          <w:sz w:val="20"/>
          <w:szCs w:val="20"/>
          <w:color w:val="auto"/>
        </w:rPr>
      </w:pPr>
      <w:r>
        <w:rPr>
          <w:rFonts w:ascii="Arial" w:cs="Arial" w:eastAsia="Arial" w:hAnsi="Arial"/>
          <w:sz w:val="16"/>
          <w:szCs w:val="16"/>
          <w:color w:val="auto"/>
        </w:rPr>
        <w:t>or U.K. data privacy laws, regulations and guidelines. The General Data Protection Regulation, (EU) 2016/679, or GDPR, became effective on May 25,</w:t>
      </w:r>
    </w:p>
    <w:p>
      <w:pPr>
        <w:spacing w:after="0" w:line="216" w:lineRule="auto"/>
        <w:rPr>
          <w:sz w:val="20"/>
          <w:szCs w:val="20"/>
          <w:color w:val="auto"/>
        </w:rPr>
      </w:pPr>
      <w:r>
        <w:rPr>
          <w:rFonts w:ascii="Arial" w:cs="Arial" w:eastAsia="Arial" w:hAnsi="Arial"/>
          <w:sz w:val="17"/>
          <w:szCs w:val="17"/>
          <w:color w:val="auto"/>
        </w:rPr>
        <w:t>2018, and deals with the collection, use, storage, disclosure, transfer or other processing of personal data, including personal health data, regarding</w:t>
      </w:r>
    </w:p>
    <w:p>
      <w:pPr>
        <w:spacing w:after="0" w:line="229" w:lineRule="auto"/>
        <w:rPr>
          <w:sz w:val="20"/>
          <w:szCs w:val="20"/>
          <w:color w:val="auto"/>
        </w:rPr>
      </w:pPr>
      <w:r>
        <w:rPr>
          <w:rFonts w:ascii="Arial" w:cs="Arial" w:eastAsia="Arial" w:hAnsi="Arial"/>
          <w:sz w:val="16"/>
          <w:szCs w:val="16"/>
          <w:color w:val="auto"/>
        </w:rPr>
        <w:t>individuals in the EEA. The GDPR imposes a broad range of strict requirements on companies subject to the GDPR, including requirements relating to</w:t>
      </w:r>
    </w:p>
    <w:p>
      <w:pPr>
        <w:spacing w:after="0" w:line="215" w:lineRule="auto"/>
        <w:rPr>
          <w:sz w:val="20"/>
          <w:szCs w:val="20"/>
          <w:color w:val="auto"/>
        </w:rPr>
      </w:pPr>
      <w:r>
        <w:rPr>
          <w:rFonts w:ascii="Arial" w:cs="Arial" w:eastAsia="Arial" w:hAnsi="Arial"/>
          <w:sz w:val="17"/>
          <w:szCs w:val="17"/>
          <w:color w:val="auto"/>
        </w:rPr>
        <w:t>having legal bases for processing personal data relating to identifiable individuals and transferring such information outside the EEA, including to the</w:t>
      </w:r>
    </w:p>
    <w:p>
      <w:pPr>
        <w:spacing w:after="0" w:line="229" w:lineRule="auto"/>
        <w:rPr>
          <w:sz w:val="20"/>
          <w:szCs w:val="20"/>
          <w:color w:val="auto"/>
        </w:rPr>
      </w:pPr>
      <w:r>
        <w:rPr>
          <w:rFonts w:ascii="Arial" w:cs="Arial" w:eastAsia="Arial" w:hAnsi="Arial"/>
          <w:sz w:val="16"/>
          <w:szCs w:val="16"/>
          <w:color w:val="auto"/>
        </w:rPr>
        <w:t>United States, providing details to those individuals regarding the processing of their personal health and other sensitive data, obtaining consent of the</w:t>
      </w:r>
    </w:p>
    <w:p>
      <w:pPr>
        <w:spacing w:after="0" w:line="229" w:lineRule="auto"/>
        <w:rPr>
          <w:sz w:val="20"/>
          <w:szCs w:val="20"/>
          <w:color w:val="auto"/>
        </w:rPr>
      </w:pPr>
      <w:r>
        <w:rPr>
          <w:rFonts w:ascii="Arial" w:cs="Arial" w:eastAsia="Arial" w:hAnsi="Arial"/>
          <w:sz w:val="16"/>
          <w:szCs w:val="16"/>
          <w:color w:val="auto"/>
        </w:rPr>
        <w:t>individuals to whom the personal data relates, keeping personal information secure, having data processing agreements with third parties who process</w:t>
      </w:r>
    </w:p>
    <w:p>
      <w:pPr>
        <w:spacing w:after="0" w:line="216" w:lineRule="auto"/>
        <w:rPr>
          <w:sz w:val="20"/>
          <w:szCs w:val="20"/>
          <w:color w:val="auto"/>
        </w:rPr>
      </w:pPr>
      <w:r>
        <w:rPr>
          <w:rFonts w:ascii="Arial" w:cs="Arial" w:eastAsia="Arial" w:hAnsi="Arial"/>
          <w:sz w:val="17"/>
          <w:szCs w:val="17"/>
          <w:color w:val="auto"/>
        </w:rPr>
        <w:t>personal information, responding to individuals’ requests to exercise their rights in respect of their personal information, reporting security breaches</w:t>
      </w:r>
    </w:p>
    <w:p>
      <w:pPr>
        <w:spacing w:after="0" w:line="229" w:lineRule="auto"/>
        <w:rPr>
          <w:sz w:val="20"/>
          <w:szCs w:val="20"/>
          <w:color w:val="auto"/>
        </w:rPr>
      </w:pPr>
      <w:r>
        <w:rPr>
          <w:rFonts w:ascii="Arial" w:cs="Arial" w:eastAsia="Arial" w:hAnsi="Arial"/>
          <w:sz w:val="16"/>
          <w:szCs w:val="16"/>
          <w:color w:val="auto"/>
        </w:rPr>
        <w:t>involving personal data to the competent national data protection authority and affected individuals, appointing data protection officers, conducting data</w:t>
      </w:r>
    </w:p>
    <w:p>
      <w:pPr>
        <w:spacing w:after="0" w:line="228" w:lineRule="auto"/>
        <w:rPr>
          <w:sz w:val="20"/>
          <w:szCs w:val="20"/>
          <w:color w:val="auto"/>
        </w:rPr>
      </w:pPr>
      <w:r>
        <w:rPr>
          <w:rFonts w:ascii="Arial" w:cs="Arial" w:eastAsia="Arial" w:hAnsi="Arial"/>
          <w:sz w:val="16"/>
          <w:szCs w:val="16"/>
          <w:color w:val="auto"/>
        </w:rPr>
        <w:t>protection impact assessments and record-keeping. The GDPR increases substantially the penalties to which we could be subject in the event of any non-</w:t>
      </w:r>
    </w:p>
    <w:p>
      <w:pPr>
        <w:spacing w:after="0" w:line="216" w:lineRule="auto"/>
        <w:rPr>
          <w:sz w:val="20"/>
          <w:szCs w:val="20"/>
          <w:color w:val="auto"/>
        </w:rPr>
      </w:pPr>
      <w:r>
        <w:rPr>
          <w:rFonts w:ascii="Arial" w:cs="Arial" w:eastAsia="Arial" w:hAnsi="Arial"/>
          <w:sz w:val="17"/>
          <w:szCs w:val="17"/>
          <w:color w:val="auto"/>
        </w:rPr>
        <w:t>compliance, including fines of up to €10,000,000 or up to 2% of our total worldwide annual turnover for certain comparatively minor offenses, or up to</w:t>
      </w:r>
    </w:p>
    <w:p>
      <w:pPr>
        <w:spacing w:after="0" w:line="229" w:lineRule="auto"/>
        <w:rPr>
          <w:sz w:val="20"/>
          <w:szCs w:val="20"/>
          <w:color w:val="auto"/>
        </w:rPr>
      </w:pPr>
      <w:r>
        <w:rPr>
          <w:rFonts w:ascii="Arial" w:cs="Arial" w:eastAsia="Arial" w:hAnsi="Arial"/>
          <w:sz w:val="16"/>
          <w:szCs w:val="16"/>
          <w:color w:val="auto"/>
        </w:rPr>
        <w:t>€20,000,000 or up to 4% of our total worldwide annual turnover, whichever is greater, for more serious offenses. The GDPR also confers a private right of</w:t>
      </w:r>
    </w:p>
    <w:p>
      <w:pPr>
        <w:spacing w:after="0" w:line="229" w:lineRule="auto"/>
        <w:rPr>
          <w:sz w:val="20"/>
          <w:szCs w:val="20"/>
          <w:color w:val="auto"/>
        </w:rPr>
      </w:pPr>
      <w:r>
        <w:rPr>
          <w:rFonts w:ascii="Arial" w:cs="Arial" w:eastAsia="Arial" w:hAnsi="Arial"/>
          <w:sz w:val="16"/>
          <w:szCs w:val="16"/>
          <w:color w:val="auto"/>
        </w:rPr>
        <w:t>action on data subjects and consumer associations to lodge complaints with supervisory authorities, seek judicial remedies, and obtain compensation for</w:t>
      </w:r>
    </w:p>
    <w:p>
      <w:pPr>
        <w:spacing w:after="0"/>
        <w:rPr>
          <w:sz w:val="20"/>
          <w:szCs w:val="20"/>
          <w:color w:val="auto"/>
        </w:rPr>
      </w:pPr>
      <w:r>
        <w:rPr>
          <w:rFonts w:ascii="Arial" w:cs="Arial" w:eastAsia="Arial" w:hAnsi="Arial"/>
          <w:sz w:val="18"/>
          <w:szCs w:val="18"/>
          <w:color w:val="auto"/>
        </w:rPr>
        <w:t>damages resulting from violations of the GDPR. In addition, the GDPR includes restrictions on cross-border data transfers.</w:t>
      </w:r>
    </w:p>
    <w:p>
      <w:pPr>
        <w:spacing w:after="0" w:line="142" w:lineRule="exact"/>
        <w:rPr>
          <w:sz w:val="20"/>
          <w:szCs w:val="20"/>
          <w:color w:val="auto"/>
        </w:rPr>
      </w:pPr>
    </w:p>
    <w:p>
      <w:pPr>
        <w:ind w:right="100" w:firstLine="434"/>
        <w:spacing w:after="0" w:line="232" w:lineRule="auto"/>
        <w:rPr>
          <w:sz w:val="20"/>
          <w:szCs w:val="20"/>
          <w:color w:val="auto"/>
        </w:rPr>
      </w:pPr>
      <w:r>
        <w:rPr>
          <w:rFonts w:ascii="Arial" w:cs="Arial" w:eastAsia="Arial" w:hAnsi="Arial"/>
          <w:sz w:val="17"/>
          <w:szCs w:val="17"/>
          <w:color w:val="auto"/>
        </w:rPr>
        <w:t>If our efforts to comply with GDPR or other applicable EU laws and regulations are not successful, or are perceived to be unsuccessful, it could adversely affect our business in the EU. Further, the European Court of Justice, or the ECJ, invalidated the EU-U.S. Privacy Shield, which had enabled the transfer of personal data from the European Union to the United States for companies that had self-certified to the Privacy Shield in July 2020. The ECJ decision also raised questions about the continued validity of one of the primary alternatives to the</w:t>
      </w:r>
    </w:p>
    <w:p>
      <w:pPr>
        <w:spacing w:after="0" w:line="122" w:lineRule="exact"/>
        <w:rPr>
          <w:sz w:val="20"/>
          <w:szCs w:val="20"/>
          <w:color w:val="auto"/>
        </w:rPr>
      </w:pPr>
    </w:p>
    <w:p>
      <w:pPr>
        <w:ind w:right="20" w:firstLine="434"/>
        <w:spacing w:after="0" w:line="223" w:lineRule="auto"/>
        <w:rPr>
          <w:sz w:val="20"/>
          <w:szCs w:val="20"/>
          <w:color w:val="auto"/>
        </w:rPr>
      </w:pPr>
      <w:r>
        <w:rPr>
          <w:rFonts w:ascii="Arial" w:cs="Arial" w:eastAsia="Arial" w:hAnsi="Arial"/>
          <w:sz w:val="17"/>
          <w:szCs w:val="17"/>
          <w:color w:val="auto"/>
        </w:rPr>
        <w:t>EU-U.S. Privacy Shield, namely the European Commission’s Standard Contractual Clauses, and EU regulators have issued additional guidance regarding considerations and requirements that we and other companies must consider and undertake when using the Standard Contractual Clauses. Although the EU has presented a new draft set of contractual clauses, at present, there are few, if any, viable alternatives to the EU-U.S. Privacy Shield and the Standard Contractual Clauses. To the extent that we were to rely on the EU-U.S. or Swiss-U.S. Privacy Shield programs, we will not be able to do so in the future, and the ECJ’s decision and other regulatory guidance or developments otherwise may impose additional obligations with respect to the transfer of personal data from the European Union and Switzerland to the United States, each of which could restrict our activities in those jurisdictions, limit our ability to provide our products and services in those jurisdictions, or increase our costs and obligations and impose limitations upon our ability to efficiently transfer personal data from the European Union and Switzerland to the United States.</w:t>
      </w:r>
    </w:p>
    <w:p>
      <w:pPr>
        <w:spacing w:after="0" w:line="126" w:lineRule="exact"/>
        <w:rPr>
          <w:sz w:val="20"/>
          <w:szCs w:val="20"/>
          <w:color w:val="auto"/>
        </w:rPr>
      </w:pPr>
    </w:p>
    <w:p>
      <w:pPr>
        <w:ind w:right="20" w:firstLine="434"/>
        <w:spacing w:after="0" w:line="216" w:lineRule="auto"/>
        <w:rPr>
          <w:sz w:val="20"/>
          <w:szCs w:val="20"/>
          <w:color w:val="auto"/>
        </w:rPr>
      </w:pPr>
      <w:r>
        <w:rPr>
          <w:rFonts w:ascii="Arial" w:cs="Arial" w:eastAsia="Arial" w:hAnsi="Arial"/>
          <w:sz w:val="18"/>
          <w:szCs w:val="18"/>
          <w:color w:val="auto"/>
        </w:rPr>
        <w:t>Further, Brexit has created uncertainty with regard to data protection regulation in the United Kingdom. Under the post-Brexit Trade and Cooperation Agreement between the European Union and the United Kingdom, the United Kingdom and European Union have agreed that transfers of personal data to the United Kingdom from EEA member states will not be treated as `restricted transfers’ to a non-EEA country for a period of up to four months from January 1, 2021, plus a potential further two months extension, or the “Extended Adequacy Assessment Period.” If the European Commission does not adopt an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7" w:name="page78"/>
    <w:bookmarkEnd w:id="77"/>
    <w:p>
      <w:pPr>
        <w:ind w:right="160"/>
        <w:spacing w:after="0" w:line="224" w:lineRule="auto"/>
        <w:rPr>
          <w:sz w:val="20"/>
          <w:szCs w:val="20"/>
          <w:color w:val="auto"/>
        </w:rPr>
      </w:pPr>
      <w:r>
        <w:rPr>
          <w:rFonts w:ascii="Arial" w:cs="Arial" w:eastAsia="Arial" w:hAnsi="Arial"/>
          <w:sz w:val="18"/>
          <w:szCs w:val="18"/>
          <w:color w:val="auto"/>
        </w:rPr>
        <w:t>`adequacy decision’ in respect of the United Kingdom prior to the expiry of the Extended Adequacy Assessment Period, from that point onwards the United Kingdom will be an `inadequate third country’ under the GDPR and transfers of personal data from the EEA to the United Kingdom will require a `transfer mechanism’ such as the Standard Contractual Clauses.</w:t>
      </w:r>
    </w:p>
    <w:p>
      <w:pPr>
        <w:spacing w:after="0" w:line="136" w:lineRule="exact"/>
        <w:rPr>
          <w:sz w:val="20"/>
          <w:szCs w:val="20"/>
          <w:color w:val="auto"/>
        </w:rPr>
      </w:pPr>
    </w:p>
    <w:p>
      <w:pPr>
        <w:ind w:firstLine="434"/>
        <w:spacing w:after="0" w:line="226" w:lineRule="auto"/>
        <w:rPr>
          <w:sz w:val="20"/>
          <w:szCs w:val="20"/>
          <w:color w:val="auto"/>
        </w:rPr>
      </w:pPr>
      <w:r>
        <w:rPr>
          <w:rFonts w:ascii="Arial" w:cs="Arial" w:eastAsia="Arial" w:hAnsi="Arial"/>
          <w:sz w:val="17"/>
          <w:szCs w:val="17"/>
          <w:color w:val="auto"/>
        </w:rPr>
        <w:t>Further, national laws of member states of the EU are in the process of being adapted to the requirements under the GDPR, thereby implementing national laws which may partially deviate from the GDPR and impose different obligations from country to country, so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Brexit has created uncertainty with regard to data protection regulation in the United Kingdom. In particular, it is unclear how data transfers to and from the United Kingdom will be regulated now that the United Kingdom has left the EU.</w:t>
      </w:r>
    </w:p>
    <w:p>
      <w:pPr>
        <w:spacing w:after="0" w:line="124" w:lineRule="exact"/>
        <w:rPr>
          <w:sz w:val="20"/>
          <w:szCs w:val="20"/>
          <w:color w:val="auto"/>
        </w:rPr>
      </w:pPr>
    </w:p>
    <w:p>
      <w:pPr>
        <w:ind w:right="40" w:firstLine="434"/>
        <w:spacing w:after="0" w:line="220" w:lineRule="auto"/>
        <w:rPr>
          <w:sz w:val="20"/>
          <w:szCs w:val="20"/>
          <w:color w:val="auto"/>
        </w:rPr>
      </w:pPr>
      <w:r>
        <w:rPr>
          <w:rFonts w:ascii="Arial" w:cs="Arial" w:eastAsia="Arial" w:hAnsi="Arial"/>
          <w:sz w:val="17"/>
          <w:szCs w:val="17"/>
          <w:color w:val="auto"/>
        </w:rPr>
        <w:t>In the event we commence clinical trials in the EEA, the GDPR may increase our responsibility and liability in relation to personal data that we process where such processing is subject to the GDPR, and we may be required to put in place additional mechanisms and safeguards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spacing w:after="0" w:line="155" w:lineRule="exact"/>
        <w:rPr>
          <w:sz w:val="20"/>
          <w:szCs w:val="20"/>
          <w:color w:val="auto"/>
        </w:rPr>
      </w:pPr>
    </w:p>
    <w:p>
      <w:pPr>
        <w:ind w:right="60" w:firstLine="1188"/>
        <w:spacing w:after="0" w:line="263" w:lineRule="auto"/>
        <w:rPr>
          <w:sz w:val="20"/>
          <w:szCs w:val="20"/>
          <w:color w:val="auto"/>
        </w:rPr>
      </w:pPr>
      <w:r>
        <w:rPr>
          <w:rFonts w:ascii="Arial" w:cs="Arial" w:eastAsia="Arial" w:hAnsi="Arial"/>
          <w:sz w:val="18"/>
          <w:szCs w:val="18"/>
          <w:b w:val="1"/>
          <w:bCs w:val="1"/>
          <w:i w:val="1"/>
          <w:iCs w:val="1"/>
          <w:color w:val="231F20"/>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130" w:lineRule="exact"/>
        <w:rPr>
          <w:sz w:val="20"/>
          <w:szCs w:val="20"/>
          <w:color w:val="auto"/>
        </w:rPr>
      </w:pPr>
    </w:p>
    <w:p>
      <w:pPr>
        <w:ind w:right="40" w:firstLine="434"/>
        <w:spacing w:after="0" w:line="237" w:lineRule="auto"/>
        <w:rPr>
          <w:sz w:val="20"/>
          <w:szCs w:val="20"/>
          <w:color w:val="auto"/>
        </w:rPr>
      </w:pPr>
      <w:r>
        <w:rPr>
          <w:rFonts w:ascii="Arial" w:cs="Arial" w:eastAsia="Arial" w:hAnsi="Arial"/>
          <w:sz w:val="16"/>
          <w:szCs w:val="16"/>
          <w:color w:val="auto"/>
        </w:rPr>
        <w:t>On June 23, 2016, the U.K. held a referendum in which a majority of the eligible members of the electorate voted to leave the EU, commonly referred to as Brexit. Pursuant to Article 50 of the Treaty on EU, the U.K. ceased being a Member State of the EU on January 31, 2020. A transition period began February 1, 2020 and continued until December 31, 2020. During the transition period most laws, including medicinal products laws, of the EU continued to apply to the U.K. while the future relationship between the U.K. and the EU was formally negotiated. The U.K. and the EU have signed a EU-UK Trade and Cooperation Agreement, or TCA, which became provisionally applicable on January 1, 2021 and will become formally applicable once ratified by both the U.K. and the EU. This agreement provides details on how some aspects of the U.K. and EU’s relationship will operate going forwards however there are still many uncertainties. This lack of clarity on future U.K. laws and regulations and their interaction with the EU laws and regulations may negatively impact foreign direct investment in the U.K., increase costs, depress economic activity and restrict access to capital.</w:t>
      </w:r>
    </w:p>
    <w:p>
      <w:pPr>
        <w:spacing w:after="0" w:line="126" w:lineRule="exact"/>
        <w:rPr>
          <w:sz w:val="20"/>
          <w:szCs w:val="20"/>
          <w:color w:val="auto"/>
        </w:rPr>
      </w:pPr>
    </w:p>
    <w:p>
      <w:pPr>
        <w:ind w:right="280" w:firstLine="434"/>
        <w:spacing w:after="0" w:line="224" w:lineRule="auto"/>
        <w:rPr>
          <w:sz w:val="20"/>
          <w:szCs w:val="20"/>
          <w:color w:val="auto"/>
        </w:rPr>
      </w:pPr>
      <w:r>
        <w:rPr>
          <w:rFonts w:ascii="Arial" w:cs="Arial" w:eastAsia="Arial" w:hAnsi="Arial"/>
          <w:sz w:val="18"/>
          <w:szCs w:val="18"/>
          <w:color w:val="auto"/>
        </w:rPr>
        <w:t>The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122" w:lineRule="exact"/>
        <w:rPr>
          <w:sz w:val="20"/>
          <w:szCs w:val="20"/>
          <w:color w:val="auto"/>
        </w:rPr>
      </w:pPr>
    </w:p>
    <w:p>
      <w:pPr>
        <w:ind w:right="100" w:firstLine="434"/>
        <w:spacing w:after="0" w:line="216" w:lineRule="auto"/>
        <w:rPr>
          <w:sz w:val="20"/>
          <w:szCs w:val="20"/>
          <w:color w:val="auto"/>
        </w:rPr>
      </w:pPr>
      <w:r>
        <w:rPr>
          <w:rFonts w:ascii="Arial" w:cs="Arial" w:eastAsia="Arial" w:hAnsi="Arial"/>
          <w:sz w:val="18"/>
          <w:szCs w:val="18"/>
          <w:color w:val="auto"/>
        </w:rPr>
        <w:t>These developments, or the perception that any of them could occur, have had and may continue to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35" w:lineRule="exact"/>
        <w:rPr>
          <w:sz w:val="20"/>
          <w:szCs w:val="20"/>
          <w:color w:val="auto"/>
        </w:rPr>
      </w:pPr>
    </w:p>
    <w:p>
      <w:pPr>
        <w:ind w:right="80" w:firstLine="434"/>
        <w:spacing w:after="0" w:line="224" w:lineRule="auto"/>
        <w:rPr>
          <w:sz w:val="20"/>
          <w:szCs w:val="20"/>
          <w:color w:val="auto"/>
        </w:rPr>
      </w:pPr>
      <w:r>
        <w:rPr>
          <w:rFonts w:ascii="Arial" w:cs="Arial" w:eastAsia="Arial" w:hAnsi="Arial"/>
          <w:sz w:val="18"/>
          <w:szCs w:val="18"/>
          <w:color w:val="auto"/>
        </w:rPr>
        <w:t>If other EU and Member States pursue withdrawal, barrier-free access between the U.K. and other EU Member States or among the European Economic Area overall could be diminished or eliminated. The long-term effects of Brexit will depend on how the terms of the TCA take effect in practice and any further agreements (or lack thereof) between the U.K. and the EU.</w:t>
      </w:r>
    </w:p>
    <w:p>
      <w:pPr>
        <w:spacing w:after="0" w:line="122" w:lineRule="exact"/>
        <w:rPr>
          <w:sz w:val="20"/>
          <w:szCs w:val="20"/>
          <w:color w:val="auto"/>
        </w:rPr>
      </w:pPr>
    </w:p>
    <w:p>
      <w:pPr>
        <w:jc w:val="both"/>
        <w:ind w:right="80" w:firstLine="434"/>
        <w:spacing w:after="0" w:line="259" w:lineRule="auto"/>
        <w:rPr>
          <w:sz w:val="20"/>
          <w:szCs w:val="20"/>
          <w:color w:val="auto"/>
        </w:rPr>
      </w:pPr>
      <w:r>
        <w:rPr>
          <w:rFonts w:ascii="Arial" w:cs="Arial" w:eastAsia="Arial" w:hAnsi="Arial"/>
          <w:sz w:val="16"/>
          <w:szCs w:val="16"/>
          <w:color w:val="auto"/>
        </w:rPr>
        <w:t>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spacing w:after="0" w:line="106" w:lineRule="exact"/>
        <w:rPr>
          <w:sz w:val="20"/>
          <w:szCs w:val="20"/>
          <w:color w:val="auto"/>
        </w:rPr>
      </w:pPr>
    </w:p>
    <w:p>
      <w:pPr>
        <w:ind w:right="180" w:firstLine="434"/>
        <w:spacing w:after="0" w:line="235" w:lineRule="auto"/>
        <w:rPr>
          <w:sz w:val="20"/>
          <w:szCs w:val="20"/>
          <w:color w:val="auto"/>
        </w:rPr>
      </w:pPr>
      <w:r>
        <w:rPr>
          <w:rFonts w:ascii="Arial" w:cs="Arial" w:eastAsia="Arial" w:hAnsi="Arial"/>
          <w:sz w:val="18"/>
          <w:szCs w:val="18"/>
          <w:color w:val="auto"/>
        </w:rPr>
        <w:t>We may also face new regulatory costs and challenges that could have an adverse effect on our operations. The U.K. will lose the benefits of global trade agreements negotiated by the EU on behalf of its members, which may result in increased trade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8" w:name="page79"/>
    <w:bookmarkEnd w:id="78"/>
    <w:p>
      <w:pPr>
        <w:ind w:right="40"/>
        <w:spacing w:after="0" w:line="234" w:lineRule="auto"/>
        <w:rPr>
          <w:sz w:val="20"/>
          <w:szCs w:val="20"/>
          <w:color w:val="auto"/>
        </w:rPr>
      </w:pPr>
      <w:r>
        <w:rPr>
          <w:rFonts w:ascii="Arial" w:cs="Arial" w:eastAsia="Arial" w:hAnsi="Arial"/>
          <w:sz w:val="16"/>
          <w:szCs w:val="16"/>
          <w:color w:val="auto"/>
        </w:rPr>
        <w:t>barriers that could make our doing business in the EU and the EEA more difficult.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now that U.K. legislation may depart from EU legislation. For instance, now the transition period has expired, Great Britain will no longer be covered by the centralized procedure for obtaining an EEA-wide marketing authorization from the European Medicines Agency, or EMA, and a separate process for authorization of drug products, including our product candidates and products in the U.K., will be required in Great Britain resulting in an authorization covering the UK or Great Britain only.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 Even prior to any change to the U.K.’s relationship with the EU, the announcement of Brexit has created economic uncertainty surrounding the terms of Brexit and its consequences could adversely impact customer confidence resulting in customers reducing their spending budgets on our product candidates, if approved, which could adversely affect our business, financial condition, results of operations and could adversely affect the market price of our common stock.</w:t>
      </w:r>
    </w:p>
    <w:p>
      <w:pPr>
        <w:spacing w:after="0" w:line="233"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231F20"/>
        </w:rPr>
        <w:t>Changes in U.S. tax law could adversely affect our financial condition and results of operations.</w:t>
      </w:r>
    </w:p>
    <w:p>
      <w:pPr>
        <w:spacing w:after="0" w:line="171" w:lineRule="exact"/>
        <w:rPr>
          <w:sz w:val="20"/>
          <w:szCs w:val="20"/>
          <w:color w:val="auto"/>
        </w:rPr>
      </w:pPr>
    </w:p>
    <w:p>
      <w:pPr>
        <w:ind w:right="20" w:firstLine="434"/>
        <w:spacing w:after="0" w:line="211"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spacing w:after="0" w:line="4" w:lineRule="exact"/>
        <w:rPr>
          <w:sz w:val="20"/>
          <w:szCs w:val="20"/>
          <w:color w:val="auto"/>
        </w:rPr>
      </w:pPr>
    </w:p>
    <w:p>
      <w:pPr>
        <w:ind w:right="80" w:firstLine="1188"/>
        <w:spacing w:after="0" w:line="258" w:lineRule="auto"/>
        <w:rPr>
          <w:sz w:val="20"/>
          <w:szCs w:val="20"/>
          <w:color w:val="auto"/>
        </w:rPr>
      </w:pPr>
      <w:r>
        <w:rPr>
          <w:rFonts w:ascii="Arial" w:cs="Arial" w:eastAsia="Arial" w:hAnsi="Arial"/>
          <w:sz w:val="18"/>
          <w:szCs w:val="18"/>
          <w:b w:val="1"/>
          <w:bCs w:val="1"/>
          <w:i w:val="1"/>
          <w:iCs w:val="1"/>
          <w:color w:val="231F20"/>
        </w:rPr>
        <w:t>Our internal computer systems, or those of our collaborators or other contractors or consultants, may fail or suffer security breaches, which could result in a material disruption of our product development programs.</w:t>
      </w:r>
    </w:p>
    <w:p>
      <w:pPr>
        <w:spacing w:after="0" w:line="119" w:lineRule="exact"/>
        <w:rPr>
          <w:sz w:val="20"/>
          <w:szCs w:val="20"/>
          <w:color w:val="auto"/>
        </w:rPr>
      </w:pPr>
    </w:p>
    <w:p>
      <w:pPr>
        <w:ind w:firstLine="434"/>
        <w:spacing w:after="0" w:line="236" w:lineRule="auto"/>
        <w:rPr>
          <w:sz w:val="20"/>
          <w:szCs w:val="20"/>
          <w:color w:val="auto"/>
        </w:rPr>
      </w:pPr>
      <w:r>
        <w:rPr>
          <w:rFonts w:ascii="Arial" w:cs="Arial" w:eastAsia="Arial" w:hAnsi="Arial"/>
          <w:sz w:val="16"/>
          <w:szCs w:val="16"/>
          <w:color w:val="auto"/>
        </w:rPr>
        <w:t>Our internal computer systems and those of our current and any future collaborators, other contractors or consultants, and third-party suppliers (i.e. our supply chain) are vulnerable to damage from computer viruses, unauthorized access, natural disasters, terrorism, war and telecommunication and electrical failures. We exercise little or no direct control over how these third parties operate their networks, which increases our vulnerability to problems with their systems. While we have not experienced any such material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27" w:lineRule="exact"/>
        <w:rPr>
          <w:sz w:val="20"/>
          <w:szCs w:val="20"/>
          <w:color w:val="auto"/>
        </w:rPr>
      </w:pPr>
    </w:p>
    <w:p>
      <w:pPr>
        <w:ind w:right="80" w:firstLine="434"/>
        <w:spacing w:after="0" w:line="210" w:lineRule="auto"/>
        <w:rPr>
          <w:sz w:val="20"/>
          <w:szCs w:val="20"/>
          <w:color w:val="auto"/>
        </w:rPr>
      </w:pPr>
      <w:r>
        <w:rPr>
          <w:rFonts w:ascii="Arial" w:cs="Arial" w:eastAsia="Arial" w:hAnsi="Arial"/>
          <w:sz w:val="18"/>
          <w:szCs w:val="18"/>
          <w:color w:val="auto"/>
        </w:rPr>
        <w:t>We could be subject to risks caused by misappropriation, misuse, leakage, falsification or intentional or accidental release, exposure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 and viruses, supply chain attacks, phishing and other cyberattacks. The number and complexity of these threats continue to increase over time. If a material breach of, or accidental or intentional loss of data from,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w:t>
      </w:r>
    </w:p>
    <w:p>
      <w:pPr>
        <w:spacing w:after="0" w:line="139" w:lineRule="exact"/>
        <w:rPr>
          <w:sz w:val="20"/>
          <w:szCs w:val="20"/>
          <w:color w:val="auto"/>
        </w:rPr>
      </w:pPr>
    </w:p>
    <w:p>
      <w:pPr>
        <w:ind w:right="180" w:firstLine="434"/>
        <w:spacing w:after="0" w:line="237" w:lineRule="auto"/>
        <w:rPr>
          <w:sz w:val="20"/>
          <w:szCs w:val="20"/>
          <w:color w:val="auto"/>
        </w:rPr>
      </w:pPr>
      <w:r>
        <w:rPr>
          <w:rFonts w:ascii="Arial" w:cs="Arial" w:eastAsia="Arial" w:hAnsi="Arial"/>
          <w:sz w:val="16"/>
          <w:szCs w:val="16"/>
          <w:color w:val="auto"/>
        </w:rPr>
        <w:t>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 based information systems, the related security risks will increase and we will need to expend additional resources to protect our technology and information systems.</w:t>
      </w:r>
    </w:p>
    <w:p>
      <w:pPr>
        <w:spacing w:after="0" w:line="126" w:lineRule="exact"/>
        <w:rPr>
          <w:sz w:val="20"/>
          <w:szCs w:val="20"/>
          <w:color w:val="auto"/>
        </w:rPr>
      </w:pPr>
    </w:p>
    <w:p>
      <w:pPr>
        <w:jc w:val="both"/>
        <w:ind w:right="260" w:firstLine="434"/>
        <w:spacing w:after="0" w:line="224" w:lineRule="auto"/>
        <w:rPr>
          <w:sz w:val="20"/>
          <w:szCs w:val="20"/>
          <w:color w:val="auto"/>
        </w:rPr>
      </w:pPr>
      <w:r>
        <w:rPr>
          <w:rFonts w:ascii="Arial" w:cs="Arial" w:eastAsia="Arial" w:hAnsi="Arial"/>
          <w:sz w:val="18"/>
          <w:szCs w:val="18"/>
          <w:color w:val="auto"/>
        </w:rPr>
        <w:t>In addition, there can be no assurance that our internal information technology systems or those of our third- party contractors, or our consultants’ efforts to implement adequate security and control measures, will be sufficient to protect us against breakdowns, service disruption, data deterioration or loss in the event of a system malfunction, or prevent data from</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9" w:name="page80"/>
    <w:bookmarkEnd w:id="79"/>
    <w:p>
      <w:pPr>
        <w:ind w:right="80"/>
        <w:spacing w:after="0" w:line="235" w:lineRule="auto"/>
        <w:rPr>
          <w:sz w:val="20"/>
          <w:szCs w:val="20"/>
          <w:color w:val="auto"/>
        </w:rPr>
      </w:pPr>
      <w:r>
        <w:rPr>
          <w:rFonts w:ascii="Arial" w:cs="Arial" w:eastAsia="Arial" w:hAnsi="Arial"/>
          <w:sz w:val="18"/>
          <w:szCs w:val="18"/>
          <w:color w:val="auto"/>
        </w:rPr>
        <w:t>being stolen or corrupted in the event of a cyberattack, security breach, industrial espionage attacks or insider threat attacks which could result in financial, legal, business or reputational harm.</w:t>
      </w:r>
    </w:p>
    <w:p>
      <w:pPr>
        <w:spacing w:after="0" w:line="135" w:lineRule="exact"/>
        <w:rPr>
          <w:sz w:val="20"/>
          <w:szCs w:val="20"/>
          <w:color w:val="auto"/>
        </w:rPr>
      </w:pPr>
    </w:p>
    <w:p>
      <w:pPr>
        <w:ind w:right="80" w:firstLine="434"/>
        <w:spacing w:after="0" w:line="244" w:lineRule="auto"/>
        <w:rPr>
          <w:sz w:val="20"/>
          <w:szCs w:val="20"/>
          <w:color w:val="auto"/>
        </w:rPr>
      </w:pPr>
      <w:r>
        <w:rPr>
          <w:rFonts w:ascii="Arial" w:cs="Arial" w:eastAsia="Arial" w:hAnsi="Arial"/>
          <w:sz w:val="16"/>
          <w:szCs w:val="16"/>
          <w:color w:val="auto"/>
        </w:rPr>
        <w:t>In addition, while we maintain, insurance policies that may cover certain liabilities in connection with a cybersecurity incident, we cannot be certain that the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that exceed available insurance coverage, or the occurrence of changes in insurance policies, including premium increases or the imposition of large deductible or co-insurance requirements, could have a material adverse effect on our business, including its financial condition, results of operations and reputation.</w:t>
      </w:r>
    </w:p>
    <w:p>
      <w:pPr>
        <w:spacing w:after="0" w:line="145"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231F20"/>
        </w:rPr>
        <w:t>Unfavorable global economic conditions could adversely affect our business, financial condition or results of operations.</w:t>
      </w:r>
    </w:p>
    <w:p>
      <w:pPr>
        <w:spacing w:after="0" w:line="169" w:lineRule="exact"/>
        <w:rPr>
          <w:sz w:val="20"/>
          <w:szCs w:val="20"/>
          <w:color w:val="auto"/>
        </w:rPr>
      </w:pPr>
    </w:p>
    <w:p>
      <w:pPr>
        <w:ind w:right="40" w:firstLine="434"/>
        <w:spacing w:after="0" w:line="211"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including due to the impact of the COVID-19 pandemic,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spacing w:after="0" w:line="178"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231F20"/>
        </w:rPr>
        <w:t>The increasing use of social media platforms presents new risks and challenges.</w:t>
      </w:r>
    </w:p>
    <w:p>
      <w:pPr>
        <w:spacing w:after="0" w:line="158" w:lineRule="exact"/>
        <w:rPr>
          <w:sz w:val="20"/>
          <w:szCs w:val="20"/>
          <w:color w:val="auto"/>
        </w:rPr>
      </w:pPr>
    </w:p>
    <w:p>
      <w:pPr>
        <w:ind w:firstLine="434"/>
        <w:spacing w:after="0" w:line="235" w:lineRule="auto"/>
        <w:rPr>
          <w:sz w:val="20"/>
          <w:szCs w:val="20"/>
          <w:color w:val="auto"/>
        </w:rPr>
      </w:pPr>
      <w:r>
        <w:rPr>
          <w:rFonts w:ascii="Arial" w:cs="Arial" w:eastAsia="Arial" w:hAnsi="Arial"/>
          <w:sz w:val="16"/>
          <w:szCs w:val="16"/>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we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219" w:lineRule="exact"/>
        <w:rPr>
          <w:sz w:val="20"/>
          <w:szCs w:val="20"/>
          <w:color w:val="auto"/>
        </w:rPr>
      </w:pPr>
    </w:p>
    <w:p>
      <w:pPr>
        <w:ind w:right="20" w:firstLine="1152"/>
        <w:spacing w:after="0" w:line="277" w:lineRule="auto"/>
        <w:rPr>
          <w:sz w:val="20"/>
          <w:szCs w:val="20"/>
          <w:color w:val="auto"/>
        </w:rPr>
      </w:pPr>
      <w:r>
        <w:rPr>
          <w:rFonts w:ascii="Arial" w:cs="Arial" w:eastAsia="Arial" w:hAnsi="Arial"/>
          <w:sz w:val="18"/>
          <w:szCs w:val="18"/>
          <w:b w:val="1"/>
          <w:bCs w:val="1"/>
          <w:i w:val="1"/>
          <w:iCs w:val="1"/>
          <w:color w:val="231F20"/>
        </w:rPr>
        <w:t>Our estimates of market opportunity and forecasts of market growth may prove to be inaccurate, and even if the markets in which we compete achieve the forecasted growth, our business may not grow at similar rates, or at all.</w:t>
      </w:r>
    </w:p>
    <w:p>
      <w:pPr>
        <w:spacing w:after="0" w:line="170" w:lineRule="exact"/>
        <w:rPr>
          <w:sz w:val="20"/>
          <w:szCs w:val="20"/>
          <w:color w:val="auto"/>
        </w:rPr>
      </w:pPr>
    </w:p>
    <w:p>
      <w:pPr>
        <w:ind w:right="20" w:firstLine="1332"/>
        <w:spacing w:after="0" w:line="249" w:lineRule="auto"/>
        <w:rPr>
          <w:sz w:val="20"/>
          <w:szCs w:val="20"/>
          <w:color w:val="auto"/>
        </w:rPr>
      </w:pPr>
      <w:r>
        <w:rPr>
          <w:rFonts w:ascii="Arial" w:cs="Arial" w:eastAsia="Arial" w:hAnsi="Arial"/>
          <w:sz w:val="16"/>
          <w:szCs w:val="16"/>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On June 2, 2020, our Registration Statement on Form S-1 (No. 333-238146) was declared effective by the SEC pursuant to which we issued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sold an aggregate of 10,350,000 shares of common stock (inclusive of 9,000,000 shares of common stock and 1,350,000 shares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underwriters’ exercise of their over-allotment option) at a public offering price of $16.00 per share for aggregate net cash proceeds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$148.3 million, after deducting underwriting discounts, commissions and offering costs. No payments for such expenses were made directly or indirectly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 any of our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officers or directors or their associates, (ii) any persons owning 10% or more of any class of our equity securities or (iii) any of our affiliates.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sale and issuance of 10,350,000 shares closed on June 5, 2020.</w:t>
      </w:r>
    </w:p>
    <w:p>
      <w:pPr>
        <w:spacing w:after="0" w:line="225" w:lineRule="exact"/>
        <w:rPr>
          <w:sz w:val="20"/>
          <w:szCs w:val="20"/>
          <w:color w:val="auto"/>
        </w:rPr>
      </w:pPr>
    </w:p>
    <w:p>
      <w:pPr>
        <w:ind w:right="20" w:firstLine="1134"/>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from that described in our prospectus dated June 2, 2020 filed with the SEC on June 3, 2020 in connection with our IPO.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following table contains information relating to the repurchases of our common stock made by us in the three months ended June 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4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Period</w:t>
            </w:r>
          </w:p>
        </w:tc>
        <w:tc>
          <w:tcPr>
            <w:tcW w:w="2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 Number</w:t>
            </w:r>
          </w:p>
        </w:tc>
        <w:tc>
          <w:tcPr>
            <w:tcW w:w="1260" w:type="dxa"/>
            <w:vAlign w:val="bottom"/>
          </w:tcPr>
          <w:p>
            <w:pPr>
              <w:spacing w:after="0"/>
              <w:rPr>
                <w:sz w:val="14"/>
                <w:szCs w:val="14"/>
                <w:color w:val="auto"/>
              </w:rPr>
            </w:pPr>
          </w:p>
        </w:tc>
        <w:tc>
          <w:tcPr>
            <w:tcW w:w="19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2"/>
              </w:rPr>
              <w:t>Average Price Paid per Share</w:t>
            </w:r>
          </w:p>
        </w:tc>
        <w:tc>
          <w:tcPr>
            <w:tcW w:w="0" w:type="dxa"/>
            <w:vAlign w:val="bottom"/>
          </w:tcPr>
          <w:p>
            <w:pPr>
              <w:spacing w:after="0"/>
              <w:rPr>
                <w:sz w:val="1"/>
                <w:szCs w:val="1"/>
                <w:color w:val="auto"/>
              </w:rPr>
            </w:pPr>
          </w:p>
        </w:tc>
      </w:tr>
      <w:tr>
        <w:trPr>
          <w:trHeight w:val="188"/>
        </w:trPr>
        <w:tc>
          <w:tcPr>
            <w:tcW w:w="3440" w:type="dxa"/>
            <w:vAlign w:val="bottom"/>
            <w:tcBorders>
              <w:bottom w:val="single" w:sz="8" w:color="auto"/>
            </w:tcBorders>
            <w:vMerge w:val="continue"/>
          </w:tcPr>
          <w:p>
            <w:pPr>
              <w:spacing w:after="0"/>
              <w:rPr>
                <w:sz w:val="16"/>
                <w:szCs w:val="16"/>
                <w:color w:val="auto"/>
              </w:rPr>
            </w:pPr>
          </w:p>
        </w:tc>
        <w:tc>
          <w:tcPr>
            <w:tcW w:w="21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of Shares Purchased</w:t>
            </w:r>
            <w:r>
              <w:rPr>
                <w:rFonts w:ascii="Arial" w:cs="Arial" w:eastAsia="Arial" w:hAnsi="Arial"/>
                <w:sz w:val="10"/>
                <w:szCs w:val="10"/>
                <w:b w:val="1"/>
                <w:bCs w:val="1"/>
                <w:color w:val="auto"/>
              </w:rPr>
              <w:t>(1)</w:t>
            </w:r>
          </w:p>
        </w:tc>
        <w:tc>
          <w:tcPr>
            <w:tcW w:w="1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April 1-30, 2021</w:t>
            </w:r>
          </w:p>
        </w:tc>
        <w:tc>
          <w:tcPr>
            <w:tcW w:w="212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tcPr>
          <w:p>
            <w:pPr>
              <w:ind w:left="1160"/>
              <w:spacing w:after="0"/>
              <w:rPr>
                <w:sz w:val="20"/>
                <w:szCs w:val="20"/>
                <w:color w:val="auto"/>
              </w:rPr>
            </w:pPr>
            <w:r>
              <w:rPr>
                <w:rFonts w:ascii="Arial" w:cs="Arial" w:eastAsia="Arial" w:hAnsi="Arial"/>
                <w:sz w:val="18"/>
                <w:szCs w:val="18"/>
                <w:color w:val="auto"/>
              </w:rPr>
              <w:t>May 1-31, 2021</w:t>
            </w:r>
          </w:p>
        </w:tc>
        <w:tc>
          <w:tcPr>
            <w:tcW w:w="212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June 1-30, 2021</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20" w:firstLine="1134"/>
        <w:spacing w:after="0" w:line="311" w:lineRule="auto"/>
        <w:rPr>
          <w:sz w:val="20"/>
          <w:szCs w:val="20"/>
          <w:color w:val="auto"/>
        </w:rPr>
      </w:pPr>
      <w:r>
        <w:rPr>
          <w:rFonts w:ascii="Arial" w:cs="Arial" w:eastAsia="Arial" w:hAnsi="Arial"/>
          <w:sz w:val="16"/>
          <w:szCs w:val="16"/>
          <w:color w:val="auto"/>
        </w:rPr>
        <w:t>(1)Represents shares of unvested common stock that were repurchased by us from former employees upon termination of employment in accordance with the terms of the employees’ stock option agreements. The purchase price per share is equal to the original exercise price paid by the former employees. See Note 11 to our condensed financial statements appearing elsewhere in this Report for additional information.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03" w:right="5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9880" w:type="dxa"/>
            <w:vAlign w:val="bottom"/>
            <w:gridSpan w:val="16"/>
          </w:tcPr>
          <w:p>
            <w:pPr>
              <w:ind w:left="120"/>
              <w:spacing w:after="0"/>
              <w:rPr>
                <w:sz w:val="20"/>
                <w:szCs w:val="20"/>
                <w:color w:val="auto"/>
              </w:rPr>
            </w:pPr>
            <w:r>
              <w:rPr>
                <w:rFonts w:ascii="Arial" w:cs="Arial" w:eastAsia="Arial" w:hAnsi="Arial"/>
                <w:sz w:val="18"/>
                <w:szCs w:val="18"/>
                <w:color w:val="auto"/>
              </w:rPr>
              <w:t>See Exhibit Index</w:t>
            </w:r>
          </w:p>
        </w:tc>
        <w:tc>
          <w:tcPr>
            <w:tcW w:w="0" w:type="dxa"/>
            <w:vAlign w:val="bottom"/>
          </w:tcPr>
          <w:p>
            <w:pPr>
              <w:spacing w:after="0"/>
              <w:rPr>
                <w:sz w:val="1"/>
                <w:szCs w:val="1"/>
                <w:color w:val="auto"/>
              </w:rPr>
            </w:pPr>
          </w:p>
        </w:tc>
      </w:tr>
      <w:tr>
        <w:trPr>
          <w:trHeight w:val="540"/>
        </w:trPr>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960" w:type="dxa"/>
            <w:vAlign w:val="bottom"/>
            <w:gridSpan w:val="12"/>
          </w:tcPr>
          <w:p>
            <w:pPr>
              <w:ind w:left="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57"/>
        </w:trPr>
        <w:tc>
          <w:tcPr>
            <w:tcW w:w="1020" w:type="dxa"/>
            <w:vAlign w:val="bottom"/>
          </w:tcPr>
          <w:p>
            <w:pPr>
              <w:ind w:left="46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5960" w:type="dxa"/>
            <w:vAlign w:val="bottom"/>
            <w:gridSpan w:val="12"/>
            <w:vMerge w:val="restart"/>
          </w:tcPr>
          <w:p>
            <w:pPr>
              <w:ind w:left="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0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No.</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5960" w:type="dxa"/>
            <w:vAlign w:val="bottom"/>
            <w:tcBorders>
              <w:bottom w:val="single" w:sz="8" w:color="auto"/>
            </w:tcBorders>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1020" w:type="dxa"/>
            <w:vAlign w:val="bottom"/>
          </w:tcPr>
          <w:p>
            <w:pPr>
              <w:ind w:left="2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rFonts w:ascii="Arial" w:cs="Arial" w:eastAsia="Arial" w:hAnsi="Arial"/>
                <w:sz w:val="18"/>
                <w:szCs w:val="18"/>
                <w:color w:val="0000FF"/>
                <w:w w:val="93"/>
              </w:rPr>
            </w:pPr>
            <w:hyperlink r:id="rId94">
              <w:r>
                <w:rPr>
                  <w:rFonts w:ascii="Arial" w:cs="Arial" w:eastAsia="Arial" w:hAnsi="Arial"/>
                  <w:sz w:val="18"/>
                  <w:szCs w:val="18"/>
                  <w:color w:val="0000FF"/>
                  <w:w w:val="93"/>
                </w:rPr>
                <w:t>Amended and Restated Certificate of Incorporation of the Registrant, as currently in effect (incorporated by reference to Exhibit</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3.</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of the Registrant’s quarterly report on Form 10-Q (File No. 001-39303) filed on August 11, 2020).</w:t>
              </w:r>
            </w:hyperlink>
          </w:p>
        </w:tc>
        <w:tc>
          <w:tcPr>
            <w:tcW w:w="186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rFonts w:ascii="Arial" w:cs="Arial" w:eastAsia="Arial" w:hAnsi="Arial"/>
                <w:sz w:val="18"/>
                <w:szCs w:val="18"/>
                <w:color w:val="0000FF"/>
              </w:rPr>
            </w:pPr>
            <w:hyperlink r:id="rId95">
              <w:r>
                <w:rPr>
                  <w:rFonts w:ascii="Arial" w:cs="Arial" w:eastAsia="Arial" w:hAnsi="Arial"/>
                  <w:sz w:val="18"/>
                  <w:szCs w:val="18"/>
                  <w:color w:val="0000FF"/>
                </w:rPr>
                <w:t>Amended and Restated Bylaws of the Registrant, as currently in effect (incorporated by reference to Exhibit 3.1 of the</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Registrant’s current report on Form 8-K (File No. 001-39303) filed on December 21, 2020)</w:t>
              </w:r>
              <w:r>
                <w:rPr>
                  <w:rFonts w:ascii="Arial" w:cs="Arial" w:eastAsia="Arial" w:hAnsi="Arial"/>
                  <w:sz w:val="18"/>
                  <w:szCs w:val="18"/>
                  <w:color w:val="000000"/>
                </w:rPr>
                <w:t>.</w:t>
              </w:r>
            </w:hyperlink>
          </w:p>
        </w:tc>
        <w:tc>
          <w:tcPr>
            <w:tcW w:w="6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rFonts w:ascii="Arial" w:cs="Arial" w:eastAsia="Arial" w:hAnsi="Arial"/>
                <w:sz w:val="18"/>
                <w:szCs w:val="18"/>
                <w:color w:val="0000FF"/>
                <w:w w:val="91"/>
              </w:rPr>
            </w:pPr>
            <w:hyperlink r:id="rId96">
              <w:r>
                <w:rPr>
                  <w:rFonts w:ascii="Arial" w:cs="Arial" w:eastAsia="Arial" w:hAnsi="Arial"/>
                  <w:sz w:val="18"/>
                  <w:szCs w:val="18"/>
                  <w:color w:val="0000FF"/>
                  <w:w w:val="91"/>
                </w:rPr>
                <w:t>Specimen Common Stock Certificate (incorporated by reference to Exhibit 4.1 of the Registrant’s Registration Statement on Form</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S-1, as amended (File No. 333-238146) filed on May 26, 2020).</w:t>
              </w:r>
            </w:hyperlink>
          </w:p>
        </w:tc>
        <w:tc>
          <w:tcPr>
            <w:tcW w:w="476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rFonts w:ascii="Arial" w:cs="Arial" w:eastAsia="Arial" w:hAnsi="Arial"/>
                <w:sz w:val="18"/>
                <w:szCs w:val="18"/>
                <w:color w:val="0000FF"/>
                <w:w w:val="92"/>
              </w:rPr>
            </w:pPr>
            <w:hyperlink w:anchor="page84">
              <w:r>
                <w:rPr>
                  <w:rFonts w:ascii="Arial" w:cs="Arial" w:eastAsia="Arial" w:hAnsi="Arial"/>
                  <w:sz w:val="18"/>
                  <w:szCs w:val="18"/>
                  <w:color w:val="0000FF"/>
                  <w:w w:val="92"/>
                </w:rPr>
                <w:t>Certification of Chief Executive Officer required by Rule 13a-14(a) or Rule 15d-14(a) of the Securities Exchange Act of 1934, as</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84">
              <w:r>
                <w:rPr>
                  <w:rFonts w:ascii="Arial" w:cs="Arial" w:eastAsia="Arial" w:hAnsi="Arial"/>
                  <w:sz w:val="18"/>
                  <w:szCs w:val="18"/>
                  <w:color w:val="0000FF"/>
                  <w:w w:val="90"/>
                </w:rPr>
                <w:t>adopted pursuant to Section 302 of the Sarbanes-Oxley Act of 2002.</w:t>
              </w:r>
            </w:hyperlink>
          </w:p>
        </w:tc>
        <w:tc>
          <w:tcPr>
            <w:tcW w:w="4380" w:type="dxa"/>
            <w:vAlign w:val="bottom"/>
            <w:tcBorders>
              <w:top w:val="single" w:sz="8" w:color="0000FF"/>
            </w:tcBorders>
            <w:gridSpan w:val="7"/>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rFonts w:ascii="Arial" w:cs="Arial" w:eastAsia="Arial" w:hAnsi="Arial"/>
                <w:sz w:val="18"/>
                <w:szCs w:val="18"/>
                <w:color w:val="0000FF"/>
                <w:w w:val="93"/>
              </w:rPr>
            </w:pPr>
            <w:hyperlink w:anchor="page85">
              <w:r>
                <w:rPr>
                  <w:rFonts w:ascii="Arial" w:cs="Arial" w:eastAsia="Arial" w:hAnsi="Arial"/>
                  <w:sz w:val="18"/>
                  <w:szCs w:val="18"/>
                  <w:color w:val="0000FF"/>
                  <w:w w:val="93"/>
                </w:rPr>
                <w:t>Certification of Chief Financial Officer required by Rule 13a-14(a) or Rule 15d-14(a) of the Securities Exchange Act of 1934, as</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85">
              <w:r>
                <w:rPr>
                  <w:rFonts w:ascii="Arial" w:cs="Arial" w:eastAsia="Arial" w:hAnsi="Arial"/>
                  <w:sz w:val="18"/>
                  <w:szCs w:val="18"/>
                  <w:color w:val="0000FF"/>
                </w:rPr>
                <w:t>adopted pursuant to Section 302 of the Sarbanes-Oxley Act of 2002.</w:t>
              </w:r>
            </w:hyperlink>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rFonts w:ascii="Arial" w:cs="Arial" w:eastAsia="Arial" w:hAnsi="Arial"/>
                <w:sz w:val="18"/>
                <w:szCs w:val="18"/>
                <w:color w:val="0000FF"/>
                <w:w w:val="93"/>
              </w:rPr>
            </w:pPr>
            <w:hyperlink w:anchor="page86">
              <w:r>
                <w:rPr>
                  <w:rFonts w:ascii="Arial" w:cs="Arial" w:eastAsia="Arial" w:hAnsi="Arial"/>
                  <w:sz w:val="18"/>
                  <w:szCs w:val="18"/>
                  <w:color w:val="0000FF"/>
                  <w:w w:val="93"/>
                </w:rPr>
                <w:t>Certification of Chief Executive Officer and Chief Financial Officer pursuant to 18 U.S.C. Section 1350, as adopted pursuant to</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86">
              <w:r>
                <w:rPr>
                  <w:rFonts w:ascii="Arial" w:cs="Arial" w:eastAsia="Arial" w:hAnsi="Arial"/>
                  <w:sz w:val="18"/>
                  <w:szCs w:val="18"/>
                  <w:color w:val="0000FF"/>
                </w:rPr>
                <w:t>Section 906 of the Sarbanes-Oxley Act of 2002.</w:t>
              </w:r>
            </w:hyperlink>
          </w:p>
        </w:tc>
        <w:tc>
          <w:tcPr>
            <w:tcW w:w="2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XBRL Instance Document</w:t>
            </w:r>
          </w:p>
        </w:tc>
        <w:tc>
          <w:tcPr>
            <w:tcW w:w="59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sz w:val="20"/>
                <w:szCs w:val="20"/>
                <w:color w:val="auto"/>
              </w:rPr>
            </w:pPr>
            <w:r>
              <w:rPr>
                <w:rFonts w:ascii="Arial" w:cs="Arial" w:eastAsia="Arial" w:hAnsi="Arial"/>
                <w:sz w:val="18"/>
                <w:szCs w:val="18"/>
                <w:color w:val="auto"/>
              </w:rPr>
              <w:t>XBRL Taxonomy Extension Definition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9" w:lineRule="exact"/>
        <w:rPr>
          <w:sz w:val="20"/>
          <w:szCs w:val="20"/>
          <w:color w:val="auto"/>
        </w:rPr>
      </w:pPr>
    </w:p>
    <w:p>
      <w:pPr>
        <w:ind w:left="980" w:hanging="972"/>
        <w:spacing w:after="0" w:line="255" w:lineRule="auto"/>
        <w:tabs>
          <w:tab w:leader="none" w:pos="3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91" w:right="47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9, 2021</w:t>
      </w:r>
    </w:p>
    <w:p>
      <w:pPr>
        <w:spacing w:after="0" w:line="144" w:lineRule="exact"/>
        <w:rPr>
          <w:sz w:val="20"/>
          <w:szCs w:val="20"/>
          <w:color w:val="auto"/>
        </w:rPr>
      </w:pPr>
    </w:p>
    <w:tbl>
      <w:tblPr>
        <w:tblLayout w:type="fixed"/>
        <w:tblInd w:w="49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5560" w:type="dxa"/>
            <w:vAlign w:val="bottom"/>
            <w:gridSpan w:val="2"/>
          </w:tcPr>
          <w:p>
            <w:pPr>
              <w:ind w:left="460"/>
              <w:spacing w:after="0"/>
              <w:rPr>
                <w:sz w:val="20"/>
                <w:szCs w:val="20"/>
                <w:color w:val="auto"/>
              </w:rPr>
            </w:pPr>
            <w:r>
              <w:rPr>
                <w:rFonts w:ascii="Arial" w:cs="Arial" w:eastAsia="Arial" w:hAnsi="Arial"/>
                <w:sz w:val="18"/>
                <w:szCs w:val="18"/>
                <w:color w:val="auto"/>
              </w:rPr>
              <w:t>PLIANT THERAPEUTICS, INC.</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660" w:type="dxa"/>
            <w:vAlign w:val="bottom"/>
          </w:tcPr>
          <w:p>
            <w:pPr>
              <w:spacing w:after="0"/>
              <w:rPr>
                <w:sz w:val="24"/>
                <w:szCs w:val="24"/>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Bernard Coulie</w:t>
            </w:r>
          </w:p>
        </w:tc>
      </w:tr>
      <w:tr>
        <w:trPr>
          <w:trHeight w:val="222"/>
        </w:trPr>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00" w:type="dxa"/>
            <w:vAlign w:val="bottom"/>
          </w:tcPr>
          <w:p>
            <w:pPr>
              <w:ind w:left="220"/>
              <w:spacing w:after="0"/>
              <w:rPr>
                <w:sz w:val="20"/>
                <w:szCs w:val="20"/>
                <w:color w:val="auto"/>
              </w:rPr>
            </w:pPr>
            <w:r>
              <w:rPr>
                <w:rFonts w:ascii="Arial" w:cs="Arial" w:eastAsia="Arial" w:hAnsi="Arial"/>
                <w:sz w:val="18"/>
                <w:szCs w:val="18"/>
                <w:color w:val="auto"/>
              </w:rPr>
              <w:t>Bernard Coulie, M.D., Ph.D.</w:t>
            </w:r>
          </w:p>
        </w:tc>
      </w:tr>
      <w:tr>
        <w:trPr>
          <w:trHeight w:val="230"/>
        </w:trPr>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660" w:type="dxa"/>
            <w:vAlign w:val="bottom"/>
          </w:tcPr>
          <w:p>
            <w:pPr>
              <w:spacing w:after="0"/>
              <w:rPr>
                <w:sz w:val="24"/>
                <w:szCs w:val="24"/>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Cummings</w:t>
            </w:r>
          </w:p>
        </w:tc>
      </w:tr>
      <w:tr>
        <w:trPr>
          <w:trHeight w:val="222"/>
        </w:trPr>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00" w:type="dxa"/>
            <w:vAlign w:val="bottom"/>
          </w:tcPr>
          <w:p>
            <w:pPr>
              <w:ind w:left="220"/>
              <w:spacing w:after="0"/>
              <w:rPr>
                <w:sz w:val="20"/>
                <w:szCs w:val="20"/>
                <w:color w:val="auto"/>
              </w:rPr>
            </w:pPr>
            <w:r>
              <w:rPr>
                <w:rFonts w:ascii="Arial" w:cs="Arial" w:eastAsia="Arial" w:hAnsi="Arial"/>
                <w:sz w:val="18"/>
                <w:szCs w:val="18"/>
                <w:color w:val="auto"/>
              </w:rPr>
              <w:t>Keith Cummings, M.D., M.B.A.</w:t>
            </w:r>
          </w:p>
        </w:tc>
      </w:tr>
      <w:tr>
        <w:trPr>
          <w:trHeight w:val="230"/>
        </w:trPr>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00" w:type="dxa"/>
            <w:vAlign w:val="bottom"/>
          </w:tcPr>
          <w:p>
            <w:pPr>
              <w:ind w:left="220"/>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891" w:right="35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Bernard Coulie, certify that:</w:t>
      </w:r>
    </w:p>
    <w:p>
      <w:pPr>
        <w:spacing w:after="0" w:line="225" w:lineRule="exact"/>
        <w:rPr>
          <w:sz w:val="20"/>
          <w:szCs w:val="20"/>
          <w:color w:val="auto"/>
        </w:rPr>
      </w:pPr>
    </w:p>
    <w:p>
      <w:pPr>
        <w:ind w:left="1140" w:hanging="1132"/>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Pliant Therapeutics, Inc.;</w:t>
      </w:r>
    </w:p>
    <w:p>
      <w:pPr>
        <w:spacing w:after="0" w:line="225" w:lineRule="exact"/>
        <w:rPr>
          <w:rFonts w:ascii="Arial" w:cs="Arial" w:eastAsia="Arial" w:hAnsi="Arial"/>
          <w:sz w:val="18"/>
          <w:szCs w:val="18"/>
          <w:color w:val="auto"/>
        </w:rPr>
      </w:pPr>
    </w:p>
    <w:p>
      <w:pPr>
        <w:ind w:left="1140" w:right="100" w:hanging="1132"/>
        <w:spacing w:after="0" w:line="263"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140" w:right="380" w:hanging="1132"/>
        <w:spacing w:after="0" w:line="342" w:lineRule="auto"/>
        <w:tabs>
          <w:tab w:leader="none" w:pos="11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140" w:hanging="1132"/>
        <w:spacing w:after="0" w:line="277"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2440" w:right="360" w:hanging="1298"/>
        <w:spacing w:after="0" w:line="259" w:lineRule="auto"/>
        <w:tabs>
          <w:tab w:leader="none" w:pos="2431"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2440" w:right="160" w:hanging="1298"/>
        <w:spacing w:after="0" w:line="263" w:lineRule="auto"/>
        <w:tabs>
          <w:tab w:leader="none" w:pos="2428"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440" w:right="260" w:hanging="1298"/>
        <w:spacing w:after="0" w:line="259" w:lineRule="auto"/>
        <w:tabs>
          <w:tab w:leader="none" w:pos="2431"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1140" w:right="300" w:hanging="1132"/>
        <w:spacing w:after="0" w:line="263"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440" w:right="80" w:hanging="1298"/>
        <w:spacing w:after="0" w:line="263" w:lineRule="auto"/>
        <w:tabs>
          <w:tab w:leader="none" w:pos="2431"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440" w:right="460" w:hanging="1298"/>
        <w:spacing w:after="0" w:line="277" w:lineRule="auto"/>
        <w:tabs>
          <w:tab w:leader="none" w:pos="242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0290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Bernard Coulie, M.D., Ph.D.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07"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Cummings, certify that:</w:t>
      </w:r>
    </w:p>
    <w:p>
      <w:pPr>
        <w:spacing w:after="0" w:line="225" w:lineRule="exact"/>
        <w:rPr>
          <w:sz w:val="20"/>
          <w:szCs w:val="20"/>
          <w:color w:val="auto"/>
        </w:rPr>
      </w:pPr>
    </w:p>
    <w:p>
      <w:pPr>
        <w:ind w:left="1300" w:hanging="129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Pliant Therapeutics, Inc.;</w:t>
      </w:r>
    </w:p>
    <w:p>
      <w:pPr>
        <w:spacing w:after="0" w:line="225" w:lineRule="exact"/>
        <w:rPr>
          <w:rFonts w:ascii="Arial" w:cs="Arial" w:eastAsia="Arial" w:hAnsi="Arial"/>
          <w:sz w:val="18"/>
          <w:szCs w:val="18"/>
          <w:color w:val="auto"/>
        </w:rPr>
      </w:pPr>
    </w:p>
    <w:p>
      <w:pPr>
        <w:ind w:left="1300" w:right="160" w:hanging="1292"/>
        <w:spacing w:after="0" w:line="263"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300" w:right="220" w:hanging="1292"/>
        <w:spacing w:after="0" w:line="342"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440" w:hanging="1292"/>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2440" w:right="360" w:hanging="1136"/>
        <w:spacing w:after="0" w:line="259" w:lineRule="auto"/>
        <w:tabs>
          <w:tab w:leader="none" w:pos="2431"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2440" w:right="160" w:hanging="1136"/>
        <w:spacing w:after="0" w:line="263" w:lineRule="auto"/>
        <w:tabs>
          <w:tab w:leader="none" w:pos="2428"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440" w:right="260" w:hanging="1136"/>
        <w:spacing w:after="0" w:line="259" w:lineRule="auto"/>
        <w:tabs>
          <w:tab w:leader="none" w:pos="2431"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1300" w:right="140" w:hanging="1292"/>
        <w:spacing w:after="0" w:line="263"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440" w:right="80" w:hanging="1136"/>
        <w:spacing w:after="0" w:line="263" w:lineRule="auto"/>
        <w:tabs>
          <w:tab w:leader="none" w:pos="2431"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440" w:right="460" w:hanging="1136"/>
        <w:spacing w:after="0" w:line="277" w:lineRule="auto"/>
        <w:tabs>
          <w:tab w:leader="none" w:pos="242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0290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Keith Cummings, M.D., MBA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107"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Bernard Coulie, Chief Executive Officer of Pliant Therapeutics, Inc. (the “Company”), and Keith Cummings, Chief Financial Officer of the Company, each hereby certifies that, to the best of his knowledge:</w:t>
      </w:r>
    </w:p>
    <w:p>
      <w:pPr>
        <w:spacing w:after="0" w:line="165" w:lineRule="exact"/>
        <w:rPr>
          <w:sz w:val="20"/>
          <w:szCs w:val="20"/>
          <w:color w:val="auto"/>
        </w:rPr>
      </w:pPr>
    </w:p>
    <w:p>
      <w:pPr>
        <w:ind w:left="980" w:right="320" w:hanging="972"/>
        <w:spacing w:after="0" w:line="308" w:lineRule="auto"/>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2021, to which this Certification is attached as Exhibit 32.1 (the “Periodic Report”), fully complies with the requirements of Section 13(a) or Section 15(d) of the Exchange Act; and</w:t>
      </w:r>
    </w:p>
    <w:p>
      <w:pPr>
        <w:spacing w:after="0" w:line="146" w:lineRule="exact"/>
        <w:rPr>
          <w:rFonts w:ascii="Arial" w:cs="Arial" w:eastAsia="Arial" w:hAnsi="Arial"/>
          <w:sz w:val="17"/>
          <w:szCs w:val="17"/>
          <w:color w:val="auto"/>
        </w:rPr>
      </w:pPr>
    </w:p>
    <w:p>
      <w:pPr>
        <w:ind w:left="980" w:right="220" w:hanging="972"/>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0290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Bernard Coulie, M.D., Ph.D.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0290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40290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Keith Cummings, M.D., MBA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31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3"/>
    </w:lvl>
  </w:abstractNum>
  <w:abstractNum w:abstractNumId="10">
    <w:nsid w:val="1E7FF521"/>
    <w:multiLevelType w:val="hybridMultilevel"/>
    <w:lvl w:ilvl="0">
      <w:lvlJc w:val="left"/>
      <w:lvlText w:val="•"/>
      <w:numFmt w:val="bullet"/>
      <w:start w:val="1"/>
    </w:lvl>
    <w:lvl w:ilvl="1">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lvl w:ilvl="1">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94" Type="http://schemas.openxmlformats.org/officeDocument/2006/relationships/hyperlink" Target="https://www.sec.gov/Archives/edgar/data/0001746473/000156459020039327/plrx-ex31_301.htm" TargetMode="External"/><Relationship Id="rId95" Type="http://schemas.openxmlformats.org/officeDocument/2006/relationships/hyperlink" Target="https://www.sec.gov/Archives/edgar/data/1746473/000119312520322128/d61993dex31.htm" TargetMode="External"/><Relationship Id="rId96" Type="http://schemas.openxmlformats.org/officeDocument/2006/relationships/hyperlink" Target="https://www.sec.gov/Archives/edgar/data/0001746473/000119312520150643/d72925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2021-08-09T16:31:03Z</dcterms:created>
  <dcterms:modified xsi:type="dcterms:W3CDTF">2021-08-09T16:31:03Z</dcterms:modified>
</cp:coreProperties>
</file>