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974731.xml.htm"/>
      <w:bookmarkStart w:id="1" w:name="kswkform4_17839747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Borellini Flavia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PLIANT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 OYSTER POINT BOULEVARD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PLIANT THERAPEUTICS, INC.</w:t>
              </w:r>
            </w:hyperlink>
            <w:r>
              <w:rPr/>
              <w:t xml:space="preserve"> [ </w:t>
            </w:r>
            <w:r>
              <w:rPr>
                <w:rFonts w:ascii="Times;serif" w:hAnsi="Times;serif"/>
                <w:color w:val="0000FF"/>
                <w:sz w:val="24"/>
                <w:shd w:fill="FFFFFF" w:val="clear"/>
              </w:rPr>
              <w:t>PLRX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1/36th of the shares subject to such option vest and become exercisable in substantially equal installments on each monthly anniversary of July 9, 2026, subject to the Reporting Person's continuous service to the Issuer on each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Woo,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7426" TargetMode="External"/><Relationship Id="rId5" Type="http://schemas.openxmlformats.org/officeDocument/2006/relationships/hyperlink" Target="http://www.sec.gov/cgi-bin/browse-edgar?action=getcompany&amp;CIK=00017464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610</Words>
  <Characters>3328</Characters>
  <CharactersWithSpaces>3875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