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Pliant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5,509,724.00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5,509,724.00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5,509,724.00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5,509,724 shares of common stock, par value $0.0001 per share ("Common Stock"), of Pliant Therapeutics, Inc. (the "Issuer") owned directly by private investment funds managed by ADAR1 Capital Management, LLC. Such securities may be deemed to be indirectly beneficially owned by ADAR1 Capital Management, LLC. The percentage in box 11 is based on 61,920,154 shares of Common Stock outstanding as of June 30, 2026, as reported in the Issuer's Quarterly Report on Form 10-Q for the quarterly period ended June 30, 2026, filed with the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5,509,724.00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5,509,724.00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5,509,724.00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5,509,724 shares of common stock, par value $0.0001 per share ("Common Stock"), of Pliant Therapeutics, Inc. (the "Issuer") owned directly by private investment funds managed by ADAR1 Capital Management, LLC. Such securities may be deemed to be indirectly beneficially owned by Daniel Schneeberger, the sole manager of ADAR1 Capital Management, LLC. The percentage in box 11 is based on 61,920,154 shares of Common Stock outstanding as of June 30, 2026, as reported in the Issuer's Quarterly Report on Form 10-Q for the quarterly period ended June 30, 2026, filed with the Securities and Exchange Commission on August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Pliant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331 Oyster Point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3_ex99-a.htm"/>
      <w:bookmarkStart w:id="21" w:name="kstm2623241d13_ex99a"/>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par value $0.0001 per share, of Pliant Therapeutics, Inc., and further agree that this Joint Filing Agreement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1446</Words>
  <Characters>7670</Characters>
  <CharactersWithSpaces>9093</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