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July 17, 2019, as Amendment No. 2 to the Confidential Submission dated May 10, 2019.</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This draft registration statement has not been filed publicly with the Securities and Exchange Commission and all information contained herein remains confidential.</w:t>
      </w:r>
    </w:p>
    <w:p>
      <w:pPr>
        <w:spacing w:after="0" w:line="26"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116205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117475</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PLIANT THERAPEUTICS, INC.</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107950</wp:posOffset>
            </wp:positionV>
            <wp:extent cx="1045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36"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Delaware</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2834</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47-4272481</w:t>
            </w:r>
          </w:p>
        </w:tc>
      </w:tr>
      <w:tr>
        <w:trPr>
          <w:trHeight w:val="148"/>
        </w:trPr>
        <w:tc>
          <w:tcPr>
            <w:tcW w:w="284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260 Littlefield Avenue</w:t>
      </w:r>
    </w:p>
    <w:p>
      <w:pPr>
        <w:jc w:val="center"/>
        <w:ind w:right="-99"/>
        <w:spacing w:after="0" w:line="226" w:lineRule="auto"/>
        <w:rPr>
          <w:sz w:val="20"/>
          <w:szCs w:val="20"/>
          <w:color w:val="auto"/>
        </w:rPr>
      </w:pPr>
      <w:r>
        <w:rPr>
          <w:rFonts w:ascii="Arial" w:cs="Arial" w:eastAsia="Arial" w:hAnsi="Arial"/>
          <w:sz w:val="14"/>
          <w:szCs w:val="14"/>
          <w:b w:val="1"/>
          <w:bCs w:val="1"/>
          <w:color w:val="auto"/>
        </w:rPr>
        <w:t>South San Francisco, CA 94080</w:t>
      </w:r>
    </w:p>
    <w:p>
      <w:pPr>
        <w:jc w:val="center"/>
        <w:ind w:right="-99"/>
        <w:spacing w:after="0" w:line="221" w:lineRule="auto"/>
        <w:rPr>
          <w:sz w:val="20"/>
          <w:szCs w:val="20"/>
          <w:color w:val="auto"/>
        </w:rPr>
      </w:pPr>
      <w:r>
        <w:rPr>
          <w:rFonts w:ascii="Arial" w:cs="Arial" w:eastAsia="Arial" w:hAnsi="Arial"/>
          <w:sz w:val="14"/>
          <w:szCs w:val="14"/>
          <w:b w:val="1"/>
          <w:bCs w:val="1"/>
          <w:color w:val="auto"/>
        </w:rPr>
        <w:t>(650) 481-6770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107950</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Bernard Coulie, M.D., Ph.D.</w:t>
      </w:r>
    </w:p>
    <w:p>
      <w:pPr>
        <w:jc w:val="center"/>
        <w:ind w:right="-9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Pliant Therapeutics, Inc.</w:t>
      </w:r>
    </w:p>
    <w:p>
      <w:pPr>
        <w:jc w:val="center"/>
        <w:ind w:right="-99"/>
        <w:spacing w:after="0" w:line="222" w:lineRule="auto"/>
        <w:rPr>
          <w:sz w:val="20"/>
          <w:szCs w:val="20"/>
          <w:color w:val="auto"/>
        </w:rPr>
      </w:pPr>
      <w:r>
        <w:rPr>
          <w:rFonts w:ascii="Arial" w:cs="Arial" w:eastAsia="Arial" w:hAnsi="Arial"/>
          <w:sz w:val="14"/>
          <w:szCs w:val="14"/>
          <w:b w:val="1"/>
          <w:bCs w:val="1"/>
          <w:color w:val="auto"/>
        </w:rPr>
        <w:t>260 Littlefield Avenue</w:t>
      </w:r>
    </w:p>
    <w:p>
      <w:pPr>
        <w:jc w:val="center"/>
        <w:ind w:right="-99"/>
        <w:spacing w:after="0" w:line="221" w:lineRule="auto"/>
        <w:rPr>
          <w:sz w:val="20"/>
          <w:szCs w:val="20"/>
          <w:color w:val="auto"/>
        </w:rPr>
      </w:pPr>
      <w:r>
        <w:rPr>
          <w:rFonts w:ascii="Arial" w:cs="Arial" w:eastAsia="Arial" w:hAnsi="Arial"/>
          <w:sz w:val="14"/>
          <w:szCs w:val="14"/>
          <w:b w:val="1"/>
          <w:bCs w:val="1"/>
          <w:color w:val="auto"/>
        </w:rPr>
        <w:t>South San Francisco, CA 94080</w:t>
      </w:r>
    </w:p>
    <w:p>
      <w:pPr>
        <w:jc w:val="center"/>
        <w:ind w:right="-99"/>
        <w:spacing w:after="0" w:line="222" w:lineRule="auto"/>
        <w:rPr>
          <w:sz w:val="20"/>
          <w:szCs w:val="20"/>
          <w:color w:val="auto"/>
        </w:rPr>
      </w:pPr>
      <w:r>
        <w:rPr>
          <w:rFonts w:ascii="Arial" w:cs="Arial" w:eastAsia="Arial" w:hAnsi="Arial"/>
          <w:sz w:val="14"/>
          <w:szCs w:val="14"/>
          <w:b w:val="1"/>
          <w:bCs w:val="1"/>
          <w:color w:val="auto"/>
        </w:rPr>
        <w:t>(650) 481-6770</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107950</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9" w:lineRule="exact"/>
        <w:rPr>
          <w:sz w:val="24"/>
          <w:szCs w:val="24"/>
          <w:color w:val="auto"/>
        </w:rPr>
      </w:pPr>
    </w:p>
    <w:tbl>
      <w:tblPr>
        <w:tblLayout w:type="fixed"/>
        <w:tblInd w:w="122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3800" w:type="dxa"/>
            <w:vAlign w:val="bottom"/>
          </w:tcPr>
          <w:p>
            <w:pPr>
              <w:ind w:left="1560"/>
              <w:spacing w:after="0"/>
              <w:rPr>
                <w:sz w:val="20"/>
                <w:szCs w:val="20"/>
                <w:color w:val="auto"/>
              </w:rPr>
            </w:pPr>
            <w:r>
              <w:rPr>
                <w:rFonts w:ascii="Arial" w:cs="Arial" w:eastAsia="Arial" w:hAnsi="Arial"/>
                <w:sz w:val="14"/>
                <w:szCs w:val="14"/>
                <w:b w:val="1"/>
                <w:bCs w:val="1"/>
                <w:i w:val="1"/>
                <w:iCs w:val="1"/>
                <w:color w:val="auto"/>
              </w:rPr>
              <w:t>Copies to:</w:t>
            </w:r>
          </w:p>
        </w:tc>
        <w:tc>
          <w:tcPr>
            <w:tcW w:w="2760" w:type="dxa"/>
            <w:vAlign w:val="bottom"/>
          </w:tcPr>
          <w:p>
            <w:pPr>
              <w:spacing w:after="0"/>
              <w:rPr>
                <w:sz w:val="15"/>
                <w:szCs w:val="15"/>
                <w:color w:val="auto"/>
              </w:rPr>
            </w:pPr>
          </w:p>
        </w:tc>
      </w:tr>
      <w:tr>
        <w:trPr>
          <w:trHeight w:val="178"/>
        </w:trPr>
        <w:tc>
          <w:tcPr>
            <w:tcW w:w="2540" w:type="dxa"/>
            <w:vAlign w:val="bottom"/>
          </w:tcPr>
          <w:p>
            <w:pPr>
              <w:jc w:val="center"/>
              <w:ind w:right="948"/>
              <w:spacing w:after="0"/>
              <w:rPr>
                <w:sz w:val="20"/>
                <w:szCs w:val="20"/>
                <w:color w:val="auto"/>
              </w:rPr>
            </w:pPr>
            <w:r>
              <w:rPr>
                <w:rFonts w:ascii="Arial" w:cs="Arial" w:eastAsia="Arial" w:hAnsi="Arial"/>
                <w:sz w:val="14"/>
                <w:szCs w:val="14"/>
                <w:b w:val="1"/>
                <w:bCs w:val="1"/>
                <w:color w:val="auto"/>
                <w:w w:val="95"/>
              </w:rPr>
              <w:t>Sam Zucker</w:t>
            </w:r>
          </w:p>
        </w:tc>
        <w:tc>
          <w:tcPr>
            <w:tcW w:w="38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Keith Cummings</w:t>
            </w:r>
          </w:p>
        </w:tc>
        <w:tc>
          <w:tcPr>
            <w:tcW w:w="2760" w:type="dxa"/>
            <w:vAlign w:val="bottom"/>
          </w:tcPr>
          <w:p>
            <w:pPr>
              <w:jc w:val="center"/>
              <w:ind w:left="788"/>
              <w:spacing w:after="0"/>
              <w:rPr>
                <w:sz w:val="20"/>
                <w:szCs w:val="20"/>
                <w:color w:val="auto"/>
              </w:rPr>
            </w:pPr>
            <w:r>
              <w:rPr>
                <w:rFonts w:ascii="Arial" w:cs="Arial" w:eastAsia="Arial" w:hAnsi="Arial"/>
                <w:sz w:val="14"/>
                <w:szCs w:val="14"/>
                <w:b w:val="1"/>
                <w:bCs w:val="1"/>
                <w:color w:val="auto"/>
                <w:w w:val="94"/>
              </w:rPr>
              <w:t>Kristin VanderPas</w:t>
            </w:r>
          </w:p>
        </w:tc>
      </w:tr>
      <w:tr>
        <w:trPr>
          <w:trHeight w:val="149"/>
        </w:trPr>
        <w:tc>
          <w:tcPr>
            <w:tcW w:w="254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6"/>
              </w:rPr>
              <w:t>Deepa M. Rich</w:t>
            </w:r>
          </w:p>
        </w:tc>
        <w:tc>
          <w:tcPr>
            <w:tcW w:w="38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Chief Financial Officer</w:t>
            </w:r>
          </w:p>
        </w:tc>
        <w:tc>
          <w:tcPr>
            <w:tcW w:w="27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Sean Clayton</w:t>
            </w:r>
          </w:p>
        </w:tc>
      </w:tr>
      <w:tr>
        <w:trPr>
          <w:trHeight w:val="148"/>
        </w:trPr>
        <w:tc>
          <w:tcPr>
            <w:tcW w:w="254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1"/>
              </w:rPr>
              <w:t>James Xu</w:t>
            </w:r>
          </w:p>
        </w:tc>
        <w:tc>
          <w:tcPr>
            <w:tcW w:w="38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Pliant Therapeutics, Inc.</w:t>
            </w:r>
          </w:p>
        </w:tc>
        <w:tc>
          <w:tcPr>
            <w:tcW w:w="27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David Peinsipp</w:t>
            </w:r>
          </w:p>
        </w:tc>
      </w:tr>
      <w:tr>
        <w:trPr>
          <w:trHeight w:val="149"/>
        </w:trPr>
        <w:tc>
          <w:tcPr>
            <w:tcW w:w="254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38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260 Littlefield Avenue</w:t>
            </w:r>
          </w:p>
        </w:tc>
        <w:tc>
          <w:tcPr>
            <w:tcW w:w="27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5"/>
              </w:rPr>
              <w:t>Charles S. Kim</w:t>
            </w:r>
          </w:p>
        </w:tc>
      </w:tr>
      <w:tr>
        <w:trPr>
          <w:trHeight w:val="148"/>
        </w:trPr>
        <w:tc>
          <w:tcPr>
            <w:tcW w:w="254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5"/>
              </w:rPr>
              <w:t>601 Marshall Street</w:t>
            </w:r>
          </w:p>
        </w:tc>
        <w:tc>
          <w:tcPr>
            <w:tcW w:w="38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South San Francisco, CA 94080</w:t>
            </w:r>
          </w:p>
        </w:tc>
        <w:tc>
          <w:tcPr>
            <w:tcW w:w="27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8"/>
        </w:trPr>
        <w:tc>
          <w:tcPr>
            <w:tcW w:w="254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Redwood City, CA 94063</w:t>
            </w:r>
          </w:p>
        </w:tc>
        <w:tc>
          <w:tcPr>
            <w:tcW w:w="38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(650) 481-6770</w:t>
            </w:r>
          </w:p>
        </w:tc>
        <w:tc>
          <w:tcPr>
            <w:tcW w:w="27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5"/>
              </w:rPr>
              <w:t>101 California Street 5th Floor</w:t>
            </w:r>
          </w:p>
        </w:tc>
      </w:tr>
      <w:tr>
        <w:trPr>
          <w:trHeight w:val="149"/>
        </w:trPr>
        <w:tc>
          <w:tcPr>
            <w:tcW w:w="254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(650) 752-3100</w:t>
            </w:r>
          </w:p>
        </w:tc>
        <w:tc>
          <w:tcPr>
            <w:tcW w:w="3800" w:type="dxa"/>
            <w:vAlign w:val="bottom"/>
          </w:tcPr>
          <w:p>
            <w:pPr>
              <w:spacing w:after="0"/>
              <w:rPr>
                <w:sz w:val="12"/>
                <w:szCs w:val="12"/>
                <w:color w:val="auto"/>
              </w:rPr>
            </w:pPr>
          </w:p>
        </w:tc>
        <w:tc>
          <w:tcPr>
            <w:tcW w:w="27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San Francisco, CA 94111</w:t>
            </w:r>
          </w:p>
        </w:tc>
      </w:tr>
      <w:tr>
        <w:trPr>
          <w:trHeight w:val="186"/>
        </w:trPr>
        <w:tc>
          <w:tcPr>
            <w:tcW w:w="25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760" w:type="dxa"/>
            <w:vAlign w:val="bottom"/>
          </w:tcPr>
          <w:p>
            <w:pPr>
              <w:jc w:val="center"/>
              <w:ind w:left="788"/>
              <w:spacing w:after="0"/>
              <w:rPr>
                <w:sz w:val="20"/>
                <w:szCs w:val="20"/>
                <w:color w:val="auto"/>
              </w:rPr>
            </w:pPr>
            <w:r>
              <w:rPr>
                <w:rFonts w:ascii="Arial" w:cs="Arial" w:eastAsia="Arial" w:hAnsi="Arial"/>
                <w:sz w:val="14"/>
                <w:szCs w:val="14"/>
                <w:b w:val="1"/>
                <w:bCs w:val="1"/>
                <w:color w:val="auto"/>
                <w:w w:val="93"/>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110490</wp:posOffset>
            </wp:positionV>
            <wp:extent cx="1045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9"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6" w:lineRule="exact"/>
        <w:rPr>
          <w:sz w:val="24"/>
          <w:szCs w:val="24"/>
          <w:color w:val="auto"/>
        </w:rPr>
      </w:pPr>
    </w:p>
    <w:p>
      <w:pPr>
        <w:ind w:left="120" w:right="460" w:firstLine="33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400" w:firstLine="33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33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100330</wp:posOffset>
            </wp:positionV>
            <wp:extent cx="1045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87" w:lineRule="exact"/>
        <w:rPr>
          <w:sz w:val="24"/>
          <w:szCs w:val="24"/>
          <w:color w:val="auto"/>
        </w:rPr>
      </w:pPr>
    </w:p>
    <w:p>
      <w:pPr>
        <w:jc w:val="both"/>
        <w:ind w:left="120" w:right="40" w:firstLine="33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100965</wp:posOffset>
            </wp:positionV>
            <wp:extent cx="1045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12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9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42"/>
        </w:trPr>
        <w:tc>
          <w:tcPr>
            <w:tcW w:w="79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Common Stock, par value $0.0001 per share</w:t>
            </w:r>
          </w:p>
        </w:tc>
        <w:tc>
          <w:tcPr>
            <w:tcW w:w="1540" w:type="dxa"/>
            <w:vAlign w:val="bottom"/>
            <w:tcBorders>
              <w:bottom w:val="single" w:sz="8" w:color="auto"/>
              <w:right w:val="single" w:sz="8" w:color="auto"/>
            </w:tcBorders>
          </w:tcPr>
          <w:p>
            <w:pPr>
              <w:jc w:val="right"/>
              <w:ind w:right="930"/>
              <w:spacing w:after="0" w:line="142" w:lineRule="exact"/>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82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620" w:hanging="324"/>
        <w:spacing w:after="0" w:line="226"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Includes the offering price of any additional shares that the underwriters have the option to purchase.</w:t>
      </w:r>
    </w:p>
    <w:p>
      <w:pPr>
        <w:ind w:left="440" w:hanging="324"/>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107950</wp:posOffset>
            </wp:positionV>
            <wp:extent cx="1045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95" w:lineRule="exact"/>
        <w:rPr>
          <w:sz w:val="24"/>
          <w:szCs w:val="24"/>
          <w:color w:val="auto"/>
        </w:rPr>
      </w:pPr>
    </w:p>
    <w:p>
      <w:pPr>
        <w:ind w:left="120" w:right="80" w:firstLine="33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state or other jurisdiction where the offer or sale is not permitted.</w:t>
      </w:r>
    </w:p>
    <w:p>
      <w:pPr>
        <w:spacing w:after="0" w:line="111" w:lineRule="exact"/>
        <w:rPr>
          <w:sz w:val="20"/>
          <w:szCs w:val="20"/>
          <w:color w:val="auto"/>
        </w:rPr>
      </w:pPr>
    </w:p>
    <w:tbl>
      <w:tblPr>
        <w:tblLayout w:type="fixed"/>
        <w:tblInd w:w="330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DE1A1E"/>
              </w:rPr>
              <w:t>, 2019</w:t>
            </w:r>
          </w:p>
        </w:tc>
      </w:tr>
    </w:tbl>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171450</wp:posOffset>
            </wp:positionV>
            <wp:extent cx="1808480" cy="951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848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80"/>
        <w:spacing w:after="0"/>
        <w:rPr>
          <w:sz w:val="20"/>
          <w:szCs w:val="20"/>
          <w:color w:val="auto"/>
        </w:rPr>
      </w:pPr>
      <w:r>
        <w:rPr>
          <w:rFonts w:ascii="Arial" w:cs="Arial" w:eastAsia="Arial" w:hAnsi="Arial"/>
          <w:sz w:val="32"/>
          <w:szCs w:val="32"/>
          <w:b w:val="1"/>
          <w:bCs w:val="1"/>
          <w:color w:val="auto"/>
        </w:rPr>
        <w:t>Shares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54"/>
          <w:szCs w:val="54"/>
          <w:b w:val="1"/>
          <w:bCs w:val="1"/>
          <w:color w:val="auto"/>
        </w:rPr>
        <w:t>Pliant Therapeutics, Inc.</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Common Stock</w:t>
      </w:r>
    </w:p>
    <w:p>
      <w:pPr>
        <w:spacing w:after="0" w:line="105" w:lineRule="exact"/>
        <w:rPr>
          <w:sz w:val="20"/>
          <w:szCs w:val="20"/>
          <w:color w:val="auto"/>
        </w:rPr>
      </w:pPr>
    </w:p>
    <w:p>
      <w:pPr>
        <w:ind w:left="5420" w:hanging="891"/>
        <w:spacing w:after="0"/>
        <w:tabs>
          <w:tab w:leader="none" w:pos="5420" w:val="left"/>
        </w:tabs>
        <w:numPr>
          <w:ilvl w:val="0"/>
          <w:numId w:val="2"/>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169545</wp:posOffset>
            </wp:positionV>
            <wp:extent cx="10458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5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This is the initial public offering of our common stock. We are selling shares of common stock. Prior to this offering there has been no public market for our shares. We currently expect the initial public offering price to be between $ and $ per share of common stock.</w:t>
      </w:r>
    </w:p>
    <w:p>
      <w:pPr>
        <w:sectPr>
          <w:pgSz w:w="11900" w:h="16838" w:orient="portrait"/>
          <w:cols w:equalWidth="0" w:num="1">
            <w:col w:w="11140"/>
          </w:cols>
          <w:pgMar w:left="320" w:top="459" w:right="439" w:bottom="1440" w:gutter="0" w:footer="0" w:header="0"/>
        </w:sectPr>
      </w:pPr>
    </w:p>
    <w:p>
      <w:pPr>
        <w:spacing w:after="0" w:line="62"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have granted the underwriters an option to purchase up to option at any time within 30 days after the date of this prospectus.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common stock. The underwriters can exercise this</w:t>
      </w:r>
    </w:p>
    <w:p>
      <w:pPr>
        <w:spacing w:after="0" w:line="356" w:lineRule="exact"/>
        <w:rPr>
          <w:sz w:val="20"/>
          <w:szCs w:val="20"/>
          <w:color w:val="auto"/>
        </w:rPr>
      </w:pPr>
    </w:p>
    <w:p>
      <w:pPr>
        <w:sectPr>
          <w:pgSz w:w="11900" w:h="16838" w:orient="portrait"/>
          <w:cols w:equalWidth="0" w:num="2">
            <w:col w:w="5060" w:space="720"/>
            <w:col w:w="5360"/>
          </w:cols>
          <w:pgMar w:left="320" w:top="459" w:right="43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symbol “PLRX.”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160655</wp:posOffset>
            </wp:positionV>
            <wp:extent cx="10458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27"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w:t>
      </w:r>
    </w:p>
    <w:p>
      <w:pPr>
        <w:spacing w:after="0" w:line="1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Act of 2012 and, as such, we have elected to comply with certain reduced reporting requirements for this prospectus and may elect to do so in future filings.</w:t>
      </w:r>
    </w:p>
    <w:p>
      <w:pPr>
        <w:spacing w:after="0" w:line="58"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109220</wp:posOffset>
            </wp:positionV>
            <wp:extent cx="1045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58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to Pliant Therapeutics, Inc. (before expenses)</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total underwriter compensation.</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200" w:type="dxa"/>
            <w:vAlign w:val="bottom"/>
            <w:gridSpan w:val="4"/>
          </w:tcPr>
          <w:p>
            <w:pPr>
              <w:ind w:left="440"/>
              <w:spacing w:after="0"/>
              <w:rPr>
                <w:sz w:val="20"/>
                <w:szCs w:val="20"/>
                <w:color w:val="auto"/>
              </w:rPr>
            </w:pPr>
            <w:r>
              <w:rPr>
                <w:rFonts w:ascii="Arial" w:cs="Arial" w:eastAsia="Arial" w:hAnsi="Arial"/>
                <w:sz w:val="18"/>
                <w:szCs w:val="18"/>
                <w:color w:val="auto"/>
                <w:w w:val="94"/>
              </w:rPr>
              <w:t>The underwriters expect to deliver the shares of common stock to purchasers on or about</w:t>
            </w:r>
          </w:p>
        </w:tc>
        <w:tc>
          <w:tcPr>
            <w:tcW w:w="3820" w:type="dxa"/>
            <w:vAlign w:val="bottom"/>
          </w:tcPr>
          <w:p>
            <w:pPr>
              <w:ind w:left="360"/>
              <w:spacing w:after="0"/>
              <w:rPr>
                <w:sz w:val="20"/>
                <w:szCs w:val="20"/>
                <w:color w:val="auto"/>
              </w:rPr>
            </w:pPr>
            <w:r>
              <w:rPr>
                <w:rFonts w:ascii="Arial" w:cs="Arial" w:eastAsia="Arial" w:hAnsi="Arial"/>
                <w:sz w:val="18"/>
                <w:szCs w:val="18"/>
                <w:color w:val="auto"/>
              </w:rPr>
              <w:t>, 2019 through book-entry facilities of The</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Depository Trust Company.</w:t>
            </w:r>
          </w:p>
        </w:tc>
        <w:tc>
          <w:tcPr>
            <w:tcW w:w="1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29"/>
        </w:trPr>
        <w:tc>
          <w:tcPr>
            <w:tcW w:w="3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355"/>
        </w:trPr>
        <w:tc>
          <w:tcPr>
            <w:tcW w:w="3080" w:type="dxa"/>
            <w:vAlign w:val="bottom"/>
          </w:tcPr>
          <w:p>
            <w:pPr>
              <w:spacing w:after="0"/>
              <w:rPr>
                <w:sz w:val="24"/>
                <w:szCs w:val="24"/>
                <w:color w:val="auto"/>
              </w:rPr>
            </w:pPr>
          </w:p>
        </w:tc>
        <w:tc>
          <w:tcPr>
            <w:tcW w:w="4120" w:type="dxa"/>
            <w:vAlign w:val="bottom"/>
            <w:gridSpan w:val="3"/>
          </w:tcPr>
          <w:p>
            <w:pPr>
              <w:jc w:val="center"/>
              <w:ind w:left="632"/>
              <w:spacing w:after="0"/>
              <w:rPr>
                <w:sz w:val="20"/>
                <w:szCs w:val="20"/>
                <w:color w:val="auto"/>
              </w:rPr>
            </w:pPr>
            <w:r>
              <w:rPr>
                <w:rFonts w:ascii="Arial" w:cs="Arial" w:eastAsia="Arial" w:hAnsi="Arial"/>
                <w:sz w:val="22"/>
                <w:szCs w:val="22"/>
                <w:i w:val="1"/>
                <w:iCs w:val="1"/>
                <w:color w:val="auto"/>
                <w:w w:val="89"/>
              </w:rPr>
              <w:t>Joint Book-Running Managers</w:t>
            </w:r>
          </w:p>
        </w:tc>
        <w:tc>
          <w:tcPr>
            <w:tcW w:w="3820" w:type="dxa"/>
            <w:vAlign w:val="bottom"/>
          </w:tcPr>
          <w:p>
            <w:pPr>
              <w:spacing w:after="0"/>
              <w:rPr>
                <w:sz w:val="24"/>
                <w:szCs w:val="24"/>
                <w:color w:val="auto"/>
              </w:rPr>
            </w:pPr>
          </w:p>
        </w:tc>
      </w:tr>
      <w:tr>
        <w:trPr>
          <w:trHeight w:val="454"/>
        </w:trPr>
        <w:tc>
          <w:tcPr>
            <w:tcW w:w="3080" w:type="dxa"/>
            <w:vAlign w:val="bottom"/>
          </w:tcPr>
          <w:p>
            <w:pPr>
              <w:spacing w:after="0"/>
              <w:rPr>
                <w:sz w:val="20"/>
                <w:szCs w:val="20"/>
                <w:color w:val="auto"/>
              </w:rPr>
            </w:pPr>
            <w:r>
              <w:rPr>
                <w:rFonts w:ascii="Arial" w:cs="Arial" w:eastAsia="Arial" w:hAnsi="Arial"/>
                <w:sz w:val="29"/>
                <w:szCs w:val="29"/>
                <w:b w:val="1"/>
                <w:bCs w:val="1"/>
                <w:color w:val="auto"/>
              </w:rPr>
              <w:t>Citigroup</w:t>
            </w:r>
          </w:p>
        </w:tc>
        <w:tc>
          <w:tcPr>
            <w:tcW w:w="1600" w:type="dxa"/>
            <w:vAlign w:val="bottom"/>
          </w:tcPr>
          <w:p>
            <w:pPr>
              <w:spacing w:after="0"/>
              <w:rPr>
                <w:sz w:val="24"/>
                <w:szCs w:val="24"/>
                <w:color w:val="auto"/>
              </w:rPr>
            </w:pPr>
          </w:p>
        </w:tc>
        <w:tc>
          <w:tcPr>
            <w:tcW w:w="2520" w:type="dxa"/>
            <w:vAlign w:val="bottom"/>
            <w:gridSpan w:val="2"/>
          </w:tcPr>
          <w:p>
            <w:pPr>
              <w:jc w:val="center"/>
              <w:ind w:right="920"/>
              <w:spacing w:after="0"/>
              <w:rPr>
                <w:sz w:val="20"/>
                <w:szCs w:val="20"/>
                <w:color w:val="auto"/>
              </w:rPr>
            </w:pPr>
            <w:r>
              <w:rPr>
                <w:rFonts w:ascii="Arial" w:cs="Arial" w:eastAsia="Arial" w:hAnsi="Arial"/>
                <w:sz w:val="29"/>
                <w:szCs w:val="29"/>
                <w:b w:val="1"/>
                <w:bCs w:val="1"/>
                <w:color w:val="auto"/>
                <w:w w:val="88"/>
              </w:rPr>
              <w:t>Cowen</w:t>
            </w:r>
          </w:p>
        </w:tc>
        <w:tc>
          <w:tcPr>
            <w:tcW w:w="3820" w:type="dxa"/>
            <w:vAlign w:val="bottom"/>
          </w:tcPr>
          <w:p>
            <w:pPr>
              <w:ind w:left="2180"/>
              <w:spacing w:after="0"/>
              <w:rPr>
                <w:sz w:val="20"/>
                <w:szCs w:val="20"/>
                <w:color w:val="auto"/>
              </w:rPr>
            </w:pPr>
            <w:r>
              <w:rPr>
                <w:rFonts w:ascii="Arial" w:cs="Arial" w:eastAsia="Arial" w:hAnsi="Arial"/>
                <w:sz w:val="29"/>
                <w:szCs w:val="29"/>
                <w:b w:val="1"/>
                <w:bCs w:val="1"/>
                <w:color w:val="auto"/>
                <w:w w:val="92"/>
              </w:rPr>
              <w:t>Piper Jaffray</w:t>
            </w:r>
          </w:p>
        </w:tc>
      </w:tr>
      <w:tr>
        <w:trPr>
          <w:trHeight w:val="356"/>
        </w:trPr>
        <w:tc>
          <w:tcPr>
            <w:tcW w:w="3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20" w:type="dxa"/>
            <w:vAlign w:val="bottom"/>
            <w:gridSpan w:val="2"/>
          </w:tcPr>
          <w:p>
            <w:pPr>
              <w:jc w:val="center"/>
              <w:ind w:right="880"/>
              <w:spacing w:after="0"/>
              <w:rPr>
                <w:sz w:val="20"/>
                <w:szCs w:val="20"/>
                <w:color w:val="auto"/>
              </w:rPr>
            </w:pPr>
            <w:r>
              <w:rPr>
                <w:rFonts w:ascii="Arial" w:cs="Arial" w:eastAsia="Arial" w:hAnsi="Arial"/>
                <w:sz w:val="22"/>
                <w:szCs w:val="22"/>
                <w:i w:val="1"/>
                <w:iCs w:val="1"/>
                <w:color w:val="auto"/>
                <w:w w:val="90"/>
              </w:rPr>
              <w:t>Lead Manager</w:t>
            </w:r>
          </w:p>
        </w:tc>
        <w:tc>
          <w:tcPr>
            <w:tcW w:w="3820" w:type="dxa"/>
            <w:vAlign w:val="bottom"/>
          </w:tcPr>
          <w:p>
            <w:pPr>
              <w:spacing w:after="0"/>
              <w:rPr>
                <w:sz w:val="24"/>
                <w:szCs w:val="24"/>
                <w:color w:val="auto"/>
              </w:rPr>
            </w:pPr>
          </w:p>
        </w:tc>
      </w:tr>
    </w:tbl>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166370</wp:posOffset>
            </wp:positionV>
            <wp:extent cx="10458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4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2019</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64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The Offering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Market and Industry Data and Forecasts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Selected Financial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Director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Material U.S. Federal Income Tax Considerations to Non-U.S. 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Index to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and the underwriters have not authorized anyone to provide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in the sections entitled “Risk Factors” and “Management’s Discussion and Analysis of Financial Condition and Results of Operations.” Unless otherwise stated, all references to “us,” “our,” “Pliant,” “we,” the “Company” and similar designations refer to Pliant Therapeutics, Inc.</w:t>
      </w: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We are a clinical stage biopharmaceutical company focused on discovering and developing novel therapies for the treatment of fibrosis.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PLN-74809, is an oral small-molecule dual selective inhibitor of avß6 and avß1 integrins that we are developing for the treatment of idiopathic pulmonary fibrosis, or IPF, and primary sclerosing cholangitis, or PSC. We have completed a Phase 1a SAD/MAD trial and a Phase 1b proof-of-mechanism trial of PLN-74809 in IPF. In the second half of 2019, we plan to initiate two Phase 2a trials in IPF. We also plan to submit an IND for PLN-74809 for the treatment of PSC in the second half of 2019, and plan to initiate a Phase 2a trial as soon as possible thereafter. Our second wholly-owned product candidate, PLN-1474, is an oral small-molecule selective inhibitor of avß1 for the treatment of stage F3/F4 liver fibrosis associated with NASH. We are currently conducting IND-enabling studies and plan to submit an IND for PLN-1474 by the end of 2019. Our goal is to become a world-leading fibrosis company, developing and commercializing disease-modifying therapies across a spectrum of fibrotic diseases.</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Fibrosis Background</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Fibrosis refers to excessive scarring, often resulting from aberrant tissue repair processes. Fibrosis occurs when normal tissue repair pathways become dysregulated, causing excessive collagen deposition in the affected organs and ultimately impairing their physiological function. Fibrosis occurs in many organ systems throughout the body including the lungs, liver, kidneys, gastrointestinal tract, skin and muscles. While the exact pathologies for diseases in these organs vary, the development of fibrosis involves many common cell types and biochemical pathways including the transforming growth factor beta, or TGF-ß, signaling pathway.</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TGF-ß and Integrins in Fibrosis</w:t>
      </w:r>
    </w:p>
    <w:p>
      <w:pPr>
        <w:spacing w:after="0" w:line="117" w:lineRule="exact"/>
        <w:rPr>
          <w:sz w:val="20"/>
          <w:szCs w:val="20"/>
          <w:color w:val="auto"/>
        </w:rPr>
      </w:pPr>
    </w:p>
    <w:p>
      <w:pPr>
        <w:ind w:left="300" w:right="240" w:firstLine="426"/>
        <w:spacing w:after="0" w:line="279" w:lineRule="auto"/>
        <w:rPr>
          <w:sz w:val="20"/>
          <w:szCs w:val="20"/>
          <w:color w:val="auto"/>
        </w:rPr>
      </w:pPr>
      <w:r>
        <w:rPr>
          <w:rFonts w:ascii="Arial" w:cs="Arial" w:eastAsia="Arial" w:hAnsi="Arial"/>
          <w:sz w:val="17"/>
          <w:szCs w:val="17"/>
          <w:color w:val="auto"/>
        </w:rPr>
        <w:t>TGF-ß signaling is the central pathway by which fibrosis occurs. TGF-ß is a signaling molecule that is secreted by cells as an inactive complex and stored in the extra-cellular matrix. In healthy tissue, TGF-ß is transiently activated in response to tissue injury, resulting in collagen production and, ultimately, healing of the tissue. In fibrosis, however, TGF-ß becomes continuously activated, leading to excess collagen production in the absence of the initial tissue injury which leads to thickening and stiffening of tissues.</w:t>
      </w:r>
    </w:p>
    <w:p>
      <w:pPr>
        <w:spacing w:after="0" w:line="171" w:lineRule="exact"/>
        <w:rPr>
          <w:sz w:val="20"/>
          <w:szCs w:val="20"/>
          <w:color w:val="auto"/>
        </w:rPr>
      </w:pPr>
    </w:p>
    <w:p>
      <w:pPr>
        <w:jc w:val="both"/>
        <w:ind w:left="300" w:right="180" w:firstLine="426"/>
        <w:spacing w:after="0" w:line="342" w:lineRule="auto"/>
        <w:rPr>
          <w:sz w:val="20"/>
          <w:szCs w:val="20"/>
          <w:color w:val="auto"/>
        </w:rPr>
      </w:pPr>
      <w:r>
        <w:rPr>
          <w:rFonts w:ascii="Arial" w:cs="Arial" w:eastAsia="Arial" w:hAnsi="Arial"/>
          <w:sz w:val="16"/>
          <w:szCs w:val="16"/>
          <w:color w:val="auto"/>
        </w:rPr>
        <w:t>There have been a number of prior approaches to treating fibrosis through TGF-ß inhibition, including through antibodies to TGF-ß and its receptor. However, systemic blockade of TGF-ß signaling has shown significant toxicity due to effects on TGF-ß’s normal physiologic functions.</w:t>
      </w:r>
    </w:p>
    <w:p>
      <w:pPr>
        <w:spacing w:after="0" w:line="124"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color w:val="auto"/>
        </w:rPr>
        <w:t>TGF-ß can be activated by a class of cell surface proteins known as integrins. In certain fibrotic diseases such as IPF and PSC, the integrins avß6 and avß1, which are normally expressed at very low levels, have been</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8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shown to be upregulated and to cause the continuous activation of TGF-ß. We believe that, by inhibiting fibrosis-specific TGF-ß activators such as avß6 and avß1, it may be possible to block abnormal TGF-ß activation in fibrotic tissues without affecting TGF-ß signaling in healthy tissues. Historically, integrin drug development has been hampered by the difficulty of developing integrin inhibitors that are both selective for specific integrins and orally bioavailable. We believe our pipeline of orally bioavailable, highly selective integrin inhibitors has the potential to address these challenges.</w:t>
      </w:r>
    </w:p>
    <w:p>
      <w:pPr>
        <w:spacing w:after="0" w:line="18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0" w:right="40" w:hanging="302"/>
        <w:spacing w:after="0" w:line="253" w:lineRule="auto"/>
        <w:tabs>
          <w:tab w:leader="none" w:pos="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plan to submit an IND for PLN-74809 for the treatment of PSC in the second half of 2019 incorporating the data from the completed Phase 1a healthy volunteer trial and plan to initiate a Phase 2a clinical trial for PSC thereafter.</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PLN-74809 in IPF and PSC</w:t>
      </w:r>
    </w:p>
    <w:p>
      <w:pPr>
        <w:spacing w:after="0" w:line="117" w:lineRule="exact"/>
        <w:rPr>
          <w:sz w:val="20"/>
          <w:szCs w:val="20"/>
          <w:color w:val="auto"/>
        </w:rPr>
      </w:pPr>
    </w:p>
    <w:p>
      <w:pPr>
        <w:ind w:left="300" w:right="40" w:firstLine="426"/>
        <w:spacing w:after="0" w:line="272" w:lineRule="auto"/>
        <w:rPr>
          <w:sz w:val="20"/>
          <w:szCs w:val="20"/>
          <w:color w:val="auto"/>
        </w:rPr>
      </w:pPr>
      <w:r>
        <w:rPr>
          <w:rFonts w:ascii="Arial" w:cs="Arial" w:eastAsia="Arial" w:hAnsi="Arial"/>
          <w:sz w:val="17"/>
          <w:szCs w:val="17"/>
          <w:color w:val="auto"/>
        </w:rPr>
        <w:t>Our lead wholly owned product candidate, PLN-74809, is a small-molecule, dual-selective inhibitor of avß6 and avß1 that we are advancing in IPF and PSC. IPF is the most common and severe form of progressive pulmonary fibrosis, affecting approximately 140,000 patients in the United States. The average life expectancy for patients with confirmed IPF is between three and five years. There are currently two U.S. Food and Drug Administration, or FDA, approved therapies for IPF. Both have shown modest slowing of disease progression. However, both therapies have raised significant safety and tolerability concerns. PSC is a progressive liver disorder affecting approximately 30,000 to 45,000 patients in the United States. Patients have a median survival of 10 to 12 years without intervention and carry high lifetime risk of developing gastrointestinal malignancies. There are currently no FDA-approved therapies for PSC.</w:t>
      </w:r>
    </w:p>
    <w:p>
      <w:pPr>
        <w:spacing w:after="0" w:line="177"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While expressed at very low levels in normal tissues, avß6 and avß1 are upregulated in the pulmonary tissues of IPF patients, and in the liver tissues of PSC patients. They both serve as activators of TGF-ß, leading to increased collagen production and fibrosis in these tissues. By blocking TGF-ß activation by both avß6 and avß1, we believe PLN-74809 may slow and potentially halt the progression of fibrosis in these patient populations. PLN-74809 has been granted orphan drug designation by the FDA for both IPF and PSC.</w:t>
      </w:r>
    </w:p>
    <w:p>
      <w:pPr>
        <w:spacing w:after="0" w:line="17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We have completed a Phase 1a single ascending dose, or SAD, multiple ascending dose, or MAD, and food effect clinical trial involving 85 healthy volunteers in which PLN-74809 was shown to be orally bioavailable and generally well tolerated with a half-life that may support once-daily dosing.</w:t>
      </w:r>
    </w:p>
    <w:p>
      <w:pPr>
        <w:spacing w:after="0" w:line="184" w:lineRule="exact"/>
        <w:rPr>
          <w:sz w:val="20"/>
          <w:szCs w:val="20"/>
          <w:color w:val="auto"/>
        </w:rPr>
      </w:pPr>
    </w:p>
    <w:p>
      <w:pPr>
        <w:ind w:left="300" w:right="460" w:firstLine="426"/>
        <w:spacing w:after="0" w:line="277" w:lineRule="auto"/>
        <w:rPr>
          <w:sz w:val="20"/>
          <w:szCs w:val="20"/>
          <w:color w:val="auto"/>
        </w:rPr>
      </w:pPr>
      <w:r>
        <w:rPr>
          <w:rFonts w:ascii="Arial" w:cs="Arial" w:eastAsia="Arial" w:hAnsi="Arial"/>
          <w:sz w:val="18"/>
          <w:szCs w:val="18"/>
          <w:color w:val="auto"/>
        </w:rPr>
        <w:t>We have also completed a Phase 1b proof-of-mechanism trial in 16 healthy volunteers measuring pSMAD, a key biomarker for TGF-ß activation. This trial evaluated safety, pharmacokinetics and</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spacing w:after="0" w:line="257" w:lineRule="auto"/>
        <w:rPr>
          <w:sz w:val="20"/>
          <w:szCs w:val="20"/>
          <w:color w:val="auto"/>
        </w:rPr>
      </w:pPr>
      <w:r>
        <w:rPr>
          <w:rFonts w:ascii="Arial" w:cs="Arial" w:eastAsia="Arial" w:hAnsi="Arial"/>
          <w:sz w:val="18"/>
          <w:szCs w:val="18"/>
          <w:color w:val="auto"/>
        </w:rPr>
        <w:t>pharmacodynamics, or PK/PD, in order to inform dose selection for our Phase 2 program. In the Phase 1b trial, PLN-74809 was shown to inhibit TGF-b activation as measured through relative pSMAD2 levels in alveolar macrophages collected from healthy volunteers, in a dose- and exposure-dependent manner. In the second half of 2019, we plan to initiate two Phase 2a trials in IPF. We also plan to submit an investigational new drug, or IND, for PLN-74809 for the treatment of PSC in the second half of 2019, and plan to initiate a Phase 2a trial as soon as possible thereafter.</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PLN-1474 in F3/F4 Liver Fibrosis Associated with NASH</w:t>
      </w:r>
    </w:p>
    <w:p>
      <w:pPr>
        <w:spacing w:after="0" w:line="117" w:lineRule="exact"/>
        <w:rPr>
          <w:sz w:val="20"/>
          <w:szCs w:val="20"/>
          <w:color w:val="auto"/>
        </w:rPr>
      </w:pPr>
    </w:p>
    <w:p>
      <w:pPr>
        <w:ind w:left="300" w:right="80" w:firstLine="426"/>
        <w:spacing w:after="0" w:line="287" w:lineRule="auto"/>
        <w:rPr>
          <w:sz w:val="20"/>
          <w:szCs w:val="20"/>
          <w:color w:val="auto"/>
        </w:rPr>
      </w:pPr>
      <w:r>
        <w:rPr>
          <w:rFonts w:ascii="Arial" w:cs="Arial" w:eastAsia="Arial" w:hAnsi="Arial"/>
          <w:sz w:val="16"/>
          <w:szCs w:val="16"/>
          <w:color w:val="auto"/>
        </w:rPr>
        <w:t>Our second wholly owned product candidate, PLN-1474, is an oral, small-molecule, selective inhibitor of avß1 in development for treatment of stage F3/F4 liver fibrosis associated with nonalcoholic steatohepatitis, or NASH. NASH is a more severe form of non-alcoholic fatty liver disease, or NAFLD. NASH is highly prevalent, affecting approximately 16.5 million adults in the United States, including approximately</w:t>
      </w:r>
    </w:p>
    <w:p>
      <w:pPr>
        <w:spacing w:after="0" w:line="2" w:lineRule="exact"/>
        <w:rPr>
          <w:sz w:val="20"/>
          <w:szCs w:val="20"/>
          <w:color w:val="auto"/>
        </w:rPr>
      </w:pPr>
    </w:p>
    <w:p>
      <w:pPr>
        <w:ind w:left="300" w:right="280"/>
        <w:spacing w:after="0" w:line="253" w:lineRule="auto"/>
        <w:rPr>
          <w:sz w:val="20"/>
          <w:szCs w:val="20"/>
          <w:color w:val="auto"/>
        </w:rPr>
      </w:pPr>
      <w:r>
        <w:rPr>
          <w:rFonts w:ascii="Arial" w:cs="Arial" w:eastAsia="Arial" w:hAnsi="Arial"/>
          <w:sz w:val="18"/>
          <w:szCs w:val="18"/>
          <w:color w:val="auto"/>
        </w:rPr>
        <w:t>3.3 million with stage F3/F4 fibrosis. The stage of fibrosis is the strongest predictor of liver-related morbidity and all-cause mortality in NASH. Patients with F3 and F4 fibrosis carry liver-related mortality risk that is 17 times and 42 times greater, respectively, than NASH patients without fibrosis. Therefore, we believe that treating F3/F4 liver fibrosis will have an impact on liver-related morbidity and all-cause mortality in NASH. There are currently no approved therapies for NASH and the candidates in development to date have shown only modest antifibrotic effects in published clinical trials.</w:t>
      </w:r>
    </w:p>
    <w:p>
      <w:pPr>
        <w:spacing w:after="0" w:line="191" w:lineRule="exact"/>
        <w:rPr>
          <w:sz w:val="20"/>
          <w:szCs w:val="20"/>
          <w:color w:val="auto"/>
        </w:rPr>
      </w:pPr>
    </w:p>
    <w:p>
      <w:pPr>
        <w:ind w:left="300" w:right="60" w:firstLine="426"/>
        <w:spacing w:after="0" w:line="286" w:lineRule="auto"/>
        <w:rPr>
          <w:sz w:val="20"/>
          <w:szCs w:val="20"/>
          <w:color w:val="auto"/>
        </w:rPr>
      </w:pPr>
      <w:r>
        <w:rPr>
          <w:rFonts w:ascii="Arial" w:cs="Arial" w:eastAsia="Arial" w:hAnsi="Arial"/>
          <w:sz w:val="17"/>
          <w:szCs w:val="17"/>
          <w:color w:val="auto"/>
        </w:rPr>
        <w:t>avß1 serves as an activator of TGF-ß and its expression has been shown to be upregulated in activated hepatic stellate cells and correlated with severity of liver fibrosis. By inhibiting avß1, we believe PLN-1474 could have a potent direct antifibrotic effect in advanced liver fibrosis. We are currently completing IND-enabling studies of PLN-1474 and plan to submit an IND application by the end of 2019.</w:t>
      </w: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Approach and Capabilities</w:t>
      </w:r>
    </w:p>
    <w:p>
      <w:pPr>
        <w:spacing w:after="0" w:line="229"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color w:val="auto"/>
        </w:rPr>
        <w:t xml:space="preserve">Our approach to drug development in fibrosis combines our deep knowledge of the biology of fibrosis with various cellular, tissue, and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assays developed in house to uncover pathways and potential targets. We have developed and utilized a quantitative fibrosis target expression</w:t>
      </w:r>
      <w:r>
        <w:rPr>
          <w:rFonts w:ascii="Arial" w:cs="Arial" w:eastAsia="Arial" w:hAnsi="Arial"/>
          <w:sz w:val="17"/>
          <w:szCs w:val="17"/>
          <w:i w:val="1"/>
          <w:iCs w:val="1"/>
          <w:color w:val="auto"/>
        </w:rPr>
        <w:t xml:space="preserve"> </w:t>
      </w:r>
      <w:r>
        <w:rPr>
          <w:rFonts w:ascii="Arial" w:cs="Arial" w:eastAsia="Arial" w:hAnsi="Arial"/>
          <w:sz w:val="17"/>
          <w:szCs w:val="17"/>
          <w:color w:val="auto"/>
        </w:rPr>
        <w:t>atlas to identify and validate novel fibrosis targets. We have built a library of over 4,500 integrin inhibitors that we test against these identified targets to select potential candidates. In addition to our integrin library, we have a non-integrin based library of over 70,000 compounds that we also screen against non-integrin targets. We evaluate potential candidates in a series of integrin selectivity assays, cell-based assays, precision cut tissue slices and animal models prior to advancing our product candidates into development.</w:t>
      </w:r>
    </w:p>
    <w:p>
      <w:pPr>
        <w:spacing w:after="0" w:line="178"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A key component of our de-risking strategy is our live fibrotic human tissue program. We obtain live fibrotic human tissue post-transplant through our partners at the University of California, San Francisco and Stanford University and utilize proprietary protocols to maintain viability of these tissues for multiple days. We test our product candidates in this live tissue and measure multiple markers of antifibrotic activity, effectively bridging the gap between animal models and clinical proof-of-concept. We believe data from these live fibrotic human tissue experiments will increase our confidence that the tested product candidates will show anti-fibrotic effects in patients.</w:t>
      </w:r>
    </w:p>
    <w:p>
      <w:pPr>
        <w:spacing w:after="0" w:line="176"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Once in the clinic, we continue to de-risk our programs by designing clinical trials that allow us to show proof-of-mechanism in advance of clinical efficacy data. We utilize pharmacodynamic biomarkers and advanced imaging techniques, including positron emission tomography, or PET, to evaluate target engagement of our product candidates over relatively short time periods and observe whether the product candidate is having its anticipated effect. We believe these collective capabilities uniquely allow us to (i) efficiently identify targets, (ii) optimize the potency and selectivity of candidates and (iii) de-risk product candidates in advance of clinical proof-of-concept.</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Pliant was founded in 2015 by world-renowned researchers Dean Sheppard, Rik Derynck, Bill DeGrado and Hal Chapman from the University of California, San Francisco who bring broad experience in fibrosis biology and small-molecule chemistry among other related disciplines. In addition, we have built an executive team with highly relevant experience in drug discovery and clinical development. To date, Pliant has raised over $120 million from investors including Third Rock Ventures, Cowen Healthcare Investments, Eventide Asset Management, Schroder Adveq Management, Menlo Ventures, S-Cubed Capital and Agent Capital.</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Our goal is to become a world-leading fibrosis company, developing and commercializing disease-modifying therapies across a spectrum of fibrotic diseases. To achieve this, we are focused on the following key strategies:</w:t>
      </w:r>
    </w:p>
    <w:p>
      <w:pPr>
        <w:spacing w:after="0" w:line="76" w:lineRule="exact"/>
        <w:rPr>
          <w:sz w:val="20"/>
          <w:szCs w:val="20"/>
          <w:color w:val="auto"/>
        </w:rPr>
      </w:pPr>
    </w:p>
    <w:p>
      <w:pPr>
        <w:ind w:left="900" w:hanging="1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Rapidly advance PLN-74809 in IPF and PSC through clinical development and commercialization.</w:t>
      </w:r>
    </w:p>
    <w:p>
      <w:pPr>
        <w:spacing w:after="0" w:line="130" w:lineRule="exact"/>
        <w:rPr>
          <w:rFonts w:ascii="Arial" w:cs="Arial" w:eastAsia="Arial" w:hAnsi="Arial"/>
          <w:sz w:val="18"/>
          <w:szCs w:val="18"/>
          <w:color w:val="auto"/>
        </w:rPr>
      </w:pPr>
    </w:p>
    <w:p>
      <w:pPr>
        <w:ind w:left="900" w:hanging="1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Rapidly advance our second compound, PLN-1474, in NASH.</w:t>
      </w:r>
    </w:p>
    <w:p>
      <w:pPr>
        <w:spacing w:after="0" w:line="130" w:lineRule="exact"/>
        <w:rPr>
          <w:rFonts w:ascii="Arial" w:cs="Arial" w:eastAsia="Arial" w:hAnsi="Arial"/>
          <w:sz w:val="18"/>
          <w:szCs w:val="18"/>
          <w:color w:val="auto"/>
        </w:rPr>
      </w:pPr>
    </w:p>
    <w:p>
      <w:pPr>
        <w:ind w:left="900" w:right="420" w:hanging="183"/>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evaluate partnerships in indications and geographies where we believe partners can add commercial and/or development capabilities.</w:t>
      </w:r>
    </w:p>
    <w:p>
      <w:pPr>
        <w:spacing w:after="0" w:line="75" w:lineRule="exact"/>
        <w:rPr>
          <w:rFonts w:ascii="Arial" w:cs="Arial" w:eastAsia="Arial" w:hAnsi="Arial"/>
          <w:sz w:val="18"/>
          <w:szCs w:val="18"/>
          <w:color w:val="auto"/>
        </w:rPr>
      </w:pPr>
    </w:p>
    <w:p>
      <w:pPr>
        <w:ind w:left="900" w:hanging="1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Explore opportunities for our pipeline assets in additional fibrotic indications.</w:t>
      </w:r>
    </w:p>
    <w:p>
      <w:pPr>
        <w:spacing w:after="0" w:line="130" w:lineRule="exact"/>
        <w:rPr>
          <w:rFonts w:ascii="Arial" w:cs="Arial" w:eastAsia="Arial" w:hAnsi="Arial"/>
          <w:sz w:val="18"/>
          <w:szCs w:val="18"/>
          <w:color w:val="auto"/>
        </w:rPr>
      </w:pPr>
    </w:p>
    <w:p>
      <w:pPr>
        <w:ind w:left="900" w:hanging="1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our industry leading tools and capabilities to advance our mission of becoming a leading fibrosis company.</w:t>
      </w:r>
    </w:p>
    <w:p>
      <w:pPr>
        <w:spacing w:after="0" w:line="32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entitled “Risk Factors.” These risks include, among others:</w:t>
      </w:r>
    </w:p>
    <w:p>
      <w:pPr>
        <w:spacing w:after="0" w:line="76" w:lineRule="exact"/>
        <w:rPr>
          <w:sz w:val="20"/>
          <w:szCs w:val="20"/>
          <w:color w:val="auto"/>
        </w:rPr>
      </w:pPr>
    </w:p>
    <w:p>
      <w:pPr>
        <w:ind w:left="900" w:hanging="1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prospects and likelihood of success.</w:t>
      </w:r>
    </w:p>
    <w:p>
      <w:pPr>
        <w:spacing w:after="0" w:line="130" w:lineRule="exact"/>
        <w:rPr>
          <w:rFonts w:ascii="Arial" w:cs="Arial" w:eastAsia="Arial" w:hAnsi="Arial"/>
          <w:sz w:val="18"/>
          <w:szCs w:val="18"/>
          <w:color w:val="auto"/>
        </w:rPr>
      </w:pPr>
    </w:p>
    <w:p>
      <w:pPr>
        <w:ind w:left="900" w:hanging="1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condition raises substantial doubt as to our ability to continue as a going concern.</w:t>
      </w:r>
    </w:p>
    <w:p>
      <w:pPr>
        <w:spacing w:after="0" w:line="130" w:lineRule="exact"/>
        <w:rPr>
          <w:rFonts w:ascii="Arial" w:cs="Arial" w:eastAsia="Arial" w:hAnsi="Arial"/>
          <w:sz w:val="18"/>
          <w:szCs w:val="18"/>
          <w:color w:val="auto"/>
        </w:rPr>
      </w:pPr>
    </w:p>
    <w:p>
      <w:pPr>
        <w:ind w:left="900" w:hanging="183"/>
        <w:spacing w:after="0" w:line="26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highly dependent on the success of our lead product candidate, PLN-74809, as well as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89" w:lineRule="exact"/>
        <w:rPr>
          <w:rFonts w:ascii="Arial" w:cs="Arial" w:eastAsia="Arial" w:hAnsi="Arial"/>
          <w:sz w:val="18"/>
          <w:szCs w:val="18"/>
          <w:color w:val="auto"/>
        </w:rPr>
      </w:pPr>
    </w:p>
    <w:p>
      <w:pPr>
        <w:ind w:left="900" w:hanging="1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w:t>
      </w:r>
    </w:p>
    <w:p>
      <w:pPr>
        <w:spacing w:after="0" w:line="130" w:lineRule="exact"/>
        <w:rPr>
          <w:rFonts w:ascii="Arial" w:cs="Arial" w:eastAsia="Arial" w:hAnsi="Arial"/>
          <w:sz w:val="18"/>
          <w:szCs w:val="18"/>
          <w:color w:val="auto"/>
        </w:rPr>
      </w:pPr>
    </w:p>
    <w:p>
      <w:pPr>
        <w:ind w:left="900" w:right="960" w:hanging="183"/>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PLN-74809 or any other product candidates.</w:t>
      </w:r>
    </w:p>
    <w:p>
      <w:pPr>
        <w:spacing w:after="0" w:line="75" w:lineRule="exact"/>
        <w:rPr>
          <w:rFonts w:ascii="Arial" w:cs="Arial" w:eastAsia="Arial" w:hAnsi="Arial"/>
          <w:sz w:val="18"/>
          <w:szCs w:val="18"/>
          <w:color w:val="auto"/>
        </w:rPr>
      </w:pPr>
    </w:p>
    <w:p>
      <w:pPr>
        <w:ind w:left="900" w:right="460" w:hanging="183"/>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75" w:lineRule="exact"/>
        <w:rPr>
          <w:rFonts w:ascii="Arial" w:cs="Arial" w:eastAsia="Arial" w:hAnsi="Arial"/>
          <w:sz w:val="18"/>
          <w:szCs w:val="18"/>
          <w:color w:val="auto"/>
        </w:rPr>
      </w:pPr>
    </w:p>
    <w:p>
      <w:pPr>
        <w:ind w:left="900" w:right="640" w:hanging="183"/>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75" w:lineRule="exact"/>
        <w:rPr>
          <w:rFonts w:ascii="Arial" w:cs="Arial" w:eastAsia="Arial" w:hAnsi="Arial"/>
          <w:sz w:val="18"/>
          <w:szCs w:val="18"/>
          <w:color w:val="auto"/>
        </w:rPr>
      </w:pPr>
    </w:p>
    <w:p>
      <w:pPr>
        <w:ind w:left="900" w:right="260" w:hanging="183"/>
        <w:spacing w:after="0" w:line="26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9" w:right="7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900" w:right="80" w:hanging="1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History and Information</w:t>
      </w:r>
    </w:p>
    <w:p>
      <w:pPr>
        <w:spacing w:after="0" w:line="229"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We were incorporated under the laws of the State of Delaware in June 2015. Our principal executive office is located at 260 Littlefield Avenue, South San Francisco, California 94080, and our telephone number is (650) 481-6770. Our website address is https://pliantrx.com. We do not incorporate the information on or accessible through our website into this prospectus, and you should not consider any information on, or that can be accessed through, our website as part of this prospectus.</w:t>
      </w:r>
    </w:p>
    <w:p>
      <w:pPr>
        <w:spacing w:after="0" w:line="187" w:lineRule="exact"/>
        <w:rPr>
          <w:sz w:val="20"/>
          <w:szCs w:val="20"/>
          <w:color w:val="auto"/>
        </w:rPr>
      </w:pPr>
    </w:p>
    <w:p>
      <w:pPr>
        <w:jc w:val="both"/>
        <w:ind w:left="300" w:right="40" w:firstLine="426"/>
        <w:spacing w:after="0" w:line="279" w:lineRule="auto"/>
        <w:rPr>
          <w:sz w:val="20"/>
          <w:szCs w:val="20"/>
          <w:color w:val="auto"/>
        </w:rPr>
      </w:pPr>
      <w:r>
        <w:rPr>
          <w:rFonts w:ascii="Arial" w:cs="Arial" w:eastAsia="Arial" w:hAnsi="Arial"/>
          <w:sz w:val="17"/>
          <w:szCs w:val="17"/>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i w:val="1"/>
          <w:iCs w:val="1"/>
          <w:color w:val="auto"/>
        </w:rPr>
        <w:t>™</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200" w:firstLine="426"/>
        <w:spacing w:after="0" w:line="263" w:lineRule="auto"/>
        <w:rPr>
          <w:sz w:val="20"/>
          <w:szCs w:val="20"/>
          <w:color w:val="auto"/>
        </w:rPr>
      </w:pPr>
      <w:r>
        <w:rPr>
          <w:rFonts w:ascii="Arial" w:cs="Arial" w:eastAsia="Arial" w:hAnsi="Arial"/>
          <w:sz w:val="18"/>
          <w:szCs w:val="18"/>
          <w:color w:val="auto"/>
        </w:rPr>
        <w:t>We qualify as an “emerging growth company,” or EGC, as defined in the Jumpstart Our Business Startups Act of 2012, as amended, or the JOBS Act. As an EGC, we may take advantage of specified reduced disclosure and other requirements that are otherwise applicable generally to public companies. These provisions include, but are not limited to:</w:t>
      </w:r>
    </w:p>
    <w:p>
      <w:pPr>
        <w:spacing w:after="0" w:line="89" w:lineRule="exact"/>
        <w:rPr>
          <w:sz w:val="20"/>
          <w:szCs w:val="20"/>
          <w:color w:val="auto"/>
        </w:rPr>
      </w:pPr>
    </w:p>
    <w:p>
      <w:pPr>
        <w:jc w:val="both"/>
        <w:ind w:left="900" w:right="140" w:hanging="183"/>
        <w:spacing w:after="0" w:line="2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this prospectus and only two years of related “Management’s Discussion and Analysis of Financial Condition and Results of Operations” in our periodic reports and registration statements, including this prospectus;</w:t>
      </w:r>
    </w:p>
    <w:p>
      <w:pPr>
        <w:spacing w:after="0" w:line="89" w:lineRule="exact"/>
        <w:rPr>
          <w:rFonts w:ascii="Arial" w:cs="Arial" w:eastAsia="Arial" w:hAnsi="Arial"/>
          <w:sz w:val="18"/>
          <w:szCs w:val="18"/>
          <w:color w:val="auto"/>
        </w:rPr>
      </w:pPr>
    </w:p>
    <w:p>
      <w:pPr>
        <w:ind w:left="900" w:hanging="183"/>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of 2002, as amended;</w:t>
      </w:r>
    </w:p>
    <w:p>
      <w:pPr>
        <w:spacing w:after="0" w:line="153" w:lineRule="exact"/>
        <w:rPr>
          <w:rFonts w:ascii="Arial" w:cs="Arial" w:eastAsia="Arial" w:hAnsi="Arial"/>
          <w:sz w:val="16"/>
          <w:szCs w:val="16"/>
          <w:color w:val="auto"/>
        </w:rPr>
      </w:pPr>
    </w:p>
    <w:p>
      <w:pPr>
        <w:ind w:left="900" w:right="260" w:hanging="183"/>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 and</w:t>
      </w:r>
    </w:p>
    <w:p>
      <w:pPr>
        <w:spacing w:after="0" w:line="75" w:lineRule="exact"/>
        <w:rPr>
          <w:rFonts w:ascii="Arial" w:cs="Arial" w:eastAsia="Arial" w:hAnsi="Arial"/>
          <w:sz w:val="18"/>
          <w:szCs w:val="18"/>
          <w:color w:val="auto"/>
        </w:rPr>
      </w:pPr>
    </w:p>
    <w:p>
      <w:pPr>
        <w:ind w:left="900" w:right="360" w:hanging="183"/>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We may take advantage of these exemptions for up to five years from the date of effectiveness of this registration statement or such earlier time that we are no longer an EGC. We will cease to be an EGC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 (iv) the last day of the fiscal year in which we are deemed to be a large accelerated filer under the rules of the Securities and Exchange Commission, or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In addition, the JOBS Act provides that an EGC can take advantage of an extended transition period for complying with new or revised accounting standards. This provision allows an EGC to delay the adoption of some accounting standards until</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1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813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01" w:lineRule="auto"/>
        <w:rPr>
          <w:sz w:val="20"/>
          <w:szCs w:val="20"/>
          <w:color w:val="auto"/>
        </w:rPr>
      </w:pPr>
      <w:r>
        <w:rPr>
          <w:rFonts w:ascii="Arial" w:cs="Arial" w:eastAsia="Arial" w:hAnsi="Arial"/>
          <w:sz w:val="16"/>
          <w:szCs w:val="16"/>
          <w:color w:val="auto"/>
        </w:rPr>
        <w:t>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320" w:top="459" w:right="7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486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3"/>
          <w:szCs w:val="13"/>
          <w:color w:val="auto"/>
        </w:rPr>
        <w:t>shares.</w:t>
      </w:r>
    </w:p>
    <w:p>
      <w:pPr>
        <w:spacing w:after="0" w:line="266" w:lineRule="exact"/>
        <w:rPr>
          <w:sz w:val="20"/>
          <w:szCs w:val="20"/>
          <w:color w:val="auto"/>
        </w:rPr>
      </w:pPr>
    </w:p>
    <w:p>
      <w:pPr>
        <w:ind w:left="300"/>
        <w:spacing w:after="0"/>
        <w:tabs>
          <w:tab w:leader="none" w:pos="4320" w:val="left"/>
          <w:tab w:leader="none" w:pos="9320" w:val="left"/>
        </w:tabs>
        <w:rPr>
          <w:sz w:val="20"/>
          <w:szCs w:val="20"/>
          <w:color w:val="auto"/>
        </w:rPr>
      </w:pPr>
      <w:r>
        <w:rPr>
          <w:rFonts w:ascii="Arial" w:cs="Arial" w:eastAsia="Arial" w:hAnsi="Arial"/>
          <w:sz w:val="18"/>
          <w:szCs w:val="18"/>
          <w:color w:val="auto"/>
        </w:rPr>
        <w:t>Option to purchase additional shares</w:t>
      </w:r>
      <w:r>
        <w:rPr>
          <w:sz w:val="20"/>
          <w:szCs w:val="20"/>
          <w:color w:val="auto"/>
        </w:rPr>
        <w:tab/>
      </w:r>
      <w:r>
        <w:rPr>
          <w:rFonts w:ascii="Arial" w:cs="Arial" w:eastAsia="Arial" w:hAnsi="Arial"/>
          <w:sz w:val="18"/>
          <w:szCs w:val="18"/>
          <w:color w:val="auto"/>
        </w:rPr>
        <w:t>We have granted the underwriters an option to purchase up to</w:t>
      </w:r>
      <w:r>
        <w:rPr>
          <w:sz w:val="20"/>
          <w:szCs w:val="20"/>
          <w:color w:val="auto"/>
        </w:rPr>
        <w:tab/>
      </w:r>
      <w:r>
        <w:rPr>
          <w:rFonts w:ascii="Arial" w:cs="Arial" w:eastAsia="Arial" w:hAnsi="Arial"/>
          <w:sz w:val="16"/>
          <w:szCs w:val="16"/>
          <w:color w:val="auto"/>
        </w:rPr>
        <w:t>additional shares of</w:t>
      </w:r>
    </w:p>
    <w:p>
      <w:pPr>
        <w:spacing w:after="0" w:line="23" w:lineRule="exact"/>
        <w:rPr>
          <w:sz w:val="20"/>
          <w:szCs w:val="20"/>
          <w:color w:val="auto"/>
        </w:rPr>
      </w:pPr>
    </w:p>
    <w:p>
      <w:pPr>
        <w:ind w:left="4340" w:right="280"/>
        <w:spacing w:after="0" w:line="260" w:lineRule="auto"/>
        <w:rPr>
          <w:sz w:val="20"/>
          <w:szCs w:val="20"/>
          <w:color w:val="auto"/>
        </w:rPr>
      </w:pPr>
      <w:r>
        <w:rPr>
          <w:rFonts w:ascii="Arial" w:cs="Arial" w:eastAsia="Arial" w:hAnsi="Arial"/>
          <w:sz w:val="18"/>
          <w:szCs w:val="18"/>
          <w:color w:val="auto"/>
        </w:rPr>
        <w:t>common stock from us. The underwriters can exercise this option at any time within 30 days from the date of this prospectus.</w:t>
      </w:r>
    </w:p>
    <w:p>
      <w:pPr>
        <w:sectPr>
          <w:pgSz w:w="11900" w:h="16838" w:orient="portrait"/>
          <w:cols w:equalWidth="0" w:num="1">
            <w:col w:w="10900"/>
          </w:cols>
          <w:pgMar w:left="320" w:top="459" w:right="679" w:bottom="1440" w:gutter="0" w:footer="0" w:header="0"/>
        </w:sectPr>
      </w:pPr>
    </w:p>
    <w:p>
      <w:pPr>
        <w:spacing w:after="0" w:line="212"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5" w:right="580" w:firstLine="540"/>
        <w:spacing w:after="0" w:line="277"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197"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estimate that we will receive net proceeds from the sale of our common stock in this</w:t>
      </w:r>
    </w:p>
    <w:p>
      <w:pPr>
        <w:spacing w:after="0" w:line="46" w:lineRule="exact"/>
        <w:rPr>
          <w:sz w:val="20"/>
          <w:szCs w:val="20"/>
          <w:color w:val="auto"/>
        </w:rPr>
      </w:pPr>
    </w:p>
    <w:p>
      <w:pPr>
        <w:ind w:left="5" w:right="140"/>
        <w:spacing w:after="0" w:line="265" w:lineRule="auto"/>
        <w:rPr>
          <w:sz w:val="20"/>
          <w:szCs w:val="20"/>
          <w:color w:val="auto"/>
        </w:rPr>
      </w:pPr>
      <w:r>
        <w:rPr>
          <w:rFonts w:ascii="Arial" w:cs="Arial" w:eastAsia="Arial" w:hAnsi="Arial"/>
          <w:sz w:val="17"/>
          <w:szCs w:val="17"/>
          <w:color w:val="auto"/>
        </w:rPr>
        <w:t>offering of approximately $ million, or $ million if the underwriters exercise in full their option to purchase additional shares, assuming an initial public offering price of</w:t>
      </w:r>
    </w:p>
    <w:p>
      <w:pPr>
        <w:ind w:left="5" w:right="220" w:hanging="5"/>
        <w:spacing w:after="0" w:line="288"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and after deducting underwriting discounts and commissions and estimated offering expenses payable by us. We intend to use the net proceeds from this offering to fund the clinical development of our lead product candidate, PLN-74809, the preclinical and clinical development of our second product candidate, PLN-1474, and for business development activities, working capital and other general corporate purposes. See the section entitled “Use of Proceeds” for additional information.</w:t>
      </w:r>
    </w:p>
    <w:p>
      <w:pPr>
        <w:spacing w:after="0" w:line="195" w:lineRule="exact"/>
        <w:rPr>
          <w:sz w:val="20"/>
          <w:szCs w:val="20"/>
          <w:color w:val="auto"/>
        </w:rPr>
      </w:pPr>
    </w:p>
    <w:p>
      <w:pPr>
        <w:sectPr>
          <w:pgSz w:w="11900" w:h="16838" w:orient="portrait"/>
          <w:cols w:equalWidth="0" w:num="2">
            <w:col w:w="4300" w:space="35"/>
            <w:col w:w="6565"/>
          </w:cols>
          <w:pgMar w:left="320" w:top="459" w:right="679" w:bottom="1440" w:gutter="0" w:footer="0" w:header="0"/>
          <w:type w:val="continuous"/>
        </w:sectPr>
      </w:pPr>
    </w:p>
    <w:p>
      <w:pPr>
        <w:ind w:left="300"/>
        <w:spacing w:after="0"/>
        <w:tabs>
          <w:tab w:leader="none" w:pos="43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carefully the section entitled “Risk Factors” and other information</w:t>
      </w:r>
    </w:p>
    <w:p>
      <w:pPr>
        <w:spacing w:after="0" w:line="23" w:lineRule="exact"/>
        <w:rPr>
          <w:sz w:val="20"/>
          <w:szCs w:val="20"/>
          <w:color w:val="auto"/>
        </w:rPr>
      </w:pPr>
    </w:p>
    <w:p>
      <w:pPr>
        <w:ind w:left="4340" w:right="420"/>
        <w:spacing w:after="0" w:line="260" w:lineRule="auto"/>
        <w:rPr>
          <w:sz w:val="20"/>
          <w:szCs w:val="20"/>
          <w:color w:val="auto"/>
        </w:rPr>
      </w:pPr>
      <w:r>
        <w:rPr>
          <w:rFonts w:ascii="Arial" w:cs="Arial" w:eastAsia="Arial" w:hAnsi="Arial"/>
          <w:sz w:val="18"/>
          <w:szCs w:val="18"/>
          <w:color w:val="auto"/>
        </w:rPr>
        <w:t>included in this prospectus for a discussion of factors that you should consider before deciding to invest in our common stock.</w:t>
      </w:r>
    </w:p>
    <w:p>
      <w:pPr>
        <w:spacing w:after="0" w:line="212"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Proposed Nasdaq Global Market symbol</w:t>
      </w:r>
      <w:r>
        <w:rPr>
          <w:sz w:val="20"/>
          <w:szCs w:val="20"/>
          <w:color w:val="auto"/>
        </w:rPr>
        <w:tab/>
      </w:r>
      <w:r>
        <w:rPr>
          <w:rFonts w:ascii="Arial" w:cs="Arial" w:eastAsia="Arial" w:hAnsi="Arial"/>
          <w:sz w:val="18"/>
          <w:szCs w:val="18"/>
          <w:color w:val="auto"/>
        </w:rPr>
        <w:t>“PLRX”</w:t>
      </w:r>
    </w:p>
    <w:p>
      <w:pPr>
        <w:spacing w:after="0" w:line="239" w:lineRule="exact"/>
        <w:rPr>
          <w:sz w:val="20"/>
          <w:szCs w:val="20"/>
          <w:color w:val="auto"/>
        </w:rPr>
      </w:pPr>
    </w:p>
    <w:p>
      <w:pPr>
        <w:ind w:left="300" w:right="80" w:firstLine="426"/>
        <w:spacing w:after="0" w:line="308" w:lineRule="auto"/>
        <w:rPr>
          <w:sz w:val="20"/>
          <w:szCs w:val="20"/>
          <w:color w:val="auto"/>
        </w:rPr>
      </w:pPr>
      <w:r>
        <w:rPr>
          <w:rFonts w:ascii="Arial" w:cs="Arial" w:eastAsia="Arial" w:hAnsi="Arial"/>
          <w:sz w:val="17"/>
          <w:szCs w:val="17"/>
          <w:color w:val="auto"/>
        </w:rPr>
        <w:t>The number of shares of our common stock to be outstanding after this offering is based on 120,608,203 shares of common stock (including our redeemable convertible preferred stock on an as-converted basis) outstanding as of March 31, 2019, and excludes:</w:t>
      </w:r>
    </w:p>
    <w:p>
      <w:pPr>
        <w:spacing w:after="0" w:line="52" w:lineRule="exact"/>
        <w:rPr>
          <w:sz w:val="20"/>
          <w:szCs w:val="20"/>
          <w:color w:val="auto"/>
        </w:rPr>
      </w:pPr>
    </w:p>
    <w:p>
      <w:pPr>
        <w:ind w:left="900" w:right="80" w:hanging="183"/>
        <w:spacing w:after="0" w:line="263"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7,560,547 shares of our common stock issuable upon the exercise of options outstanding as of March 31, 2019, under the 2015 Equity Incentive Plan, or the 2015 Plan, at a weighted-average exercise price of $0.29 per share, or pursuant to rights to purchase restricted stock at a weighted-average purchase price of $0.01 per share;</w:t>
      </w:r>
    </w:p>
    <w:p>
      <w:pPr>
        <w:spacing w:after="0" w:line="89" w:lineRule="exact"/>
        <w:rPr>
          <w:rFonts w:ascii="Arial" w:cs="Arial" w:eastAsia="Arial" w:hAnsi="Arial"/>
          <w:sz w:val="18"/>
          <w:szCs w:val="18"/>
          <w:color w:val="auto"/>
        </w:rPr>
      </w:pPr>
    </w:p>
    <w:p>
      <w:pPr>
        <w:ind w:left="900" w:hanging="1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1,621,000 shares of common stock issuable upon the exercise of options granted since March 31, 2019 under the 2015 Plan, at a weighted-average exercise price of $0.87 per share;</w:t>
      </w:r>
    </w:p>
    <w:p>
      <w:pPr>
        <w:spacing w:after="0" w:line="75" w:lineRule="exact"/>
        <w:rPr>
          <w:rFonts w:ascii="Arial" w:cs="Arial" w:eastAsia="Arial" w:hAnsi="Arial"/>
          <w:sz w:val="18"/>
          <w:szCs w:val="18"/>
          <w:color w:val="auto"/>
        </w:rPr>
      </w:pPr>
    </w:p>
    <w:p>
      <w:pPr>
        <w:ind w:left="900" w:right="260" w:hanging="1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3,310,971 shares of our common stock reserved for future issuance under the 2015 Plan as of March 31, 2019 (which number of shares includes the 1,621,000 options previously granted since March 31, 2019);</w:t>
      </w:r>
    </w:p>
    <w:p>
      <w:pPr>
        <w:spacing w:after="0" w:line="75" w:lineRule="exact"/>
        <w:rPr>
          <w:rFonts w:ascii="Arial" w:cs="Arial" w:eastAsia="Arial" w:hAnsi="Arial"/>
          <w:sz w:val="18"/>
          <w:szCs w:val="18"/>
          <w:color w:val="auto"/>
        </w:rPr>
      </w:pPr>
    </w:p>
    <w:p>
      <w:pPr>
        <w:ind w:left="900" w:right="60" w:hanging="183"/>
        <w:spacing w:after="0" w:line="308" w:lineRule="auto"/>
        <w:tabs>
          <w:tab w:leader="none" w:pos="1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2019 Stock Option and Incentive Plan, or the 2019 Plan, which will become available for issuance upon the effectiveness of the registration statement of which this prospectus is a part; and</w:t>
      </w:r>
    </w:p>
    <w:p>
      <w:pPr>
        <w:spacing w:after="0" w:line="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30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23018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900" w:right="80" w:hanging="183"/>
        <w:spacing w:after="0" w:line="342" w:lineRule="auto"/>
        <w:tabs>
          <w:tab w:leader="none" w:pos="1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2019 Employee Stock Purchase Plan, or the 2019 ESPP, which will become available for issuance upon the effectiveness of the registration statement of which this prospectus is a part.</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31"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  a 1-for-   reverse stock split of our common stock to be effected on</w:t>
            </w:r>
          </w:p>
        </w:tc>
        <w:tc>
          <w:tcPr>
            <w:tcW w:w="9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07" w:lineRule="exact"/>
        <w:rPr>
          <w:sz w:val="20"/>
          <w:szCs w:val="20"/>
          <w:color w:val="auto"/>
        </w:rPr>
      </w:pPr>
    </w:p>
    <w:p>
      <w:pPr>
        <w:ind w:left="900" w:hanging="1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as of March 31, 2019 into an aggregate of 105,501,221 shares of our common stock immediately prior to the completion of this offering;</w:t>
      </w:r>
    </w:p>
    <w:p>
      <w:pPr>
        <w:spacing w:after="0" w:line="75" w:lineRule="exact"/>
        <w:rPr>
          <w:rFonts w:ascii="Arial" w:cs="Arial" w:eastAsia="Arial" w:hAnsi="Arial"/>
          <w:sz w:val="18"/>
          <w:szCs w:val="18"/>
          <w:color w:val="auto"/>
        </w:rPr>
      </w:pPr>
    </w:p>
    <w:p>
      <w:pPr>
        <w:ind w:left="900" w:hanging="1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options or purchase rights described above;</w:t>
      </w:r>
    </w:p>
    <w:p>
      <w:pPr>
        <w:spacing w:after="0" w:line="131" w:lineRule="exact"/>
        <w:rPr>
          <w:sz w:val="20"/>
          <w:szCs w:val="20"/>
          <w:color w:val="auto"/>
        </w:rPr>
      </w:pPr>
    </w:p>
    <w:p>
      <w:pPr>
        <w:ind w:left="720"/>
        <w:spacing w:after="0"/>
        <w:tabs>
          <w:tab w:leader="none" w:pos="6260" w:val="left"/>
        </w:tabs>
        <w:rPr>
          <w:sz w:val="20"/>
          <w:szCs w:val="20"/>
          <w:color w:val="auto"/>
        </w:rPr>
      </w:pPr>
      <w:r>
        <w:rPr>
          <w:rFonts w:ascii="Arial" w:cs="Arial" w:eastAsia="Arial" w:hAnsi="Arial"/>
          <w:sz w:val="18"/>
          <w:szCs w:val="18"/>
          <w:color w:val="auto"/>
        </w:rPr>
        <w:t>•  no exercise by the underwriters of their option to purchase up to</w:t>
      </w:r>
      <w:r>
        <w:rPr>
          <w:sz w:val="20"/>
          <w:szCs w:val="20"/>
          <w:color w:val="auto"/>
        </w:rPr>
        <w:tab/>
      </w:r>
      <w:r>
        <w:rPr>
          <w:rFonts w:ascii="Arial" w:cs="Arial" w:eastAsia="Arial" w:hAnsi="Arial"/>
          <w:sz w:val="16"/>
          <w:szCs w:val="16"/>
          <w:color w:val="auto"/>
        </w:rPr>
        <w:t>additional shares of our common stock in this offering; and</w:t>
      </w:r>
    </w:p>
    <w:p>
      <w:pPr>
        <w:spacing w:after="0" w:line="131" w:lineRule="exact"/>
        <w:rPr>
          <w:sz w:val="20"/>
          <w:szCs w:val="20"/>
          <w:color w:val="auto"/>
        </w:rPr>
      </w:pPr>
    </w:p>
    <w:p>
      <w:pPr>
        <w:ind w:left="900" w:right="60" w:hanging="1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which will occur immediately prior the completion of this offering.</w:t>
      </w:r>
    </w:p>
    <w:p>
      <w:pPr>
        <w:spacing w:after="0" w:line="62"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color w:val="auto"/>
        </w:rPr>
        <w:t>Unless otherwise indicated, the number of shares of common stock outstanding includes 4,460,226 unvested restricted shares of common stock subject to repurchase as of March 31, 2019.</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The following tables present summary financial data for our business. We have derived the summary statements of operations data for the years ended December 31, 2017 and 2018 from our audited financial statements included elsewhere in this prospectus. We have derived the summary statements of operations data for the three months ended March 31, 2018 and 2019, and the summary balance sheets data as of March 31, 2019, from our unaudited condensed financial statements included elsewhere in this prospectus. We have prepared the unaudited condensed financial statements on the same basis as the audited financial statements. We have included all adjustments consisting only of normal recurring adjustments that we consider necessary for a fair presentation of the financial information set forth in those unaudited condensed financial statements. Our historical results are not necessarily indicative of the results that may be expected in the future and our operating results for the three months ended March 31, 2019 are not necessarily indicative of the actual or expected results for the full year ending December 31, 2019 or any other interim periods or any future period. You should read this data together with our financial statements and related notes appearing elsewhere in this prospectus and the information in the sections entitled “Selected Financial Data” and “Management’s Discussion and Analysis of Financial Condition and Results of Operations.”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14,526</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18,349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(30,915)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(18,333)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(30,276)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w w:val="96"/>
              </w:rPr>
              <w:t>Accretion to redemption value and cumulative dividends on redeemable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convertible preferred 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(4,876)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(20,622)</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(35,152)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Weighted-average shares used in computing net loss per share attributable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5,745,000</w:t>
            </w:r>
          </w:p>
        </w:tc>
        <w:tc>
          <w:tcPr>
            <w:tcW w:w="4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8,333,000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7,387,889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10,079,336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w w:val="96"/>
              </w:rPr>
              <w:t>Pro forma net loss per share attributable to common stockholders, basic</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spacing w:after="0"/>
        <w:rPr>
          <w:sz w:val="20"/>
          <w:szCs w:val="20"/>
          <w:color w:val="auto"/>
        </w:rPr>
      </w:pPr>
      <w:r>
        <w:rPr>
          <w:rFonts w:ascii="Arial" w:cs="Arial" w:eastAsia="Arial" w:hAnsi="Arial"/>
          <w:sz w:val="18"/>
          <w:szCs w:val="18"/>
          <w:color w:val="auto"/>
        </w:rPr>
        <w:t>Weighted-average shares outstanding used in computing pro forma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loss per share attributable to common stockholders, basic and diluted</w:t>
      </w:r>
      <w:r>
        <w:rPr>
          <w:rFonts w:ascii="Arial" w:cs="Arial" w:eastAsia="Arial" w:hAnsi="Arial"/>
          <w:sz w:val="15"/>
          <w:szCs w:val="15"/>
          <w:color w:val="auto"/>
        </w:rPr>
        <w:t>(1)</w:t>
      </w:r>
    </w:p>
    <w:p>
      <w:pPr>
        <w:spacing w:after="0" w:line="233" w:lineRule="exact"/>
        <w:rPr>
          <w:sz w:val="20"/>
          <w:szCs w:val="20"/>
          <w:color w:val="auto"/>
        </w:rPr>
      </w:pPr>
    </w:p>
    <w:p>
      <w:pPr>
        <w:ind w:left="600" w:right="60" w:hanging="302"/>
        <w:spacing w:after="0" w:line="253" w:lineRule="auto"/>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Notes 3 and 16 to our financial statements included elsewhere in the prospectus for an explanation of the calculations of our basic and diluted net loss per share, pro forma net loss per share and the weighted-average number of shares used in the computation of the per share amounts.</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As of March 31, 2019</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2"/>
                <w:szCs w:val="12"/>
                <w:b w:val="1"/>
                <w:bCs w:val="1"/>
                <w:color w:val="auto"/>
                <w:w w:val="94"/>
              </w:rPr>
              <w:t>(2)(4)</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Sheets Data:</w:t>
            </w:r>
          </w:p>
        </w:tc>
        <w:tc>
          <w:tcPr>
            <w:tcW w:w="18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700" w:type="dxa"/>
            <w:vAlign w:val="bottom"/>
            <w:gridSpan w:val="3"/>
          </w:tcPr>
          <w:p>
            <w:pPr>
              <w:jc w:val="right"/>
              <w:ind w:right="180"/>
              <w:spacing w:after="0"/>
              <w:rPr>
                <w:sz w:val="20"/>
                <w:szCs w:val="20"/>
                <w:color w:val="auto"/>
              </w:rPr>
            </w:pPr>
            <w:r>
              <w:rPr>
                <w:rFonts w:ascii="Arial" w:cs="Arial" w:eastAsia="Arial" w:hAnsi="Arial"/>
                <w:sz w:val="18"/>
                <w:szCs w:val="18"/>
                <w:color w:val="auto"/>
              </w:rPr>
              <w:t>$ 49,720</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2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42,604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 assets</w:t>
            </w:r>
          </w:p>
        </w:tc>
        <w:tc>
          <w:tcPr>
            <w:tcW w:w="2700" w:type="dxa"/>
            <w:vAlign w:val="bottom"/>
            <w:gridSpan w:val="3"/>
          </w:tcPr>
          <w:p>
            <w:pPr>
              <w:jc w:val="right"/>
              <w:ind w:right="180"/>
              <w:spacing w:after="0"/>
              <w:rPr>
                <w:sz w:val="20"/>
                <w:szCs w:val="20"/>
                <w:color w:val="auto"/>
              </w:rPr>
            </w:pPr>
            <w:r>
              <w:rPr>
                <w:rFonts w:ascii="Arial" w:cs="Arial" w:eastAsia="Arial" w:hAnsi="Arial"/>
                <w:sz w:val="18"/>
                <w:szCs w:val="18"/>
                <w:color w:val="auto"/>
              </w:rPr>
              <w:t>55,978</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133,447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Accumulated deficit</w:t>
            </w:r>
          </w:p>
        </w:tc>
        <w:tc>
          <w:tcPr>
            <w:tcW w:w="2700" w:type="dxa"/>
            <w:vAlign w:val="bottom"/>
            <w:gridSpan w:val="3"/>
          </w:tcPr>
          <w:p>
            <w:pPr>
              <w:jc w:val="right"/>
              <w:ind w:right="140"/>
              <w:spacing w:after="0"/>
              <w:rPr>
                <w:sz w:val="20"/>
                <w:szCs w:val="20"/>
                <w:color w:val="auto"/>
              </w:rPr>
            </w:pPr>
            <w:r>
              <w:rPr>
                <w:rFonts w:ascii="Arial" w:cs="Arial" w:eastAsia="Arial" w:hAnsi="Arial"/>
                <w:sz w:val="18"/>
                <w:szCs w:val="18"/>
                <w:color w:val="auto"/>
              </w:rPr>
              <w:t>(86,517)</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(86,513)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0" w:right="40" w:hanging="302"/>
        <w:spacing w:after="0" w:line="244"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pro forma column in the balance sheet data table above gives effect to (i) the automatic conversion of all outstanding shares of our redeemable convertible preferred stock as of March 31, 2019 into an aggregate of 105,501,221 shares of our common stock immediately prior to the completion of this offering as if such conversion had occurred on March 31, 2019; and (ii) the filing and effectiveness of our amended and restated certificate of incorporation, which will occur immediately prior to the completion of this offering.</w:t>
      </w:r>
    </w:p>
    <w:p>
      <w:pPr>
        <w:spacing w:after="0" w:line="1" w:lineRule="exact"/>
        <w:rPr>
          <w:rFonts w:ascii="Arial" w:cs="Arial" w:eastAsia="Arial" w:hAnsi="Arial"/>
          <w:sz w:val="13"/>
          <w:szCs w:val="13"/>
          <w:color w:val="auto"/>
        </w:rPr>
      </w:pPr>
    </w:p>
    <w:p>
      <w:pPr>
        <w:ind w:left="600" w:hanging="302"/>
        <w:spacing w:after="0"/>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 forma as adjusted column in the balance sheet data table above gives effect to (i) the pro forma adjustments set forth in footnote (1) above; and (ii) the issuance and sale of</w:t>
      </w:r>
    </w:p>
    <w:p>
      <w:pPr>
        <w:spacing w:after="0" w:line="11" w:lineRule="exact"/>
        <w:rPr>
          <w:sz w:val="20"/>
          <w:szCs w:val="20"/>
          <w:color w:val="auto"/>
        </w:rPr>
      </w:pPr>
    </w:p>
    <w:p>
      <w:pPr>
        <w:ind w:left="600" w:right="280" w:firstLine="432"/>
        <w:spacing w:after="0" w:line="221" w:lineRule="auto"/>
        <w:rPr>
          <w:sz w:val="20"/>
          <w:szCs w:val="20"/>
          <w:color w:val="auto"/>
        </w:rPr>
      </w:pPr>
      <w:r>
        <w:rPr>
          <w:rFonts w:ascii="Arial" w:cs="Arial" w:eastAsia="Arial" w:hAnsi="Arial"/>
          <w:sz w:val="14"/>
          <w:szCs w:val="14"/>
          <w:color w:val="auto"/>
        </w:rPr>
        <w:t>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 w:lineRule="exact"/>
        <w:rPr>
          <w:sz w:val="20"/>
          <w:szCs w:val="20"/>
          <w:color w:val="auto"/>
        </w:rPr>
      </w:pPr>
    </w:p>
    <w:p>
      <w:pPr>
        <w:ind w:left="600" w:right="200" w:hanging="302"/>
        <w:spacing w:after="0" w:line="221" w:lineRule="auto"/>
        <w:tabs>
          <w:tab w:leader="none" w:pos="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appearing elsewhere in this prospectus for details regarding our current assets and current liabilities.</w:t>
      </w:r>
    </w:p>
    <w:p>
      <w:pPr>
        <w:ind w:left="600" w:right="20" w:hanging="302"/>
        <w:spacing w:after="0" w:line="238"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 per share, the midpoint of the price range set forth on the cover page of this prospectus, would increase or decrease, as applicable, the amount of each of cash and cash equivalents, working capital, total assets and total stockholders’ (deficit) equity by approximately</w:t>
      </w:r>
    </w:p>
    <w:p>
      <w:pPr>
        <w:ind w:left="600" w:right="220"/>
        <w:spacing w:after="0" w:line="258" w:lineRule="auto"/>
        <w:rPr>
          <w:rFonts w:ascii="Arial" w:cs="Arial" w:eastAsia="Arial" w:hAnsi="Arial"/>
          <w:sz w:val="13"/>
          <w:szCs w:val="13"/>
          <w:color w:val="auto"/>
        </w:rPr>
      </w:pPr>
      <w:r>
        <w:rPr>
          <w:rFonts w:ascii="Arial" w:cs="Arial" w:eastAsia="Arial" w:hAnsi="Arial"/>
          <w:sz w:val="12"/>
          <w:szCs w:val="12"/>
          <w:color w:val="auto"/>
        </w:rPr>
        <w:t>$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shares in the number of shares we are offering would increase or decrease, as applicable, the amount of each of cash and cash equivalents, working capital, total assets and total</w:t>
      </w:r>
    </w:p>
    <w:p>
      <w:pPr>
        <w:ind w:left="600" w:right="40"/>
        <w:spacing w:after="0" w:line="232" w:lineRule="auto"/>
        <w:rPr>
          <w:rFonts w:ascii="Arial" w:cs="Arial" w:eastAsia="Arial" w:hAnsi="Arial"/>
          <w:sz w:val="13"/>
          <w:szCs w:val="13"/>
          <w:color w:val="auto"/>
        </w:rPr>
      </w:pPr>
      <w:r>
        <w:rPr>
          <w:rFonts w:ascii="Arial" w:cs="Arial" w:eastAsia="Arial" w:hAnsi="Arial"/>
          <w:sz w:val="14"/>
          <w:szCs w:val="14"/>
          <w:color w:val="auto"/>
        </w:rPr>
        <w:t>stockholders’ (deficit) equity by approximately $ million, based on the assumed initial public offering price per share, the midpoint of the price range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prospectus, including our financial statements and related notes appearing elsewhere in this prospectus and in the section entitled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have incurred significant net losses since inception and we expect to continue to incur significant net losses for the foreseeable future.</w:t>
      </w:r>
    </w:p>
    <w:p>
      <w:pPr>
        <w:spacing w:after="0" w:line="12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equity financing. If our product candidates are not successfully developed and approved, we may never generate any revenue. We continue to incur significant research and development and other expenses related to our ongoing operations. For the years ended December 31, 2017 and 2018, we reported a net loss of $18.3 million and $30.3 million, respectively, and for the three months ended March 31, 2018 and 2019, we reported a net loss of $6.2 million and $14.0 million, respectively. As of December 31, 2018 and March 31, 2019, we had an accumulated deficit of $71.5 million and $86.5 million, respectively. We have devoted substantially all of our resources and efforts to research and development and we expect that it will be several years, if ever, before we generate revenue from product sales. Even if we receive marketing approval for and commercialize one or more of our product candidates, we expect that we will continue to incur substantial research and development and other expenses in order to develop and market additional potential product candidates.</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expect to continue to incur significant losses for the foreseeable future, and we anticipate that our expenses will increase substantially if, and as, we:</w:t>
      </w:r>
    </w:p>
    <w:p>
      <w:pPr>
        <w:spacing w:after="0" w:line="76" w:lineRule="exact"/>
        <w:rPr>
          <w:sz w:val="20"/>
          <w:szCs w:val="20"/>
          <w:color w:val="auto"/>
        </w:rPr>
      </w:pPr>
    </w:p>
    <w:p>
      <w:pPr>
        <w:ind w:left="760" w:right="300" w:hanging="212"/>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PLN-74809, and our other product candidates through clinical development, and, if successful, later-stage clinical trials;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discover and develop new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our preclinical development programs, including PLN-1474, into clinical development;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commercialize PLN-74809, our other product candidates and any future product candidates, if approved;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development, quality control, scientific and management personnel;</w:t>
      </w:r>
    </w:p>
    <w:p>
      <w:pPr>
        <w:spacing w:after="0" w:line="130" w:lineRule="exact"/>
        <w:rPr>
          <w:rFonts w:ascii="Arial" w:cs="Arial" w:eastAsia="Arial" w:hAnsi="Arial"/>
          <w:sz w:val="18"/>
          <w:szCs w:val="18"/>
          <w:color w:val="auto"/>
        </w:rPr>
      </w:pPr>
    </w:p>
    <w:p>
      <w:pPr>
        <w:ind w:left="760" w:hanging="212"/>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and manufacturing efforts and our operations as a public company;</w:t>
      </w:r>
    </w:p>
    <w:p>
      <w:pPr>
        <w:spacing w:after="0" w:line="75" w:lineRule="exact"/>
        <w:rPr>
          <w:rFonts w:ascii="Arial" w:cs="Arial" w:eastAsia="Arial" w:hAnsi="Arial"/>
          <w:sz w:val="18"/>
          <w:szCs w:val="18"/>
          <w:color w:val="auto"/>
        </w:rPr>
      </w:pPr>
    </w:p>
    <w:p>
      <w:pPr>
        <w:ind w:left="760" w:right="180" w:hanging="212"/>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To become and remain profitable, we must develop and eventually commercialize products with significant market potential. This will require us to be successful in a range of challenging activities, including completing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69"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continue research and development to initiate clinical trials of PLN-1474 and any future product candidates that we may develop, seek regulatory approvals for our product candidates and to launch and commercialize any products for which we receive regulatory approval. Following this offering,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As of March 31, 2019, we had approximately $49.7 million in cash, cash equivalents and short-term investments. Based on our current operating plan, we believe that the net proceeds from this offering, together with existing cash and cash equivalents, will be sufficient to fund our operating</w:t>
      </w:r>
    </w:p>
    <w:p>
      <w:pPr>
        <w:ind w:left="120" w:right="40"/>
        <w:spacing w:after="0" w:line="252" w:lineRule="auto"/>
        <w:rPr>
          <w:sz w:val="20"/>
          <w:szCs w:val="20"/>
          <w:color w:val="auto"/>
        </w:rPr>
      </w:pPr>
      <w:r>
        <w:rPr>
          <w:rFonts w:ascii="Arial" w:cs="Arial" w:eastAsia="Arial" w:hAnsi="Arial"/>
          <w:sz w:val="18"/>
          <w:szCs w:val="18"/>
          <w:color w:val="auto"/>
        </w:rPr>
        <w:t>expenses and capital expenditure requirements through .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99" w:lineRule="exact"/>
        <w:rPr>
          <w:sz w:val="20"/>
          <w:szCs w:val="20"/>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30" w:lineRule="exact"/>
        <w:rPr>
          <w:rFonts w:ascii="Arial" w:cs="Arial" w:eastAsia="Arial" w:hAnsi="Arial"/>
          <w:sz w:val="18"/>
          <w:szCs w:val="18"/>
          <w:color w:val="auto"/>
        </w:rPr>
      </w:pPr>
    </w:p>
    <w:p>
      <w:pPr>
        <w:ind w:left="760" w:right="220" w:hanging="212"/>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able to enter into collaboration agreements and the terms of any such agreements;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80" w:hanging="212"/>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200" w:lineRule="exact"/>
        <w:rPr>
          <w:sz w:val="20"/>
          <w:szCs w:val="20"/>
          <w:color w:val="auto"/>
        </w:rPr>
      </w:pPr>
    </w:p>
    <w:p>
      <w:pPr>
        <w:spacing w:after="0" w:line="30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76" w:lineRule="exact"/>
        <w:rPr>
          <w:sz w:val="20"/>
          <w:szCs w:val="20"/>
          <w:color w:val="auto"/>
        </w:rPr>
      </w:pPr>
    </w:p>
    <w:p>
      <w:pPr>
        <w:ind w:left="760" w:right="500" w:hanging="212"/>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for clinical trials, and any delays caused by difficulties in such efforts;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42" w:lineRule="exact"/>
        <w:rPr>
          <w:rFonts w:ascii="Arial" w:cs="Arial" w:eastAsia="Arial" w:hAnsi="Arial"/>
          <w:sz w:val="17"/>
          <w:szCs w:val="17"/>
          <w:color w:val="auto"/>
        </w:rPr>
      </w:pPr>
    </w:p>
    <w:p>
      <w:pPr>
        <w:ind w:left="760" w:right="220" w:hanging="212"/>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75" w:lineRule="exact"/>
        <w:rPr>
          <w:rFonts w:ascii="Arial" w:cs="Arial" w:eastAsia="Arial" w:hAnsi="Arial"/>
          <w:sz w:val="18"/>
          <w:szCs w:val="18"/>
          <w:color w:val="auto"/>
        </w:rPr>
      </w:pPr>
    </w:p>
    <w:p>
      <w:pPr>
        <w:ind w:left="760" w:right="240" w:hanging="212"/>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manufacturers;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220" w:hanging="212"/>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financial condition raises substantial doubt as to our ability to continue as a going concern.</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financial statements have been prepared assuming that we will continue to operate as a going concern, which contemplates the realization of assets and the satisfaction of liabilities in the normal course of business. However, based on our current forecast, we do not have sufficient resources for at least the next year following the date that the financial statements appearing elsewhere in this prospectus were issued. These conditions raise substantial doubt about our ability to continue as a going concern. Additionally, our independent registered public accounting firm has included in its audit opinion for the year ended December 31, 2018 an explanatory paragraph that there is substantial doubt as to our ability to continue as a going concern. Our ability to continue as a going concern will require us to obtain additional financing or enter into strategic transactions. The reaction of investors to the inclusion of a going concern statement by our auditors and our potential inability to continue as a going concern may materially adversely affect our share price and our ability to raise new capital or enter into strategic alliances.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prospects and likelihood of success.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 clinical-stage biopharmaceutical company with a limited operating history. We were incorporated in 2015, have no products approved for commercial sale and have not generated any revenue.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TGF-ß,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preclinical development for the treatment of PSC, while our second product candidate, PLN-1474, is in the preclinical stage. Both programs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272" w:lineRule="exact"/>
        <w:rPr>
          <w:sz w:val="20"/>
          <w:szCs w:val="20"/>
          <w:color w:val="auto"/>
        </w:rPr>
      </w:pPr>
    </w:p>
    <w:p>
      <w:pPr>
        <w:ind w:left="340" w:right="26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PLN-74809, as well as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7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are very early in our development efforts and have only one product candidate, PLN-74809, in early clinical development. Because PLN-74809 is our lead product candidate, if PLN-74809 encounters safety or efficacy problems, development delays, regulatory issues or other problems, our development plans and business would be significantly harmed. We have completed a Phase 1a SAD/MAD trial and a Phase 1b proof-of-mechanism trial of PLN-74809 in IPF. In the second half of 2019, we plan to initiate two Phase 2a trials in idiopathic pulmonary fibrosis, or IPF. We also plan to submit an IND for PLN-74809 for the treatment of primary sclerosing cholangitis, or PSC, in the second half of 2019, and plan to initiate a Phase 2a trial thereafter. We are also developing PLN-1474 for liver fibrosis associated with nonalcoholic steatohepatitis, or NASH, but have not yet advanced this candidate into the clinic. We are currently conducting investigational new drug, or IND-enabling activities for PLN-1474 and plan to submit an IND application by the end of 2019.</w:t>
      </w:r>
    </w:p>
    <w:p>
      <w:pPr>
        <w:spacing w:after="0" w:line="19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experience setbacks that could delay or prevent regulatory approval of, or our ability to commercialize, our product candidates, including:</w:t>
      </w:r>
    </w:p>
    <w:p>
      <w:pPr>
        <w:spacing w:after="0" w:line="154" w:lineRule="exact"/>
        <w:rPr>
          <w:sz w:val="20"/>
          <w:szCs w:val="20"/>
          <w:color w:val="auto"/>
        </w:rPr>
      </w:pPr>
    </w:p>
    <w:p>
      <w:pPr>
        <w:ind w:left="760" w:right="380" w:hanging="212"/>
        <w:spacing w:after="0" w:line="308"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51" w:lineRule="exact"/>
        <w:rPr>
          <w:rFonts w:ascii="Arial" w:cs="Arial" w:eastAsia="Arial" w:hAnsi="Arial"/>
          <w:sz w:val="17"/>
          <w:szCs w:val="17"/>
          <w:color w:val="auto"/>
        </w:rPr>
      </w:pPr>
    </w:p>
    <w:p>
      <w:pPr>
        <w:ind w:left="760" w:right="320" w:hanging="212"/>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similar to our product candidates;</w:t>
      </w:r>
    </w:p>
    <w:p>
      <w:pPr>
        <w:spacing w:after="0" w:line="75" w:lineRule="exact"/>
        <w:rPr>
          <w:rFonts w:ascii="Arial" w:cs="Arial" w:eastAsia="Arial" w:hAnsi="Arial"/>
          <w:sz w:val="18"/>
          <w:szCs w:val="18"/>
          <w:color w:val="auto"/>
        </w:rPr>
      </w:pPr>
    </w:p>
    <w:p>
      <w:pPr>
        <w:ind w:left="760" w:right="480" w:hanging="212"/>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enrolling subjects in clinical trials;</w:t>
      </w:r>
    </w:p>
    <w:p>
      <w:pPr>
        <w:spacing w:after="0" w:line="130" w:lineRule="exact"/>
        <w:rPr>
          <w:rFonts w:ascii="Arial" w:cs="Arial" w:eastAsia="Arial" w:hAnsi="Arial"/>
          <w:sz w:val="18"/>
          <w:szCs w:val="18"/>
          <w:color w:val="auto"/>
        </w:rPr>
      </w:pPr>
    </w:p>
    <w:p>
      <w:pPr>
        <w:ind w:left="760" w:right="480" w:hanging="212"/>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of subjects from clinical trials; inadequate supply or quality of product candidates or other materials necessary for the conduct of our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760" w:right="60" w:hanging="212"/>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760" w:right="500" w:hanging="212"/>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92"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Our approach to drug discovery and development in the area of fibrotic diseases, with an initial focus on tissue-specific integrin modulation and TGF-ß signaling inhibition, is unproven and may not result in marketable products.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approach is designed to discover and develop targeted treatments for fibrosis with an initial focus on the antagonism of tissue-specific TGF-ß signaling through the inhibition of integrins known to mediate the release of activated TGF-ß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only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19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165"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on our behalf. Even in the absence of violations resulting in penalties, regulatory and other authorities may refuse to authorize the conduct or to accept the results of studies for regulatory or ethical reasons.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90" w:lineRule="exact"/>
        <w:rPr>
          <w:sz w:val="20"/>
          <w:szCs w:val="20"/>
          <w:color w:val="auto"/>
        </w:rPr>
      </w:pPr>
    </w:p>
    <w:p>
      <w:pPr>
        <w:ind w:left="760" w:right="40" w:hanging="212"/>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a product candidate uneconomical; and</w:t>
      </w:r>
    </w:p>
    <w:p>
      <w:pPr>
        <w:spacing w:after="0" w:line="153" w:lineRule="exact"/>
        <w:rPr>
          <w:rFonts w:ascii="Arial" w:cs="Arial" w:eastAsia="Arial" w:hAnsi="Arial"/>
          <w:sz w:val="16"/>
          <w:szCs w:val="16"/>
          <w:color w:val="auto"/>
        </w:rPr>
      </w:pPr>
    </w:p>
    <w:p>
      <w:pPr>
        <w:ind w:left="760" w:right="480" w:hanging="212"/>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product candidates from being commercialized.</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may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85"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19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296"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6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89" w:lineRule="exact"/>
        <w:rPr>
          <w:sz w:val="20"/>
          <w:szCs w:val="20"/>
          <w:color w:val="auto"/>
        </w:rPr>
      </w:pPr>
    </w:p>
    <w:p>
      <w:pPr>
        <w:ind w:left="760" w:right="40" w:hanging="212"/>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760" w:right="340" w:hanging="212"/>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89" w:lineRule="exact"/>
        <w:rPr>
          <w:rFonts w:ascii="Arial" w:cs="Arial" w:eastAsia="Arial" w:hAnsi="Arial"/>
          <w:sz w:val="18"/>
          <w:szCs w:val="18"/>
          <w:color w:val="auto"/>
        </w:rPr>
      </w:pPr>
    </w:p>
    <w:p>
      <w:pPr>
        <w:jc w:val="both"/>
        <w:ind w:left="760" w:right="400" w:hanging="212"/>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760" w:right="140" w:hanging="212"/>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75" w:lineRule="exact"/>
        <w:rPr>
          <w:rFonts w:ascii="Arial" w:cs="Arial" w:eastAsia="Arial" w:hAnsi="Arial"/>
          <w:sz w:val="18"/>
          <w:szCs w:val="18"/>
          <w:color w:val="auto"/>
        </w:rPr>
      </w:pPr>
    </w:p>
    <w:p>
      <w:pPr>
        <w:jc w:val="both"/>
        <w:ind w:left="760" w:right="40" w:hanging="212"/>
        <w:spacing w:after="0" w:line="342"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9" w:lineRule="exact"/>
        <w:rPr>
          <w:rFonts w:ascii="Arial" w:cs="Arial" w:eastAsia="Arial" w:hAnsi="Arial"/>
          <w:sz w:val="16"/>
          <w:szCs w:val="16"/>
          <w:color w:val="auto"/>
        </w:rPr>
      </w:pPr>
    </w:p>
    <w:p>
      <w:pPr>
        <w:ind w:left="760" w:right="20" w:hanging="212"/>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700" w:hanging="212"/>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75" w:lineRule="exact"/>
        <w:rPr>
          <w:rFonts w:ascii="Arial" w:cs="Arial" w:eastAsia="Arial" w:hAnsi="Arial"/>
          <w:sz w:val="18"/>
          <w:szCs w:val="18"/>
          <w:color w:val="auto"/>
        </w:rPr>
      </w:pPr>
    </w:p>
    <w:p>
      <w:pPr>
        <w:ind w:left="760" w:right="660" w:hanging="212"/>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to initiate or complete a given clinical trial; and</w:t>
      </w:r>
    </w:p>
    <w:p>
      <w:pPr>
        <w:spacing w:after="0" w:line="75" w:lineRule="exact"/>
        <w:rPr>
          <w:rFonts w:ascii="Arial" w:cs="Arial" w:eastAsia="Arial" w:hAnsi="Arial"/>
          <w:sz w:val="18"/>
          <w:szCs w:val="18"/>
          <w:color w:val="auto"/>
        </w:rPr>
      </w:pPr>
    </w:p>
    <w:p>
      <w:pPr>
        <w:ind w:left="760" w:right="180" w:hanging="212"/>
        <w:spacing w:after="0" w:line="258"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long-term toxicology studies, or impose other requirements before permitting us to initiate a clinical trial.</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product development costs will increase if we experience delays in clinical testing or in obtaining marketing approvals. We do not know whether any of our clinical trials will begin as planned, will need to be restructured or will be completed on schedule, or at all. If we do not achieve our product development goals in the time 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88" w:lineRule="exact"/>
        <w:rPr>
          <w:sz w:val="20"/>
          <w:szCs w:val="20"/>
          <w:color w:val="auto"/>
        </w:rPr>
      </w:pPr>
    </w:p>
    <w:p>
      <w:pPr>
        <w:ind w:left="340" w:right="80"/>
        <w:spacing w:after="0" w:line="375" w:lineRule="auto"/>
        <w:rPr>
          <w:sz w:val="20"/>
          <w:szCs w:val="20"/>
          <w:color w:val="auto"/>
        </w:rPr>
      </w:pPr>
      <w:r>
        <w:rPr>
          <w:rFonts w:ascii="Arial" w:cs="Arial" w:eastAsia="Arial" w:hAnsi="Arial"/>
          <w:sz w:val="15"/>
          <w:szCs w:val="15"/>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completed our Phase 1a clinical trial of our lead product candidate PLN-74809 in healthy volunteers, and, with the exception of a number of reported minor adverse events, the product candidate was observed to be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planned Phase 2a clinical trials, we expect to evaluate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 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293"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89" w:lineRule="exact"/>
        <w:rPr>
          <w:sz w:val="20"/>
          <w:szCs w:val="20"/>
          <w:color w:val="auto"/>
        </w:rPr>
      </w:pPr>
    </w:p>
    <w:p>
      <w:pPr>
        <w:ind w:left="760" w:hanging="21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40" w:hanging="212"/>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such as bronchoscopy and broncho-alveolar lavage, or BAL, procedure, which may lead some patients to drop out of trials to avoid these follow-up procedures.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design or execution of our ongoing and future clinical trials may not support marketing approval.</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The design or execution of a clinical trial can determine whether its results will support marketing approval, and flaws in the design or execution of a clinical trial may not become apparent until the clinical trial is well advanced. For example, we plan to initiate our second Phase 2a randomized, double-blind, placebo-controlled IPF trial in the second half of 2019 evaluating up to three doses of our lead product candidate, PLN-74809, enrolling approximately 40 IPF patients. This trial is planned to be initiated as a 4-week trial in a limited number of patients and will then be amended into a</w:t>
      </w:r>
    </w:p>
    <w:p>
      <w:pPr>
        <w:spacing w:after="0" w:line="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12-week trial once non-clinical data support longer term dosing. However, it is possible that the non-clinical data fail to support such longer dosing, which may prevent our ability to transition into such 12-week trial. Further, it is possible that amending our clinical trial, which would require us to resubmit our clinical trial protocols to IRBs for reexamination, may impact the costs, timing or successful completion of such clinical trial. In addition, we may desire to test PLN-74809 at doses exceeding those evaluated in the Phase 1a trial, and may not be able to do so.</w:t>
      </w:r>
    </w:p>
    <w:p>
      <w:pPr>
        <w:spacing w:after="0" w:line="176"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5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278" w:lineRule="exact"/>
        <w:rPr>
          <w:sz w:val="20"/>
          <w:szCs w:val="20"/>
          <w:color w:val="auto"/>
        </w:rPr>
      </w:pPr>
    </w:p>
    <w:p>
      <w:pPr>
        <w:jc w:val="both"/>
        <w:ind w:left="340" w:right="140"/>
        <w:spacing w:after="0" w:line="286" w:lineRule="auto"/>
        <w:rPr>
          <w:sz w:val="20"/>
          <w:szCs w:val="20"/>
          <w:color w:val="auto"/>
        </w:rPr>
      </w:pPr>
      <w:r>
        <w:rPr>
          <w:rFonts w:ascii="Arial" w:cs="Arial" w:eastAsia="Arial" w:hAnsi="Arial"/>
          <w:sz w:val="17"/>
          <w:szCs w:val="17"/>
          <w:b w:val="1"/>
          <w:bCs w:val="1"/>
          <w:i w:val="1"/>
          <w:iCs w:val="1"/>
          <w:color w:val="auto"/>
        </w:rPr>
        <w:t>Although we have received US orphan drug designation for PLN-74809 for IPF and PSC indications,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Although we have received U.S. orphan drug designation for PLN-74809 for IPF and PSC indications,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8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The applicable period is seven years in the United States.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2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76" w:lineRule="exact"/>
        <w:rPr>
          <w:sz w:val="20"/>
          <w:szCs w:val="20"/>
          <w:color w:val="auto"/>
        </w:rPr>
      </w:pPr>
    </w:p>
    <w:p>
      <w:pPr>
        <w:ind w:left="760" w:hanging="212"/>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w:t>
      </w:r>
    </w:p>
    <w:p>
      <w:pPr>
        <w:spacing w:after="0" w:line="142" w:lineRule="exact"/>
        <w:rPr>
          <w:rFonts w:ascii="Arial" w:cs="Arial" w:eastAsia="Arial" w:hAnsi="Arial"/>
          <w:sz w:val="17"/>
          <w:szCs w:val="17"/>
          <w:color w:val="auto"/>
        </w:rPr>
      </w:pPr>
    </w:p>
    <w:p>
      <w:pPr>
        <w:ind w:left="760" w:right="380" w:hanging="212"/>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292"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170"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7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8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6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bring a product candidate to the market;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injunctions or criminal penalties;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if approved;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decline in our share price.</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We need to obtain additional insurance for clinical trials as our lead product candidate, PLN-74809, continues its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6"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There are a number of large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large companies with significant financial resources such as Biogen, Inc., AbbVie Inc., Gilead Sciences, Inc., Indalo Therapeutics, Inc., FibroGen, Inc., Galapagos NV, Bristol Myers Squibb Co., and Novartis AG. However, we know of no other companies currently in clinical development with an orally bioavailable small-molecule, selective integrin inhibitor. For additional information regarding our competition, see “Business—Competition.”</w:t>
      </w:r>
    </w:p>
    <w:p>
      <w:pPr>
        <w:spacing w:after="0" w:line="19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and may do,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Marketing, Reimbursement, Healthcare Regulations and Ongoing Regulatory Compliance</w:t>
      </w:r>
    </w:p>
    <w:p>
      <w:pPr>
        <w:spacing w:after="0" w:line="121" w:lineRule="exact"/>
        <w:rPr>
          <w:sz w:val="20"/>
          <w:szCs w:val="20"/>
          <w:color w:val="auto"/>
        </w:rPr>
      </w:pPr>
    </w:p>
    <w:p>
      <w:pPr>
        <w:ind w:left="340" w:right="500"/>
        <w:spacing w:after="0" w:line="308" w:lineRule="auto"/>
        <w:rPr>
          <w:sz w:val="20"/>
          <w:szCs w:val="20"/>
          <w:color w:val="auto"/>
        </w:rPr>
      </w:pPr>
      <w:r>
        <w:rPr>
          <w:rFonts w:ascii="Arial" w:cs="Arial" w:eastAsia="Arial" w:hAnsi="Arial"/>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Even if PLN-74809 or any other product candidate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42" w:lineRule="exact"/>
        <w:rPr>
          <w:sz w:val="20"/>
          <w:szCs w:val="20"/>
          <w:color w:val="auto"/>
        </w:rPr>
      </w:pPr>
    </w:p>
    <w:p>
      <w:pPr>
        <w:jc w:val="right"/>
        <w:ind w:left="5540" w:right="5260" w:hanging="4992"/>
        <w:spacing w:after="0" w:line="535" w:lineRule="auto"/>
        <w:tabs>
          <w:tab w:leader="none" w:pos="77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efficacy and potential advantages compared to alternative treatments; 24</w:t>
      </w:r>
    </w:p>
    <w:p>
      <w:pPr>
        <w:sectPr>
          <w:pgSz w:w="11900" w:h="16838" w:orient="portrait"/>
          <w:cols w:equalWidth="0" w:num="1">
            <w:col w:w="11020"/>
          </w:cols>
          <w:pgMar w:left="320" w:top="459"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760" w:right="20" w:hanging="212"/>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278"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6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9" w:lineRule="exact"/>
        <w:rPr>
          <w:sz w:val="20"/>
          <w:szCs w:val="20"/>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products unless coverage is provided and reimbursement is adequate to cover a significant portion of the cost of our products. There is significant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uncertainty related to insurance coverage and reimbursement of newly approved products. It is difficult to predict at this time what third-party payors will decide with respect to the coverage and reimbursement for our product candidates, if approved.</w:t>
      </w:r>
    </w:p>
    <w:p>
      <w:pPr>
        <w:spacing w:after="0" w:line="170"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For example, 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6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Patient Protection and Affordable Care Act, as amended by the Health Care and Education Reconciliation Act of 2010, or collectively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Further, on December 27, 2018, the District Court for the District of Columbia invalidated a recent reimbursement formula change instituted by the Centers for Medicare and Medicaid Services, or CMS, under the 340B program. It is unclear how this decision could affect covered hospitals who might purchase our products in the future, and affect the rates we may charge such facilities for our approved products.</w:t>
      </w:r>
    </w:p>
    <w:p>
      <w:pPr>
        <w:spacing w:after="0" w:line="16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any of our product candidates due to the trend toward managed healthcare, the increasing influence of health maintenance organizations, cost containment initiatives and additional legislative changes.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At the federal level, the Trump administration’s budget for fiscal year 2019 contains further drug price control measures that could be enacted during the 2019 legislative session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Congress and the Trump administration have each indicated that it will continue to seek new legislative and/or administrative measures to control drug costs.</w:t>
      </w:r>
    </w:p>
    <w:p>
      <w:pPr>
        <w:spacing w:after="0" w:line="188"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May 10, 2019, the Centers for Medicare and Medicaid Services announced a new pricing transparency rule, which goes into effect on July 9, 2019. This final rule requires direct-to-consumer television advertisements for prescription drugs and biological products for which reimbursement is available, directly or indirectly, through or under Medicare or Medicaid to include the list price of that product, except for a prescription drug or biological product that has a list price of less than $35 per month for a 30-day supply or typical course of treatment. The pricing transparency rule could have a negative effect on our business.</w:t>
      </w:r>
    </w:p>
    <w:p>
      <w:pPr>
        <w:spacing w:after="0" w:line="296"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80" w:lineRule="exact"/>
        <w:rPr>
          <w:sz w:val="20"/>
          <w:szCs w:val="20"/>
          <w:color w:val="auto"/>
        </w:rPr>
      </w:pPr>
    </w:p>
    <w:p>
      <w:pPr>
        <w:jc w:val="both"/>
        <w:ind w:left="340" w:right="10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304"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74" w:lineRule="exact"/>
        <w:rPr>
          <w:sz w:val="20"/>
          <w:szCs w:val="20"/>
          <w:color w:val="auto"/>
        </w:rPr>
      </w:pPr>
    </w:p>
    <w:p>
      <w:pPr>
        <w:ind w:left="760" w:right="60" w:hanging="212"/>
        <w:spacing w:after="0" w:line="269"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90" w:lineRule="exact"/>
        <w:rPr>
          <w:rFonts w:ascii="Arial" w:cs="Arial" w:eastAsia="Arial" w:hAnsi="Arial"/>
          <w:sz w:val="17"/>
          <w:szCs w:val="17"/>
          <w:color w:val="auto"/>
        </w:rPr>
      </w:pPr>
    </w:p>
    <w:p>
      <w:pPr>
        <w:ind w:left="760" w:right="100" w:hanging="212"/>
        <w:spacing w:after="0" w:line="255"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760" w:right="40"/>
        <w:spacing w:after="0" w:line="263" w:lineRule="auto"/>
        <w:rPr>
          <w:sz w:val="20"/>
          <w:szCs w:val="20"/>
          <w:color w:val="auto"/>
        </w:rPr>
      </w:pPr>
      <w:r>
        <w:rPr>
          <w:rFonts w:ascii="Arial" w:cs="Arial" w:eastAsia="Arial" w:hAnsi="Arial"/>
          <w:sz w:val="18"/>
          <w:szCs w:val="18"/>
          <w:color w:val="auto"/>
        </w:rPr>
        <w:t>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9" w:lineRule="exact"/>
        <w:rPr>
          <w:sz w:val="20"/>
          <w:szCs w:val="20"/>
          <w:color w:val="auto"/>
        </w:rPr>
      </w:pPr>
    </w:p>
    <w:p>
      <w:pPr>
        <w:ind w:left="760" w:right="80" w:hanging="212"/>
        <w:spacing w:after="0" w:line="272"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82" w:lineRule="exact"/>
        <w:rPr>
          <w:rFonts w:ascii="Arial" w:cs="Arial" w:eastAsia="Arial" w:hAnsi="Arial"/>
          <w:sz w:val="17"/>
          <w:szCs w:val="17"/>
          <w:color w:val="auto"/>
        </w:rPr>
      </w:pPr>
    </w:p>
    <w:p>
      <w:pPr>
        <w:ind w:left="760" w:right="100" w:hanging="212"/>
        <w:spacing w:after="0" w:line="271"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on certain covered healthcare providers, health plans, and healthcare clearinghouses, known as covered entities, as well as their respective business associates, independent contractors that perform services for covered entities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3" w:lineRule="exact"/>
        <w:rPr>
          <w:rFonts w:ascii="Arial" w:cs="Arial" w:eastAsia="Arial" w:hAnsi="Arial"/>
          <w:sz w:val="17"/>
          <w:szCs w:val="17"/>
          <w:color w:val="auto"/>
        </w:rPr>
      </w:pPr>
    </w:p>
    <w:p>
      <w:pPr>
        <w:ind w:left="760" w:right="80" w:hanging="212"/>
        <w:spacing w:after="0" w:line="25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93" w:lineRule="exact"/>
        <w:rPr>
          <w:rFonts w:ascii="Arial" w:cs="Arial" w:eastAsia="Arial" w:hAnsi="Arial"/>
          <w:sz w:val="18"/>
          <w:szCs w:val="18"/>
          <w:color w:val="auto"/>
        </w:rPr>
      </w:pPr>
    </w:p>
    <w:p>
      <w:pPr>
        <w:ind w:left="760" w:right="340" w:hanging="212"/>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75" w:lineRule="exact"/>
        <w:rPr>
          <w:rFonts w:ascii="Arial" w:cs="Arial" w:eastAsia="Arial" w:hAnsi="Arial"/>
          <w:sz w:val="18"/>
          <w:szCs w:val="18"/>
          <w:color w:val="auto"/>
        </w:rPr>
      </w:pPr>
    </w:p>
    <w:p>
      <w:pPr>
        <w:ind w:left="760" w:hanging="212"/>
        <w:spacing w:after="0" w:line="270"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4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example, on January 31, 2019, the Department of Health and Human Services, or HHS, and HHS Office of Inspector General, or OIG, proposed an amendment to one of the existing federal Anti-Kickback Statute safe harbors (42 C.F.R. 1001.952(h)) which would prohibit certain biopharmaceutical manufacturers from offering rebates to pharmacy benefit managers, or PBMs, in the Medicare Part D and Medicaid managed care programs. The proposed amendment would remove protection for “discounts” from federal Anti-Kickback Statute enforcement action, and would include criminal and civil penalties for knowingly and willfully offering, paying, soliciting, or receiving remuneration to induce or reward the referral of business reimbursable under federal health care programs. At the same time, HHS also proposed to create a new safe harbor to protect point-of-sale discounts that drug manufacturers provide directly to patients, and adds another safe harbor to protect certain administrative fees paid by manufacturers to PBMs. If this proposal is adopted, in whole or in part, it could affect the pricing and reimbursement for any products for which we receive approval in the future.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9"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280"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760" w:right="160" w:hanging="212"/>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760" w:right="100" w:hanging="212"/>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9" w:lineRule="exact"/>
        <w:rPr>
          <w:sz w:val="20"/>
          <w:szCs w:val="20"/>
          <w:color w:val="auto"/>
        </w:rPr>
      </w:pPr>
    </w:p>
    <w:p>
      <w:pPr>
        <w:jc w:val="right"/>
        <w:ind w:left="340" w:right="340"/>
        <w:spacing w:after="0" w:line="385" w:lineRule="auto"/>
        <w:rPr>
          <w:sz w:val="20"/>
          <w:szCs w:val="20"/>
          <w:color w:val="auto"/>
        </w:rPr>
      </w:pPr>
      <w:r>
        <w:rPr>
          <w:rFonts w:ascii="Arial" w:cs="Arial" w:eastAsia="Arial" w:hAnsi="Arial"/>
          <w:sz w:val="15"/>
          <w:szCs w:val="15"/>
          <w:b w:val="1"/>
          <w:bCs w:val="1"/>
          <w:i w:val="1"/>
          <w:iCs w:val="1"/>
          <w:color w:val="auto"/>
        </w:rPr>
        <w:t xml:space="preserve">Ongoing healthcare legislative and regulatory reform measures may have a material adverse effect on our business and results of operations. </w:t>
      </w:r>
      <w:r>
        <w:rPr>
          <w:rFonts w:ascii="Arial" w:cs="Arial" w:eastAsia="Arial" w:hAnsi="Arial"/>
          <w:sz w:val="15"/>
          <w:szCs w:val="15"/>
          <w:color w:val="auto"/>
        </w:rPr>
        <w:t>Changes in regulations, statutes or the interpretation of existing regulations could impact our business in the future by requiring, for example:</w:t>
      </w:r>
    </w:p>
    <w:p>
      <w:pPr>
        <w:spacing w:after="0" w:line="1"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22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substantially changed the way health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the Trump administration to repeal or replace certain aspects of the ACA. For example, Congress has considered legislation that would repeal or repeal and replace all or part of the ACA. While Congress has not passed repeal legislation, the Tax Reform Act includes a provision that repealed, effective January 1, 2019, the tax-based shared responsibility payment imposed by the ACA on certain individuals who fail to maintain qualifying health coverage for all or part of a year that is commonly referred to as the “individual mandate.” As a result of the individual mandate repeal, subsequent litigation challenged the validity of the ACA.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It is unclear how this decision and any subsequent appeals and other efforts to repeal and replace the ACA will impact the ACA and our business.</w:t>
      </w:r>
    </w:p>
    <w:p>
      <w:pPr>
        <w:spacing w:after="0" w:line="16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January 2017, President Trump has signed two Executive Orders designed to delay the implementation of certain provisions of the ACA or otherwise circumvent some of the requirements for health insurance mandated by the ACA. Further,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Bipartisan bills to appropriate funds for CSR payments were proposed in 2017 and 2018, but the proposals have not been enacted into law. Multiple state Attorneys General filed suit to stop the administration from terminating the subsidies, but their case was dismissed by a federal judge in California on July 18, 2018. Furthermore, on June 14, 2018, the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the potential effect on our business, are not yet known.</w:t>
      </w:r>
    </w:p>
    <w:p>
      <w:pPr>
        <w:spacing w:after="0" w:line="18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Additionally,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The Bipartisan Budget Act of 2018, or BBA, also amended the ACA, effective January 1, 2019, by increasing the point-of-sale discount that is owed by pharmaceutical manufacturers who participate in Medicare Part D and closing the coverage gap in most Medicare drug plans, commonly referred to as the “donut hole”. Moreover,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60"/>
        <w:spacing w:after="0" w:line="311" w:lineRule="auto"/>
        <w:rPr>
          <w:sz w:val="20"/>
          <w:szCs w:val="20"/>
          <w:color w:val="auto"/>
        </w:rPr>
      </w:pPr>
      <w:r>
        <w:rPr>
          <w:rFonts w:ascii="Arial" w:cs="Arial" w:eastAsia="Arial" w:hAnsi="Arial"/>
          <w:sz w:val="16"/>
          <w:szCs w:val="16"/>
          <w:color w:val="auto"/>
        </w:rPr>
        <w:t>Advantage plans to use pre authorization (PA) and step therapy (ST) for six protected classes of drugs, with certain exceptions, permit plans to implement PA and ST in Medicare Part B drugs; and change the definition of “negotiated prices” while a definition of “price concession” in the regulations. Litigation and legislative efforts to change or repeal the ACA are likely to continue, with unpredictable and uncertain results.</w:t>
      </w:r>
    </w:p>
    <w:p>
      <w:pPr>
        <w:spacing w:after="0" w:line="14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BBA,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92" w:lineRule="exact"/>
        <w:rPr>
          <w:sz w:val="20"/>
          <w:szCs w:val="20"/>
          <w:color w:val="auto"/>
        </w:rPr>
      </w:pPr>
    </w:p>
    <w:p>
      <w:pPr>
        <w:jc w:val="both"/>
        <w:ind w:left="340" w:right="18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72"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adequate coverage and reimbursement from third-party payors for our product candidates and may be affected by existing and future health care reform measures.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in most foreign countries, including the European Economic Area, or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282"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Data Privacy Protection Act, which goes into effect in January 2020 and provides broad rights to California consumers with respect to the collection and use of their information by businesses. The new California law further expands the privacy and process enhancements and commitment of resources in support of compliance with California’s regulatory requirements and may lead to similar laws in other U.S. states or at a national level.</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to our operations in the United States, which may be subject to healthcare and other laws relating to the privacy and security of health information and other personal information, may seek to conduct clinical trials in EEA and may become subject to additional European data privacy laws, regulations and guidelines. The General Data Protection Regulation, (EU) 2016/679, or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October of 2019), either with or without a “deal” is uncertain and cannot be predicted at this time.</w:t>
      </w:r>
    </w:p>
    <w:p>
      <w:pPr>
        <w:spacing w:after="0" w:line="178"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In the event we commence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11" w:lineRule="auto"/>
        <w:rPr>
          <w:sz w:val="20"/>
          <w:szCs w:val="20"/>
          <w:color w:val="auto"/>
        </w:rPr>
      </w:pPr>
      <w:r>
        <w:rPr>
          <w:rFonts w:ascii="Arial" w:cs="Arial" w:eastAsia="Arial" w:hAnsi="Arial"/>
          <w:sz w:val="16"/>
          <w:szCs w:val="16"/>
          <w:color w:val="auto"/>
        </w:rPr>
        <w:t>U.S. Foreign Corrupt Practices Act, or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2" w:lineRule="exact"/>
        <w:rPr>
          <w:sz w:val="20"/>
          <w:szCs w:val="20"/>
          <w:color w:val="auto"/>
        </w:rPr>
      </w:pPr>
    </w:p>
    <w:p>
      <w:pPr>
        <w:ind w:left="340" w:right="86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65"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may be precluded from obtaining patent protection for our technology, including our product candidates.</w:t>
      </w:r>
    </w:p>
    <w:p>
      <w:pPr>
        <w:spacing w:after="0" w:line="14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9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760" w:right="34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760" w:right="2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760" w:right="4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760" w:right="14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75" w:lineRule="exact"/>
        <w:rPr>
          <w:rFonts w:ascii="Arial" w:cs="Arial" w:eastAsia="Arial" w:hAnsi="Arial"/>
          <w:sz w:val="18"/>
          <w:szCs w:val="18"/>
          <w:color w:val="auto"/>
        </w:rPr>
      </w:pPr>
    </w:p>
    <w:p>
      <w:pPr>
        <w:ind w:left="760" w:right="20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42" w:lineRule="exact"/>
        <w:rPr>
          <w:rFonts w:ascii="Arial" w:cs="Arial" w:eastAsia="Arial" w:hAnsi="Arial"/>
          <w:sz w:val="17"/>
          <w:szCs w:val="17"/>
          <w:color w:val="auto"/>
        </w:rPr>
      </w:pPr>
    </w:p>
    <w:p>
      <w:pPr>
        <w:ind w:left="760" w:right="140" w:hanging="212"/>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ind w:left="760" w:right="100" w:hanging="212"/>
        <w:spacing w:after="0" w:line="342"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29" w:lineRule="exact"/>
        <w:rPr>
          <w:rFonts w:ascii="Arial" w:cs="Arial" w:eastAsia="Arial" w:hAnsi="Arial"/>
          <w:sz w:val="16"/>
          <w:szCs w:val="16"/>
          <w:color w:val="auto"/>
        </w:rPr>
      </w:pPr>
    </w:p>
    <w:p>
      <w:pPr>
        <w:ind w:left="760" w:right="80" w:hanging="212"/>
        <w:spacing w:after="0" w:line="26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240" w:hanging="212"/>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42" w:lineRule="exact"/>
        <w:rPr>
          <w:rFonts w:ascii="Arial" w:cs="Arial" w:eastAsia="Arial" w:hAnsi="Arial"/>
          <w:sz w:val="17"/>
          <w:szCs w:val="17"/>
          <w:color w:val="auto"/>
        </w:rPr>
      </w:pPr>
    </w:p>
    <w:p>
      <w:pPr>
        <w:ind w:left="760" w:hanging="212"/>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16"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760" w:hanging="21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760" w:right="180" w:hanging="212"/>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6"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17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third-party claims that we infringe its intellectual property rights, we may face a number of issues, including, but not limited to:</w:t>
      </w:r>
    </w:p>
    <w:p>
      <w:pPr>
        <w:spacing w:after="0" w:line="131" w:lineRule="exact"/>
        <w:rPr>
          <w:sz w:val="20"/>
          <w:szCs w:val="20"/>
          <w:color w:val="auto"/>
        </w:rPr>
      </w:pPr>
    </w:p>
    <w:p>
      <w:pPr>
        <w:ind w:left="760" w:right="40" w:hanging="212"/>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75" w:lineRule="exact"/>
        <w:rPr>
          <w:rFonts w:ascii="Arial" w:cs="Arial" w:eastAsia="Arial" w:hAnsi="Arial"/>
          <w:sz w:val="18"/>
          <w:szCs w:val="18"/>
          <w:color w:val="auto"/>
        </w:rPr>
      </w:pPr>
    </w:p>
    <w:p>
      <w:pPr>
        <w:jc w:val="both"/>
        <w:ind w:left="760" w:right="200" w:hanging="212"/>
        <w:spacing w:after="0" w:line="263"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89" w:lineRule="exact"/>
        <w:rPr>
          <w:rFonts w:ascii="Arial" w:cs="Arial" w:eastAsia="Arial" w:hAnsi="Arial"/>
          <w:sz w:val="18"/>
          <w:szCs w:val="18"/>
          <w:color w:val="auto"/>
        </w:rPr>
      </w:pPr>
    </w:p>
    <w:p>
      <w:pPr>
        <w:ind w:left="760" w:right="40" w:hanging="212"/>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75" w:lineRule="exact"/>
        <w:rPr>
          <w:rFonts w:ascii="Arial" w:cs="Arial" w:eastAsia="Arial" w:hAnsi="Arial"/>
          <w:sz w:val="18"/>
          <w:szCs w:val="18"/>
          <w:color w:val="auto"/>
        </w:rPr>
      </w:pPr>
    </w:p>
    <w:p>
      <w:pPr>
        <w:ind w:left="760" w:right="60" w:hanging="212"/>
        <w:spacing w:after="0" w:line="263"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89" w:lineRule="exact"/>
        <w:rPr>
          <w:rFonts w:ascii="Arial" w:cs="Arial" w:eastAsia="Arial" w:hAnsi="Arial"/>
          <w:sz w:val="18"/>
          <w:szCs w:val="18"/>
          <w:color w:val="auto"/>
        </w:rPr>
      </w:pPr>
    </w:p>
    <w:p>
      <w:pPr>
        <w:ind w:left="760" w:right="600" w:hanging="212"/>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69" w:lineRule="exact"/>
        <w:rPr>
          <w:sz w:val="20"/>
          <w:szCs w:val="20"/>
          <w:color w:val="auto"/>
        </w:rPr>
      </w:pPr>
    </w:p>
    <w:p>
      <w:pPr>
        <w:ind w:left="340" w:right="240"/>
        <w:spacing w:after="0" w:line="342" w:lineRule="auto"/>
        <w:rPr>
          <w:sz w:val="20"/>
          <w:szCs w:val="20"/>
          <w:color w:val="auto"/>
        </w:rPr>
      </w:pPr>
      <w:r>
        <w:rPr>
          <w:rFonts w:ascii="Arial" w:cs="Arial" w:eastAsia="Arial" w:hAnsi="Arial"/>
          <w:sz w:val="16"/>
          <w:szCs w:val="16"/>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17"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89"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substantially greater financial resources. Uncertainties resulting from the initiation and continuation of patent litigation or other intellectual property related proceedings could adversely affect our ability to compete in the marketplace.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develop any future product candidates on acceptable terms.</w:t>
      </w:r>
    </w:p>
    <w:p>
      <w:pPr>
        <w:spacing w:after="0" w:line="14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300"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9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6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5" w:lineRule="exact"/>
        <w:rPr>
          <w:sz w:val="20"/>
          <w:szCs w:val="20"/>
          <w:color w:val="auto"/>
        </w:rPr>
      </w:pPr>
    </w:p>
    <w:p>
      <w:pPr>
        <w:jc w:val="both"/>
        <w:ind w:left="340"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7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Likewise, our current licensed patents covering our companion technologies, licensed from UCSF are expected to expire in 2036,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2040, without taking into account any possible patent term adjustments or extensions. However, we cannot be assured that the USPTO or relevant foreign patent offices will grant any of these patent applications.</w:t>
      </w:r>
    </w:p>
    <w:p>
      <w:pPr>
        <w:spacing w:after="0" w:line="274"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first to either (i) file any patent application related to our product candidates or (ii) invent any of the inventions claimed in our or our licensor’s patents or patent applications.</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68"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w:t>
      </w:r>
    </w:p>
    <w:p>
      <w:pPr>
        <w:spacing w:after="0" w:line="2" w:lineRule="exact"/>
        <w:rPr>
          <w:sz w:val="20"/>
          <w:szCs w:val="20"/>
          <w:color w:val="auto"/>
        </w:rPr>
      </w:pPr>
    </w:p>
    <w:p>
      <w:pPr>
        <w:jc w:val="both"/>
        <w:ind w:left="120" w:right="480"/>
        <w:spacing w:after="0" w:line="255" w:lineRule="auto"/>
        <w:rPr>
          <w:sz w:val="20"/>
          <w:szCs w:val="20"/>
          <w:color w:val="auto"/>
        </w:rPr>
      </w:pPr>
      <w:r>
        <w:rPr>
          <w:rFonts w:ascii="Arial" w:cs="Arial" w:eastAsia="Arial" w:hAnsi="Arial"/>
          <w:sz w:val="18"/>
          <w:szCs w:val="18"/>
          <w:color w:val="auto"/>
        </w:rPr>
        <w:t>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24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2" w:lineRule="exact"/>
        <w:rPr>
          <w:sz w:val="20"/>
          <w:szCs w:val="20"/>
          <w:color w:val="auto"/>
        </w:rPr>
      </w:pPr>
    </w:p>
    <w:p>
      <w:pPr>
        <w:ind w:left="340" w:right="60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materially harmed.</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0"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ind w:left="340" w:right="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7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84"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286"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6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 particular, any replacement of our manufacturer could require significant effort and expertise because there may be a limited number of qualified replacements.</w:t>
      </w:r>
    </w:p>
    <w:p>
      <w:pPr>
        <w:spacing w:after="0" w:line="15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83" w:lineRule="exact"/>
        <w:rPr>
          <w:sz w:val="20"/>
          <w:szCs w:val="20"/>
          <w:color w:val="auto"/>
        </w:rPr>
      </w:pPr>
    </w:p>
    <w:p>
      <w:pPr>
        <w:ind w:left="5540" w:right="3900" w:hanging="4992"/>
        <w:spacing w:after="0" w:line="449" w:lineRule="auto"/>
        <w:tabs>
          <w:tab w:leader="none" w:pos="7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 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9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w:t>
      </w:r>
    </w:p>
    <w:p>
      <w:pPr>
        <w:spacing w:after="0" w:line="300"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may enter into collaborations with other companies to provide us with important technologies and funding for our programs and technology.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existing collaborations and any future collaborations we enter into may pose a number of risks, including the following:</w:t>
      </w:r>
    </w:p>
    <w:p>
      <w:pPr>
        <w:spacing w:after="0" w:line="131" w:lineRule="exact"/>
        <w:rPr>
          <w:sz w:val="20"/>
          <w:szCs w:val="20"/>
          <w:color w:val="auto"/>
        </w:rPr>
      </w:pPr>
    </w:p>
    <w:p>
      <w:pPr>
        <w:ind w:left="760" w:hanging="212"/>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760" w:right="120" w:hanging="212"/>
        <w:spacing w:after="0" w:line="259"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760" w:right="600" w:hanging="212"/>
        <w:spacing w:after="0" w:line="308" w:lineRule="auto"/>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760" w:right="340" w:hanging="212"/>
        <w:spacing w:after="0" w:line="263"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20" w:hanging="212"/>
        <w:spacing w:after="0" w:line="308" w:lineRule="auto"/>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1" w:lineRule="exact"/>
        <w:rPr>
          <w:rFonts w:ascii="Arial" w:cs="Arial" w:eastAsia="Arial" w:hAnsi="Arial"/>
          <w:sz w:val="17"/>
          <w:szCs w:val="17"/>
          <w:color w:val="auto"/>
        </w:rPr>
      </w:pPr>
    </w:p>
    <w:p>
      <w:pPr>
        <w:ind w:left="760" w:right="40" w:hanging="212"/>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75" w:lineRule="exact"/>
        <w:rPr>
          <w:rFonts w:ascii="Arial" w:cs="Arial" w:eastAsia="Arial" w:hAnsi="Arial"/>
          <w:sz w:val="18"/>
          <w:szCs w:val="18"/>
          <w:color w:val="auto"/>
        </w:rPr>
      </w:pPr>
    </w:p>
    <w:p>
      <w:pPr>
        <w:ind w:left="760" w:right="80" w:hanging="212"/>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760" w:right="240" w:hanging="212"/>
        <w:spacing w:after="0" w:line="263"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89" w:lineRule="exact"/>
        <w:rPr>
          <w:rFonts w:ascii="Arial" w:cs="Arial" w:eastAsia="Arial" w:hAnsi="Arial"/>
          <w:sz w:val="18"/>
          <w:szCs w:val="18"/>
          <w:color w:val="auto"/>
        </w:rPr>
      </w:pPr>
    </w:p>
    <w:p>
      <w:pPr>
        <w:ind w:left="760" w:right="360" w:hanging="212"/>
        <w:spacing w:after="0" w:line="259"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760" w:right="220" w:hanging="212"/>
        <w:spacing w:after="0" w:line="342"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760" w:hanging="21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760" w:right="900" w:hanging="212"/>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760" w:right="480" w:hanging="212"/>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prospectus also apply to the activities of our therapeutic collaborators.</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Managing Our Business and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of March 31, 2019, we had 48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93" w:lineRule="exact"/>
        <w:rPr>
          <w:sz w:val="20"/>
          <w:szCs w:val="20"/>
          <w:color w:val="auto"/>
        </w:rPr>
      </w:pPr>
    </w:p>
    <w:p>
      <w:pPr>
        <w:ind w:left="760" w:hanging="21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760" w:right="180" w:hanging="212"/>
        <w:spacing w:after="0" w:line="308"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51" w:lineRule="exact"/>
        <w:rPr>
          <w:rFonts w:ascii="Arial" w:cs="Arial" w:eastAsia="Arial" w:hAnsi="Arial"/>
          <w:sz w:val="17"/>
          <w:szCs w:val="17"/>
          <w:color w:val="auto"/>
        </w:rPr>
      </w:pPr>
    </w:p>
    <w:p>
      <w:pPr>
        <w:ind w:left="760" w:hanging="21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7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95"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Chief Executive Officer and President,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restricted stock awards and stock options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300" w:lineRule="exact"/>
        <w:rPr>
          <w:sz w:val="20"/>
          <w:szCs w:val="20"/>
          <w:color w:val="auto"/>
        </w:rPr>
      </w:pPr>
    </w:p>
    <w:p>
      <w:pPr>
        <w:ind w:left="340" w:right="6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service providers, partners or consultants, may fail or suffer security breaches.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service providers, partners and consultants may be vulnerable to damage or interruption from system malfunction or failure, service interruptions, cyberattacks (including but not limited to tradition “hacking”, computer viruses, malware, ransomware, denial-of-service attacks, phishing scams and other social engineering attacks), security breaches, computer theft and other types of incidents, which could include inadvertent or intentional actions by our employees, contractors, consultants, business partners and/or other third parties. While we have not experienced any material system failures or material security breaches to date. We cannot guarantee that such failures or breaches will not occur. If such actual or perceived events were to occur and cause interruptions in our operations, they could result in a material disruption of our development programs and our business operations. For example, the loss of preclinical or clinical data could result in delays in our regulatory approval efforts and significantly increase our costs to recover or reproduce the data. Likewise, we may rely on third parties for the manufacture of our product candidates and to conduct clinical trials, and similar events relating to their computer systems could also have a material adverse effect on our business. To the extent that any actual or perceived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420"/>
        <w:spacing w:after="0" w:line="263" w:lineRule="auto"/>
        <w:rPr>
          <w:sz w:val="20"/>
          <w:szCs w:val="20"/>
          <w:color w:val="auto"/>
        </w:rPr>
      </w:pPr>
      <w:r>
        <w:rPr>
          <w:rFonts w:ascii="Arial" w:cs="Arial" w:eastAsia="Arial" w:hAnsi="Arial"/>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7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300" w:lineRule="exact"/>
        <w:rPr>
          <w:sz w:val="20"/>
          <w:szCs w:val="20"/>
          <w:color w:val="auto"/>
        </w:rPr>
      </w:pPr>
    </w:p>
    <w:p>
      <w:pPr>
        <w:ind w:left="340" w:right="50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1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In connection with this offering, we will adopt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73"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265"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from 34.0% to a flat rate of 21.0%, limitation of the tax deduction for interest expense to 30.0% of adjusted earnings (except for certain small businesses), limitation of the deduction for net operating losses to 80.0% of annual taxable income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We urge investors to consult with their legal and tax advisers regarding the implications of the TCJA on an investment in our common stock.</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December 31, 2018, we had net operating loss carryforwards for federal and state income tax purposes of $29.9 million and $59.6 million, respectively, which will begin to expire in 2035. As of December 31, 2018, we also had available tax credit carryforwards for federal income tax purposes of $2.3 million, which begin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expire in 2036, and state income tax purposes of $2.1 million.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Private placements and other transactions that have occurred since our inception, as well as this offering, may trigger such an ownership change pursuant to Section 382. Any such limitation, whether as the result of this offering, prior private placements, sales of our common stock by our existing stockholders or additional sales of our common stock by us, could have a material adverse effect on our results of operations in future years.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21" w:lineRule="exact"/>
        <w:rPr>
          <w:sz w:val="20"/>
          <w:szCs w:val="20"/>
          <w:color w:val="auto"/>
        </w:rPr>
      </w:pPr>
    </w:p>
    <w:p>
      <w:pPr>
        <w:ind w:left="340" w:right="180"/>
        <w:spacing w:after="0" w:line="308" w:lineRule="auto"/>
        <w:rPr>
          <w:sz w:val="20"/>
          <w:szCs w:val="20"/>
          <w:color w:val="auto"/>
        </w:rPr>
      </w:pPr>
      <w:r>
        <w:rPr>
          <w:rFonts w:ascii="Arial" w:cs="Arial" w:eastAsia="Arial" w:hAnsi="Arial"/>
          <w:sz w:val="17"/>
          <w:szCs w:val="17"/>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38"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Prior to this offering there has been no public market for shares of our common stock. You may not be able to sell your shares quickly or at the market price if trading in shares of our common stock is not active. The initial public offering price for our common stock will be determined through negotiations with the underwriters, and the negotiated price may not be indicative of the market price of the common stock after the offering. An active or liquid market in our common stock may not develop upon the completion of this offering or, if it does develop, it may not be sustainable. As a result of these and other factors, you may be unable to resell your shares of our common stock at or above the initial public offering price.</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89" w:lineRule="exact"/>
        <w:rPr>
          <w:sz w:val="20"/>
          <w:szCs w:val="20"/>
          <w:color w:val="auto"/>
        </w:rPr>
      </w:pPr>
    </w:p>
    <w:p>
      <w:pPr>
        <w:ind w:left="760" w:hanging="212"/>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enrollment or results of our planned Phase 2a clinical trials of PLN-74809;</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development programs;</w:t>
      </w:r>
    </w:p>
    <w:p>
      <w:pPr>
        <w:spacing w:after="0" w:line="130" w:lineRule="exact"/>
        <w:rPr>
          <w:rFonts w:ascii="Arial" w:cs="Arial" w:eastAsia="Arial" w:hAnsi="Arial"/>
          <w:sz w:val="18"/>
          <w:szCs w:val="18"/>
          <w:color w:val="auto"/>
        </w:rPr>
      </w:pPr>
    </w:p>
    <w:p>
      <w:pPr>
        <w:ind w:left="760" w:right="220" w:hanging="212"/>
        <w:spacing w:after="0" w:line="263"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results or delays in future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PLN-74809 or any other product candidate;</w:t>
      </w:r>
    </w:p>
    <w:p>
      <w:pPr>
        <w:spacing w:after="0" w:line="130" w:lineRule="exact"/>
        <w:rPr>
          <w:rFonts w:ascii="Arial" w:cs="Arial" w:eastAsia="Arial" w:hAnsi="Arial"/>
          <w:sz w:val="18"/>
          <w:szCs w:val="18"/>
          <w:color w:val="auto"/>
        </w:rPr>
      </w:pPr>
    </w:p>
    <w:p>
      <w:pPr>
        <w:ind w:left="760" w:right="120" w:hanging="212"/>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or regulations applicable to PLN-74809 or any other product candidate, including but not limited to clinical trial requirements for approvals;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PLN-74809 or any other product candidate;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30" w:lineRule="exact"/>
        <w:rPr>
          <w:rFonts w:ascii="Arial" w:cs="Arial" w:eastAsia="Arial" w:hAnsi="Arial"/>
          <w:sz w:val="18"/>
          <w:szCs w:val="18"/>
          <w:color w:val="auto"/>
        </w:rPr>
      </w:pPr>
    </w:p>
    <w:p>
      <w:pPr>
        <w:ind w:left="760" w:right="540" w:hanging="212"/>
        <w:spacing w:after="0" w:line="277"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30" w:lineRule="exact"/>
        <w:rPr>
          <w:rFonts w:ascii="Arial" w:cs="Arial" w:eastAsia="Arial" w:hAnsi="Arial"/>
          <w:sz w:val="18"/>
          <w:szCs w:val="18"/>
          <w:color w:val="auto"/>
        </w:rPr>
      </w:pPr>
    </w:p>
    <w:p>
      <w:pPr>
        <w:ind w:left="760" w:hanging="212"/>
        <w:spacing w:after="0" w:line="277"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320" w:top="459" w:right="5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295"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Immediately following the completion of this offering, our executive officers, directors and their affiliates will beneficially hold, in the aggregate, approximately %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The initial public offering price will be substantially higher than the pro forma as adjusted net tangible book value per share of our common stock after this offering. Investors purchasing common stock in this offering will pay a price per share that substantially exceeds the pro forma as adjusted net tangible book value per share after this offering. As a result, investors purchasing common stock in this offering will incur immediate dilution of $</w:t>
      </w:r>
    </w:p>
    <w:p>
      <w:pPr>
        <w:spacing w:after="0" w:line="2" w:lineRule="exact"/>
        <w:rPr>
          <w:sz w:val="20"/>
          <w:szCs w:val="20"/>
          <w:color w:val="auto"/>
        </w:rPr>
      </w:pPr>
    </w:p>
    <w:p>
      <w:pPr>
        <w:ind w:left="120" w:right="40"/>
        <w:spacing w:after="0" w:line="295" w:lineRule="auto"/>
        <w:rPr>
          <w:sz w:val="20"/>
          <w:szCs w:val="20"/>
          <w:color w:val="auto"/>
        </w:rPr>
      </w:pPr>
      <w:r>
        <w:rPr>
          <w:rFonts w:ascii="Arial" w:cs="Arial" w:eastAsia="Arial" w:hAnsi="Arial"/>
          <w:sz w:val="16"/>
          <w:szCs w:val="16"/>
          <w:color w:val="auto"/>
        </w:rPr>
        <w:t>per share, based on an assumed initial public offering price of $ per share, the midpoint of the price range set forth on the cover page of this prospectus, representing the difference between our pro forma as adjusted net tangible book value per share after giving effect to this offering and the assumed initial public offering price. Further, investors purchasing common stock in this offering will contribute approximately % of the total amount invested by stockholders since our inception, but will own only approximately % of the shares of common stock outstanding after this offering.</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when they purchased their shares than the price offered to the public in this offering. To the extent outstanding options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entitled “Dilution.”</w:t>
      </w:r>
    </w:p>
    <w:p>
      <w:pPr>
        <w:spacing w:after="0" w:line="296"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an emerging growth company, or EGC, as defined in the Jumpstart Our Business Startups Act, or the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EGC for up to five years following the year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which we complete this offering, although circumstances could cause us to lose that status earlier. We will remain an EGC until the earlier of (i) the last day of the fiscal year (a) following the fifth anniversary of the completion of this offering, (b) in which we have total annual gross revenue of at least $1.07 billion or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w:t>
      </w:r>
    </w:p>
    <w:p>
      <w:pPr>
        <w:spacing w:after="0" w:line="188"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Under the JOBS Act, EGCs can also delay adopting new or revised accounting standards until such time as those standards apply to private companies, which may make our financial statements less comparable to companies that comply with new or revised accounting pronouncements as of public company effective dates.</w:t>
      </w:r>
    </w:p>
    <w:p>
      <w:pPr>
        <w:spacing w:after="0" w:line="292"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We will be subject to the reporting requirements of the Securities Exchange Act of 1934, as amended,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EGCs to implement many of these requirements over a longer period and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340" w:right="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spacing w:after="0" w:line="2" w:lineRule="exact"/>
        <w:rPr>
          <w:sz w:val="20"/>
          <w:szCs w:val="20"/>
          <w:color w:val="auto"/>
        </w:rPr>
      </w:pPr>
    </w:p>
    <w:p>
      <w:pPr>
        <w:ind w:left="120" w:right="560"/>
        <w:spacing w:after="0" w:line="255" w:lineRule="auto"/>
        <w:rPr>
          <w:sz w:val="20"/>
          <w:szCs w:val="20"/>
          <w:color w:val="auto"/>
        </w:rPr>
      </w:pPr>
      <w:r>
        <w:rPr>
          <w:rFonts w:ascii="Arial" w:cs="Arial" w:eastAsia="Arial" w:hAnsi="Arial"/>
          <w:sz w:val="18"/>
          <w:szCs w:val="18"/>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3"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when lock-up or market standoff periods end. If there are substantial sales of shares of our common stock, the price of our common stock could decline.</w:t>
      </w:r>
    </w:p>
    <w:p>
      <w:pPr>
        <w:spacing w:after="0" w:line="62"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of</w:t>
      </w:r>
    </w:p>
    <w:p>
      <w:pPr>
        <w:ind w:left="120" w:right="40"/>
        <w:spacing w:after="0" w:line="277" w:lineRule="auto"/>
        <w:rPr>
          <w:sz w:val="20"/>
          <w:szCs w:val="20"/>
          <w:color w:val="auto"/>
        </w:rPr>
      </w:pPr>
      <w:r>
        <w:rPr>
          <w:rFonts w:ascii="Arial" w:cs="Arial" w:eastAsia="Arial" w:hAnsi="Arial"/>
          <w:sz w:val="17"/>
          <w:szCs w:val="17"/>
          <w:color w:val="auto"/>
        </w:rPr>
        <w:t>common stock outstanding as of March 31, 2019, upon the completion of this offering we will have outstanding a total of shares of common stock. Of these shares, only the shares of common stock sold in this offering by us, plus any shares sold upon exercise of the underwriters’ option to purchase additional shares, will be freely tradable without restriction in the public market immediately following this offering.</w:t>
      </w:r>
    </w:p>
    <w:p>
      <w:pPr>
        <w:spacing w:after="0" w:line="173"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lock-up agreements pertaining to this offering will expire 180 days from the date of this prospectus, subject to earlier release of all or a portion of the shares subject to such agreements by the representatives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underwriters in this offering in their sole discretion. After the lock-up agreements expire, based upon the number of shares of common stock, on an</w:t>
      </w:r>
    </w:p>
    <w:p>
      <w:pPr>
        <w:spacing w:after="0" w:line="3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as-converted basis, outstanding as of December 31, 2018, up to an additional shares of common stock will be eligible for sale in the public market. Approximately % of these additional shares are beneficially held by directors, executive officers and their affiliates and will be subject to certain limitations of Rule 144 under the Securities Act of 1933, as amended, or the Securities Act.</w:t>
      </w:r>
    </w:p>
    <w:p>
      <w:pPr>
        <w:spacing w:after="0" w:line="19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shares of common stock that are either subject to outstanding options or reserved for future issuance under our existing equity compensation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 Additionally, the number of shares of our common stock reserved for issuance under 2019 Stock Option and Incentive Plan will automatically increase on January 1 of each year, beginning on January 1, 2020, by %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2019 Employee Stock Purchase Plan will automatically increase on January 1 of each year, beginning on January 1, 2020, by %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18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After this offering, the holders of shares of our common stock will be entitled to rights with respect to the registration of their shares under the Securities Act as provided under the terms of an investors’ rights agreement between us and the holders of our convertible preferred stock, subject to the 180-day lock-up agreements described above. See “Description of Capital Stock — 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300"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existing cash and cash equivalents and the net proceeds from this offering and may not use them effectively.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management will have broad discretion in the application of our existing cash and cash equivalents and the net proceeds from this offering, other than the payment required to be made to UCSF pursuant to our license agreement with them upon the closing of this offering, including for any of the purposes described in the section entitled “Use of Proceeds,” and you will not have the opportunity as part of your investment decision to assess whether such proceeds are being used appropriately. Because of the number and variability of factors that will determine our use of our existing cash and cash equivalents and the net proceeds from this offering, their ultimate use may vary substantially from their currently intended use. Our management might not apply our existing cash and cash equivalents and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93"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which are to become effective upon the completion of this offering, contain provisions that could delay or prevent a change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control of our company or changes in our board of directors that our stockholders might consider favorable. Some of these provisions include:</w:t>
      </w:r>
    </w:p>
    <w:p>
      <w:pPr>
        <w:spacing w:after="0" w:line="142" w:lineRule="exact"/>
        <w:rPr>
          <w:sz w:val="20"/>
          <w:szCs w:val="20"/>
          <w:color w:val="auto"/>
        </w:rPr>
      </w:pPr>
    </w:p>
    <w:p>
      <w:pPr>
        <w:ind w:left="760" w:right="140" w:hanging="212"/>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75" w:lineRule="exact"/>
        <w:rPr>
          <w:rFonts w:ascii="Arial" w:cs="Arial" w:eastAsia="Arial" w:hAnsi="Arial"/>
          <w:sz w:val="18"/>
          <w:szCs w:val="18"/>
          <w:color w:val="auto"/>
        </w:rPr>
      </w:pPr>
    </w:p>
    <w:p>
      <w:pPr>
        <w:ind w:left="760" w:right="900" w:hanging="212"/>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75" w:lineRule="exact"/>
        <w:rPr>
          <w:rFonts w:ascii="Arial" w:cs="Arial" w:eastAsia="Arial" w:hAnsi="Arial"/>
          <w:sz w:val="18"/>
          <w:szCs w:val="18"/>
          <w:color w:val="auto"/>
        </w:rPr>
      </w:pPr>
    </w:p>
    <w:p>
      <w:pPr>
        <w:ind w:left="760" w:right="180" w:hanging="212"/>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lead director of the board of directors, the chief executive officer, or by a majority of the total number of authorized directors;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30" w:lineRule="exact"/>
        <w:rPr>
          <w:rFonts w:ascii="Arial" w:cs="Arial" w:eastAsia="Arial" w:hAnsi="Arial"/>
          <w:sz w:val="18"/>
          <w:szCs w:val="18"/>
          <w:color w:val="auto"/>
        </w:rPr>
      </w:pPr>
    </w:p>
    <w:p>
      <w:pPr>
        <w:ind w:left="760" w:right="160" w:hanging="212"/>
        <w:spacing w:after="0" w:line="263"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89" w:lineRule="exact"/>
        <w:rPr>
          <w:rFonts w:ascii="Arial" w:cs="Arial" w:eastAsia="Arial" w:hAnsi="Arial"/>
          <w:sz w:val="18"/>
          <w:szCs w:val="18"/>
          <w:color w:val="auto"/>
        </w:rPr>
      </w:pPr>
    </w:p>
    <w:p>
      <w:pPr>
        <w:ind w:left="760" w:hanging="212"/>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75" w:lineRule="exact"/>
        <w:rPr>
          <w:rFonts w:ascii="Arial" w:cs="Arial" w:eastAsia="Arial" w:hAnsi="Arial"/>
          <w:sz w:val="18"/>
          <w:szCs w:val="18"/>
          <w:color w:val="auto"/>
        </w:rPr>
      </w:pPr>
    </w:p>
    <w:p>
      <w:pPr>
        <w:ind w:left="760" w:right="260" w:hanging="212"/>
        <w:spacing w:after="0" w:line="308"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300"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86" w:lineRule="exact"/>
        <w:rPr>
          <w:sz w:val="20"/>
          <w:szCs w:val="20"/>
          <w:color w:val="auto"/>
        </w:rPr>
      </w:pPr>
    </w:p>
    <w:p>
      <w:pPr>
        <w:ind w:left="340" w:right="26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will designate the Court of Chancery of the State of Delaware as the exclusive forum for certain state law litigation that may be initiated by our stockholders, which could limit our stockholders’ ability to litigate disputes with us in a different judicial forum.</w:t>
      </w:r>
    </w:p>
    <w:p>
      <w:pPr>
        <w:spacing w:after="0" w:line="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Pursuant to our amended and restated by-laws, as will be in effect upon the completion of this offering, unless we consent in writing to the selection of an alternative forum, the Court of Chancery of the State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General Corporation Law of the State of Delaware, our amended and restated certificate of incorporation or our amended and restated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This exclusive forum provision will not apply to any causes of action arising under the Securities Act or the Exchange Act or any other claim for which the federal courts have exclusive jurisdiction. The forum selection clause in our amended and restated by-laws may limit our stockholders’ ability to litigate disputes with us in a different judicial forum.</w:t>
      </w:r>
    </w:p>
    <w:p>
      <w:pPr>
        <w:spacing w:after="0" w:line="289"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including the sections entitled “Prospectus Summary,” “Risk Factors,” “Management’s Discussion and Analysis of Financial Condition and Results of Operations” and “Business,” contains forward-looking statements, within the meaning of the Private Securities Litigation Reform Act of 1995, concerning our business, operations and financial performance and condition, as well as our plans, objectives and expectations for our business operations and financial performance and condition that are based on our management’s belief and assumptions and on information currently available to our management. 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include, but are not limited to, statements about:</w:t>
      </w:r>
    </w:p>
    <w:p>
      <w:pPr>
        <w:spacing w:after="0" w:line="72" w:lineRule="exact"/>
        <w:rPr>
          <w:sz w:val="20"/>
          <w:szCs w:val="20"/>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760" w:right="100" w:hanging="212"/>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of our lead product candidate, PLN-74809, and our other product candidates;</w:t>
      </w:r>
    </w:p>
    <w:p>
      <w:pPr>
        <w:spacing w:after="0" w:line="75" w:lineRule="exact"/>
        <w:rPr>
          <w:rFonts w:ascii="Arial" w:cs="Arial" w:eastAsia="Arial" w:hAnsi="Arial"/>
          <w:sz w:val="18"/>
          <w:szCs w:val="18"/>
          <w:color w:val="auto"/>
        </w:rPr>
      </w:pPr>
    </w:p>
    <w:p>
      <w:pPr>
        <w:ind w:left="760" w:right="40" w:hanging="212"/>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cost and timing of completing IND-enabling studies of PLN-74809 in uses for PSC, and the timing of our planned Investigational New Drug Application, or IND, submissions for PLN-74809 in uses for PSC;</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to initiate, recruit and enroll patients in, and conduct our clinical trials at the pace that we project;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and strategy to obtain and maintain regulatory approvals of our product candidates;</w:t>
      </w:r>
    </w:p>
    <w:p>
      <w:pPr>
        <w:spacing w:after="0" w:line="130" w:lineRule="exact"/>
        <w:rPr>
          <w:rFonts w:ascii="Arial" w:cs="Arial" w:eastAsia="Arial" w:hAnsi="Arial"/>
          <w:sz w:val="18"/>
          <w:szCs w:val="18"/>
          <w:color w:val="auto"/>
        </w:rPr>
      </w:pPr>
    </w:p>
    <w:p>
      <w:pPr>
        <w:ind w:left="760" w:right="20" w:hanging="212"/>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and strategy to obtain funding for our operations, including funding necessary to complete further development and, upon successful development, if approved, commercialize any of our product candidates;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benefit of orphan drug designations for PLN-74809;</w:t>
      </w:r>
    </w:p>
    <w:p>
      <w:pPr>
        <w:spacing w:after="0" w:line="130" w:lineRule="exact"/>
        <w:rPr>
          <w:rFonts w:ascii="Arial" w:cs="Arial" w:eastAsia="Arial" w:hAnsi="Arial"/>
          <w:sz w:val="18"/>
          <w:szCs w:val="18"/>
          <w:color w:val="auto"/>
        </w:rPr>
      </w:pPr>
    </w:p>
    <w:p>
      <w:pPr>
        <w:ind w:left="760" w:right="200" w:hanging="212"/>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cost and timing of completing IND-enabling studies of our second product candidate, PLN-1474, and the timing of our planned IND submissions for PLN-1474;</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compete with companies currently marketing or engaged in the development of treatments for fibrosis;</w:t>
      </w:r>
    </w:p>
    <w:p>
      <w:pPr>
        <w:spacing w:after="0" w:line="130" w:lineRule="exact"/>
        <w:rPr>
          <w:rFonts w:ascii="Arial" w:cs="Arial" w:eastAsia="Arial" w:hAnsi="Arial"/>
          <w:sz w:val="18"/>
          <w:szCs w:val="18"/>
          <w:color w:val="auto"/>
        </w:rPr>
      </w:pPr>
    </w:p>
    <w:p>
      <w:pPr>
        <w:ind w:left="760" w:right="20" w:hanging="212"/>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and strategy regarding obtaining and maintaining intellectual property protection for our product candidates and the duration of such protection;</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and strategy regarding the manufacture of our product candidates for clinical trials and for commercial use, if approved;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and strategy regarding the commercialization of any products that are approved for marketing;</w:t>
      </w:r>
    </w:p>
    <w:p>
      <w:pPr>
        <w:spacing w:after="0" w:line="130" w:lineRule="exact"/>
        <w:rPr>
          <w:rFonts w:ascii="Arial" w:cs="Arial" w:eastAsia="Arial" w:hAnsi="Arial"/>
          <w:sz w:val="18"/>
          <w:szCs w:val="18"/>
          <w:color w:val="auto"/>
        </w:rPr>
      </w:pPr>
    </w:p>
    <w:p>
      <w:pPr>
        <w:ind w:left="760" w:right="140" w:hanging="212"/>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either alone or in combination with others;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expected use of the proceeds from this offering.</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32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in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85"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 of this prospectus.</w:t>
      </w:r>
    </w:p>
    <w:p>
      <w:pPr>
        <w:spacing w:after="0" w:line="15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the section entitled “Risk Factors.” These and other factors could cause results to differ materially from those expressed in the estimates made by the independent parties or by 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320" w:top="459" w:right="5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estimate that the net proceeds from our issuance and sale of shares of our common stock in this offering will be approximately $ million, or approximately $ million if the underwriters exercise in full their option to purchase additional shares, assuming an initial public offering price of $ per share, the midpoint of the price range set forth on the cover page of this prospectus, and after deducting underwriting discounts and commissions and estimated offering expenses payable by us.</w:t>
      </w:r>
    </w:p>
    <w:p>
      <w:pPr>
        <w:spacing w:after="0" w:line="18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the midpoint of the price range set forth on the cover page of this prospectus, would increase or decrease, as applicable, the net proceeds to us from this offering by approximately $ million,</w:t>
      </w:r>
    </w:p>
    <w:p>
      <w:pPr>
        <w:ind w:left="120"/>
        <w:spacing w:after="0" w:line="300" w:lineRule="auto"/>
        <w:rPr>
          <w:sz w:val="20"/>
          <w:szCs w:val="20"/>
          <w:color w:val="auto"/>
        </w:rPr>
      </w:pPr>
      <w:r>
        <w:rPr>
          <w:rFonts w:ascii="Arial" w:cs="Arial" w:eastAsia="Arial" w:hAnsi="Arial"/>
          <w:sz w:val="15"/>
          <w:szCs w:val="15"/>
          <w:color w:val="auto"/>
        </w:rPr>
        <w:t>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shares in the number of shares we are offering would increase or decrease, as applicable, the net proceeds to us from</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this offering by approximately $ million, assuming the assumed initial public offering price to the public remains the same, and after deducting underwriting discounts and commissions and estimated offering expenses payable by us. We do not expect that a change in the initial price to the public or the number of shares by these amounts would have a material effect on the uses of the proceeds from this offering, although it may accelerate the time at which we will need to seek additional capital.</w:t>
      </w:r>
    </w:p>
    <w:p>
      <w:pPr>
        <w:spacing w:after="0" w:line="193" w:lineRule="exact"/>
        <w:rPr>
          <w:sz w:val="20"/>
          <w:szCs w:val="20"/>
          <w:color w:val="auto"/>
        </w:rPr>
      </w:pPr>
    </w:p>
    <w:p>
      <w:pPr>
        <w:ind w:left="120" w:right="420" w:firstLine="440"/>
        <w:spacing w:after="0" w:line="258" w:lineRule="auto"/>
        <w:rPr>
          <w:sz w:val="20"/>
          <w:szCs w:val="20"/>
          <w:color w:val="auto"/>
        </w:rPr>
      </w:pPr>
      <w:r>
        <w:rPr>
          <w:rFonts w:ascii="Arial" w:cs="Arial" w:eastAsia="Arial" w:hAnsi="Arial"/>
          <w:sz w:val="18"/>
          <w:szCs w:val="18"/>
          <w:color w:val="auto"/>
        </w:rPr>
        <w:t>The principal purposes of this offering are to increase our financial flexibility, create a public market for our common stock and facilitate our future access to capital markets.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expect to use the net proceeds from this offering as follows:</w:t>
      </w:r>
    </w:p>
    <w:p>
      <w:pPr>
        <w:spacing w:after="0" w:line="116" w:lineRule="exact"/>
        <w:rPr>
          <w:sz w:val="20"/>
          <w:szCs w:val="20"/>
          <w:color w:val="auto"/>
        </w:rPr>
      </w:pPr>
    </w:p>
    <w:p>
      <w:pPr>
        <w:ind w:left="760" w:right="20" w:hanging="212"/>
        <w:spacing w:after="0" w:line="27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 million to fund the clinical development of our lead product candidate, PLN-74809, including for conducting our planned Phase 2a clinical trials in IPF and PSC;</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the preclinical and clinical development of our second product candidate, PLN-1474; and</w:t>
      </w:r>
    </w:p>
    <w:p>
      <w:pPr>
        <w:spacing w:after="0" w:line="130" w:lineRule="exact"/>
        <w:rPr>
          <w:rFonts w:ascii="Arial" w:cs="Arial" w:eastAsia="Arial" w:hAnsi="Arial"/>
          <w:sz w:val="18"/>
          <w:szCs w:val="18"/>
          <w:color w:val="auto"/>
        </w:rPr>
      </w:pPr>
    </w:p>
    <w:p>
      <w:pPr>
        <w:ind w:left="760" w:right="100" w:hanging="212"/>
        <w:spacing w:after="0" w:line="27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remainder, if any, for business development activities, working capital and other general corporate purposes, including early stage research and development activities.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under our license agreement with UCSF, we are required to pay a sum of $ million, based on the assumed sale of shares of common stock in this offering and an assumed offering price of $ per share, which is the midpoint of the price range set forth on the cover of this prospectus. We plan to make this payment shortly following the completion of this offering from our existing cash resources.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our current plans, we believe our existing cash and cash equivalents, together with the net proceeds from this offering, will be sufficient</w:t>
      </w:r>
    </w:p>
    <w:p>
      <w:pPr>
        <w:spacing w:after="0" w:line="46"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to fund our operating expenses and capital expenditure requirements through , including with respect to PLN-74809, through and with respect to PLN-1474 through .</w:t>
      </w:r>
    </w:p>
    <w:p>
      <w:pPr>
        <w:spacing w:after="0" w:line="18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may also use a portion of the net proceeds to in-license, acquire or invest in new businesses, technology or assets. Although we have no current agreements, commitments or understandings with respect to any such in-license or acquisition, we evaluate such opportunities and engage in related discussions with third parties from time to time.</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expected use of net proceeds from this offering represents our intentions based upon our present plans and business conditions. We cannot specify with certainty all of the particular uses for the net proceeds to be received upon the closing of this offering. Due to uncertainties inherent in the product development process, it is difficult to estimate the exact amounts of the net proceeds that will be used for any particular purpose. We may use our existing cash and cash equivalents and the future payments, if any, generated from any future collaboration agreements to fund our operations, either of which may alter the amount of net proceeds used for a particular purpose. In addition, the amount, allocation and timing of our actual expenditures will depend upon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numerous factors, including the results of our research and development efforts, the timing and success of clinical trials and the timing of regulatory submissions. Accordingly, we will have broad discretion in using these proceeds.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Pending the uses described above, we plan to invest the net proceeds of this offering in short- and immediate- term, interest-bearing obligations, investment-grade instruments, certificates of deposit or direct or guaranteed obligations of the U.S. government.</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20"/>
          </w:cols>
          <w:pgMar w:left="320" w:top="459" w:right="6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2019:</w:t>
      </w:r>
    </w:p>
    <w:p>
      <w:pPr>
        <w:spacing w:after="0" w:line="131" w:lineRule="exact"/>
        <w:rPr>
          <w:sz w:val="20"/>
          <w:szCs w:val="20"/>
          <w:color w:val="auto"/>
        </w:rPr>
      </w:pPr>
    </w:p>
    <w:p>
      <w:pPr>
        <w:ind w:left="760" w:hanging="21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760" w:right="140" w:hanging="212"/>
        <w:spacing w:after="0" w:line="259"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redeemable convertible preferred stock as of March 31, 2019 into an aggregate of 105,501,221 shares of our common stock as if such conversion had occurred on March 31, 2019, and (ii) the filing and effectiveness of our amended and restated certificate of incorporation immediately prior to the completion of this offering; and</w:t>
      </w:r>
    </w:p>
    <w:p>
      <w:pPr>
        <w:spacing w:after="0" w:line="92" w:lineRule="exact"/>
        <w:rPr>
          <w:sz w:val="20"/>
          <w:szCs w:val="20"/>
          <w:color w:val="auto"/>
        </w:rPr>
      </w:pPr>
    </w:p>
    <w:p>
      <w:pPr>
        <w:ind w:left="760" w:right="100" w:hanging="219"/>
        <w:spacing w:after="0" w:line="274" w:lineRule="auto"/>
        <w:tabs>
          <w:tab w:leader="none" w:pos="740" w:val="left"/>
        </w:tabs>
        <w:rPr>
          <w:sz w:val="20"/>
          <w:szCs w:val="20"/>
          <w:color w:val="auto"/>
        </w:rPr>
      </w:pPr>
      <w:r>
        <w:rPr>
          <w:rFonts w:ascii="Arial" w:cs="Arial" w:eastAsia="Arial" w:hAnsi="Arial"/>
          <w:sz w:val="17"/>
          <w:szCs w:val="17"/>
          <w:color w:val="auto"/>
        </w:rPr>
        <w:t>•</w:t>
        <w:tab/>
        <w:t>on a pro forma as adjusted basis to give effect to (i) the pro forma adjustments described above, and (ii) the issuance and sale of shares of our common stock in this offering at an assumed initial public offering price of $ per share, the midpoint of the price range set forth</w:t>
      </w:r>
    </w:p>
    <w:p>
      <w:pPr>
        <w:ind w:left="760"/>
        <w:spacing w:after="0"/>
        <w:rPr>
          <w:sz w:val="20"/>
          <w:szCs w:val="20"/>
          <w:color w:val="auto"/>
        </w:rPr>
      </w:pPr>
      <w:r>
        <w:rPr>
          <w:rFonts w:ascii="Arial" w:cs="Arial" w:eastAsia="Arial" w:hAnsi="Arial"/>
          <w:sz w:val="16"/>
          <w:szCs w:val="16"/>
          <w:color w:val="auto"/>
        </w:rPr>
        <w:t>on the cover page of this prospectus, after deducting underwriting discounts and commissions and estimated offering expenses payable by us.</w:t>
      </w:r>
    </w:p>
    <w:p>
      <w:pPr>
        <w:spacing w:after="0" w:line="23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 should read this information together with our financial statements and related notes appearing elsewhere in this prospectus and the information set forth in the sections entitled “Selected Financial Data” and “Management’s Discussion and Analysis of Financial Condition and Results of Operations.”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5"/>
              </w:rPr>
              <w:t>As of March 31, 2019</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20" w:type="dxa"/>
            <w:vAlign w:val="bottom"/>
            <w:tcBorders>
              <w:top w:val="single" w:sz="8" w:color="auto"/>
            </w:tcBorders>
            <w:gridSpan w:val="7"/>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 data)</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49,720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4"/>
            <w:vMerge w:val="restart"/>
          </w:tcPr>
          <w:p>
            <w:pPr>
              <w:spacing w:after="0"/>
              <w:rPr>
                <w:sz w:val="20"/>
                <w:szCs w:val="20"/>
                <w:color w:val="auto"/>
              </w:rPr>
            </w:pPr>
            <w:r>
              <w:rPr>
                <w:rFonts w:ascii="Arial" w:cs="Arial" w:eastAsia="Arial" w:hAnsi="Arial"/>
                <w:sz w:val="18"/>
                <w:szCs w:val="18"/>
                <w:color w:val="auto"/>
                <w:w w:val="98"/>
              </w:rPr>
              <w:t>Redeemable convertible preferred stock, par value $0.0001 per share; 114,109,973 shares authorized,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4"/>
          </w:tcPr>
          <w:p>
            <w:pPr>
              <w:ind w:left="180"/>
              <w:spacing w:after="0"/>
              <w:rPr>
                <w:sz w:val="20"/>
                <w:szCs w:val="20"/>
                <w:color w:val="auto"/>
              </w:rPr>
            </w:pPr>
            <w:r>
              <w:rPr>
                <w:rFonts w:ascii="Arial" w:cs="Arial" w:eastAsia="Arial" w:hAnsi="Arial"/>
                <w:sz w:val="18"/>
                <w:szCs w:val="18"/>
                <w:color w:val="auto"/>
                <w:w w:val="94"/>
              </w:rPr>
              <w:t>105,501,221 issued and outstanding, actual; no shares authorized, issued or outstanding, pro forma and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pro forma as adjusted</w:t>
            </w: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133,447</w:t>
            </w:r>
          </w:p>
        </w:tc>
        <w:tc>
          <w:tcPr>
            <w:tcW w:w="60" w:type="dxa"/>
            <w:vAlign w:val="bottom"/>
          </w:tcPr>
          <w:p>
            <w:pPr>
              <w:spacing w:after="0"/>
              <w:rPr>
                <w:sz w:val="20"/>
                <w:szCs w:val="20"/>
                <w:color w:val="auto"/>
              </w:rPr>
            </w:pP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30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4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2"/>
              </w:rPr>
              <w:t>Common stock, par value $0.0001 per share; 147,682,655 shares authorized, 10,646,759 shares issued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540"/>
              <w:spacing w:after="0"/>
              <w:rPr>
                <w:sz w:val="20"/>
                <w:szCs w:val="20"/>
                <w:color w:val="auto"/>
              </w:rPr>
            </w:pPr>
            <w:r>
              <w:rPr>
                <w:rFonts w:ascii="Arial" w:cs="Arial" w:eastAsia="Arial" w:hAnsi="Arial"/>
                <w:sz w:val="18"/>
                <w:szCs w:val="18"/>
                <w:color w:val="auto"/>
              </w:rPr>
              <w:t>and outstanding, actual;</w:t>
            </w: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shares authorized, 116,147,980 shares issued and outstanding, pro</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540"/>
              <w:spacing w:after="0"/>
              <w:rPr>
                <w:sz w:val="20"/>
                <w:szCs w:val="20"/>
                <w:color w:val="auto"/>
              </w:rPr>
            </w:pPr>
            <w:r>
              <w:rPr>
                <w:rFonts w:ascii="Arial" w:cs="Arial" w:eastAsia="Arial" w:hAnsi="Arial"/>
                <w:sz w:val="18"/>
                <w:szCs w:val="18"/>
                <w:color w:val="auto"/>
              </w:rPr>
              <w:t>forma;</w:t>
            </w:r>
          </w:p>
        </w:tc>
        <w:tc>
          <w:tcPr>
            <w:tcW w:w="1480" w:type="dxa"/>
            <w:vAlign w:val="bottom"/>
            <w:gridSpan w:val="2"/>
          </w:tcPr>
          <w:p>
            <w:pPr>
              <w:spacing w:after="0"/>
              <w:rPr>
                <w:sz w:val="20"/>
                <w:szCs w:val="20"/>
                <w:color w:val="auto"/>
              </w:rPr>
            </w:pPr>
            <w:r>
              <w:rPr>
                <w:rFonts w:ascii="Arial" w:cs="Arial" w:eastAsia="Arial" w:hAnsi="Arial"/>
                <w:sz w:val="18"/>
                <w:szCs w:val="18"/>
                <w:color w:val="auto"/>
                <w:w w:val="98"/>
              </w:rPr>
              <w:t>shares authorized,</w:t>
            </w:r>
          </w:p>
        </w:tc>
        <w:tc>
          <w:tcPr>
            <w:tcW w:w="5180" w:type="dxa"/>
            <w:vAlign w:val="bottom"/>
          </w:tcPr>
          <w:p>
            <w:pPr>
              <w:ind w:left="180"/>
              <w:spacing w:after="0"/>
              <w:rPr>
                <w:sz w:val="20"/>
                <w:szCs w:val="20"/>
                <w:color w:val="auto"/>
              </w:rPr>
            </w:pPr>
            <w:r>
              <w:rPr>
                <w:rFonts w:ascii="Arial" w:cs="Arial" w:eastAsia="Arial" w:hAnsi="Arial"/>
                <w:sz w:val="18"/>
                <w:szCs w:val="18"/>
                <w:color w:val="auto"/>
              </w:rPr>
              <w:t>shares issued and outstanding, pro forma as adjusted</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4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per share; no shares authorized, issued or outstanding,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w:t>
            </w: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shares authorized, no shares issued or outstanding, pro forma and pro forma as adjusted</w:t>
            </w: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(86,517)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gridSpan w:val="4"/>
          </w:tcPr>
          <w:p>
            <w:pPr>
              <w:ind w:left="360"/>
              <w:spacing w:after="0"/>
              <w:rPr>
                <w:sz w:val="20"/>
                <w:szCs w:val="20"/>
                <w:color w:val="auto"/>
              </w:rPr>
            </w:pPr>
            <w:r>
              <w:rPr>
                <w:rFonts w:ascii="Arial" w:cs="Arial" w:eastAsia="Arial" w:hAnsi="Arial"/>
                <w:sz w:val="18"/>
                <w:szCs w:val="18"/>
                <w:color w:val="auto"/>
              </w:rPr>
              <w:t>Accumulated other comprehensive gain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Total stockholders’ (deficit) equity</w:t>
            </w:r>
          </w:p>
        </w:tc>
        <w:tc>
          <w:tcPr>
            <w:tcW w:w="30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(86,513)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w w:val="91"/>
              </w:rPr>
              <w:t>Total capitalization</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3"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w:t>
      </w:r>
      <w:r>
        <w:rPr>
          <w:rFonts w:ascii="Arial" w:cs="Arial" w:eastAsia="Arial" w:hAnsi="Arial"/>
          <w:sz w:val="12"/>
          <w:szCs w:val="12"/>
          <w:color w:val="auto"/>
        </w:rPr>
        <w:t>per share, the midpoint of the price range set forth on the cover page of this prospectus, would</w:t>
      </w:r>
    </w:p>
    <w:p>
      <w:pPr>
        <w:ind w:left="440"/>
        <w:spacing w:after="0"/>
        <w:rPr>
          <w:sz w:val="20"/>
          <w:szCs w:val="20"/>
          <w:color w:val="auto"/>
        </w:rPr>
      </w:pPr>
      <w:r>
        <w:rPr>
          <w:rFonts w:ascii="Arial" w:cs="Arial" w:eastAsia="Arial" w:hAnsi="Arial"/>
          <w:sz w:val="13"/>
          <w:szCs w:val="13"/>
          <w:color w:val="auto"/>
        </w:rPr>
        <w:t>increase or decrease, as applicable, each of pro forma as adjusted cash and cash equivalents, additional paid-in capital, total stockholders’ (deficit) equity, and total capitalization by</w:t>
      </w:r>
    </w:p>
    <w:p>
      <w:pPr>
        <w:ind w:left="440" w:right="60"/>
        <w:spacing w:after="0" w:line="258" w:lineRule="auto"/>
        <w:rPr>
          <w:sz w:val="20"/>
          <w:szCs w:val="20"/>
          <w:color w:val="auto"/>
        </w:rPr>
      </w:pPr>
      <w:r>
        <w:rPr>
          <w:rFonts w:ascii="Arial" w:cs="Arial" w:eastAsia="Arial" w:hAnsi="Arial"/>
          <w:sz w:val="12"/>
          <w:szCs w:val="12"/>
          <w:color w:val="auto"/>
        </w:rPr>
        <w:t>approximately $ million, assuming that the number of shares offered by us, as set forth on the cover page of this prospectus, remains the same. We may also increase or decrease the number of shares we are offering. Each increase or decrease of 1.0 million shares in the number of shares we are offering would increase or decrease, as applicable, each of pro forma as</w:t>
      </w:r>
    </w:p>
    <w:p>
      <w:pPr>
        <w:ind w:left="440" w:right="200"/>
        <w:spacing w:after="0" w:line="232" w:lineRule="auto"/>
        <w:rPr>
          <w:sz w:val="20"/>
          <w:szCs w:val="20"/>
          <w:color w:val="auto"/>
        </w:rPr>
      </w:pPr>
      <w:r>
        <w:rPr>
          <w:rFonts w:ascii="Arial" w:cs="Arial" w:eastAsia="Arial" w:hAnsi="Arial"/>
          <w:sz w:val="14"/>
          <w:szCs w:val="14"/>
          <w:color w:val="auto"/>
        </w:rPr>
        <w:t>adjusted cash and cash equivalents, additional paid-in capital, total stockholders’ (deficit) equity, and total capitalization by approximately $ million, assuming the assumed initial public offering price per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Shares issued and outstanding, actual, pro forma and pro forma as adjusted excludes 4,460,226 unvested restricted shares subject to repurchase.</w:t>
      </w:r>
    </w:p>
    <w:p>
      <w:pPr>
        <w:spacing w:after="0" w:line="20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number of shares of common stock issued and outstanding pro forma and pro forma as adjusted in the table above is based on 116,147,980 shares of common stock (including our redeemable convertible preferred stock on an as-converted basis) outstanding as of March 31, 2019, and excludes:</w:t>
      </w:r>
    </w:p>
    <w:p>
      <w:pPr>
        <w:spacing w:after="0" w:line="89" w:lineRule="exact"/>
        <w:rPr>
          <w:sz w:val="20"/>
          <w:szCs w:val="20"/>
          <w:color w:val="auto"/>
        </w:rPr>
      </w:pPr>
    </w:p>
    <w:p>
      <w:pPr>
        <w:ind w:left="760" w:right="100" w:hanging="212"/>
        <w:spacing w:after="0" w:line="263"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7,560,547 shares of common stock issuable upon exercise of outstanding options issued as of March 31, 2019 under our 2015 Plan, at a weighted-average exercise price of $0.29 per share, or pursuant to rights to purchase restricted stock at a weighted average purchase price of $0.01 per share;</w:t>
      </w:r>
    </w:p>
    <w:p>
      <w:pPr>
        <w:spacing w:after="0" w:line="89" w:lineRule="exact"/>
        <w:rPr>
          <w:rFonts w:ascii="Arial" w:cs="Arial" w:eastAsia="Arial" w:hAnsi="Arial"/>
          <w:sz w:val="18"/>
          <w:szCs w:val="18"/>
          <w:color w:val="auto"/>
        </w:rPr>
      </w:pPr>
    </w:p>
    <w:p>
      <w:pPr>
        <w:ind w:left="760" w:right="220" w:hanging="212"/>
        <w:spacing w:after="0" w:line="27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1,621,000 shares of common stock issuable upon the exercise of options granted since March 31, 2019 under the 2015 Plan, at a weighted-average exercise price of $0.87 per share;</w:t>
      </w:r>
    </w:p>
    <w:p>
      <w:pPr>
        <w:spacing w:after="0" w:line="75" w:lineRule="exact"/>
        <w:rPr>
          <w:rFonts w:ascii="Arial" w:cs="Arial" w:eastAsia="Arial" w:hAnsi="Arial"/>
          <w:sz w:val="18"/>
          <w:szCs w:val="18"/>
          <w:color w:val="auto"/>
        </w:rPr>
      </w:pPr>
    </w:p>
    <w:p>
      <w:pPr>
        <w:ind w:left="760" w:right="100" w:hanging="212"/>
        <w:spacing w:after="0" w:line="27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3,310,971 shares of common stock reserved for future issuance under our 2015 Plan as of March 31, 2019 (which number of shares includes the 1,621,000 options previously granted since March 31, 2019);</w:t>
      </w:r>
    </w:p>
    <w:p>
      <w:pPr>
        <w:spacing w:after="0" w:line="75" w:lineRule="exact"/>
        <w:rPr>
          <w:rFonts w:ascii="Arial" w:cs="Arial" w:eastAsia="Arial" w:hAnsi="Arial"/>
          <w:sz w:val="18"/>
          <w:szCs w:val="18"/>
          <w:color w:val="auto"/>
        </w:rPr>
      </w:pPr>
    </w:p>
    <w:p>
      <w:pPr>
        <w:ind w:left="760" w:hanging="212"/>
        <w:spacing w:after="0" w:line="27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4,460,226 shares of unvested restricted common stock issued under the 2015 Plan and shares issued to our founders as of March 31, 2019 and subject to our right to repurchase;</w:t>
      </w:r>
    </w:p>
    <w:p>
      <w:pPr>
        <w:spacing w:after="0" w:line="75" w:lineRule="exact"/>
        <w:rPr>
          <w:rFonts w:ascii="Arial" w:cs="Arial" w:eastAsia="Arial" w:hAnsi="Arial"/>
          <w:sz w:val="18"/>
          <w:szCs w:val="18"/>
          <w:color w:val="auto"/>
        </w:rPr>
      </w:pPr>
    </w:p>
    <w:p>
      <w:pPr>
        <w:ind w:left="760" w:right="500" w:hanging="212"/>
        <w:spacing w:after="0" w:line="277" w:lineRule="auto"/>
        <w:tabs>
          <w:tab w:leader="none" w:pos="11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2019 Plan, which will become available for issuance upon the effectiveness of the registration statement of which this prospectus is a part; and</w:t>
      </w:r>
    </w:p>
    <w:p>
      <w:pPr>
        <w:spacing w:after="0" w:line="75" w:lineRule="exact"/>
        <w:rPr>
          <w:rFonts w:ascii="Arial" w:cs="Arial" w:eastAsia="Arial" w:hAnsi="Arial"/>
          <w:sz w:val="18"/>
          <w:szCs w:val="18"/>
          <w:color w:val="auto"/>
        </w:rPr>
      </w:pPr>
    </w:p>
    <w:p>
      <w:pPr>
        <w:ind w:left="760" w:right="440" w:hanging="212"/>
        <w:spacing w:after="0" w:line="277" w:lineRule="auto"/>
        <w:tabs>
          <w:tab w:leader="none" w:pos="11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2019 ESPP, which will become available for issuance upon the effectiveness of the registration statement of which this prospectus is a part.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320" w:top="459" w:right="5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initial public offering price per share of our common stock and the pro forma as adjusted net tangible book (deficit) value per share of our common stock immediately after this offering.</w:t>
      </w:r>
    </w:p>
    <w:p>
      <w:pPr>
        <w:spacing w:after="0" w:line="184"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Our historical net tangible book (deficit) value per share as of March 31, 2019 is determined by dividing our total tangible assets less our total liabilities and redeemable convertible preferred stock, which are not included within stockholders’ deficit, by the number of shares of common stock outstanding as of such date. Our historical net tangible book value (deficit) was $(86.5) million, or $(5.73) per share as of March 31, 2019.</w:t>
      </w:r>
    </w:p>
    <w:p>
      <w:pPr>
        <w:spacing w:after="0" w:line="14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pro forma net tangible book value (deficit) as of March 31, 2019 was $ million, or $ per share. Our pro forma net tangible book value (deficit) per share represents the amount of our total tangible assets reduced by the amount of our total liabilities and divided by the total number of shares of our common stock outstanding as of March 31, 2019, assuming the automatic conversion of all outstanding shares of our redeemable convertible preferred stock as of March 31, 2019 into an aggregate of 105,501,221 shares of common stock, which conversion will occur immediately prior to the completion of this offering.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pro forma as adjusted net tangible book value (deficit) represents our pro forma net tangible book (deficit) value, plus the effect of the sale of</w:t>
      </w:r>
    </w:p>
    <w:p>
      <w:pPr>
        <w:spacing w:after="0" w:line="46"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shares of common stock in this offering at an assumed initial public offering price of $ per share, the midpoint of the price range set forth on the cover page of this prospectus, after deducting underwriting discounts and commissions and estimated offering expenses payable by us. 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 After</w:t>
      </w:r>
    </w:p>
    <w:p>
      <w:pPr>
        <w:spacing w:after="0" w:line="2"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giving effect to our sale of shares of common stock in this offering at an assumed initial public offering price of $ per share, the midpoint of the price range set forth on the cover page of this prospectus, and after deducting underwriting discounts and commissions and estimated offering expenses</w:t>
      </w:r>
    </w:p>
    <w:tbl>
      <w:tblPr>
        <w:tblLayout w:type="fixed"/>
        <w:tblInd w:w="120" w:type="dxa"/>
        <w:tblCellMar>
          <w:top w:w="0" w:type="dxa"/>
          <w:left w:w="0" w:type="dxa"/>
          <w:bottom w:w="0" w:type="dxa"/>
          <w:right w:w="0" w:type="dxa"/>
        </w:tblCellMar>
      </w:tblPr>
      <w:tr>
        <w:trPr>
          <w:trHeight w:val="203"/>
        </w:trPr>
        <w:tc>
          <w:tcPr>
            <w:tcW w:w="7980" w:type="dxa"/>
            <w:vAlign w:val="bottom"/>
            <w:gridSpan w:val="7"/>
          </w:tcPr>
          <w:p>
            <w:pPr>
              <w:spacing w:after="0" w:line="203" w:lineRule="exact"/>
              <w:rPr>
                <w:sz w:val="20"/>
                <w:szCs w:val="20"/>
                <w:color w:val="auto"/>
              </w:rPr>
            </w:pPr>
            <w:r>
              <w:rPr>
                <w:rFonts w:ascii="Arial" w:cs="Arial" w:eastAsia="Arial" w:hAnsi="Arial"/>
                <w:sz w:val="18"/>
                <w:szCs w:val="18"/>
                <w:color w:val="auto"/>
                <w:w w:val="94"/>
              </w:rPr>
              <w:t>payable by us, our pro forma as adjusted net tangible book value as of March 31, 2019 would have been $</w:t>
            </w:r>
          </w:p>
        </w:tc>
        <w:tc>
          <w:tcPr>
            <w:tcW w:w="1300" w:type="dxa"/>
            <w:vAlign w:val="bottom"/>
          </w:tcPr>
          <w:p>
            <w:pPr>
              <w:ind w:left="40"/>
              <w:spacing w:after="0" w:line="203" w:lineRule="exact"/>
              <w:rPr>
                <w:sz w:val="20"/>
                <w:szCs w:val="20"/>
                <w:color w:val="auto"/>
              </w:rPr>
            </w:pPr>
            <w:r>
              <w:rPr>
                <w:rFonts w:ascii="Arial" w:cs="Arial" w:eastAsia="Arial" w:hAnsi="Arial"/>
                <w:sz w:val="18"/>
                <w:szCs w:val="18"/>
                <w:color w:val="auto"/>
              </w:rPr>
              <w:t>million, or $</w:t>
            </w:r>
          </w:p>
        </w:tc>
        <w:tc>
          <w:tcPr>
            <w:tcW w:w="1740" w:type="dxa"/>
            <w:vAlign w:val="bottom"/>
            <w:gridSpan w:val="4"/>
          </w:tcPr>
          <w:p>
            <w:pPr>
              <w:ind w:left="40"/>
              <w:spacing w:after="0" w:line="203" w:lineRule="exact"/>
              <w:rPr>
                <w:sz w:val="20"/>
                <w:szCs w:val="20"/>
                <w:color w:val="auto"/>
              </w:rPr>
            </w:pPr>
            <w:r>
              <w:rPr>
                <w:rFonts w:ascii="Arial" w:cs="Arial" w:eastAsia="Arial" w:hAnsi="Arial"/>
                <w:sz w:val="18"/>
                <w:szCs w:val="18"/>
                <w:color w:val="auto"/>
              </w:rPr>
              <w:t>per share. This</w:t>
            </w:r>
          </w:p>
        </w:tc>
      </w:tr>
      <w:tr>
        <w:trPr>
          <w:trHeight w:val="216"/>
        </w:trPr>
        <w:tc>
          <w:tcPr>
            <w:tcW w:w="4820" w:type="dxa"/>
            <w:vAlign w:val="bottom"/>
            <w:gridSpan w:val="4"/>
          </w:tcPr>
          <w:p>
            <w:pPr>
              <w:spacing w:after="0"/>
              <w:rPr>
                <w:sz w:val="20"/>
                <w:szCs w:val="20"/>
                <w:color w:val="auto"/>
              </w:rPr>
            </w:pPr>
            <w:r>
              <w:rPr>
                <w:rFonts w:ascii="Arial" w:cs="Arial" w:eastAsia="Arial" w:hAnsi="Arial"/>
                <w:sz w:val="18"/>
                <w:szCs w:val="18"/>
                <w:color w:val="auto"/>
                <w:w w:val="93"/>
              </w:rPr>
              <w:t>represents an immediate increase in net tangible book value of $</w:t>
            </w:r>
          </w:p>
        </w:tc>
        <w:tc>
          <w:tcPr>
            <w:tcW w:w="6200" w:type="dxa"/>
            <w:vAlign w:val="bottom"/>
            <w:gridSpan w:val="8"/>
          </w:tcPr>
          <w:p>
            <w:pPr>
              <w:ind w:left="200"/>
              <w:spacing w:after="0"/>
              <w:rPr>
                <w:sz w:val="20"/>
                <w:szCs w:val="20"/>
                <w:color w:val="auto"/>
              </w:rPr>
            </w:pPr>
            <w:r>
              <w:rPr>
                <w:rFonts w:ascii="Arial" w:cs="Arial" w:eastAsia="Arial" w:hAnsi="Arial"/>
                <w:sz w:val="18"/>
                <w:szCs w:val="18"/>
                <w:color w:val="auto"/>
                <w:w w:val="93"/>
              </w:rPr>
              <w:t>per share to existing stockholders and an immediate dilution in net tangible book</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value of $</w:t>
            </w:r>
          </w:p>
        </w:tc>
        <w:tc>
          <w:tcPr>
            <w:tcW w:w="7060" w:type="dxa"/>
            <w:vAlign w:val="bottom"/>
            <w:gridSpan w:val="5"/>
          </w:tcPr>
          <w:p>
            <w:pPr>
              <w:ind w:left="200"/>
              <w:spacing w:after="0"/>
              <w:rPr>
                <w:sz w:val="20"/>
                <w:szCs w:val="20"/>
                <w:color w:val="auto"/>
              </w:rPr>
            </w:pPr>
            <w:r>
              <w:rPr>
                <w:rFonts w:ascii="Arial" w:cs="Arial" w:eastAsia="Arial" w:hAnsi="Arial"/>
                <w:sz w:val="18"/>
                <w:szCs w:val="18"/>
                <w:color w:val="auto"/>
                <w:w w:val="93"/>
              </w:rPr>
              <w:t>per share to purchasers of common stock in this offering, as illustrated in the following table:</w:t>
            </w: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20" w:type="dxa"/>
            <w:vAlign w:val="bottom"/>
            <w:gridSpan w:val="4"/>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00" w:type="dxa"/>
            <w:vAlign w:val="bottom"/>
            <w:gridSpan w:val="4"/>
          </w:tcPr>
          <w:p>
            <w:pPr>
              <w:ind w:left="140"/>
              <w:spacing w:after="0"/>
              <w:rPr>
                <w:sz w:val="20"/>
                <w:szCs w:val="20"/>
                <w:color w:val="auto"/>
              </w:rPr>
            </w:pPr>
            <w:r>
              <w:rPr>
                <w:rFonts w:ascii="Arial" w:cs="Arial" w:eastAsia="Arial" w:hAnsi="Arial"/>
                <w:sz w:val="18"/>
                <w:szCs w:val="18"/>
                <w:color w:val="auto"/>
                <w:w w:val="96"/>
              </w:rPr>
              <w:t>Historical net tangible book value (deficit) per share as of March 31, 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$(5.73)</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68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97"/>
              </w:rPr>
              <w:t>Pro forma increase in net tangible book value (deficit) per share as of March 31, 2019</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20" w:type="dxa"/>
            <w:vAlign w:val="bottom"/>
          </w:tcPr>
          <w:p>
            <w:pPr>
              <w:spacing w:after="0"/>
              <w:rPr>
                <w:sz w:val="20"/>
                <w:szCs w:val="20"/>
                <w:color w:val="auto"/>
              </w:rPr>
            </w:pPr>
          </w:p>
        </w:tc>
        <w:tc>
          <w:tcPr>
            <w:tcW w:w="5800" w:type="dxa"/>
            <w:vAlign w:val="bottom"/>
            <w:gridSpan w:val="4"/>
          </w:tcPr>
          <w:p>
            <w:pPr>
              <w:ind w:left="140"/>
              <w:spacing w:after="0"/>
              <w:rPr>
                <w:sz w:val="20"/>
                <w:szCs w:val="20"/>
                <w:color w:val="auto"/>
              </w:rPr>
            </w:pPr>
            <w:r>
              <w:rPr>
                <w:rFonts w:ascii="Arial" w:cs="Arial" w:eastAsia="Arial" w:hAnsi="Arial"/>
                <w:sz w:val="18"/>
                <w:szCs w:val="18"/>
                <w:color w:val="auto"/>
                <w:w w:val="95"/>
              </w:rPr>
              <w:t>Pro forma net tangible book value (deficit) per share as of March 31, 2019</w:t>
            </w: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18"/>
                <w:szCs w:val="18"/>
                <w:color w:val="auto"/>
              </w:rPr>
            </w:pPr>
          </w:p>
        </w:tc>
        <w:tc>
          <w:tcPr>
            <w:tcW w:w="906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Increase in pro forma net tangible book value per share attributable to new investors participating in this offering</w:t>
            </w: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020" w:type="dxa"/>
            <w:vAlign w:val="bottom"/>
            <w:gridSpan w:val="5"/>
          </w:tcPr>
          <w:p>
            <w:pPr>
              <w:spacing w:after="0"/>
              <w:rPr>
                <w:sz w:val="20"/>
                <w:szCs w:val="20"/>
                <w:color w:val="auto"/>
              </w:rPr>
            </w:pPr>
            <w:r>
              <w:rPr>
                <w:rFonts w:ascii="Arial" w:cs="Arial" w:eastAsia="Arial" w:hAnsi="Arial"/>
                <w:sz w:val="18"/>
                <w:szCs w:val="18"/>
                <w:color w:val="auto"/>
                <w:w w:val="92"/>
              </w:rPr>
              <w:t>Pro forma as adjusted net tangible book value (deficit) per share after this offering</w:t>
            </w: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Dilution per share to new investors participating in this offering</w:t>
            </w: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9960" w:type="dxa"/>
            <w:vAlign w:val="bottom"/>
            <w:gridSpan w:val="9"/>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800" w:type="dxa"/>
            <w:vAlign w:val="bottom"/>
            <w:gridSpan w:val="11"/>
          </w:tcPr>
          <w:p>
            <w:pPr>
              <w:ind w:left="220"/>
              <w:spacing w:after="0"/>
              <w:rPr>
                <w:sz w:val="20"/>
                <w:szCs w:val="20"/>
                <w:color w:val="auto"/>
              </w:rPr>
            </w:pPr>
            <w:r>
              <w:rPr>
                <w:rFonts w:ascii="Arial" w:cs="Arial" w:eastAsia="Arial" w:hAnsi="Arial"/>
                <w:sz w:val="18"/>
                <w:szCs w:val="18"/>
                <w:color w:val="auto"/>
                <w:w w:val="92"/>
              </w:rPr>
              <w:t>If the underwriters’ option to purchase additional shares from us is exercised in full, the pro forma as adjusted net tangible book value per share</w:t>
            </w: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after this offering would be $</w:t>
            </w:r>
          </w:p>
        </w:tc>
        <w:tc>
          <w:tcPr>
            <w:tcW w:w="8720" w:type="dxa"/>
            <w:vAlign w:val="bottom"/>
            <w:gridSpan w:val="9"/>
          </w:tcPr>
          <w:p>
            <w:pPr>
              <w:ind w:left="200"/>
              <w:spacing w:after="0"/>
              <w:rPr>
                <w:sz w:val="20"/>
                <w:szCs w:val="20"/>
                <w:color w:val="auto"/>
              </w:rPr>
            </w:pPr>
            <w:r>
              <w:rPr>
                <w:rFonts w:ascii="Arial" w:cs="Arial" w:eastAsia="Arial" w:hAnsi="Arial"/>
                <w:sz w:val="18"/>
                <w:szCs w:val="18"/>
                <w:color w:val="auto"/>
                <w:w w:val="92"/>
              </w:rPr>
              <w:t>per share, the increase in pro forma as adjusted net tangible book value per share to existing stockholders would be</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820" w:type="dxa"/>
            <w:vAlign w:val="bottom"/>
            <w:gridSpan w:val="5"/>
          </w:tcPr>
          <w:p>
            <w:pPr>
              <w:ind w:left="280"/>
              <w:spacing w:after="0"/>
              <w:rPr>
                <w:sz w:val="20"/>
                <w:szCs w:val="20"/>
                <w:color w:val="auto"/>
              </w:rPr>
            </w:pPr>
            <w:r>
              <w:rPr>
                <w:rFonts w:ascii="Arial" w:cs="Arial" w:eastAsia="Arial" w:hAnsi="Arial"/>
                <w:sz w:val="18"/>
                <w:szCs w:val="18"/>
                <w:color w:val="auto"/>
                <w:w w:val="93"/>
              </w:rPr>
              <w:t>per share and the dilution to new investors purchasing shares in this offering would be $</w:t>
            </w:r>
          </w:p>
        </w:tc>
        <w:tc>
          <w:tcPr>
            <w:tcW w:w="940" w:type="dxa"/>
            <w:vAlign w:val="bottom"/>
          </w:tcPr>
          <w:p>
            <w:pPr>
              <w:ind w:left="200"/>
              <w:spacing w:after="0"/>
              <w:rPr>
                <w:sz w:val="20"/>
                <w:szCs w:val="20"/>
                <w:color w:val="auto"/>
              </w:rPr>
            </w:pPr>
            <w:r>
              <w:rPr>
                <w:rFonts w:ascii="Arial" w:cs="Arial" w:eastAsia="Arial" w:hAnsi="Arial"/>
                <w:sz w:val="18"/>
                <w:szCs w:val="18"/>
                <w:color w:val="auto"/>
                <w:w w:val="88"/>
              </w:rPr>
              <w:t>per share.</w:t>
            </w: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20" w:type="dxa"/>
            <w:vAlign w:val="bottom"/>
          </w:tcPr>
          <w:p>
            <w:pPr>
              <w:spacing w:after="0"/>
              <w:rPr>
                <w:sz w:val="24"/>
                <w:szCs w:val="24"/>
                <w:color w:val="auto"/>
              </w:rPr>
            </w:pPr>
          </w:p>
        </w:tc>
        <w:tc>
          <w:tcPr>
            <w:tcW w:w="5800" w:type="dxa"/>
            <w:vAlign w:val="bottom"/>
            <w:gridSpan w:val="4"/>
          </w:tcPr>
          <w:p>
            <w:pPr>
              <w:ind w:left="220"/>
              <w:spacing w:after="0"/>
              <w:rPr>
                <w:sz w:val="20"/>
                <w:szCs w:val="20"/>
                <w:color w:val="auto"/>
              </w:rPr>
            </w:pPr>
            <w:r>
              <w:rPr>
                <w:rFonts w:ascii="Arial" w:cs="Arial" w:eastAsia="Arial" w:hAnsi="Arial"/>
                <w:sz w:val="18"/>
                <w:szCs w:val="18"/>
                <w:color w:val="auto"/>
                <w:w w:val="94"/>
              </w:rPr>
              <w:t>Each $1.00 increase or decrease in the assumed public offering price of $</w:t>
            </w:r>
          </w:p>
        </w:tc>
        <w:tc>
          <w:tcPr>
            <w:tcW w:w="5000" w:type="dxa"/>
            <w:vAlign w:val="bottom"/>
            <w:gridSpan w:val="7"/>
          </w:tcPr>
          <w:p>
            <w:pPr>
              <w:ind w:left="80"/>
              <w:spacing w:after="0"/>
              <w:rPr>
                <w:sz w:val="20"/>
                <w:szCs w:val="20"/>
                <w:color w:val="auto"/>
              </w:rPr>
            </w:pPr>
            <w:r>
              <w:rPr>
                <w:rFonts w:ascii="Arial" w:cs="Arial" w:eastAsia="Arial" w:hAnsi="Arial"/>
                <w:sz w:val="18"/>
                <w:szCs w:val="18"/>
                <w:color w:val="auto"/>
                <w:w w:val="97"/>
              </w:rPr>
              <w:t>per share, the midpoint of the price range set forth on the cover</w:t>
            </w:r>
          </w:p>
        </w:tc>
      </w:tr>
      <w:tr>
        <w:trPr>
          <w:trHeight w:val="230"/>
        </w:trPr>
        <w:tc>
          <w:tcPr>
            <w:tcW w:w="6020" w:type="dxa"/>
            <w:vAlign w:val="bottom"/>
            <w:gridSpan w:val="5"/>
          </w:tcPr>
          <w:p>
            <w:pPr>
              <w:spacing w:after="0"/>
              <w:rPr>
                <w:sz w:val="20"/>
                <w:szCs w:val="20"/>
                <w:color w:val="auto"/>
              </w:rPr>
            </w:pPr>
            <w:r>
              <w:rPr>
                <w:rFonts w:ascii="Arial" w:cs="Arial" w:eastAsia="Arial" w:hAnsi="Arial"/>
                <w:sz w:val="18"/>
                <w:szCs w:val="18"/>
                <w:color w:val="auto"/>
              </w:rPr>
              <w:t>page of this prospectus, would increase or decrease, as applicable, our pro</w:t>
            </w: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4"/>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73</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860" w:val="left"/>
          <w:tab w:leader="none" w:pos="5160" w:val="left"/>
          <w:tab w:leader="none" w:pos="10220" w:val="left"/>
        </w:tabs>
        <w:rPr>
          <w:sz w:val="20"/>
          <w:szCs w:val="20"/>
          <w:color w:val="auto"/>
        </w:rPr>
      </w:pPr>
      <w:r>
        <w:rPr>
          <w:rFonts w:ascii="Arial" w:cs="Arial" w:eastAsia="Arial" w:hAnsi="Arial"/>
          <w:sz w:val="18"/>
          <w:szCs w:val="18"/>
          <w:color w:val="auto"/>
        </w:rPr>
        <w:t>forma as adjusted net tangible book value by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and dilution per share to investors in this offering by $</w:t>
      </w:r>
      <w:r>
        <w:rPr>
          <w:sz w:val="20"/>
          <w:szCs w:val="20"/>
          <w:color w:val="auto"/>
        </w:rPr>
        <w:tab/>
      </w:r>
      <w:r>
        <w:rPr>
          <w:rFonts w:ascii="Arial" w:cs="Arial" w:eastAsia="Arial" w:hAnsi="Arial"/>
          <w:sz w:val="15"/>
          <w:szCs w:val="15"/>
          <w:color w:val="auto"/>
        </w:rPr>
        <w:t>per share,</w:t>
      </w:r>
    </w:p>
    <w:p>
      <w:pPr>
        <w:spacing w:after="0" w:line="23" w:lineRule="exact"/>
        <w:rPr>
          <w:sz w:val="20"/>
          <w:szCs w:val="20"/>
          <w:color w:val="auto"/>
        </w:rPr>
      </w:pPr>
    </w:p>
    <w:p>
      <w:pPr>
        <w:ind w:left="120" w:right="380"/>
        <w:spacing w:after="0" w:line="223" w:lineRule="auto"/>
        <w:rPr>
          <w:sz w:val="20"/>
          <w:szCs w:val="20"/>
          <w:color w:val="auto"/>
        </w:rPr>
      </w:pPr>
      <w:r>
        <w:rPr>
          <w:rFonts w:ascii="Arial" w:cs="Arial" w:eastAsia="Arial" w:hAnsi="Arial"/>
          <w:sz w:val="10"/>
          <w:szCs w:val="10"/>
          <w:color w:val="auto"/>
        </w:rPr>
        <w:t>assuming that the number of shares offered by us, as set forth on the cover of this prospectus, remains the same and after deducting underwriting discounts and commissions, and estimated offering expenses payable by us. We may also increase or decrease the number of shares we are offering. Each increase or decrease of 1.0 million shares in the number of shares we are offering would increase or decrease, as applicable, our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adjusted net tangible book value by approximately $ million, or approximately $ per share and would increase or decrease, as applicable, dilution per share to investors in this offering by approximately $ per share, assuming the assumed initial public offering price per share remains the same and after deducting underwriting discounts and commissions, and estimated offering expenses payable by us.</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If the underwriters’ option to purchase additional shares from us is exercised in full, the pro forma as adjusted net tangible book value per share after this offering would be $ per share, the increase in pro forma as adjusted net tangible book value per share to existing stockholders would be $ per share and the dilution to new investors purchasing shares in this offering would be $ per share.</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following table shows, as of March 31, 2019, on a pro forma as adjusted basis (but before deducting underwriting discounts and commissions and estimated offering expenses payable by us), the differences between the existing stockholders and the purchasers of shares in this offering with respect to the number of shares purchased from us, the total consideration paid, which includes net proceeds received from the issuance of common and redeemable convertible preferred stock, cash received from the exercise of stock options, and the value of any stock issued for services and the average price paid per share (in thousands, except per share amounts and percentages):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50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vMerge w:val="restart"/>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82"/>
        </w:trPr>
        <w:tc>
          <w:tcPr>
            <w:tcW w:w="592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52"/>
        </w:trPr>
        <w:tc>
          <w:tcPr>
            <w:tcW w:w="59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4"/>
                <w:szCs w:val="4"/>
                <w:color w:val="auto"/>
              </w:rPr>
            </w:pPr>
          </w:p>
        </w:tc>
        <w:tc>
          <w:tcPr>
            <w:tcW w:w="84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4"/>
                <w:szCs w:val="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4"/>
                <w:szCs w:val="4"/>
                <w:color w:val="auto"/>
              </w:rPr>
            </w:pPr>
          </w:p>
        </w:tc>
        <w:tc>
          <w:tcPr>
            <w:tcW w:w="1080" w:type="dxa"/>
            <w:vAlign w:val="bottom"/>
            <w:gridSpan w:val="2"/>
            <w:vMerge w:val="restart"/>
          </w:tcPr>
          <w:p>
            <w:pPr>
              <w:jc w:val="right"/>
              <w:ind w:right="510"/>
              <w:spacing w:after="0"/>
              <w:rPr>
                <w:sz w:val="20"/>
                <w:szCs w:val="20"/>
                <w:color w:val="auto"/>
              </w:rPr>
            </w:pPr>
            <w:r>
              <w:rPr>
                <w:rFonts w:ascii="Arial" w:cs="Arial" w:eastAsia="Arial" w:hAnsi="Arial"/>
                <w:sz w:val="14"/>
                <w:szCs w:val="14"/>
                <w:b w:val="1"/>
                <w:bCs w:val="1"/>
                <w:color w:val="auto"/>
                <w:w w:val="89"/>
              </w:rPr>
              <w:t>Percent</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New investors participating in this offering</w:t>
            </w:r>
          </w:p>
        </w:tc>
        <w:tc>
          <w:tcPr>
            <w:tcW w:w="6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2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120,608,203 shares of common stock (including our redeemable convertible preferred stock on an as-converted basis) outstanding as of March 31, 2019 and excludes:</w:t>
      </w:r>
    </w:p>
    <w:p>
      <w:pPr>
        <w:spacing w:after="0" w:line="52" w:lineRule="exact"/>
        <w:rPr>
          <w:sz w:val="20"/>
          <w:szCs w:val="20"/>
          <w:color w:val="auto"/>
        </w:rPr>
      </w:pPr>
    </w:p>
    <w:p>
      <w:pPr>
        <w:ind w:left="760" w:right="260" w:hanging="212"/>
        <w:spacing w:after="0" w:line="263"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7,560,547 shares of common stock issuable upon exercise of outstanding options issued as of March 31, 2019 under our 2015 Plan, at a weighted-average exercise price of $0.29 per share, or pursuant to rights to purchase restricted stock at a weighted average purchase price of $0.01 per share;</w:t>
      </w:r>
    </w:p>
    <w:p>
      <w:pPr>
        <w:spacing w:after="0" w:line="89" w:lineRule="exact"/>
        <w:rPr>
          <w:rFonts w:ascii="Arial" w:cs="Arial" w:eastAsia="Arial" w:hAnsi="Arial"/>
          <w:sz w:val="18"/>
          <w:szCs w:val="18"/>
          <w:color w:val="auto"/>
        </w:rPr>
      </w:pPr>
    </w:p>
    <w:p>
      <w:pPr>
        <w:ind w:left="760" w:right="380" w:hanging="212"/>
        <w:spacing w:after="0" w:line="277"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1,621,000 shares of common stock issuable upon the exercise of options granted since March 31, 2019 under the 2015 Plan, at a weighted-average exercise price of $0.87 per share;</w:t>
      </w:r>
    </w:p>
    <w:p>
      <w:pPr>
        <w:spacing w:after="0" w:line="75"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3,310,971 shares of common stock reserved for future issuance under our 2015 Plan as of March 31, 2019 (which number of shares includes the 1,621,000 options previously granted since March 31, 2019);</w:t>
      </w:r>
    </w:p>
    <w:p>
      <w:pPr>
        <w:spacing w:after="0" w:line="75" w:lineRule="exact"/>
        <w:rPr>
          <w:rFonts w:ascii="Arial" w:cs="Arial" w:eastAsia="Arial" w:hAnsi="Arial"/>
          <w:sz w:val="18"/>
          <w:szCs w:val="18"/>
          <w:color w:val="auto"/>
        </w:rPr>
      </w:pPr>
    </w:p>
    <w:p>
      <w:pPr>
        <w:ind w:left="760" w:right="520" w:hanging="21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2019 Plan, which will become available for issuance upon the effectiveness of the registration statement of which this prospectus is a part; and</w:t>
      </w:r>
    </w:p>
    <w:p>
      <w:pPr>
        <w:spacing w:after="0" w:line="75" w:lineRule="exact"/>
        <w:rPr>
          <w:rFonts w:ascii="Arial" w:cs="Arial" w:eastAsia="Arial" w:hAnsi="Arial"/>
          <w:sz w:val="18"/>
          <w:szCs w:val="18"/>
          <w:color w:val="auto"/>
        </w:rPr>
      </w:pPr>
    </w:p>
    <w:p>
      <w:pPr>
        <w:ind w:left="760" w:right="460" w:hanging="21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2019 ESPP, which will become available for issuance upon the effectiveness of the registration statement of which this prospectus is a part.</w:t>
      </w:r>
    </w:p>
    <w:p>
      <w:pPr>
        <w:spacing w:after="0" w:line="170"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To the extent that any outstanding options are exercised, new options are issued under our stock-based compensation plans or we issue additional shares of common stock or convertible debt in the future, there will be further dilution to investors participating in this offering.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following tables present selected financial data for our business. We have derived the selected statements of operations data for the years ended December 31, 2017 and 2018 and the selected balance sheet data as of December 31, 2017 and 2018 from our audited financial statements appearing elsewhere in this prospectus. The selected statements of operations data for the three months ended March 31, 2018 and 2019, and the selected balance sheet data as of March 31, 2019, have been derived from our unaudited condensed financial statements appearing elsewhere in this prospectus, which have been prepared on the same basis as our audited financial statements. We have included all adjustments consisting only of normal recurring adjustments that we consider necessary for a fair presentation of the financial information set forth in those unaudited condensed financial statements. Our historical results are not necessarily indicative of the results that may be expected in the future and our operating results for the three months ended March 31, 2019 are not necessarily indicative of the actual or expected results for the full year ending December 31, 2019 or any other interim periods or any future period. You should read this data together with our financial statements and related notes appearing elsewhere in this prospectus and the information in the section entitled “Management Discussion and Analysis of Financial Condition and Results of Operations.”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4"/>
                <w:szCs w:val="14"/>
                <w:color w:val="auto"/>
              </w:rPr>
            </w:pPr>
          </w:p>
        </w:tc>
        <w:tc>
          <w:tcPr>
            <w:tcW w:w="268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24,415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5,018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8"/>
                <w:szCs w:val="18"/>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8"/>
                <w:szCs w:val="18"/>
                <w:color w:val="auto"/>
              </w:rPr>
              <w:t>1,210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30,915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(30,915)</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(6,222)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Accretion to redemption value and cumulative dividends on redeemable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(2,289)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(4,876)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(882)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(7,104)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(0.96)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Weighted-average shares used in computing net loss per share attributable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5,745,000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8,333,000</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9"/>
              </w:rPr>
              <w:t>7,387,889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10,079,336</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color w:val="auto"/>
        </w:rPr>
        <w:t>Weighted-average shares outstanding used in computing pro forma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per share attributable to common stockholders, basic and diluted</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5715</wp:posOffset>
            </wp:positionV>
            <wp:extent cx="5226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22860</wp:posOffset>
            </wp:positionV>
            <wp:extent cx="5226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5715</wp:posOffset>
            </wp:positionV>
            <wp:extent cx="5746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22860</wp:posOffset>
            </wp:positionV>
            <wp:extent cx="5746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125730</wp:posOffset>
            </wp:positionV>
            <wp:extent cx="7029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3" w:lineRule="exact"/>
        <w:rPr>
          <w:sz w:val="20"/>
          <w:szCs w:val="20"/>
          <w:color w:val="auto"/>
        </w:rPr>
      </w:pPr>
    </w:p>
    <w:p>
      <w:pPr>
        <w:ind w:left="440" w:right="180" w:hanging="324"/>
        <w:spacing w:after="0" w:line="253" w:lineRule="auto"/>
        <w:tabs>
          <w:tab w:leader="none" w:pos="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 Notes 3 and 16 to our audited financial statements included elsewhere in the prospectus for an explanation of the calculations of our basic and diluted net loss per share, pro forma net loss per share and the weighted-average number of shares used in the computation of the per share amounts.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4"/>
                <w:szCs w:val="1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5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Sheets Data:</w:t>
            </w:r>
          </w:p>
        </w:tc>
        <w:tc>
          <w:tcPr>
            <w:tcW w:w="18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  4,251</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$ 60,949</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49,720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1,519</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56,649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42,604</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assets</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6,553</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66,529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55,978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39,910</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132,103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133,447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Accumulated deficit</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(36,566)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(71,470)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(86,517)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(36,565)</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(71,469)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right="120" w:hanging="324"/>
        <w:spacing w:after="0" w:line="253" w:lineRule="auto"/>
        <w:tabs>
          <w:tab w:leader="none" w:pos="4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and related notes appearing elsewhere in this prospectus for details regarding our current assets and current liabilities.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entitled “Selected Financial Data” and our financial statements and related notes appearing elsewhere in this prospectus. This discussion and other parts of this prospectus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clinical stage biopharmaceutical company focused on discovering and developing novel therapies for the treatment of fibrosis.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PLN-74809, is an oral small-molecule dual selective inhibitor of avß6 and avß1 integrins that we are developing for the treatment of idiopathic pulmonary fibrosis, or IPF, and primary sclerosing cholangitis, or PSC. We have completed a Phase 1a SAD/MAD trial and a Phase 1b proof-of-mechanism trial of PLN-74809 in IPF. In the second half of 2019, we plan to initiate two Phase 2a trials in IPF. We also plan to submit an IND application for PLN-74809 for the treatment of PSC in the second half of 2019, and plan to initiate a Phase 2a trial as soon as possible thereafter. Our second wholly-owned product candidate, PLN-1474, in an oral small-molecule selective inhibitor of avß1 for the treatment of stage F3/F4 liver fibrosis associated with NASH. We are currently conducting IND-enabling studies and plan to submit an IND application for PLN-1474 by the end of 2019. Our goal is to become a world-leading fibrosis company, developing and commercializing disease-modifying therapies across a spectrum of fibrotic diseases.</w:t>
      </w:r>
    </w:p>
    <w:p>
      <w:pPr>
        <w:spacing w:after="0" w:line="18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Since our inception in 2015, our operations have included organizing and hiring personnel for our company, business planning, raising capital, establishing our intellectual property portfolio and performing research and development of TGF-ß signaling and integrin biology, medicinal chemistry, translational screening technologies, and clinical insights to create tissue-specific inhibitors of fibrotic diseases. We do not have any products approved for commercial sale and have not generated any revenues. To date, we have funded our operations primarily through private placements of our redeemable convertible preferred stock.</w:t>
      </w:r>
    </w:p>
    <w:p>
      <w:pPr>
        <w:spacing w:after="0" w:line="188"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Since our inception, we have incurred significant operating losses. Our net loss was $30.3 million and $14.0 million for the year ended December 31, 2018 and the three months ended March 31, 2019, respectively. As of December 31, 2018 and March 31, 2019, we had an accumulated deficit of $71.5 million and $86.5 million, respectively. We expect to continue to incur significant expenses and operating losses for the foreseeable future. In addition, we anticipate that our expenses will increase significantly in connection with our ongoing activities, as we:</w:t>
      </w:r>
    </w:p>
    <w:p>
      <w:pPr>
        <w:spacing w:after="0" w:line="63" w:lineRule="exact"/>
        <w:rPr>
          <w:sz w:val="20"/>
          <w:szCs w:val="20"/>
          <w:color w:val="auto"/>
        </w:rPr>
      </w:pPr>
    </w:p>
    <w:p>
      <w:pPr>
        <w:ind w:left="760" w:hanging="212"/>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advance the development of our lead product candidate, PLN-74809, through clinical development, and, if successful, later-stage clinical trials;</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advance our other preclinical development programs, including PLN-1474, into clinical development;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30" w:lineRule="exact"/>
        <w:rPr>
          <w:rFonts w:ascii="Arial" w:cs="Arial" w:eastAsia="Arial" w:hAnsi="Arial"/>
          <w:sz w:val="18"/>
          <w:szCs w:val="18"/>
          <w:color w:val="auto"/>
        </w:rPr>
      </w:pPr>
    </w:p>
    <w:p>
      <w:pPr>
        <w:ind w:left="760" w:right="240" w:hanging="212"/>
        <w:spacing w:after="0" w:line="27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140" w:hanging="212"/>
        <w:spacing w:after="0" w:line="277"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 and</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w:t>
      </w:r>
    </w:p>
    <w:p>
      <w:pPr>
        <w:spacing w:after="0" w:line="22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will not generate revenue from product sales unless and until we successfully complete clinical development and obtain regulatory approval for PLN-74809 or any of our other product candidates. In addition, if we obtain regulatory approval for PLN-74809 or any of our other product candidates and do not enter into one or more collaborations with third-parties for commercialization, we expect to incur significant expenses related to developing our commercialization capability to support product sales, marketing and distribution activities.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public or private equity offerings and debt financings, government funding arrangements,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magnitude of expenses. Even if we can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As of March 31, 2019, we had cash, cash equivalents and short-term investments of $49.7 million. We expect to continue to incur losses for the foreseeable future and will require additional financial resources to continue to advance our products and intellectual property. Based on our current forecast we do not have sufficient cash and cash equivalents for at least the next year following the date that the financial statements appearing elsewhere in this prospectus were issued. These circumstances raise substantial doubt about our ability to continue as a going concern. We will need to obtain additional financing to sustain our operations. However, we may be unable to obtain sufficient financing at acceptable terms, if at all, and the failure to do so, when needed, could have a material adverse effect on our business, results of operations and financial condition. Our financial statements do not include any adjustments that might result from the outcome of this uncertainty.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research and development expenses consist of expenses incurred in connection with the development of our product candidates. Research and development expenses include:</w:t>
      </w:r>
    </w:p>
    <w:p>
      <w:pPr>
        <w:spacing w:after="0" w:line="76" w:lineRule="exact"/>
        <w:rPr>
          <w:sz w:val="20"/>
          <w:szCs w:val="20"/>
          <w:color w:val="auto"/>
        </w:rPr>
      </w:pPr>
    </w:p>
    <w:p>
      <w:pPr>
        <w:ind w:left="760" w:hanging="21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employee-related expenses, which include salaries, benefits and stock-based compensation for our research and development personnel;</w:t>
      </w:r>
    </w:p>
    <w:p>
      <w:pPr>
        <w:spacing w:after="0" w:line="153" w:lineRule="exact"/>
        <w:rPr>
          <w:rFonts w:ascii="Arial" w:cs="Arial" w:eastAsia="Arial" w:hAnsi="Arial"/>
          <w:sz w:val="16"/>
          <w:szCs w:val="16"/>
          <w:color w:val="auto"/>
        </w:rPr>
      </w:pPr>
    </w:p>
    <w:p>
      <w:pPr>
        <w:ind w:left="760" w:right="660" w:hanging="212"/>
        <w:spacing w:after="0" w:line="277"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for pre-clinical studies, investigative clinical trial sites and consultants that conduct research and development activities on our behalf;</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associated with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depreciation of laboratory equipment and costs of equipment and supplies;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expenses for rent and other facility related costs and other supplies.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years ended December 31, 2017 and 2018 and the three months ended March 31, 2018 and 2019:</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7"/>
              </w:rPr>
              <w:t>Ended March 31,</w:t>
            </w:r>
          </w:p>
        </w:tc>
      </w:tr>
      <w:tr>
        <w:trPr>
          <w:trHeight w:val="142"/>
        </w:trPr>
        <w:tc>
          <w:tcPr>
            <w:tcW w:w="7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expenses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$ 3,817</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$ 6,171</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$1,339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$ 2,227</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3"/>
              </w:rPr>
              <w:t>Outside and consulting services for preclinical studies and research and development activities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rPr>
              <w:t>by third party contract organizations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5,907</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9,849</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2,045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5,356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Depreciation of lab equipment and costs of equipment and supplies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3,247</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5,084</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1,211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1,131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intellectual property licenses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2,600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410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r>
      <w:tr>
        <w:trPr>
          <w:trHeight w:val="27"/>
        </w:trPr>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24,415</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11,749</w:t>
            </w:r>
          </w:p>
        </w:tc>
      </w:tr>
      <w:tr>
        <w:trPr>
          <w:trHeight w:val="20"/>
        </w:trPr>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expense all research and development costs in the periods in which they are incurred. 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w:t>
      </w:r>
    </w:p>
    <w:p>
      <w:pPr>
        <w:spacing w:after="0" w:line="149"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We are eligible for a research and development tax credit. The tax incentive is available to us based on research and development activity within the United States and California. These research and development tax incentives are recognized as a contra to FICA payroll tax expense when the right to receive has been attained and funds are collectible and is capped at $250,000 per year. For additional information, see Note 3 to our audited financial statements included elsewhere in this prospectus.</w:t>
      </w:r>
    </w:p>
    <w:p>
      <w:pPr>
        <w:spacing w:after="0" w:line="18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expect our research and development expenses to increase substantially for the foreseeable future as we continue to invest in research and development activities related to developing our product candidates and our preclinical programs and as they advance into later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general and administrative expenses consist primarily of personnel costs, allocated facilities costs and other expenses for outside professional services, including legal, marketing, investor relations, human resource and accounting services. Personnel costs consist of salaries, benefits and stock-based compensation for our general and administrative personnel. We expect to incur additional expenses as a result of operating as a public company, including expenses related to compliance with the rules and regulations of the SEC, The Nasdaq Global Market, additional insurance expenses, investor relations activities and other administrative and professional services. We also expect to increase the size of our administrative function to support the growth of our business.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interest income consists of interest income earned on cash and money market funds.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7"/>
          </w:tcPr>
          <w:p>
            <w:pPr>
              <w:jc w:val="right"/>
              <w:ind w:right="581"/>
              <w:spacing w:after="0"/>
              <w:rPr>
                <w:sz w:val="20"/>
                <w:szCs w:val="20"/>
                <w:color w:val="auto"/>
              </w:rPr>
            </w:pPr>
            <w:r>
              <w:rPr>
                <w:rFonts w:ascii="Arial" w:cs="Arial" w:eastAsia="Arial" w:hAnsi="Arial"/>
                <w:sz w:val="14"/>
                <w:szCs w:val="14"/>
                <w:b w:val="1"/>
                <w:bCs w:val="1"/>
                <w:color w:val="auto"/>
                <w:w w:val="93"/>
              </w:rPr>
              <w:t>Years Ended December 31,</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461"/>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14,526</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24,415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21"/>
              <w:spacing w:after="0"/>
              <w:rPr>
                <w:sz w:val="20"/>
                <w:szCs w:val="20"/>
                <w:color w:val="auto"/>
              </w:rPr>
            </w:pPr>
            <w:r>
              <w:rPr>
                <w:rFonts w:ascii="Arial" w:cs="Arial" w:eastAsia="Arial" w:hAnsi="Arial"/>
                <w:sz w:val="18"/>
                <w:szCs w:val="18"/>
                <w:color w:val="auto"/>
              </w:rPr>
              <w:t>9,889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2,677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30,915</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12,566</w:t>
            </w:r>
          </w:p>
        </w:tc>
        <w:tc>
          <w:tcPr>
            <w:tcW w:w="5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(18,349)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5"/>
              </w:rPr>
              <w:t>(30,915)</w:t>
            </w:r>
          </w:p>
        </w:tc>
        <w:tc>
          <w:tcPr>
            <w:tcW w:w="1160" w:type="dxa"/>
            <w:vAlign w:val="bottom"/>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(12,566)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c>
          <w:tcPr>
            <w:tcW w:w="1040" w:type="dxa"/>
            <w:vAlign w:val="bottom"/>
            <w:gridSpan w:val="2"/>
          </w:tcPr>
          <w:p>
            <w:pPr>
              <w:jc w:val="right"/>
              <w:ind w:right="421"/>
              <w:spacing w:after="0"/>
              <w:rPr>
                <w:sz w:val="20"/>
                <w:szCs w:val="20"/>
                <w:color w:val="auto"/>
              </w:rPr>
            </w:pPr>
            <w:r>
              <w:rPr>
                <w:rFonts w:ascii="Arial" w:cs="Arial" w:eastAsia="Arial" w:hAnsi="Arial"/>
                <w:sz w:val="18"/>
                <w:szCs w:val="18"/>
                <w:color w:val="auto"/>
              </w:rPr>
              <w:t>672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(18,333</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(30,276</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(11,943</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NM:  Results not meaningful</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Research and development expenses increased by $9.9 million, or 68.1%, for the year ended December 31, 2018, compared to the year ended December 31, 2017. The increase was primarily due to $4.8 million of increased consulting and outside services costs, $2.2 million of increased compensation costs, $2.1 million of increased laboratory supply costs, $0.6 million of increased rent expense, $0.3 million increase in depreciation expense, $0.1 million increase in miscellaneous and other expenses and $0.1 million increase in stock-based compensation expense, partially offset by a $0.3 million reduction in sponsored research expenses. Consulting and outside services and laboratory and equipment supplies costs increased due to increased PLN-74809 and PLN-1474 development activities. Compensation costs increased as a result of headcount increases. Rent expense increased due to the move to new office space in South San Francisco in mid-2018. Depreciation expense increased due to increased leasehold improvements installed at the South San Francisco office. The decrease in sponsored research was due to a decrease in spending for sponsored research activities with universities in 2018, compared to the 2017 period.</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General and administrative expenses increased by $2.7 million, or 70.0%, for the year ended December 31, 2018, compared to the year ended December 31, 2017. The increase was primarily due to $1.0 million of increased professional and consulting costs, $0.5 million of increased compensation costs, $0.5 million increase in charitable contributions, $0.2 million increase in travel related expenses, $0.3 million increase in miscellaneous and other expenses and $0.1 million increase in stock-based compensation expense. Professional and consulting costs increased primarily as a result of increased legal, marketing, investor relations and accounting fees. Compensation costs increased as a result of increased headcount. Travel related expenses increased due to increased executive travel related to equity raising activities.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Interest income increased by $0.7 million for the year ended December 31, 2018, compared to the year ended December 31, 2017. The increase was attributable to interest income earned on an increased cash and cash equivalents balance from increased convertible preferred stock issuances in 2018 when compared to 2017.</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86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1860" w:type="dxa"/>
            <w:vAlign w:val="bottom"/>
            <w:gridSpan w:val="5"/>
          </w:tcPr>
          <w:p>
            <w:pPr>
              <w:jc w:val="right"/>
              <w:ind w:right="421"/>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$ 5,018</w:t>
            </w:r>
          </w:p>
        </w:tc>
        <w:tc>
          <w:tcPr>
            <w:tcW w:w="3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w w:val="91"/>
              </w:rPr>
              <w:t>$ 11,749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6,731</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134.1%</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1,391</w:t>
            </w:r>
          </w:p>
        </w:tc>
        <w:tc>
          <w:tcPr>
            <w:tcW w:w="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115.0%</w:t>
            </w:r>
          </w:p>
        </w:tc>
        <w:tc>
          <w:tcPr>
            <w:tcW w:w="0" w:type="dxa"/>
            <w:vAlign w:val="bottom"/>
          </w:tcPr>
          <w:p>
            <w:pPr>
              <w:spacing w:after="0"/>
              <w:rPr>
                <w:sz w:val="1"/>
                <w:szCs w:val="1"/>
                <w:color w:val="auto"/>
              </w:rPr>
            </w:pPr>
          </w:p>
        </w:tc>
      </w:tr>
      <w:tr>
        <w:trPr>
          <w:trHeight w:val="230"/>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8,122</w:t>
            </w:r>
          </w:p>
        </w:tc>
        <w:tc>
          <w:tcPr>
            <w:tcW w:w="400" w:type="dxa"/>
            <w:vAlign w:val="bottom"/>
          </w:tcPr>
          <w:p>
            <w:pPr>
              <w:spacing w:after="0"/>
              <w:rPr>
                <w:sz w:val="20"/>
                <w:szCs w:val="20"/>
                <w:color w:val="auto"/>
              </w:rPr>
            </w:pP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130.4%</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(6,228)</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1"/>
              </w:rPr>
              <w:t>(8,122)</w:t>
            </w:r>
          </w:p>
        </w:tc>
        <w:tc>
          <w:tcPr>
            <w:tcW w:w="8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1"/>
              </w:rPr>
              <w:t>130.4%</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1"/>
              <w:spacing w:after="0"/>
              <w:rPr>
                <w:sz w:val="20"/>
                <w:szCs w:val="20"/>
                <w:color w:val="auto"/>
              </w:rPr>
            </w:pPr>
            <w:r>
              <w:rPr>
                <w:rFonts w:ascii="Arial" w:cs="Arial" w:eastAsia="Arial" w:hAnsi="Arial"/>
                <w:sz w:val="18"/>
                <w:szCs w:val="18"/>
                <w:color w:val="auto"/>
              </w:rPr>
              <w:t>297</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(6,222</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(14,023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(7,801</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8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125.4%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6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NM:  Results not meaningful</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Research and development expenses increased by $6.7 million, or 134.1%, for the three months ended March 31, 2019, compared to the three months ended March 31, 2018. The increase was primarily due to $5.4 million of increased consulting and outside services costs, $0.8 million of increased compensation costs, $0.2 million of increased rent expense, $0.1 million in increased stock-based compensation costs, $0.1 million of increased depreciation expense and $0.1 million of increased miscellaneous and other expenses. Consulting and outside services costs increased due to increased PLN-74809 and PLN-1474 development activities. Compensation costs and stock-based compensation costs increased as a result of headcount increases. Rent expense increased due to the move to new office space in South San Francisco in mid-2018. Depreciation expense increased due to increased leasehold improvements installed at the South San Francisco office.</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General and administrative expenses increased by $1.4 million, or 115.0%, for the three months ended March 31, 2019, compared to the three months ended March 31, 2018. The increase was primarily due to $0.4 million of increased compensation costs, $0.3 million of increased charitable contributions, $0.2 million of increased stock-based compensation costs, $0.1 million of increased professional and consulting costs and $0.4 million of increased miscellaneous and other expenses. Compensation costs and stock-based compensation costs increased as a result of increased headcount.</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Interest income increased by $0.3 million for the three months ended March 31, 2019, compared to the three months ended March 31, 2018. The increase was attributable to interest income earned on higher cash and cash equivalents balances resulting from preferred stock issuances in the second half of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Since inception and through March 31, 2019, we have funded our operations primarily by net proceeds of $123.8 million from the sale of our redeemable convertible preferred stock. At March 31, 2019, we had available cash, cash equivalents and short-term investments of $49.7 million.</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have incurred operating losses and experienced negative operating cash flows since our inception, we will continue to incur losses for the foreseeable future and will require additional financial resources to continue to advance our products and intellectual property. Our net loss was $30.3 million and $14.0 million for the year ended December 31, 2018 and the three months ended March 31, 2019, respectively, and, as of December 31, 2018 and March 31, 2019, we had an accumulated deficit of $71.5 million and $86.5 million, respectively. Based on our current forecast we do not have sufficient cash and cash equivalents for at least the next year following the date that the financial statements appearing elsewhere in this prospectus were issued. These circumstances raise substantial doubt about our ability to continue as a going concern. We will need to obtain additional financing to sustain our operations. However, we may be unable to obtain sufficient financing at acceptable terms, if any at all, and the failure to do so could have a material adverse effect on our business, results of operations and financial condition. The financial statements do not include any adjustments that might result from the outcome of this uncertainty.</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31" w:lineRule="exact"/>
        <w:rPr>
          <w:sz w:val="20"/>
          <w:szCs w:val="20"/>
          <w:color w:val="auto"/>
        </w:rPr>
      </w:pPr>
    </w:p>
    <w:p>
      <w:pPr>
        <w:ind w:left="760" w:hanging="21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30" w:lineRule="exact"/>
        <w:rPr>
          <w:rFonts w:ascii="Arial" w:cs="Arial" w:eastAsia="Arial" w:hAnsi="Arial"/>
          <w:sz w:val="18"/>
          <w:szCs w:val="18"/>
          <w:color w:val="auto"/>
        </w:rPr>
      </w:pPr>
    </w:p>
    <w:p>
      <w:pPr>
        <w:ind w:left="760" w:right="320" w:hanging="212"/>
        <w:spacing w:after="0" w:line="27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we enter into any collaboration agreements and the terms of any such agreements;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30" w:lineRule="exact"/>
        <w:rPr>
          <w:rFonts w:ascii="Arial" w:cs="Arial" w:eastAsia="Arial" w:hAnsi="Arial"/>
          <w:sz w:val="18"/>
          <w:szCs w:val="18"/>
          <w:color w:val="auto"/>
        </w:rPr>
      </w:pPr>
    </w:p>
    <w:p>
      <w:pPr>
        <w:ind w:left="760" w:right="360" w:hanging="212"/>
        <w:spacing w:after="0" w:line="27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30" w:lineRule="exact"/>
        <w:rPr>
          <w:rFonts w:ascii="Arial" w:cs="Arial" w:eastAsia="Arial" w:hAnsi="Arial"/>
          <w:sz w:val="18"/>
          <w:szCs w:val="18"/>
          <w:color w:val="auto"/>
        </w:rPr>
      </w:pPr>
    </w:p>
    <w:p>
      <w:pPr>
        <w:ind w:left="760" w:right="120" w:hanging="212"/>
        <w:spacing w:after="0" w:line="27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Further, our operating plan may change, and we may need additional funds to meet operational needs and capital requirements for clinical trials and other research and development expenditures.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4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Years Ended</w:t>
      </w:r>
    </w:p>
    <w:p>
      <w:pPr>
        <w:ind w:left="97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09"/>
        </w:trPr>
        <w:tc>
          <w:tcPr>
            <w:tcW w:w="9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(16,924)</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$(28,328)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(1,405)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(2,323)</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20,006</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87,349</w:t>
            </w:r>
          </w:p>
        </w:tc>
      </w:tr>
      <w:tr>
        <w:trPr>
          <w:trHeight w:val="223"/>
        </w:trPr>
        <w:tc>
          <w:tcPr>
            <w:tcW w:w="9140" w:type="dxa"/>
            <w:vAlign w:val="bottom"/>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$ 56,698</w:t>
            </w:r>
          </w:p>
        </w:tc>
        <w:tc>
          <w:tcPr>
            <w:tcW w:w="12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used in operating activities was $28.3 million for the year ended December 31, 2018 and $16.9 million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Cash used in operating activities in the year ended December 31, 2018, was primarily due to our net loss for the year of $30.3 million adjusted by non-cash charges of $0.9 million and a net change of $1.1 million in our net operating assets and liabilities. The non-cash charges consisted of</w:t>
      </w:r>
    </w:p>
    <w:p>
      <w:pPr>
        <w:ind w:left="120" w:right="80"/>
        <w:spacing w:after="0" w:line="255" w:lineRule="auto"/>
        <w:rPr>
          <w:sz w:val="20"/>
          <w:szCs w:val="20"/>
          <w:color w:val="auto"/>
        </w:rPr>
      </w:pPr>
      <w:r>
        <w:rPr>
          <w:rFonts w:ascii="Arial" w:cs="Arial" w:eastAsia="Arial" w:hAnsi="Arial"/>
          <w:sz w:val="18"/>
          <w:szCs w:val="18"/>
          <w:color w:val="auto"/>
        </w:rPr>
        <w:t>$0.7 million of depreciation expense and $0.2 million of stock-based compensation expense. The changes in our net operating assets and liabilities were primarily due to an increase of $1.5 million in accounts payable and accrued expenses and $0.4 million increase in deferred rent, partially offset by a decrease of $0.8 million in other non-current assets, prepayments and tax credit receivable.</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Cash used in operating activities in the year ended December 31, 2017 was primarily due to our net loss for the year of $18.3 million adjusted by non-cash charges of $0.3 million and net change of $1.1 million in our net operating assets and liabilities. The non-cash charges consisted primarily of $0.3 million for depreciation expense. The changes in our net operating assets and liabilities were primarily due to an increase of $1.3 million in accounts payable and accrued expenses and $0.1 million in other non-current assets, partially offset by a decrease of $0.3 million in prepayments and tax credit receivable.</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years ended December 31, 2017 and 2018, cash used in investing activities was $1.4 million and $2.3 million, respectively, primarily resulting from the purchase of laboratory equipment and leasehold improvements.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During the year ended December 31, 2017, cash provided by financing activities was $20.0 million from the issuance of shares of Series A redeemable convertible preferred stock.</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During the year ended December 31, 2018, cash provided by financing activities was $87.3 million of proceeds from the issuance of shares of Series A and Series B redeemable convertible preferred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44"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Three Months Ended</w:t>
      </w:r>
    </w:p>
    <w:p>
      <w:pPr>
        <w:jc w:val="center"/>
        <w:ind w:left="9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9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(7,587)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$(10,847)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(890)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(27,417)</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19,484</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92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11,007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(38,391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Net cash used in operating activities was $10.8 million for the three months ended March 31, 2019 and $7.6 million for the three months ended March 31, 2018.</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Cash used in operating activities in the three months ended March 31, 2019 was primarily due to our net loss for the period of $14.0 million adjusted by non-cash charges of $0.6 million and net change of $2.6 million in our net operating assets and liabilities. The non-cash charges consisted of $0.3 million of depreciation expense and $0.3 million of stock-based compensation expense. The changes in our net operating assets and liabilities were primarily due to an increase of $2.9 million in accounts payable and accrued expenses, partially offset by a decrease of $0.3 million in other non-current assets, prepayments and a tax credit receivable.</w:t>
      </w:r>
    </w:p>
    <w:p>
      <w:pPr>
        <w:spacing w:after="0" w:line="18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Cash used in operating activities in the three months ended March 31, 2018 was primarily due to our net loss for the period of $6.2 million adjusted by non-cash charges of $0.1 million and net change of $1.5 million in our net operating assets and liabilities. The non-cash charges consisted primarily of $0.1 million for depreciation expense. The changes in our net operating assets and liabilities were primarily due to decreases of $0.9 million in accounts payable and accrued expenses and $0.6 million in other non-current assets, prepayments and a tax credit receivable.</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During the three months ended March 31, 2019 and 2018, cash used in investing activities was $27.4 million and $0.9 million, respectively. Cash used in investing activities for the three months ended March 31, 2019 was primarily due to the purchase of short-term investments of $27.1 million and purchases of property and equipment of $0.3 million. Cash used in investing activities for the three months ended March 31, 2018 was due to property and equipment purchases of $0.9 million.</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three months ended March 31, 2019, cash used in financing activities was $0.1 million for payment of deferred offering costs. During the three months ended March 31, 2018, cash provided by financing activities was $19.5 million of proceeds from the issuance of shares of Series A redeemable convertible preferred stock.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other commitments as of December 31, 2018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w w:val="92"/>
              </w:rPr>
              <w:t>Payments Due by Period</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20" w:type="dxa"/>
            <w:vAlign w:val="bottom"/>
          </w:tcPr>
          <w:p>
            <w:pPr>
              <w:spacing w:after="0"/>
              <w:rPr>
                <w:sz w:val="10"/>
                <w:szCs w:val="10"/>
                <w:color w:val="auto"/>
              </w:rPr>
            </w:pPr>
          </w:p>
        </w:tc>
        <w:tc>
          <w:tcPr>
            <w:tcW w:w="5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1 to 3</w:t>
            </w:r>
          </w:p>
        </w:tc>
        <w:tc>
          <w:tcPr>
            <w:tcW w:w="420" w:type="dxa"/>
            <w:vAlign w:val="bottom"/>
          </w:tcPr>
          <w:p>
            <w:pPr>
              <w:spacing w:after="0"/>
              <w:rPr>
                <w:sz w:val="10"/>
                <w:szCs w:val="10"/>
                <w:color w:val="auto"/>
              </w:rPr>
            </w:pPr>
          </w:p>
        </w:tc>
        <w:tc>
          <w:tcPr>
            <w:tcW w:w="9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3 to 5</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Years</w:t>
            </w:r>
          </w:p>
        </w:tc>
        <w:tc>
          <w:tcPr>
            <w:tcW w:w="42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5 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$3,986</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$4,269</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$13,538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1,892</w:t>
            </w:r>
          </w:p>
        </w:tc>
        <w:tc>
          <w:tcPr>
            <w:tcW w:w="74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3,986</w:t>
            </w:r>
          </w:p>
        </w:tc>
        <w:tc>
          <w:tcPr>
            <w:tcW w:w="13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3,391</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13,538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enter into contracts in the normal course of business with third-party contract organizations for clinical trials, non-clinical studies and testing, manufacturing and other services and products. These contracts generally provide for termination following a certain period after notice and therefore we believe that our cancelable obligations under these agreements are not material and they are not included in the table above.</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have not included milestone or royalty payments or other contractual payment obligations in the table above if the timing and amount of such obligations are unknown or uncertain.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or holdings in any variable interest entities.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$49.7 million as of March 31, 2019 which consisted of bank deposits and highly liquid money market funds. Historical fluctuations in interest rates have not been significant for us. We had no outstanding debt as of March 31, 2019. Due to the short-term maturities of our cash equivalents, an immediate 100 basis point change in interest rates would not have a material effect on the fair market value of our cash equivalents. To minimize the risk in the future, we intend to maintain our portfolio of cash equivalents in institutional market funds that are composed of U.S. Treasury and U.S. Treasury-backed repurchase agreements or short-term U.S. Treasury securities. We do not believe that inflation, interest rate changes, or exchange rate fluctuations had a significant impact on our results of operations for any periods presented herein.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3 to our financial statements appearing elsewhere in this prospectus, we believe that the following accounting policies are those most critical to the judgments and estimates used in the preparation of our financial statements.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the conduct of clinical studies and preclinical studies. We record the estimated costs of research and development activities based upon the estimated amount of services provided but not yet invoiced and include these costs in accrued liabilities in the balance sheets and within research and development expense in the statement of operations.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 For the periods presented, we have experienced no material differences between our accrued expenses and actual expenses.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recognize compensation costs related to stock awards and stock options granted to employees, nonemployees and directors based on the estimated fair value of the awards on the date of grant. We estimate the grant date fair value and the resulting stock-based compensation expense, using the Black-Scholes option-pricing model. The grant date fair value of the stock-based awards is recognized on a straight-line basis over the requisite service periods, which are generally the vesting period of the respective awards. Forfeitures are accounted for as they occur.</w:t>
      </w:r>
    </w:p>
    <w:p>
      <w:pPr>
        <w:spacing w:after="0" w:line="15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which determine the fair value of stock-based awards, including the expected term and the price volatility of the underlying stock. These assumptions include:</w:t>
      </w:r>
    </w:p>
    <w:p>
      <w:pPr>
        <w:spacing w:after="0" w:line="76" w:lineRule="exact"/>
        <w:rPr>
          <w:sz w:val="20"/>
          <w:szCs w:val="20"/>
          <w:color w:val="auto"/>
        </w:rPr>
      </w:pPr>
    </w:p>
    <w:p>
      <w:pPr>
        <w:ind w:left="760" w:hanging="212"/>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“Determination of the Fair Value of Our Common Stock” below.</w:t>
      </w:r>
    </w:p>
    <w:p>
      <w:pPr>
        <w:spacing w:after="0" w:line="130" w:lineRule="exact"/>
        <w:rPr>
          <w:rFonts w:ascii="Arial" w:cs="Arial" w:eastAsia="Arial" w:hAnsi="Arial"/>
          <w:sz w:val="18"/>
          <w:szCs w:val="18"/>
          <w:color w:val="auto"/>
        </w:rPr>
      </w:pPr>
    </w:p>
    <w:p>
      <w:pPr>
        <w:ind w:left="760" w:right="20" w:hanging="212"/>
        <w:spacing w:after="0" w:line="263"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expected term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was calculated based on the weighted-average vesting term of the awards and the contract period, or simplified method, as allowed by the SEC.</w:t>
      </w:r>
    </w:p>
    <w:p>
      <w:pPr>
        <w:spacing w:after="0" w:line="89" w:lineRule="exact"/>
        <w:rPr>
          <w:rFonts w:ascii="Arial" w:cs="Arial" w:eastAsia="Arial" w:hAnsi="Arial"/>
          <w:sz w:val="18"/>
          <w:szCs w:val="18"/>
          <w:color w:val="auto"/>
        </w:rPr>
      </w:pPr>
    </w:p>
    <w:p>
      <w:pPr>
        <w:ind w:left="760" w:right="20" w:hanging="212"/>
        <w:spacing w:after="0" w:line="301" w:lineRule="auto"/>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are not yet a public company and do not have any trading history for our common stock,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We will continue to apply this process until enough historical information regarding the volatility of our own stock price becomes available.</w:t>
      </w:r>
    </w:p>
    <w:p>
      <w:pPr>
        <w:spacing w:after="0" w:line="62" w:lineRule="exact"/>
        <w:rPr>
          <w:rFonts w:ascii="Arial" w:cs="Arial" w:eastAsia="Arial" w:hAnsi="Arial"/>
          <w:sz w:val="16"/>
          <w:szCs w:val="16"/>
          <w:color w:val="auto"/>
        </w:rPr>
      </w:pPr>
    </w:p>
    <w:p>
      <w:pPr>
        <w:ind w:left="760" w:right="620" w:hanging="212"/>
        <w:spacing w:after="0" w:line="277"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75" w:lineRule="exact"/>
        <w:rPr>
          <w:rFonts w:ascii="Arial" w:cs="Arial" w:eastAsia="Arial" w:hAnsi="Arial"/>
          <w:sz w:val="18"/>
          <w:szCs w:val="18"/>
          <w:color w:val="auto"/>
        </w:rPr>
      </w:pPr>
    </w:p>
    <w:p>
      <w:pPr>
        <w:ind w:left="760" w:right="60" w:hanging="212"/>
        <w:spacing w:after="0" w:line="277"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the Fair Value of Our Common Stock</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As there has been no public market for our common stock to date,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our stock awards granted during 2017, our common stock valuations were developed primarily based on the Current Value Method, or CVM, and the Probability Weighted Expected Return Method, or PWERM. The primary considerations were the liquidation and going concern scenario and to a lesser degree, a merger and acquisition and IPO scenarios. For the liquidation scenario, we considered application of the CVM to value the Company and for the going concern scenario, the PWERM was considered.</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CVM is based on an allocation theory that shareholders with senior stock rights would attempt to maximize the value of their holdings based solely on the senior interest’s underlying liquidation preference, participation rights and conversion rights, as well as an imminent liquidity event. This approach determines the value of the enterprise at the valuation date, distributes that value through the existing capital structure and then applies discounts or premiums as may be appropriate to the varying securities classes. It does not consider optionality or upside payoffs for those securities that may not receive value at the current valuation.</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Under the PWERM, the value of a Company’s equity class is estimated based upon an analysis of future values for the entire enterprise assuming various future outcomes. Share value is based upon the probability-weighted present value of these expected outcomes, as well as the rights of each class of preferred and common stock.</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stock awards and options granted in 2018, we considered the use of the Income and Market approaches. Under the income approach, the cash generating ability of the company is valued. This approach focuses on determining a forecast benefit stream that is reflective of the subject company’s most likely future performance. The forecast benefit stream is then discounted to present value based on the appropriate risk-adjusted discount rate or capitalization rate.</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Under the Market approach, we referenced actual transactions involving our company or similar assets and/or enterprises. The Market approach generally consists of two primary methodologies: The Guideline Comparables Method, or GCM and the Guideline Transaction Method, or GTM. The GCM involves identifying and selecting publicly traded companies or guideline public companies, or Guideline Public Companies, with financial and operating characteristics like the subject being valued, and subsequently deriving multiples and other metrics from such Guideline Public Companies to apply to the subject being valued.</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Taking the stage of our development into consideration and expected liquidity events into account, we elected not to rely upon a pure application of the Income or Market valuation approaches. We determined that the PWERM was more appropriate to value our equity classes as the approach is based upon an analysis of future values for the entire enterprise assuming various future outcomes. We did consider elements of the Income and Market approaches for gauging the appropriateness of certain PWERM inputs and assumptions.</w:t>
      </w:r>
    </w:p>
    <w:p>
      <w:pPr>
        <w:spacing w:after="0" w:line="17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to considering the results of these third-party valuations, our board of directors considered various objective and subjective factors to determine the fair value of our common stock as of each grant date, which may be as a date later than the most recent third-party valuation date, including:</w:t>
      </w:r>
    </w:p>
    <w:p>
      <w:pPr>
        <w:spacing w:after="0" w:line="89" w:lineRule="exact"/>
        <w:rPr>
          <w:sz w:val="20"/>
          <w:szCs w:val="20"/>
          <w:color w:val="auto"/>
        </w:rPr>
      </w:pPr>
    </w:p>
    <w:p>
      <w:pPr>
        <w:ind w:left="760" w:hanging="212"/>
        <w:spacing w:after="0" w:line="277"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740" w:hanging="212"/>
        <w:spacing w:after="0" w:line="277"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and planned clinical trials for our product candidates;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760" w:right="100" w:hanging="212"/>
        <w:spacing w:after="0" w:line="277"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considering prevailing market conditions; and</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financial reporting purposes, we considered the amount of time between the valuation date and the grant date of our stock awards and options to determine whether to use the latest common stock valuation or an interpolated fair value between the two valuation dates. This determination included an evaluation of whether the subsequent valuation indicated that any significant change in valuation had occurred between the previous valuation and the grant date.</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 Following the closing of this offering, the fair value of our common stock will be determined based on the quoted market price of our common stock.</w:t>
      </w:r>
    </w:p>
    <w:p>
      <w:pPr>
        <w:spacing w:after="0" w:line="187"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As of December 31, 2018, we had $0.7 million and $0.4 million of unrecognized stock-based compensation expense that is expected to be recognized over the weighted-average periods of 2.2 years and 3.7 years related to restricted stock awards and stock options, respectively.</w:t>
      </w:r>
    </w:p>
    <w:p>
      <w:pPr>
        <w:spacing w:after="0" w:line="12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As of March 31, 2019, we had $0.6 million and $4.2 million of unrecognized stock-based compensation expense that is expected to be recognized over the weighted-average periods of 2.2 years and 3.7 years related to restricted stock awards and stock options, respectively. Based upon the assumed</w:t>
      </w:r>
    </w:p>
    <w:p>
      <w:pPr>
        <w:ind w:left="120" w:right="200"/>
        <w:spacing w:after="0" w:line="255" w:lineRule="auto"/>
        <w:rPr>
          <w:sz w:val="20"/>
          <w:szCs w:val="20"/>
          <w:color w:val="auto"/>
        </w:rPr>
      </w:pPr>
      <w:r>
        <w:rPr>
          <w:rFonts w:ascii="Arial" w:cs="Arial" w:eastAsia="Arial" w:hAnsi="Arial"/>
          <w:sz w:val="18"/>
          <w:szCs w:val="18"/>
          <w:color w:val="auto"/>
        </w:rPr>
        <w:t>initial public offering price of $ , the midpoint of the price range set forth on the cover page of this prospectus, the aggregate intrinsic value of options outstanding as of March 31, 2019 was $ million, $ million of which related to unvested options and $ million of which related to unvested restricted stock awards.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3 to our financial statements appearing elsewhere in this prospectus for more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 and JOBS Act Accounting Election</w:t>
      </w:r>
    </w:p>
    <w:p>
      <w:pPr>
        <w:spacing w:after="0" w:line="121"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 xml:space="preserve">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adopt ASU No. 2016-02 </w:t>
      </w:r>
      <w:r>
        <w:rPr>
          <w:rFonts w:ascii="Arial" w:cs="Arial" w:eastAsia="Arial" w:hAnsi="Arial"/>
          <w:sz w:val="16"/>
          <w:szCs w:val="16"/>
          <w:i w:val="1"/>
          <w:iCs w:val="1"/>
          <w:color w:val="auto"/>
        </w:rPr>
        <w:t>(Topic 842</w:t>
      </w:r>
      <w:r>
        <w:rPr>
          <w:rFonts w:ascii="Arial" w:cs="Arial" w:eastAsia="Arial" w:hAnsi="Arial"/>
          <w:sz w:val="16"/>
          <w:szCs w:val="16"/>
          <w:color w:val="auto"/>
        </w:rPr>
        <w:t>), Leases when the standard is effective for private companies which is for fiscal years beginning after December 15, 2019. As a result, our financial statements may not be comparable to companies that comply with new or revised accounting pronouncements as of public company effective dates.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w:t>
      </w:r>
    </w:p>
    <w:p>
      <w:pPr>
        <w:ind w:left="120" w:right="80" w:hanging="4"/>
        <w:spacing w:after="0" w:line="268" w:lineRule="auto"/>
        <w:tabs>
          <w:tab w:leader="none" w:pos="3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no longer meet the requirements of being an emerging growth company, whichever is earlier.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a clinical stage biopharmaceutical company focused on discovering and developing novel therapies for the treatment of fibrosis.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PLN-74809, is an oral small-molecule dual selective inhibitor of avß6 and avß1 integrins that we are developing for the treatment of idiopathic pulmonary fibrosis, or IPF, and primary sclerosing cholangitis, or PSC. We have completed a Phase 1a SAD/MAD trial and a Phase 1b proof-of-mechanism trial of PLN-74809 in IPF. In the second half of 2019, we plan to initiate two Phase 2a trials in IPF. We also plan to submit an IND for PLN-74809 for the treatment of PSC in the second half of 2019, and plan to initiate a Phase 2a trial as soon as possible thereafter. Our second wholly-owned product candidate, PLN-1474, is an oral small-molecule selective inhibitor of avß1 for the treatment of stage F3/F4 liver fibrosis associated with NASH. We are currently conducting IND-enabling studies and plan to submit an IND application for PLN-1474 by the end of 2019. Our goal is to become a world-leading fibrosis company, developing and commercializing disease-modifying therapies across a spectrum of fibrotic diseases.</w:t>
      </w:r>
    </w:p>
    <w:p>
      <w:pPr>
        <w:spacing w:after="0" w:line="18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Fibrosis refers to the abnormal thickening and scarring of connective tissue due to the production and deposition of excess collagen in the extra-cellular matrix. Fibrosis can occur in many different tissues including lung, liver, kidney, muscle, skin and the gastrointestinal tract, and often causes severe and debilitating disease potentially leading to organ failure and death. Fibrosis has historically proven difficult to treat, which we believe is due to the complexity of the disease biology and the challenge of targeting fibrotic tissues selectively without affecting healthy tissues.</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believe that tissue-specific inhibition of TGF-ß may hold the key to successfully treating fibrosis. In normal tissues TGF-ß is activated in response to tissue injury which initiates a cascade that results in collagen production and, ultimately, scar formation to heal the tissue. In fibrosis, however, TGF-ß signaling becomes dysregulated, with TGF-ß being continuously activated, leading to excess collagen deposition, even in the absence of acute tissue injury. TGF-ß, while implicated in fibrosis pathophysiology, is expressed and intermittently activated across all tissue types and plays important, context-specific roles in tissue homeostasis. Therefore, TGF-ß cannot be blocked systemically without disrupting these homeostatic functions and causing significant toxicities. To more precisely treat fibrosis in specific tissues, we believe it is crucial to discover and treat the underlying mechanism causing excess TGF-ß activation.</w:t>
      </w:r>
    </w:p>
    <w:p>
      <w:pPr>
        <w:spacing w:after="0" w:line="19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Our scientific founders are pioneers in elucidating the role of specific extracellular receptors known as integrins as a key element in the activation of TGF-ß. While the role of integrins in TGF-ß activation has been well-characterized over the past 10 years, integrins have historically been difficult to target therapeutically using small-molecules due to the difficulty of engineering molecules with high receptor selectivity and oral bioavailability. We believe that we have addressed these challenges with our platform. We have built a library of compounds that includes orally bioavailable, selective and potent inhibitors of multiple integrins that may be used to target a range of fibrotic diseases across different tissues.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2065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860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right="280" w:hanging="324"/>
        <w:spacing w:after="0" w:line="253" w:lineRule="auto"/>
        <w:tabs>
          <w:tab w:leader="none" w:pos="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We plan to submit an IND for PLN-74809 for the treatment of PSC in the second half of 2019 incorporating the data from the completed Phase 1a healthy volunteer trial and plan to initiate a Phase 2a clinical trial for PSC thereafter.</w:t>
      </w:r>
    </w:p>
    <w:p>
      <w:pPr>
        <w:spacing w:after="0" w:line="17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lead wholly owned product candidate, PLN-74809, is a small-molecule, dual-selective inhibitor of avß6 and avß1 that we are advancing in IPF and PSC. While expressed at very low levels in normal tissues, avß6 and avß1 are upregulated in the pulmonary tissues of IPF patients, and in the liver tissues of PSC patients. They both serve as activators of TGF-ß, leading to increased collagen production and fibrosis in these tissues. By blocking TGF-ß activation by both avß6 and avß1, we believe PLN-74809 may slow and potentially halt the progression of fibrosis in these patient populations. PLN-74809 has been granted orphan drug designation by the U.S. Food and Drug Administration, or FDA, for both IPF and PSC.</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IPF is the most common and severe form of progressive pulmonary fibrosis, affecting approximately 140,000 patients in the United States. While the underlying cause of IPF is unknown, the course of the disease is well documented, with progressive scarring that destroys the structure and function of the lungs over time. The average life expectancy for patients with confirmed IPF is between three and five years. There are currently two FDA-approved therapies for IPF. Both have shown modest slowing of disease progression. However, both therapies have raised significant safety and tolerability concerns.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PSC is a progressive liver disorder affecting approximately 30,000 to 45,000 patients in the United States. The disease is characterized by fibrosis originating in the bile ducts that ultimately results in bile flow obstruction, or cholestasis, causing liver damage and progressive fibrosis of the liver. Patients have a median survival of 10 to 12 years without intervention and carry high lifetime risk of developing gastrointestinal malignancies. There are currently no FDA-approved therapies for PSC.</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In our live human tissue assay, PLN-74809 showed a greater than 50 percent decrease in the expression of pro-fibrotic genes, such as collagen type I alpha1 chain, or </w:t>
      </w:r>
      <w:r>
        <w:rPr>
          <w:rFonts w:ascii="Arial" w:cs="Arial" w:eastAsia="Arial" w:hAnsi="Arial"/>
          <w:sz w:val="18"/>
          <w:szCs w:val="18"/>
          <w:i w:val="1"/>
          <w:iCs w:val="1"/>
          <w:color w:val="auto"/>
        </w:rPr>
        <w:t>COL1A1,</w:t>
      </w:r>
      <w:r>
        <w:rPr>
          <w:rFonts w:ascii="Arial" w:cs="Arial" w:eastAsia="Arial" w:hAnsi="Arial"/>
          <w:sz w:val="18"/>
          <w:szCs w:val="18"/>
          <w:color w:val="auto"/>
        </w:rPr>
        <w:t xml:space="preserve"> and collagen type 3 alpha1 chain, or </w:t>
      </w:r>
      <w:r>
        <w:rPr>
          <w:rFonts w:ascii="Arial" w:cs="Arial" w:eastAsia="Arial" w:hAnsi="Arial"/>
          <w:sz w:val="18"/>
          <w:szCs w:val="18"/>
          <w:i w:val="1"/>
          <w:iCs w:val="1"/>
          <w:color w:val="auto"/>
        </w:rPr>
        <w:t>COL3A1,</w:t>
      </w:r>
      <w:r>
        <w:rPr>
          <w:rFonts w:ascii="Arial" w:cs="Arial" w:eastAsia="Arial" w:hAnsi="Arial"/>
          <w:sz w:val="18"/>
          <w:szCs w:val="18"/>
          <w:color w:val="auto"/>
        </w:rPr>
        <w:t xml:space="preserve"> that are responsible for collagen production in human IPF and PSC tissues. Additionally, we have completed a study in non-human primates in which we showed that inhibition of avß6 and avß1 reduced TGF-ß activation by greater than 75% in cells isolated from the lungs after seven days of treatment.</w:t>
      </w:r>
    </w:p>
    <w:p>
      <w:pPr>
        <w:spacing w:after="0" w:line="187" w:lineRule="exact"/>
        <w:rPr>
          <w:sz w:val="20"/>
          <w:szCs w:val="20"/>
          <w:color w:val="auto"/>
        </w:rPr>
      </w:pPr>
    </w:p>
    <w:p>
      <w:pPr>
        <w:ind w:left="120" w:right="800" w:firstLine="440"/>
        <w:spacing w:after="0" w:line="308" w:lineRule="auto"/>
        <w:rPr>
          <w:sz w:val="20"/>
          <w:szCs w:val="20"/>
          <w:color w:val="auto"/>
        </w:rPr>
      </w:pPr>
      <w:r>
        <w:rPr>
          <w:rFonts w:ascii="Arial" w:cs="Arial" w:eastAsia="Arial" w:hAnsi="Arial"/>
          <w:sz w:val="17"/>
          <w:szCs w:val="17"/>
          <w:color w:val="auto"/>
        </w:rPr>
        <w:t>We have completed a Phase 1a single ascending dose, or SAD, multiple ascending dose, or MAD, and food effect clinical trial in which PLN-74809 was shown to be orally bioavailable and generally well tolerated with a half-life that may support once-daily dosing.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also completed a Phase 1b proof-of-mechanism trial in healthy volunteers evaluating PLN-74809’s ability to inhibit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TGF-ß activation as measured through pSMAD2/3 activation levels. pSMADs act as signaling molecules directly downstream from the TGF-ß receptor, and therefore pSMAD2/3 activation is used as a reliable biomarker for TGF-ß activation. In the Phase 1b trial, PLN-74809 was shown to inhibit TGF-b activation by up to 70% in alveolar macrophages collected from healthy volunteers, in a dose- and exposure-dependent manner. Additionally, PLN-74809 was well tolerated with only mild adverse events and no drug-related adverse events.</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the second half of 2019, we plan to initiate two Phase 2a trials of PLN-74809 in IPF. In the first of these trials, we plan to enroll 18 IPF patients and utilize a positron emission tomography, or PET, ligand to measure avß6 target engagement by PLN-74809 in the lungs post-treatment. The second trial is expected to be a 12-week double blind placebo-controlled trial involving approximately 40 IPF patients across four cohorts consisting of three doses of PLN-74809 and one placebo and will evaluate safety, tolerability and pharmacokinetics, or PK. We also plan to employ exploratory efficacy endpoints including biomarkers and pulmonary function. We plan to submit an IND for PLN-74809 in PSC in the second half of 2019 and initiate a Phase 2a trial as soon as possible thereafter. This trial is expected to be a 12-week double blind placebo-controlled trial involving approximately 40 PSC patients across four cohorts consisting of three doses of PLN-74809 and one placebo and will evaluate safety, tolerability and PK. We also plan to employ exploratory efficacy endpoints including biomarkers and evaluation of liver-stiffness.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second wholly owned product candidate, PLN-1474, is an oral, small-molecule, selective inhibitor of TGF-ß activation by the integrin avß1, in development for treatment of stage F3/F4 NASH. avß1 serves as an activator of TGF-ß and its expression has been shown to be upregulated in hepatic stellate cells in stage F3 and F4 NASH-associated liver fibrosis.</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NASH is a severe form of non-alcoholic fatty liver disease, or NAFLD, that is associated with the development of liver fibrosis and potentially life-threatening liver dysfunction. NASH is highly prevalent, affecting approximately 16.5 million adults in the United States, including approximately 3.3 million with stage F3/F4 fibrosis. Over time, NASH-related liver fibrosis may progress to cirrhosis, resulting in impaired liver function and increased risk of liver-related complications and mortality. There are currently no approved therapies for NASH, and to date investigational NASH therapies have only shown modest anti-fibrotic benefits in clinical trials.</w:t>
      </w:r>
    </w:p>
    <w:p>
      <w:pPr>
        <w:spacing w:after="0" w:line="188"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 xml:space="preserve">We have shown through our assays of live human fibrotic liver tissue that PLN-1474 is able to decrease the expression of pro-fibrotic genes such as </w:t>
      </w:r>
      <w:r>
        <w:rPr>
          <w:rFonts w:ascii="Arial" w:cs="Arial" w:eastAsia="Arial" w:hAnsi="Arial"/>
          <w:sz w:val="18"/>
          <w:szCs w:val="18"/>
          <w:i w:val="1"/>
          <w:iCs w:val="1"/>
          <w:color w:val="auto"/>
        </w:rPr>
        <w:t>COL1A1</w:t>
      </w:r>
      <w:r>
        <w:rPr>
          <w:rFonts w:ascii="Arial" w:cs="Arial" w:eastAsia="Arial" w:hAnsi="Arial"/>
          <w:sz w:val="18"/>
          <w:szCs w:val="18"/>
          <w:color w:val="auto"/>
        </w:rPr>
        <w:t>, the gene associated with the production of the most abundant type of collagen produced in fibrosis. We have also shown in multiple animal models of NASH that PLN-1474 has a potent anti-fibrotic effect. We are currently completing IND-enabling studies of PLN-1474 and plan to submit an IND by the end of 2019.</w:t>
      </w:r>
    </w:p>
    <w:p>
      <w:pPr>
        <w:spacing w:after="0" w:line="18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Pliant was formed to build upon our scientific founders’ pioneering work elucidating the biology of fibrosis and its underlying causes. Our mission is to advance the understanding of fibrosis by building a biology-, chemistry- and screening-based engine to drive drug development across the spectrum of fibrotic diseases. We have established what we believe is a leading capability to both identify relevant fibrosis targets across different tissue types and address those targets with product candidates that have been optimized for potency and selectivity. We have established collaborations with top medical research institutions such as Stanford University and the University of California, San Francisco that provide us access to human fibrotic tissue from patients undergoing transplant to use in evaluation of our product candidates and share insights with thought leaders to further engage them in our mission. By refining the development of biology-driven product candidates in our laboratories through testing in freshly obtained human fibrotic tissue, we believe that we may be able to increase the efficiency of our development process and maximize the probability of success.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assembled an executive team with highly relevant experience in fibrosis, small-molecule drug discovery and clinical development. Bernard Coulie, M.D., Ph.D., our CEO, has 20 years of experience in drug development, previously serving as CEO and CMO of ActoGeniX, as well as holding senior roles at Johnson &amp; Johnson. Éric Lefebvre, M.D., our Chief Medical Officer, brings deep experience in clinical development in liver disease. He previously served as head of clinical research and development for NASH at Allergan. Prior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Allergan, Dr. Lefebvre led HIV and HCV development at Janssen and later served as CMO at Tobira. Eduard Gorina, M.D., our Vice President of Clinical Development, brings extensive experience in fibrotic disease. Prior to Pliant, Dr. Gorina served as executive director of clinical development at FibroGen where he led clinical programs in IPF and Duchenne muscular dystrophy. He also held senior director roles at InterMune, where he played a key role in the development of pirfenidone, the first therapy approved for IPF. We were founded by world-renowned researchers Dean Sheppard, Rik Derynck, Bill DeGrado and Hal Chapman from the University of California, San Francisco, who bring broad experience in fibrosis biology and small-molecule chemistry among other related disciplines.</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To date, we have raised over $120 million from investors including Third Rock Ventures, Cowen Healthcare Investments, Eventide Asset Management, Schroder Adveq Management, Menlo Ventures, S-Cubed Capital and Agent Capital</w:t>
      </w:r>
      <w:r>
        <w:rPr>
          <w:rFonts w:ascii="Arial" w:cs="Arial" w:eastAsia="Arial" w:hAnsi="Arial"/>
          <w:sz w:val="18"/>
          <w:szCs w:val="18"/>
          <w:b w:val="1"/>
          <w:bCs w:val="1"/>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goal is to become a world-leading fibrosis company, developing and commercializing disease-modifying therapies across a spectrum of fibrotic diseases. To achieve this, we are focused on the following key strategies:</w:t>
      </w:r>
    </w:p>
    <w:p>
      <w:pPr>
        <w:spacing w:after="0" w:line="72" w:lineRule="exact"/>
        <w:rPr>
          <w:sz w:val="20"/>
          <w:szCs w:val="20"/>
          <w:color w:val="auto"/>
        </w:rPr>
      </w:pPr>
    </w:p>
    <w:p>
      <w:pPr>
        <w:ind w:left="760" w:right="40" w:hanging="212"/>
        <w:spacing w:after="0" w:line="289" w:lineRule="auto"/>
        <w:tabs>
          <w:tab w:leader="none" w:pos="7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Rapidly advance PLN-74809 in IPF and PSC through clinical development and commercialization</w:t>
      </w:r>
      <w:r>
        <w:rPr>
          <w:rFonts w:ascii="Arial" w:cs="Arial" w:eastAsia="Arial" w:hAnsi="Arial"/>
          <w:sz w:val="17"/>
          <w:szCs w:val="17"/>
          <w:color w:val="auto"/>
        </w:rPr>
        <w:t>. We are developing our lead oral</w:t>
      </w:r>
      <w:r>
        <w:rPr>
          <w:rFonts w:ascii="Arial" w:cs="Arial" w:eastAsia="Arial" w:hAnsi="Arial"/>
          <w:sz w:val="17"/>
          <w:szCs w:val="17"/>
          <w:b w:val="1"/>
          <w:bCs w:val="1"/>
          <w:color w:val="auto"/>
        </w:rPr>
        <w:t xml:space="preserve"> </w:t>
      </w:r>
      <w:r>
        <w:rPr>
          <w:rFonts w:ascii="Arial" w:cs="Arial" w:eastAsia="Arial" w:hAnsi="Arial"/>
          <w:sz w:val="17"/>
          <w:szCs w:val="17"/>
          <w:color w:val="auto"/>
        </w:rPr>
        <w:t>small-molecule inhibitor of avß6 and avß1 as a novel therapy for both IPF and PSC, each areas of high unmet medical need. Both IPF and PSC are orphan indications that we believe we can commercialize on our own in key geographies using targeted sales forces.</w:t>
      </w:r>
    </w:p>
    <w:p>
      <w:pPr>
        <w:spacing w:after="0" w:line="63" w:lineRule="exact"/>
        <w:rPr>
          <w:rFonts w:ascii="Arial" w:cs="Arial" w:eastAsia="Arial" w:hAnsi="Arial"/>
          <w:sz w:val="17"/>
          <w:szCs w:val="17"/>
          <w:color w:val="auto"/>
        </w:rPr>
      </w:pPr>
    </w:p>
    <w:p>
      <w:pPr>
        <w:ind w:left="760" w:right="40" w:hanging="212"/>
        <w:spacing w:after="0" w:line="261"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Rapidly advance our second compound, PLN-1474, in NASH</w:t>
      </w:r>
      <w:r>
        <w:rPr>
          <w:rFonts w:ascii="Arial" w:cs="Arial" w:eastAsia="Arial" w:hAnsi="Arial"/>
          <w:sz w:val="18"/>
          <w:szCs w:val="18"/>
          <w:color w:val="auto"/>
        </w:rPr>
        <w:t>. PLN-1474 is an oral small-molecule selective inhibitor of avß1 in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for the treatment of stage F3/F4 liver fibrosis associated with NASH, an area of high unmet medical need with no currently FDA-approved treatments. PLN-1474 is currently in IND-enabling studies and we expect to submit an IND for this product candidate by the end of 2019.</w:t>
      </w:r>
    </w:p>
    <w:p>
      <w:pPr>
        <w:spacing w:after="0" w:line="85" w:lineRule="exact"/>
        <w:rPr>
          <w:rFonts w:ascii="Arial" w:cs="Arial" w:eastAsia="Arial" w:hAnsi="Arial"/>
          <w:sz w:val="18"/>
          <w:szCs w:val="18"/>
          <w:color w:val="auto"/>
        </w:rPr>
      </w:pPr>
    </w:p>
    <w:p>
      <w:pPr>
        <w:ind w:left="760" w:hanging="212"/>
        <w:spacing w:after="0" w:line="258"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Selectively evaluate partnerships in indications and geographies where we believe partners can add significant commercial and/or development capabilities. </w:t>
      </w:r>
      <w:r>
        <w:rPr>
          <w:rFonts w:ascii="Arial" w:cs="Arial" w:eastAsia="Arial" w:hAnsi="Arial"/>
          <w:sz w:val="18"/>
          <w:szCs w:val="18"/>
          <w:color w:val="auto"/>
        </w:rPr>
        <w:t>Fibrotic diseases represent a broad set of disease indications to pursue. Our focus is to commercialize our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orphan fibrosis indications and to selectively work with partners in larger fibrosis indications and in geographies outside of North America. Furthermore, we believe our platform is capable of generating product candidates in indications outside of fibrosis, which we will evaluate and potentially choose to partner.</w:t>
      </w:r>
    </w:p>
    <w:p>
      <w:pPr>
        <w:spacing w:after="0" w:line="88" w:lineRule="exact"/>
        <w:rPr>
          <w:rFonts w:ascii="Arial" w:cs="Arial" w:eastAsia="Arial" w:hAnsi="Arial"/>
          <w:sz w:val="18"/>
          <w:szCs w:val="18"/>
          <w:color w:val="auto"/>
        </w:rPr>
      </w:pPr>
    </w:p>
    <w:p>
      <w:pPr>
        <w:ind w:left="760" w:hanging="212"/>
        <w:spacing w:after="0" w:line="261"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Explore opportunities for our pipeline assets in additional fibrotic indications. </w:t>
      </w:r>
      <w:r>
        <w:rPr>
          <w:rFonts w:ascii="Arial" w:cs="Arial" w:eastAsia="Arial" w:hAnsi="Arial"/>
          <w:sz w:val="18"/>
          <w:szCs w:val="18"/>
          <w:color w:val="auto"/>
        </w:rPr>
        <w:t>We are evaluating the potential benefit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outside of their lead indications. Our product candidates have shown anti-fibrotic activity in multiple animal models as well as human tissue in indications outside of IPF, PSC and NASH. We will continue to evaluate additional indications to maximize the potential of our pipeline.</w:t>
      </w:r>
    </w:p>
    <w:p>
      <w:pPr>
        <w:spacing w:after="0" w:line="85" w:lineRule="exact"/>
        <w:rPr>
          <w:rFonts w:ascii="Arial" w:cs="Arial" w:eastAsia="Arial" w:hAnsi="Arial"/>
          <w:sz w:val="18"/>
          <w:szCs w:val="18"/>
          <w:color w:val="auto"/>
        </w:rPr>
      </w:pPr>
    </w:p>
    <w:p>
      <w:pPr>
        <w:ind w:left="760" w:right="40" w:hanging="212"/>
        <w:spacing w:after="0" w:line="273" w:lineRule="auto"/>
        <w:tabs>
          <w:tab w:leader="none" w:pos="7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industry leading tools and capabilities to advance our mission of becoming a leading fibrosis company. </w:t>
      </w:r>
      <w:r>
        <w:rPr>
          <w:rFonts w:ascii="Arial" w:cs="Arial" w:eastAsia="Arial" w:hAnsi="Arial"/>
          <w:sz w:val="17"/>
          <w:szCs w:val="17"/>
          <w:color w:val="auto"/>
        </w:rPr>
        <w:t>Since our</w:t>
      </w:r>
      <w:r>
        <w:rPr>
          <w:rFonts w:ascii="Arial" w:cs="Arial" w:eastAsia="Arial" w:hAnsi="Arial"/>
          <w:sz w:val="17"/>
          <w:szCs w:val="17"/>
          <w:b w:val="1"/>
          <w:bCs w:val="1"/>
          <w:color w:val="auto"/>
        </w:rPr>
        <w:t xml:space="preserve"> </w:t>
      </w:r>
      <w:r>
        <w:rPr>
          <w:rFonts w:ascii="Arial" w:cs="Arial" w:eastAsia="Arial" w:hAnsi="Arial"/>
          <w:sz w:val="17"/>
          <w:szCs w:val="17"/>
          <w:color w:val="auto"/>
        </w:rPr>
        <w:t>founding we have endeavored to advance the understanding of fibrosis biology, uncover new targets and advance novel product candidates. Currently, our proprietary capabilities include a target expression atlas, an expansive library of over 4,500 integrin inhibitor molecules, integrin screening assay platform, live fibrotic human tissue program, PET-ligand imaging program, and biomarker assays. We continue to expand our integrin inhibitor library and develop tools such as additional PET-ligands as well as novel disease biomarkers. In addition, we have over 70,000 compound library for non-integrin targets. We intend to leverage these tools and capabilities in a target- and modality-agnostic manner to expand our pipeline with a mission to become a leading fibrosis company.</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Fibrosis: A Condition of Uncontrolled Scarring</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Fibrosis refers to excessive scarring often resulting from aberrant tissue repair processes. In normal tissues, fibrotic pathways represent a repair mechanism by which the tissues heal themselves in response to injury or disease. These pathways are normally deactivated upon completion of tissue repair. However, when they become dysregulated and remain activated, excess collagen deposition can cause tissues to thicken and become stiff, ultimately impairing their physiological function.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Fibrosis is a disease of connective tissue. Normal connective tissue forms a supportive network between cells, lending structure and integrity to tissues built up of many cell types. Connective tissue is composed of collagenous and elastic fibers, as well as a number of supporting cells such as fibroblasts and white blood cells. These supporting cells are embedded in a gel-like matrix made up of proteins known as the extra-cellular matrix. The most important protein in this matrix is collagen, which takes the form of elongated, fine fibers, providing flexible support to the surrounding cells. In fibrotic tissues, initial insults such as tissue damage or inflammation spur the deposition of excess collagen. Normally such responses are balanced in finely controlled feedback loops, but in fibrotic disease these feedback loops are dysregulated, resulting in progressive scarring, thickening, and loss of function.</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Fibrosis occurs in many organ systems throughout the body including the lungs, liver, kidneys, gastrointestinal tract, skin and muscles. While the exact pathologies of diseases in these organs vary, the development of fibrosis involves many common cell types and biochemical pathways, including the TGF-ß signaling pathway. The ultimate result is similar across many tissues: secretion and extracellular activation of growth factors that stimulate fibroblasts to secrete excess collagen, leading to runaway growth of scar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77790" cy="24860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7779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TGF-ß Signaling in Fibrosis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believe that selectively inhibiting TGF-ß activation holds the key to successfully treating fibrosis across multiple tissues and organs. TGF-ß is secreted by nearly all cells and organs in mammals and stored in large amounts outside of cells, in the extra-cellular matrix, as part of an inactive complex. In healthy tissues, TGF-ß is transiently activated in response to tissue injury which initiates a cascade that results in collagen production and, ultimately, healing of the tissue. In fibrosis, however TGF-ß signaling becomes dysregulated and perpetuated, with TGF-ß being continuously activated, leading to excess collagen deposition in the absence of acute tissue injury. Moreover, induced activation of TGF-ß alone in animal models has been shown to be sufficient to induce fibrosis, and inhibition of TGF-ß activation has been shown to prevent or attenuate fibrosis.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TGF-ß can be activated in multiple ways in response to specific tissue injury. One important class of cell-surface proteins that activate TGF-ß in fibrosis are integrins. Integrins have a variety of functions, including signaling inside the cells, providing tissue structure and stability through adhesion between cells. Integrins are heterodimeric proteins, meaning they are composed of two different protein subunits paired together. These subunits are known as a and ß subunits. In humans, there are eighteen distinct a subunits and eight distinct ß subunits, which combine to form 24 known and functional integrin pairs.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integrins bind the inactive TGF-ß complex. In response to tissue injury, the cells expressing these integrins are induced to contract, exerting physical force on the bound TGF-ß complex. This mechanical force changes the shape of the complex, releasing active TGF-ß. This activation triggers a biological cascade which results in collagen production, and when dysregulated leads to fibrosis. As depicted in the figure below, this cascade involves (i) binding of active TGF-ß to its receptor, the TGF-ß type I receptor kinase also known as ALK5; (ii) phosphorylation of immediate downstream signaling proteins known as SMAD2 and SMAD3; (iii) formation of a transcription initiation complex by pSMAD2, pSMAD3 and SMAD4; and (iv) subsequent transcription of target genes that encode fibrotic proteins such as collagen. Importantly, whereas certain TGF-ß-activating integrins are expressed at very low levels in healthy tissues, the TGF-ß cascade can lead to the upregulation of the these integrins resulting in a TGF-ß-driven positive feed-forward loop which further increases TGF-ß activation. Furthermore, as fibrosis progresses and the fibrotic organ gets stiffer, it becomes progressively easier for contracting cells to activate integrin-bound TGF-ß. It is because of this continued, tissue-specific upregulation of integrins and their key roles in continued TGF-ß-activation that we believe that integrins provide an avenue to selectively inhibit TGF-ß activation in fibrotic tissue without affecting TGF-ß’s important physiological roles in healthy tissues.</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b w:val="1"/>
          <w:bCs w:val="1"/>
          <w:color w:val="auto"/>
        </w:rPr>
        <w:t>v</w:t>
      </w:r>
      <w:r>
        <w:rPr>
          <w:rFonts w:ascii="Arial" w:cs="Arial" w:eastAsia="Arial" w:hAnsi="Arial"/>
          <w:sz w:val="18"/>
          <w:szCs w:val="18"/>
          <w:color w:val="auto"/>
        </w:rPr>
        <w:t xml:space="preserve"> </w:t>
      </w:r>
      <w:r>
        <w:rPr>
          <w:rFonts w:ascii="Arial" w:cs="Arial" w:eastAsia="Arial" w:hAnsi="Arial"/>
          <w:sz w:val="18"/>
          <w:szCs w:val="18"/>
          <w:b w:val="1"/>
          <w:bCs w:val="1"/>
          <w:color w:val="auto"/>
        </w:rPr>
        <w:t>Integrins promote fibrosis through activation of TGF-ß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171450</wp:posOffset>
            </wp:positionV>
            <wp:extent cx="3883025" cy="22802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830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Model of integrin regulation of TGF-ß signaling</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Challenges to Drug Development in Fibrosis</w:t>
      </w:r>
    </w:p>
    <w:p>
      <w:pPr>
        <w:spacing w:after="0" w:line="117"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color w:val="auto"/>
        </w:rPr>
        <w:t>Fibrosis has historically been a difficult therapeutic area to target pharmaceutically. The biology and underlying causes of fibrosis are complex and, in many diseases, poorly understood. In the past, many patients with fibrotic disease were treated with anti-inflammatory agents such as steroids. While steroids may have a mild anti-fibrotic effect in some forms of fibrosis, they can exacerbate others, such as IPF. Additionally, the negative effects of chronic steroid exposure make it difficult to treat patients with these agents for long term periods.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More recently, it has become well understood that regardless of the underlying cause, TGF-ß activation is at the heart of several key processes that drive fibrosis, including collagen formation, deposition of extracellular matrix proteins and activation and proliferation of fibroblast cells. As such, much of the historic drug development efforts to treat fibrosis have been aimed at systemically inhibiting or disrupting the TGF-ß signaling pathway by either (i) blocking TGF-ß binding to the TGF-ß receptors with an antibody or (ii) preventing the type I TGF-ß receptor, also known as ALK5, from activating the SMADs using a small-molecule kinase inhibitor. However, because of TGF-ß’s role in normal physiology, these approaches cause substantial toxicity and dysregulation of normal functions. In fact, documented toxicities that arise from systemic inhibition of TGF-ß signaling include cardiac toxicity, inflammation, and focal epithelial hyperplasia.</w:t>
      </w:r>
    </w:p>
    <w:p>
      <w:pPr>
        <w:spacing w:after="0" w:line="17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potentially safer approach to fibrosis therapy is to inhibit specific pro-fibrotic signaling molecules, such as connective tissue growth factor and autotaxin, which operate downstream of TGF-ß activation, thereby mitigating the tolerability issues associated with systemic TGF-ß inhibition. While tolerability has been shown to improve with this approach, the efficacy shown to date has been modest, likely because TGF-ß activates multiple pro-fibrotic signaling pathways in addition to those targeted by these approaches.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Another recent approach is to prevent TGF-ß activation by stabilizing TGF-ß in its inactive form. However, it is not known whether latent TGF-ß stabilization can be accomplished in a tissue specific manner.</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addition to the historical difficulty in targeting TGF-ß, clinical development for the treatment of fibrosis has also been limited by the lack of tools to understand this complex multicellular process. Only certain parts of this process can be modeled using cellular assays. More complete representations of fibrosis can be generated in animal models, but these models tend to be acute in nature and do not accurately represent disease pathology in humans which, in most cases, develops over decades.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Integrin Inhibitors as a Potential Treatment for Fibrosis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 ideal approach to fibrosis treatment would be one that inhibits TGF-ß activation in only those tissues where fibrosis is occurring. One potential way to accomplish this is to inhibit the integrin proteins that are known to be overexpressed in specific fibrotic tissue and cause the abnormal activation of TGF-ß. In several forms of fibrosis, namely IPF and PSC, TGF-ß activating integrins such as avß6 and avß1 are over-expressed. These integrins are normally expressed at low levels in healthy tissue. Therefore, we would not expect off-target toxicity effects by selectively inhibiting avß6 and avß1. By inhibiting fibrosis-specific TGF-ß activators such as these specific integrins, it is possible to block abnormal TGF-ß activation in the specific tissues where fibrosis occurs, without affecting TGF-ß signaling in healthy tissues. However, integrin drug development has historically been challenging due to the difficulty of developing integrin inhibitors that are both selective for specific integrins and orally bioavailable. We believe our pipeline of orally bioavailable highly selective integrin inhibitors has the potential to address these challenges.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Recently, large biopharmaceutical companies have begun to recognize the potential of anti-integrin approaches to treat fibrosis and made large investments in the space. Biogen is currently developing a subcutaneous antibody against avß6 for treatment of IPF. In preclinical trials, Biogen presented results showing its avß6 antibody reduced pSMAD2 levels, a key biomarker for TGF-ß activation, in alveolar macrophages of non-human primates. In a Phase 2a study presented in 2018, Biogen’s antibody was shown to have a similar effect in IPF patients. Biogen is currently conducting a 290 patient Phase 2b trial with their antibody candidate. In addition, AbbVie recently in-licensed a set of preclinical integrin inhibitors for the treatment of fibrosis including an avß6 inhibitor targeting IPF. The Biogen and AbbVie product candidates are all single selective inhibitors of avß6; however, it has been shown that the expression of both avß6 and avß1 is upregulated in IPF. We believe that our dual-selective avß6/avß1 inhibitor approach has the potential to provide a more potent anti-fibrotic effect than a single selective avß6 inhibitor.</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believe that recent developments in the field of integrin inhibitors validate our initial focus on integrin inhibitors as a treatment for fibrosis. Utilizing our proprietary discovery and development capabilities, we believe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that we have overcome key historical challenges to the development of integrin inhibitors, including potency, selectivity and oral bioavailability. We have identified two orally bioavailable and highly potent and selective integrin inhibitors. Our lead product candidate, PLN-74809, has completed Phase 1a trials and has demonstrated potential for a once daily oral dosing profile.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Capability and Approach to Fibrosis Drug Discovery and Development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Our approach to drug development in fibrosis combines our deep knowledge of the biology of fibrosis with various cellular, tissue,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assays developed in house to interrogate the biology of fibrosis and uncover pathways and potential targets. We developed an extensive panel of cell assays, precision cut tissue assays and animal models covering various types of fibrotic diseases. These assays allow us to evaluate target expression in fibrotic tissues as well as the anti-fibrotic activity of our candidates after treatment and begin to establish proof-of-biological-mechanism in both animal models and human tissue prior to initiating clinical trials. We believe these collective capabilities uniquely allow us to (i) efficiently identify targets, (ii) optimize the potency and selectivity of candidates and (iii) de-risk product candidates in advance of human proof-of-concept.</w:t>
      </w:r>
    </w:p>
    <w:p>
      <w:pPr>
        <w:spacing w:after="0" w:line="16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first tool we use in our discovery process is our target expression atlas. Utilizing samples from normal and fibrotic human tissue, we developed a quantitative atlas of gene and protein expression across multiple fibrotic diseases. This database represents a wealth of data that we use to quantify expression of tissue specific targets for potential therapeutics. The atlas is continuously expanding through acquisition of additional samples as well as additional analyses. To date, we have advanced multiple potential targets to our early discovery pipeline.</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second important tool in our discovery process is our compound library that we screen for activity against targets identified through our target atlas. While we are agnostic to treatment modality, our initial targeted chemistry effort has been focused on integrin inhibitors, and our medicinal chemistry team has developed a proprietary library of over 4,500 potential integrin inhibitors. The goal of the library is to maximize structural diversity while targeting optimal absorption, distribution, metabolism and excretion, or ADME, properties. We expect that the library will continue to grow as we investigate new structures. We have designed the library based on in silico known X-ray structures/homology models, structure-activity relationships of structural motifs of known integrin inhibitors, and de novo molecular design. In addition to our proprietary integrin inhibitor library, we have a non-integrin compound library of over 70,000 compounds that we screen against non-integrin targets.</w:t>
      </w:r>
    </w:p>
    <w:p>
      <w:pPr>
        <w:spacing w:after="0" w:line="17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Once we have identified a potential target through our target expression atlas, we screen our library of compounds against the target. We have developed screening assays for 20 of the 24 known integrins and use these assays to evaluate the potency and selectivity of binding for our potential drug candidates prior to preclinical studies. Given the selectivity and potency challenges that have hampered integrin drug development, we believe our integrin assay panel represents a major step forward in integrin-based drug development.</w:t>
      </w:r>
    </w:p>
    <w:p>
      <w:pPr>
        <w:spacing w:after="0" w:line="17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believe a key advantage of our development strategy is our ability to test our product candidates in live human fibrotic tissue, which helps us to bridge the gap between animal models and clinical proof-of-concept. We have developed proprietary protocols that extend the viability of live human explant tissue samples which allow us to reproducibly perform multiday experiments. We also maintain an on-call, around the clock team that obtains tissue samples following transplant procedures and transports those tissues to our lab within hours of explant, in a highly coordinated process. Our access to these live tissue samples allows us to evaluate the effects of our product candidates on multiple markers of anti-fibrotic activity. The data from these experiments increase our confidence that the tested product candidates will show anti-fibrotic effects in patients. In this way, our human tissue program serves to further de-risk product candidates and increase their likelihood of success in the clinic.</w:t>
      </w:r>
    </w:p>
    <w:p>
      <w:pPr>
        <w:spacing w:after="0" w:line="17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Once in clinical development, we continue to de-risk our programs by designing clinical trials that allow us to show proof-of-mechanism in advance of clinical efficacy data. Because fibrosis is a chronic disease, proof-of-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efficacy in human trials is expensive and takes years to complete. We utilize pharmacodynamic biomarkers and advanced imaging techniques, including PET, to evaluate target engagement by our product candidates over relatively short time periods and observe whether the product candidate is having the anticipated effect. We believe obtaining these clinical data points in an efficient manner will allow us to optimize our clinical development strategy and resource allocation.</w:t>
      </w:r>
    </w:p>
    <w:p>
      <w:pPr>
        <w:spacing w:after="0" w:line="18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and our partners also proactively conduct observational, natural history trials in target diseases to better understand disease pathophysiology and progression and develop new molecular biomarkers. Through these trials, we have gone on to develop patient registries and establish relationships with clinicians at leading medical research institutions dedicated to bringing novel fibrosis therapies to their patients.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are developing an extensive biomarker discovery and validation program. We are seeking to develop biomarkers to (i) identify patients at high risk of rapid disease progression, (ii) identify patients more likely to respond to treatment and (iii) monitor early treatment responses. We are conducting clinical studies and other research with leading academic centers to track disease progression and collect biological samples such as blood, urine, and tissue biopsies which we can use to discover and validate novel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19627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systematic approach to identifying and targeting integrins in fibrosis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Selective inhibition of TGF-ß activation in fibrotic tissues could potentially be the safest and most effective approach to treating fibrosis. One way to accomplish this is to inhibit the integrin receptors that drive excessive activation of TGF-ß. Given the importance of integrins in regulating the initial steps in fibrosis, we have focused our initial drug discovery efforts on a dual approach. This approach includes both biological profiling to identify which integrins are important in various diseased tissues and chemical profiling of libraries containing proprietary integrin inhibitors to help determine their selectivity and potency for individual integrins.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Utilizing our extensive in-house medicinal chemistry expertise, we have created a library of over 4,500 integrin-inhibitors. We screen this library against the integrin targets that we identify through our expression atlas and or biological profiling process. To our knowledge, this type of industrial-scale, systematic biological and chemical profiling, seeking selective inhibitors of one or more integrins, has not previously been carried out. We believe this combination makes our approach distinctive.</w:t>
      </w:r>
    </w:p>
    <w:p>
      <w:pPr>
        <w:spacing w:after="0" w:line="187" w:lineRule="exact"/>
        <w:rPr>
          <w:sz w:val="20"/>
          <w:szCs w:val="20"/>
          <w:color w:val="auto"/>
        </w:rPr>
      </w:pPr>
    </w:p>
    <w:p>
      <w:pPr>
        <w:jc w:val="both"/>
        <w:ind w:left="120" w:right="460" w:firstLine="440"/>
        <w:spacing w:after="0" w:line="259" w:lineRule="auto"/>
        <w:rPr>
          <w:sz w:val="20"/>
          <w:szCs w:val="20"/>
          <w:color w:val="auto"/>
        </w:rPr>
      </w:pPr>
      <w:r>
        <w:rPr>
          <w:rFonts w:ascii="Arial" w:cs="Arial" w:eastAsia="Arial" w:hAnsi="Arial"/>
          <w:sz w:val="18"/>
          <w:szCs w:val="18"/>
          <w:color w:val="auto"/>
        </w:rPr>
        <w:t>Central to our integrin inhibitor discovery process are our integrin assay panels. A key challenge in integrin inhibition, historically, has been selectivity for specific integrins. To address this challenge, we have developed assays against the 20 most relevant known integrins. We use these screening assays to measure potency and selectivity of potential candidates against these integrins. This allows us to quickly optimize the integrin binding profiles of potential development candidates in an iterative process.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Integrins can undergo conformational change. This results in different binding affinities. We believe an ideal integrin inhibitor should potently bind across the spectrum of conformations. Through the use of specific assays, we can measure the potency of our product candidates against multiple integrin conformations and seek to optimize for candidates that are able to potently bind to all conformations.</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to our deep understanding of integrin biology, we have gained significant insight in structure-activity relationships that determine integrin selectivity and optimal PK profiles. Utilizing this knowledge, we are now able to precisely engineer orally bioavailable integrin inhibitors with high potency and desired selectivity.</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Our integrin inhibitor profiling capability has enabled us to quickly identify inhibitors that target individual integrins such as PLN-1474, which selectively inhibits avß1, as well as dual inhibitors such PLN-74809 which selectively targets both avß6 and avß1. Combining the data from our biological profiling and chemical profiling sets has enabled us to identify compounds that we believe have the highest potential for therapeutic activity in specific fibrotic diseases. Our iterative drug discovery effort focuses on drug-like properties of compounds early in the testing process. Compounds are screened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potency/selectivity and ADME/PK properties. This enables us to move from compound optimization to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testing in a matter of months.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to PLN-1474 and PLN-74809, we continue to evaluate our broad proprietary library of integrin inhibitors to identify additional product candidates to treat fibrotic diseases. Furthermore, our approach allows us to use our discovery and development capabilities to develop non-integrin therapeutic modalities to treat fibrotic diseases. Our rich library also provides a deep series of potential backup molecules with structurally unique chemotypes that we believe can enhance the probability of clinical success.</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As with all of our development efforts, a key approach to pre-clinically de-risking our integrin inhibitor candidates is evaluation of the candidates in live human fibrotic tissue obtained following transplant procedures. The ability to observe effects of our product candidates on gene expression in human tissues prior to entering the clinic provides a bridge from animal models to clinical proof-of-concept and helps give us additional confidence as we move toward human trials. Similarly, if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live human tissue studies show little or no effect on the target genes, we can quickly reallocate resources, saving time and money, and minimizing unnecessary patient exposure.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second important de-risking strategy involves biomarker measurement in both preclinical and early stage clinical studies. By utilizing specific biomarkers such as pSMAD2/3 that operate immediately downstream from TGF-ß, we are able to measure the effects of our drugs on TGF-ß activation. We believe understanding the ability of our drug candidates to reduce TGF-ß activation is crucial to gaining confidence in the anti-fibrotic activity of our product candidates as we move forward in the clinic.</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Once in Phase 2 clinical trials, we plan to use an advanced imaging technique to generate mechanistic data and de-risk the development of our candidates. Fibrosis is a chronic process and it can take 6 months to a year to see a clinical benefit with a drug candidate. We intend to utilize PET imaging to evaluate target engagement in patients and to determine if our candidates are having an effect in the tissues. We have an ongoing collaboration with Stanford pursuant to which we are evaluating Stanford’s avß6 PET ligand in IPF patients. We plan to use this ligand to evaluate the level of avß6 expression in the lungs of IPF patients, as well as to measure our product candidate’s ability to bind avß6. Over time, we believe this imaging modality will be able to detect changes in expression levels of avß6 and confirm whether our candidate is having its intended biological effect. In addition to the avß6 PET ligand, we are internally developing PET ligands to other integrins that we will use to evaluate subsequent product candidates.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PLN-74809 for the treatment of IPF and PSC</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lead product candidate, PLN-74809, is an oral small-molecule, dual-selective inhibitor of avß6 and avß1 integrins which we are developing for the treatment of IPF and PSC. We have received orphan drug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designation for PLN-74809 in both IPF and PSC. We completed a Phase 1a trial of PLN-74809 in healthy volunteers and a Phase 1b trial in which we assessed target engagement and proof-of-mechanism in healthy volunteers by examining the inhibition of TGF-ß activation in alveolar macrophages.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Idiopathic pulmonary fibrosis background</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IPF is a debilitating, age-related lung disease of unknown causes that has few treatment options. It is a form of progressive pulmonary fibrosis that leads to thickening and stiffening of the lung tissue resulting in the loss of lung function. As tissue scarring progresses, the lungs’ ability to transfer oxygen into the bloodstream becomes increasingly impaired. Average life expectancy at the time of confirmatory diagnosis of IPF is estimated to be between three and four years. Approximately 60 to 80 percent of patients die within five years of diagnosis. These survival rates are worse than those of many late stage cancers, such as stage 3 breast cancer.</w:t>
      </w:r>
    </w:p>
    <w:p>
      <w:pPr>
        <w:spacing w:after="0" w:line="188"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Patients with IPF experience debilitating symptoms, including shortness of breath and difficulty performing routine functions, such as walking and talking. Other symptoms include a chronic, dry, hacking cough; fatigue; weakness; discomfort in the chest; loss of appetite; and weight loss. IPF is a rare disease that affects approximately 140,000 people in the United States. There are an estimated 30,000 to 40,000 new cases diagnosed each year.</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Currently, there is no pharmacological cure for IPF and only a small proportion of late-stage IPF patients may be eligible for a lung transplant. The current non-transplant standard of care aims to slow the disease progression and improve the quality of life. Two therapies to treat IPF have recently been approved by the FDA: Esbriet</w:t>
      </w:r>
      <w:r>
        <w:rPr>
          <w:rFonts w:ascii="Arial" w:cs="Arial" w:eastAsia="Arial" w:hAnsi="Arial"/>
          <w:sz w:val="15"/>
          <w:szCs w:val="15"/>
          <w:color w:val="auto"/>
        </w:rPr>
        <w:t>®</w:t>
      </w:r>
      <w:r>
        <w:rPr>
          <w:rFonts w:ascii="Arial" w:cs="Arial" w:eastAsia="Arial" w:hAnsi="Arial"/>
          <w:sz w:val="18"/>
          <w:szCs w:val="18"/>
          <w:color w:val="auto"/>
        </w:rPr>
        <w:t xml:space="preserve"> (pirfenidone), marketed by Genentech, and OFEV</w:t>
      </w:r>
      <w:r>
        <w:rPr>
          <w:rFonts w:ascii="Arial" w:cs="Arial" w:eastAsia="Arial" w:hAnsi="Arial"/>
          <w:sz w:val="15"/>
          <w:szCs w:val="15"/>
          <w:color w:val="auto"/>
        </w:rPr>
        <w:t>®</w:t>
      </w:r>
      <w:r>
        <w:rPr>
          <w:rFonts w:ascii="Arial" w:cs="Arial" w:eastAsia="Arial" w:hAnsi="Arial"/>
          <w:sz w:val="18"/>
          <w:szCs w:val="18"/>
          <w:color w:val="auto"/>
        </w:rPr>
        <w:t xml:space="preserve"> (nintedanib), marketed by Boehringer Ingelheim. After decades during which the FDA approved no new treatments for IPF, the approvals of pirfenidone and nintedanib represented a major breakthrough for IPF patients. However, while these therapies may help slow the decline of lung function, neither drug has been shown to stop the progression of IPF. We believe that, despite the approval of pirfenidone and nintedanib by FDA, there remains an unmet need for IPF patients that we plan to address through our product candidate.</w:t>
      </w:r>
    </w:p>
    <w:p>
      <w:pPr>
        <w:spacing w:after="0" w:line="19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Despite its mechanism of action being unknown, pirfenidone has been shown in registrational trials to have a modest effect on slowing the progression of IPF as measured by forced vital capacity, or FVC, in approximately fifteen percent of patients. Recent studies suggest that pirfenidone may have an impact on survival compared to placebo, but these results have not been confirmed.</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Nintedanib is an inhibitor of multiple tyrosine kinases that are receptors for growth factors such as platelet-derived growth factor, or PDGF, fibroblast growth factor, or FGF, and vascular endothelial growth factor or VEGF. Nintedanib reduced the rate of decline of pulmonary function in multiple trials by approximately half and led to significant delays in the time to acute disease exacerbation. While treatment was associated with a trend towards increased survival in registration trials, it has not been shown conclusively to have a survival benefit. Recent exploratory analyses from pooled data from six clinical trials of nintedanib suggest that nintedanib may extend life expectancy in patients with IPF.</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Elevated liver enzymes have been observed with both of these drugs, requiring monitoring of liver tests and potentially temporary dose reduction and discontinuation. Cases of drug-induced liver injury, including one fatal outcome, have been reported in patients treated with nintedanib. Pifenidone’s prescribing information also carries a similar warning about elevated liver enzymes. Despite the remaining unmet need, combined sales of pirfenidone and nintedanib in 2018 were over $2 billion. IPF remains a major cause of morbidity and mortality and an area of high unmet medical need for which a commercial opportunity remains.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Primary sclerosing cholangitis background</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PSC is a progressive liver disorder characterized by inflammation and fibrosis of the bile ducts which transport bile from the liver to the intestines. This type of fibrosis often results in obstruction or interruption of bile flow from the liver, a condition known as cholestasis, leading to liver fibrosis. Cirrhosis eventually develops and many individuals ultimately require a liver transplant. PSC patients are also at a higher risk of developing hepatobiliary cancers, including a 5 to 20 percent lifetime chance of developing cholangiocarcinoma, a typically rare form of cancer with an especially poor prognosis. The exact cause of PSC is unknown. PSC is normally diagnosed at middle age, with a median age at diagnosis of approximately 40 years old. The prevalence of PSC in the United States is estimated to be between 30,000 and 45,000 patients.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absence of liver transplant, median survival of PSC patients is 10 to 12 years following diagnosis without intervention. There are currently no approved pharmacological treatments for PSC. A number of immunosuppressive and anti-inflammatory agents have been studied in patients with PSC, but none has been conclusively proven to slow progression. Liver transplantation is the only available treatment for PSC patients; however, disease has been shown to recur in up to 20 percent of patients following transplantation.</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solution, PLN-74809</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PLN-74809 is a small-molecule that selectively inhibits both avß6 and avß1 integrins that we are developing as a potential once daily oral therapy for IPF and PSC. We have determined that TGF-ß activation in fibrosis associated with IPF and PSC involves both avß6 and avß1 integrins. It has been shown that expression of both avß6 on epithelial cells and avß1 on fibroblasts can lead to excessive activation of TGF-ß in fibrosis. Epithelial tissue includes any tissue that lines the surfaces of the body such as alveoli, bile ducts, urinary tract, skin, and gastrointestinal tract. Each of these tissues contains multiple cell types including epithelial cells and fibroblasts. An important secondary effect of the TGF-ß cascade is that it promotes upregulation of avß6 on epithelial cells. The increased expression of these integrins on the cell surface contributes in turn to further TGF-ß activation in a TGF-ß-driven positive feed-forward loop.</w:t>
      </w:r>
    </w:p>
    <w:p>
      <w:pPr>
        <w:spacing w:after="0" w:line="218" w:lineRule="exact"/>
        <w:rPr>
          <w:sz w:val="20"/>
          <w:szCs w:val="20"/>
          <w:color w:val="auto"/>
        </w:rPr>
      </w:pPr>
    </w:p>
    <w:p>
      <w:pPr>
        <w:ind w:left="6860" w:right="1360"/>
        <w:spacing w:after="0" w:line="282" w:lineRule="auto"/>
        <w:rPr>
          <w:sz w:val="20"/>
          <w:szCs w:val="20"/>
          <w:color w:val="auto"/>
        </w:rPr>
      </w:pPr>
      <w:r>
        <w:rPr>
          <w:rFonts w:ascii="Arial" w:cs="Arial" w:eastAsia="Arial" w:hAnsi="Arial"/>
          <w:sz w:val="18"/>
          <w:szCs w:val="18"/>
          <w:b w:val="1"/>
          <w:bCs w:val="1"/>
          <w:color w:val="auto"/>
        </w:rPr>
        <w:t xml:space="preserve">Activation of TGF-ß by </w:t>
      </w:r>
      <w:r>
        <w:rPr>
          <w:rFonts w:ascii="Arial" w:cs="Arial" w:eastAsia="Arial" w:hAnsi="Arial"/>
          <w:sz w:val="18"/>
          <w:szCs w:val="18"/>
          <w:color w:val="auto"/>
        </w:rPr>
        <w:t>a</w:t>
      </w:r>
      <w:r>
        <w:rPr>
          <w:rFonts w:ascii="Arial" w:cs="Arial" w:eastAsia="Arial" w:hAnsi="Arial"/>
          <w:sz w:val="15"/>
          <w:szCs w:val="15"/>
          <w:b w:val="1"/>
          <w:bCs w:val="1"/>
          <w:color w:val="auto"/>
        </w:rPr>
        <w:t>v</w:t>
      </w:r>
      <w:r>
        <w:rPr>
          <w:rFonts w:ascii="Arial" w:cs="Arial" w:eastAsia="Arial" w:hAnsi="Arial"/>
          <w:sz w:val="18"/>
          <w:szCs w:val="18"/>
          <w:b w:val="1"/>
          <w:bCs w:val="1"/>
          <w:color w:val="auto"/>
        </w:rPr>
        <w:t>ß</w:t>
      </w:r>
      <w:r>
        <w:rPr>
          <w:rFonts w:ascii="Arial" w:cs="Arial" w:eastAsia="Arial" w:hAnsi="Arial"/>
          <w:sz w:val="15"/>
          <w:szCs w:val="15"/>
          <w:b w:val="1"/>
          <w:bCs w:val="1"/>
          <w:color w:val="auto"/>
        </w:rPr>
        <w:t>6</w:t>
      </w:r>
      <w:r>
        <w:rPr>
          <w:rFonts w:ascii="Arial" w:cs="Arial" w:eastAsia="Arial" w:hAnsi="Arial"/>
          <w:sz w:val="18"/>
          <w:szCs w:val="18"/>
          <w:b w:val="1"/>
          <w:bCs w:val="1"/>
          <w:color w:val="auto"/>
        </w:rPr>
        <w:t xml:space="preserve"> and </w:t>
      </w:r>
      <w:r>
        <w:rPr>
          <w:rFonts w:ascii="Arial" w:cs="Arial" w:eastAsia="Arial" w:hAnsi="Arial"/>
          <w:sz w:val="18"/>
          <w:szCs w:val="18"/>
          <w:color w:val="auto"/>
        </w:rPr>
        <w:t>a</w:t>
      </w:r>
      <w:r>
        <w:rPr>
          <w:rFonts w:ascii="Arial" w:cs="Arial" w:eastAsia="Arial" w:hAnsi="Arial"/>
          <w:sz w:val="15"/>
          <w:szCs w:val="15"/>
          <w:b w:val="1"/>
          <w:bCs w:val="1"/>
          <w:color w:val="auto"/>
        </w:rPr>
        <w:t>v</w:t>
      </w:r>
      <w:r>
        <w:rPr>
          <w:rFonts w:ascii="Arial" w:cs="Arial" w:eastAsia="Arial" w:hAnsi="Arial"/>
          <w:sz w:val="18"/>
          <w:szCs w:val="18"/>
          <w:b w:val="1"/>
          <w:bCs w:val="1"/>
          <w:color w:val="auto"/>
        </w:rPr>
        <w:t>ß</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leads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-296545</wp:posOffset>
            </wp:positionV>
            <wp:extent cx="3060065" cy="1611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60065" cy="1611630"/>
                    </a:xfrm>
                    <a:prstGeom prst="rect">
                      <a:avLst/>
                    </a:prstGeom>
                    <a:noFill/>
                  </pic:spPr>
                </pic:pic>
              </a:graphicData>
            </a:graphic>
          </wp:anchor>
        </w:drawing>
      </w:r>
    </w:p>
    <w:p>
      <w:pPr>
        <w:spacing w:after="0" w:line="51" w:lineRule="exact"/>
        <w:rPr>
          <w:sz w:val="20"/>
          <w:szCs w:val="20"/>
          <w:color w:val="auto"/>
        </w:rPr>
      </w:pPr>
    </w:p>
    <w:p>
      <w:pPr>
        <w:ind w:left="6960"/>
        <w:spacing w:after="0"/>
        <w:tabs>
          <w:tab w:leader="none" w:pos="7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Activation of TGF-ß signaling</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pathways</w:t>
      </w:r>
    </w:p>
    <w:p>
      <w:pPr>
        <w:spacing w:after="0" w:line="116" w:lineRule="exact"/>
        <w:rPr>
          <w:sz w:val="20"/>
          <w:szCs w:val="20"/>
          <w:color w:val="auto"/>
        </w:rPr>
      </w:pPr>
    </w:p>
    <w:p>
      <w:pPr>
        <w:ind w:left="7220" w:right="1580" w:hanging="269"/>
        <w:spacing w:after="0" w:line="277" w:lineRule="auto"/>
        <w:tabs>
          <w:tab w:leader="none" w:pos="7200" w:val="left"/>
        </w:tabs>
        <w:rPr>
          <w:sz w:val="20"/>
          <w:szCs w:val="20"/>
          <w:color w:val="auto"/>
        </w:rPr>
      </w:pPr>
      <w:r>
        <w:rPr>
          <w:rFonts w:ascii="Arial" w:cs="Arial" w:eastAsia="Arial" w:hAnsi="Arial"/>
          <w:sz w:val="18"/>
          <w:szCs w:val="18"/>
          <w:color w:val="auto"/>
        </w:rPr>
        <w:t>•</w:t>
        <w:tab/>
        <w:t xml:space="preserve">Expression of pro-fibrotic genes including </w:t>
      </w:r>
      <w:r>
        <w:rPr>
          <w:rFonts w:ascii="Arial" w:cs="Arial" w:eastAsia="Arial" w:hAnsi="Arial"/>
          <w:sz w:val="18"/>
          <w:szCs w:val="18"/>
          <w:i w:val="1"/>
          <w:iCs w:val="1"/>
          <w:color w:val="auto"/>
        </w:rPr>
        <w:t>COL1A1</w:t>
      </w:r>
    </w:p>
    <w:p>
      <w:pPr>
        <w:spacing w:after="0" w:line="76" w:lineRule="exact"/>
        <w:rPr>
          <w:sz w:val="20"/>
          <w:szCs w:val="20"/>
          <w:color w:val="auto"/>
        </w:rPr>
      </w:pPr>
    </w:p>
    <w:p>
      <w:pPr>
        <w:ind w:left="7220" w:right="1300" w:hanging="269"/>
        <w:spacing w:after="0" w:line="277" w:lineRule="auto"/>
        <w:tabs>
          <w:tab w:leader="none" w:pos="7200" w:val="left"/>
        </w:tabs>
        <w:rPr>
          <w:sz w:val="20"/>
          <w:szCs w:val="20"/>
          <w:color w:val="auto"/>
        </w:rPr>
      </w:pPr>
      <w:r>
        <w:rPr>
          <w:rFonts w:ascii="Arial" w:cs="Arial" w:eastAsia="Arial" w:hAnsi="Arial"/>
          <w:sz w:val="18"/>
          <w:szCs w:val="18"/>
          <w:color w:val="auto"/>
        </w:rPr>
        <w:t>•</w:t>
        <w:tab/>
        <w:t>Subsequent collagen production and deposition</w:t>
      </w:r>
    </w:p>
    <w:p>
      <w:pPr>
        <w:spacing w:after="0" w:line="76" w:lineRule="exact"/>
        <w:rPr>
          <w:sz w:val="20"/>
          <w:szCs w:val="20"/>
          <w:color w:val="auto"/>
        </w:rPr>
      </w:pPr>
    </w:p>
    <w:p>
      <w:pPr>
        <w:ind w:left="6960"/>
        <w:spacing w:after="0"/>
        <w:tabs>
          <w:tab w:leader="none" w:pos="7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Additional upregulation of a</w:t>
      </w:r>
      <w:r>
        <w:rPr>
          <w:rFonts w:ascii="Arial" w:cs="Arial" w:eastAsia="Arial" w:hAnsi="Arial"/>
          <w:sz w:val="13"/>
          <w:szCs w:val="13"/>
          <w:color w:val="auto"/>
        </w:rPr>
        <w:t>v</w:t>
      </w:r>
      <w:r>
        <w:rPr>
          <w:rFonts w:ascii="Arial" w:cs="Arial" w:eastAsia="Arial" w:hAnsi="Arial"/>
          <w:sz w:val="16"/>
          <w:szCs w:val="16"/>
          <w:color w:val="auto"/>
        </w:rPr>
        <w:t>ß</w:t>
      </w:r>
      <w:r>
        <w:rPr>
          <w:rFonts w:ascii="Arial" w:cs="Arial" w:eastAsia="Arial" w:hAnsi="Arial"/>
          <w:sz w:val="13"/>
          <w:szCs w:val="13"/>
          <w:color w:val="auto"/>
        </w:rPr>
        <w:t>6</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Epithelial tissue fibrosis is driven by two types of integrins</w:t>
      </w:r>
    </w:p>
    <w:p>
      <w:pPr>
        <w:spacing w:after="0" w:line="229"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Data from our lab, as well as scientific literature, have shown that avß6 and avß1 proteins are overexpressed in at least two different fibrosis indications: IPF and PSC. In lung tissue from IPF patients we and others have shown that alveolar epithelial cells have elevated avß6 expression, and that the level of over-expression correlates with disease severity. We have also shown that in these patients, avß1 expression is upregulated. In liver tissue from PSC patients, we have shown that avß6 is upregulated in cholangiocytes, the epithelial cells that line the bile ducts, and that avß1 is upregulated in whole fibrotic liver tissue. avß6 and avß1 are normally expressed at very low levels in healthy tissue making them ideal targets for selectively inhibiting TGF-ß activation in IPF and PSC.</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205740</wp:posOffset>
            </wp:positionV>
            <wp:extent cx="2219960" cy="1765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1996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vß6 is upregulated in the lung tissue of IPF</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patients and the liver tissue of PSC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160020</wp:posOffset>
            </wp:positionV>
            <wp:extent cx="5092065" cy="2563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9206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p &lt; 0.05</w:t>
      </w:r>
      <w:r>
        <w:rPr>
          <w:rFonts w:ascii="Arial" w:cs="Arial" w:eastAsia="Arial" w:hAnsi="Arial"/>
          <w:sz w:val="15"/>
          <w:szCs w:val="15"/>
          <w:color w:val="auto"/>
        </w:rPr>
        <w:t>(1)</w:t>
      </w:r>
    </w:p>
    <w:p>
      <w:pPr>
        <w:spacing w:after="0" w:line="23" w:lineRule="exact"/>
        <w:rPr>
          <w:sz w:val="20"/>
          <w:szCs w:val="20"/>
          <w:color w:val="auto"/>
        </w:rPr>
      </w:pPr>
    </w:p>
    <w:p>
      <w:pPr>
        <w:jc w:val="both"/>
        <w:ind w:left="540" w:hanging="424"/>
        <w:spacing w:after="0" w:line="255"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p-value is the probability that the reported result was achieved purely by chance, such that a p-value of less than or equal to 0.05 or 0.01 means that there is a 5.0% or 1.0% or less probability, respectively, that the difference between the control group and the treatment group is purely due to chance. A p-value of 0.05 or less typically represents a statistically significant result.</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vß1 expression is upregulated in lung and liver fibrosis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have conducted a non-interventional clinical trial in IPF patients to assess the expression of integrin avß6 using a PET ligand. This trial confirmed that patients with IPF have high levels of integrin avß6 expression, which tend to be co-localized with fibrotic regions of the lungs. The specificity of this PET ligand can be seen in images from an IPF patient who received a unilateral lung transplant. The PET ligand is only taken up in the diseased lung but not in the transplanted healthy lung.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9"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77790" cy="21170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7779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 xml:space="preserve">Pulmonary </w:t>
      </w:r>
      <w:r>
        <w:rPr>
          <w:rFonts w:ascii="Arial" w:cs="Arial" w:eastAsia="Arial" w:hAnsi="Arial"/>
          <w:sz w:val="17"/>
          <w:szCs w:val="17"/>
          <w:color w:val="auto"/>
        </w:rPr>
        <w:t>a</w:t>
      </w:r>
      <w:r>
        <w:rPr>
          <w:rFonts w:ascii="Arial" w:cs="Arial" w:eastAsia="Arial" w:hAnsi="Arial"/>
          <w:sz w:val="17"/>
          <w:szCs w:val="17"/>
          <w:b w:val="1"/>
          <w:bCs w:val="1"/>
          <w:color w:val="auto"/>
        </w:rPr>
        <w:t>vß6 PET ligand uptake in an IPF patient with a unilateral lung transplantation is confined to the IPF lung</w:t>
      </w:r>
    </w:p>
    <w:p>
      <w:pPr>
        <w:spacing w:after="0" w:line="24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We have shown that inhibition of both avß6 and avß1 integrins is required to maximally inhibit the expression of </w:t>
      </w:r>
      <w:r>
        <w:rPr>
          <w:rFonts w:ascii="Arial" w:cs="Arial" w:eastAsia="Arial" w:hAnsi="Arial"/>
          <w:sz w:val="17"/>
          <w:szCs w:val="17"/>
          <w:i w:val="1"/>
          <w:iCs w:val="1"/>
          <w:color w:val="auto"/>
        </w:rPr>
        <w:t>COL1A1</w:t>
      </w:r>
      <w:r>
        <w:rPr>
          <w:rFonts w:ascii="Arial" w:cs="Arial" w:eastAsia="Arial" w:hAnsi="Arial"/>
          <w:sz w:val="17"/>
          <w:szCs w:val="17"/>
          <w:color w:val="auto"/>
        </w:rPr>
        <w:t xml:space="preserve">, a key gene that encodes type I collagen, in models of lung and biliary fibrosis as well as in human IPF tissue. </w:t>
      </w:r>
      <w:r>
        <w:rPr>
          <w:rFonts w:ascii="Arial" w:cs="Arial" w:eastAsia="Arial" w:hAnsi="Arial"/>
          <w:sz w:val="17"/>
          <w:szCs w:val="17"/>
          <w:i w:val="1"/>
          <w:iCs w:val="1"/>
          <w:color w:val="auto"/>
        </w:rPr>
        <w:t>COL1A1</w:t>
      </w:r>
      <w:r>
        <w:rPr>
          <w:rFonts w:ascii="Arial" w:cs="Arial" w:eastAsia="Arial" w:hAnsi="Arial"/>
          <w:sz w:val="17"/>
          <w:szCs w:val="17"/>
          <w:color w:val="auto"/>
        </w:rPr>
        <w:t xml:space="preserve"> is a TGF-ß regulated gene that is expressed in fibrotic tissue. The expression level of </w:t>
      </w:r>
      <w:r>
        <w:rPr>
          <w:rFonts w:ascii="Arial" w:cs="Arial" w:eastAsia="Arial" w:hAnsi="Arial"/>
          <w:sz w:val="17"/>
          <w:szCs w:val="17"/>
          <w:i w:val="1"/>
          <w:iCs w:val="1"/>
          <w:color w:val="auto"/>
        </w:rPr>
        <w:t>COL1A1</w:t>
      </w:r>
      <w:r>
        <w:rPr>
          <w:rFonts w:ascii="Arial" w:cs="Arial" w:eastAsia="Arial" w:hAnsi="Arial"/>
          <w:sz w:val="17"/>
          <w:szCs w:val="17"/>
          <w:color w:val="auto"/>
        </w:rPr>
        <w:t xml:space="preserve"> correlates with the amount of collagen deposited as measured by the standard biochemical method of quantification of hydroxyproline, an amino acid that is a major component of collagen.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development of PLN-74809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Completed trials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completed a Phase 1a SAD/MAD and food effect clinical trial of PLN-74809 in healthy volunteers. In the SAD portion of the trial, single doses of PLN-74809 were administered orally to 32 volunteers across four cohorts at doses of 15, 30, 50 and 75 mg. Eight additional volunteers in the SAD portion of the trial received placebo. In the MAD portion of the trial, PLN-74809 was administered orally to 27 volunteers, once-daily over</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14 days at 10, 20 and 40 mg. Six additional volunteers in the MAD portion of the trial received placebo. In the food effect part of the trial, PLN-74809 was administered orally to 12 volunteers, administered as a single dose of 40 mg with and without food. PLN-74809 was shown to be well tolerated with no dose-related adverse events. All but two adverse events reported in the entire trial were mild except for a moderate adverse event of dental abscess (SAD, 30 mg dose cohort) and a moderate adverse event of viral syndrome (MAD, 40 mg dose cohort). All adverse events resolved or recovered and no dose relationship for adverse events was observed. No notable findings were observed for laboratory abnormalities, vital signs or ECG/telemetry.</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60"/>
          </w:cols>
          <w:pgMar w:left="320" w:top="459" w:right="6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Adverse Events Reported by Participants Receiving PLN-74809 in Phase 1a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171450</wp:posOffset>
            </wp:positionV>
            <wp:extent cx="4063365" cy="22802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6336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8"/>
          <w:szCs w:val="18"/>
          <w:color w:val="auto"/>
        </w:rPr>
        <w:t>Additionally, PLN-74809 was well absorbed orally, and displayed a half-life of over 40 hours. PLN-74809 reached steady state plasma concentrations after seven days of dosing. Co-administration of PLN-74809 with food decreased drug concentrations relative to the fasted state, with AUC decreasing by approximately 40 percent and C</w:t>
      </w:r>
      <w:r>
        <w:rPr>
          <w:rFonts w:ascii="Arial" w:cs="Arial" w:eastAsia="Arial" w:hAnsi="Arial"/>
          <w:sz w:val="15"/>
          <w:szCs w:val="15"/>
          <w:color w:val="auto"/>
        </w:rPr>
        <w:t>max</w:t>
      </w:r>
      <w:r>
        <w:rPr>
          <w:rFonts w:ascii="Arial" w:cs="Arial" w:eastAsia="Arial" w:hAnsi="Arial"/>
          <w:sz w:val="18"/>
          <w:szCs w:val="18"/>
          <w:color w:val="auto"/>
        </w:rPr>
        <w:t xml:space="preserve"> by approximately 50 percent.</w:t>
      </w:r>
    </w:p>
    <w:p>
      <w:pPr>
        <w:spacing w:after="0" w:line="175" w:lineRule="exact"/>
        <w:rPr>
          <w:sz w:val="20"/>
          <w:szCs w:val="20"/>
          <w:color w:val="auto"/>
        </w:rPr>
      </w:pPr>
    </w:p>
    <w:p>
      <w:pPr>
        <w:ind w:left="2240"/>
        <w:spacing w:after="0"/>
        <w:tabs>
          <w:tab w:leader="none" w:pos="7420" w:val="left"/>
        </w:tabs>
        <w:rPr>
          <w:sz w:val="20"/>
          <w:szCs w:val="20"/>
          <w:color w:val="auto"/>
        </w:rPr>
      </w:pPr>
      <w:r>
        <w:rPr>
          <w:rFonts w:ascii="Arial" w:cs="Arial" w:eastAsia="Arial" w:hAnsi="Arial"/>
          <w:sz w:val="18"/>
          <w:szCs w:val="18"/>
          <w:b w:val="1"/>
          <w:bCs w:val="1"/>
          <w:color w:val="auto"/>
        </w:rPr>
        <w:t>Phase 1a SAD PK</w:t>
      </w:r>
      <w:r>
        <w:rPr>
          <w:sz w:val="20"/>
          <w:szCs w:val="20"/>
          <w:color w:val="auto"/>
        </w:rPr>
        <w:tab/>
      </w:r>
      <w:r>
        <w:rPr>
          <w:rFonts w:ascii="Arial" w:cs="Arial" w:eastAsia="Arial" w:hAnsi="Arial"/>
          <w:sz w:val="16"/>
          <w:szCs w:val="16"/>
          <w:b w:val="1"/>
          <w:bCs w:val="1"/>
          <w:color w:val="auto"/>
        </w:rPr>
        <w:t>Phase 1a MAD PK at Day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17227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have also completed a Phase 1b proof-of-mechanism trial in healthy volunteers that was similar in design to our previously completed non-human primate mechanistic trial. The purpose of this randomized, double-blind, ascending-dose, placebo-controlled trial was to evaluate PLN-74809’s ability to inhibit TGF-b activation in the lung as measured by pSMAD2 levels in pulmonary alveolar macrophages collected from BAL fluid and to further characterize the PK/PD relationship in humans. Additionally, this trial will serve to inform dosing in our planned Phase 2a trials. We conducted this trial in healthy volunteers due to the safety risks associated with performing multiple BAL procedures in IPF patients.</w:t>
      </w:r>
    </w:p>
    <w:p>
      <w:pPr>
        <w:spacing w:after="0" w:line="176"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enrolled 18 volunteers across four dose cohorts (each cohort randomized 3:1 active to placebo). Two cohorts were dosed at 20 mg once daily and two cohorts were dosed at 40 mg once daily. Volunteers underwent an initial BAL procedure prior to treatment to measure baseline pSMAD levels. They were then treated with PLN-74809 or placebo for seven days, after which they underwent two additional BAL procedures to measure the amount of pSMAD reduction post-treatment at multiple time points. By utilizing two cohorts each for the 20</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320" w:top="459" w:right="5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mg and 40 mg doses, we were able to measure pSMAD and drug levels at 4 different time points post treatment for each dose (3, 6, 12 and 24 hours post-dose on day 7), allowing assessment of PK/PD relationship over a 24-hour period.</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Phase 1b trial, 16 participants completed pre- and post-treatment BAL procedures. Four out of six participants (66%) receiving the 40 mg dose of PLN-74809 experienced ³49% reductions in pSMAD2 levels at six hours post-dose relative to baseline levels. Notably, all four of the volunteers in the 40 mg dose cohort with reductions in pSMAD2 levels also achieved plasma concentrations of PLN-74809 corresponding to the predicted plasma protein adjusted IC</w:t>
      </w:r>
      <w:r>
        <w:rPr>
          <w:rFonts w:ascii="Arial" w:cs="Arial" w:eastAsia="Arial" w:hAnsi="Arial"/>
          <w:sz w:val="14"/>
          <w:szCs w:val="14"/>
          <w:color w:val="auto"/>
        </w:rPr>
        <w:t>60</w:t>
      </w:r>
      <w:r>
        <w:rPr>
          <w:rFonts w:ascii="Arial" w:cs="Arial" w:eastAsia="Arial" w:hAnsi="Arial"/>
          <w:sz w:val="17"/>
          <w:szCs w:val="17"/>
          <w:color w:val="auto"/>
        </w:rPr>
        <w:t xml:space="preserve"> of 700 ng/ml. The two volunteers in the 40 mg dose cohort who did not achieve these concentrations did not experience reductions in pSMAD2 levels. In the 20 mg dose cohort, no volunteers achieved plasma protein adjusted IC</w:t>
      </w:r>
      <w:r>
        <w:rPr>
          <w:rFonts w:ascii="Arial" w:cs="Arial" w:eastAsia="Arial" w:hAnsi="Arial"/>
          <w:sz w:val="14"/>
          <w:szCs w:val="14"/>
          <w:color w:val="auto"/>
        </w:rPr>
        <w:t>60</w:t>
      </w:r>
      <w:r>
        <w:rPr>
          <w:rFonts w:ascii="Arial" w:cs="Arial" w:eastAsia="Arial" w:hAnsi="Arial"/>
          <w:sz w:val="17"/>
          <w:szCs w:val="17"/>
          <w:color w:val="auto"/>
        </w:rPr>
        <w:t>, and only one volunteer experienced significant reduction in pSMAD2 levels post treatment, relative to baseline levels. These results demonstrate PLN-74809’s effect on reducing TGF-b activation in the lungs in a dose- and exposure-dependent manner, supporting a PK/PD relationship in humans. These data support the biological activity of PLN-74809 and will guide once-daily dose selection and trial design as we move into Phase 2a trials.</w:t>
      </w:r>
    </w:p>
    <w:p>
      <w:pPr>
        <w:spacing w:after="0" w:line="17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Treatment with PLN-74809 was well tolerated with no drug-related adverse events. None of the adverse events reported were observed in more than one participant. In the 40-mg dose cohort, two trial participants discontinued treatment prematurely (one participant receiving PLN-74809 and one receiving placebo) and did not undergo post-treatment BAL procedures; these participants were subsequently replaced.</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Adverse Events Reported by Participants Receiving PLN-74809 in Phase 1b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29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Planned clinical trials for IPF and PSC</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the second half of 2019, we plan to initiate two Phase 2a trials of PLN-74809 in patients with IPF. In the first of these trials, we plan to utilize a PET ligand to avß6 that allows imaging of target engagement by PLN-74809 in the lungs of IPF patients during treatment. This trial will target enrollment of a total of 18 patients in two parts, A and B. In Part A, we plan to enroll 6 patients in two sequential cohorts: first, a 60 mg single-dose cohort (n=3) followed by a 40 mg multiple-dose cohort (n=3) treated for seven days. We will obtain a PET scan at baseline to evaluate avß6 expression levels in the patients’ lungs and then initiate treatment with open-label PLN-74809. In Part A, the post-treatment PET scan will be performed at approximately three hours after administration of the last dose, which will enable us to evaluate PLN-74809’s target engagement in patients’ lungs at maximum drug concentration. When PLN-74809 binds to the avß6 receptor, we would expect to see decreased PET ligand uptake in the lungs post-treatment when compared to pre-treatment levels. The relationship between dose and target engagement is important to guide dose selection in future studies. We expect data from Part A to be available in the first quarter of 2020.</w:t>
      </w:r>
    </w:p>
    <w:p>
      <w:pPr>
        <w:spacing w:after="0" w:line="18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Part B of our Phase 2a PET imaging trial, we plan to measure whether prolonged treatment with PLN-74809 can break the TGF-ß-driven positive feed-forward loop, as previously described, therefore causing downregulation of avß6 expression in the lungs of IPF patients. We plan to enroll a total of 12 patients randomized across two PLN-74809 dose groups, 20 mg once daily and 40 mg once daily, or placebo (randomized 3:1 active to placebo). After obtaining a pre-treatment baseline PET scan to evaluate avß6 expression levels in the patients’ lungs, we will treat patients for 28 days, followed by a 3-day drug washout period. We will obtain 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second, post-treatment PET scan following completion of dosing and washout to evaluate post-treatment avß6 expression levels. If prolonged PLN-74809 treatment is successful in causing downregulation of avß6, we would expect to see reduced PET ligand uptake in patient lungs post-treatment vs. baseline. Downregulation of avß6 expression would reflect effective inhibition of the TGF-ß signaling pathway in IPF patients by PLN-74809.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144780</wp:posOffset>
            </wp:positionV>
            <wp:extent cx="4354830" cy="22028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5483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Design of four week Phase 2a IPF PET imaging trial</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plan to initiate our second Phase 2a randomized, double-blind, placebo-controlled IPF trial in the second half of 2019 evaluating up to three doses of PLN-74809 and enrolling approximately 40 IPF patients. This trial is planned to be initiated as a 4-week trial in a limited number of patients and transitioned into a 12-week trial once non-clinical data support longer term dosing. The primary endpoints for this trial will be safety and tolerability, as well as PK in IPF patients. We plan to evaluate exploratory endpoints including pulmonary function tests, biomarkers, and imaging.</w:t>
      </w:r>
    </w:p>
    <w:p>
      <w:pPr>
        <w:spacing w:after="0" w:line="15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12 Week Safety, PK, Biomarker Trial in IPF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171450</wp:posOffset>
            </wp:positionV>
            <wp:extent cx="5237480" cy="24085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3748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Design of 12 week Phase 2a IPF trial</w:t>
      </w:r>
    </w:p>
    <w:p>
      <w:pPr>
        <w:spacing w:after="0" w:line="1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00"/>
          </w:cols>
          <w:pgMar w:left="320" w:top="459" w:right="6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In addition to the two Phase 2a trials, we plan to initiate a continued Phase 1 dose escalation trial in healthy volunteers in the second half of 2019. Based on pre-clinical findings and the results of our Phase 1b healthy volunteer BAL trial, we believe the human effective dose range for PLN-74809 may be between 40 mg and 120 mg administered once daily. To efficiently evaluate safety and PK at these higher doses, we plan to conduct a single center, randomized, blinded, placebo-controlled, sequential SAD/MAD study. In the SAD cohorts, volunteers will receive a single dose of PLN-74809, starting at 120 mg in cohort 1 and increasing by 40 mg per cohort, to a max of 240 mg in cohort 4. Cohort 1 of the MAD portion of the trial will be dosed at 60 mg once daily for seven days, beginning as soon as possible after cohort 1 of the SAD (120 mg dose) has been deemed to be well tolerated. Subsequent MAD cohorts dosing will increase by 20 mg per cohort, up to a max of 120 mg once daily. The selection of doses in the four SAD cohorts was chosen to provide daily plasma concentrations (area under the curve or AUC) of PLN-74809 similar to steady state concentrations expected to be achieved in the four corresponding MAD cohorts. The results of the continued SAD/MAD trial will guide dose selection in the 12-week Phase 2a IPF and PSC trials. We expect data from the extended SAD/MAD trial to be available by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132715</wp:posOffset>
            </wp:positionV>
            <wp:extent cx="5143500" cy="2100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Design of Extended SAD/MAD Dose Escalation Trial</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plan to file an IND for PLN-74809 in PSC in the second half of 2019 and to initiate our third Phase 2a randomized, double-blind, placebo-controlled trial in PSC patients as soon as possible thereafter. We plan to utilize a similar approach to the previously described IPF study, initiating the trial with a 4-week duration in a limited number of patients and transitioning to a 12-week trial involving approximately 40 PSC patients, evaluating up to three doses of PLN-74809 or placebo. We expect the primary endpoints for this trial will be safety and tolerability, as well as PK. We will also employ exploratory endpoints including fibrosis biomarkers, change in liver function, and imaging.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12 Week Safety, PK, Biomarker Trial in PSC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2219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9493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Design of 12 week Phase 2a PSC trial</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Potential Development Plans for PLN-74809</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currently exploring the potential effects of PLN-74809 in fibrotic diseases outside of IPF and PSC and may choose to explore the development of PLN-74809 in additional indications in the future. For example, we believe PLN-74809 could provide anti-fibrotic benefits in several pulmonary and hepatic fibrosis diseases where there is over-expression of avß6, including pulmonary fibrosis associated with systemic sclerosis, pulmonary fibrosis associated with rheumatoid arthritis, pulmonary fibrosis associated with other forms of interstitial lung disease, primary biliary cholangitis, or PBC, biliary atresia and progressive familial intrahepatic cholestasis, or PFIC. Additionally, we believe that PLN-74809 could provide anti-fibrotic benefits in the setting of end stage renal disease.</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00"/>
          </w:cols>
          <w:pgMar w:left="320" w:top="459" w:right="6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Preclinical data in IPF</w:t>
      </w:r>
    </w:p>
    <w:p>
      <w:pPr>
        <w:spacing w:after="0" w:line="266" w:lineRule="exact"/>
        <w:rPr>
          <w:sz w:val="20"/>
          <w:szCs w:val="20"/>
          <w:color w:val="auto"/>
        </w:rPr>
      </w:pPr>
    </w:p>
    <w:tbl>
      <w:tblPr>
        <w:tblLayout w:type="fixed"/>
        <w:tblInd w:w="130" w:type="dxa"/>
        <w:tblCellMar>
          <w:top w:w="0" w:type="dxa"/>
          <w:left w:w="0" w:type="dxa"/>
          <w:bottom w:w="0" w:type="dxa"/>
          <w:right w:w="0" w:type="dxa"/>
        </w:tblCellMar>
      </w:tblPr>
      <w:tr>
        <w:trPr>
          <w:trHeight w:val="283"/>
        </w:trPr>
        <w:tc>
          <w:tcPr>
            <w:tcW w:w="3660" w:type="dxa"/>
            <w:vAlign w:val="bottom"/>
            <w:tcBorders>
              <w:left w:val="single" w:sz="8" w:color="4B61A8"/>
              <w:right w:val="single" w:sz="8" w:color="4B61A8"/>
            </w:tcBorders>
            <w:shd w:val="clear" w:color="auto" w:fill="4B61A8"/>
          </w:tcPr>
          <w:p>
            <w:pPr>
              <w:spacing w:after="0"/>
              <w:rPr>
                <w:sz w:val="24"/>
                <w:szCs w:val="24"/>
                <w:color w:val="auto"/>
              </w:rPr>
            </w:pPr>
          </w:p>
        </w:tc>
        <w:tc>
          <w:tcPr>
            <w:tcW w:w="7380" w:type="dxa"/>
            <w:vAlign w:val="bottom"/>
            <w:tcBorders>
              <w:right w:val="single" w:sz="8" w:color="4B61A8"/>
            </w:tcBorders>
            <w:shd w:val="clear" w:color="auto" w:fill="4B61A8"/>
          </w:tcPr>
          <w:p>
            <w:pPr>
              <w:ind w:left="620"/>
              <w:spacing w:after="0"/>
              <w:rPr>
                <w:sz w:val="20"/>
                <w:szCs w:val="20"/>
                <w:color w:val="auto"/>
              </w:rPr>
            </w:pPr>
            <w:r>
              <w:rPr>
                <w:rFonts w:ascii="Arial" w:cs="Arial" w:eastAsia="Arial" w:hAnsi="Arial"/>
                <w:sz w:val="18"/>
                <w:szCs w:val="18"/>
                <w:b w:val="1"/>
                <w:bCs w:val="1"/>
                <w:color w:val="FFFFFF"/>
              </w:rPr>
              <w:t>Summary Preclinical Data in IPF</w:t>
            </w:r>
          </w:p>
        </w:tc>
      </w:tr>
      <w:tr>
        <w:trPr>
          <w:trHeight w:val="297"/>
        </w:trPr>
        <w:tc>
          <w:tcPr>
            <w:tcW w:w="3660" w:type="dxa"/>
            <w:vAlign w:val="bottom"/>
            <w:tcBorders>
              <w:left w:val="single" w:sz="8" w:color="4B61A8"/>
              <w:right w:val="single" w:sz="8" w:color="4B61A8"/>
            </w:tcBorders>
            <w:shd w:val="clear" w:color="auto" w:fill="4B61A8"/>
          </w:tcPr>
          <w:p>
            <w:pPr>
              <w:ind w:left="1140"/>
              <w:spacing w:after="0"/>
              <w:rPr>
                <w:sz w:val="20"/>
                <w:szCs w:val="20"/>
                <w:color w:val="auto"/>
              </w:rPr>
            </w:pPr>
            <w:r>
              <w:rPr>
                <w:rFonts w:ascii="Arial" w:cs="Arial" w:eastAsia="Arial" w:hAnsi="Arial"/>
                <w:sz w:val="18"/>
                <w:szCs w:val="18"/>
                <w:b w:val="1"/>
                <w:bCs w:val="1"/>
                <w:color w:val="FFFFFF"/>
              </w:rPr>
              <w:t>Preclinical Findings</w:t>
            </w:r>
          </w:p>
        </w:tc>
        <w:tc>
          <w:tcPr>
            <w:tcW w:w="7380" w:type="dxa"/>
            <w:vAlign w:val="bottom"/>
            <w:tcBorders>
              <w:right w:val="single" w:sz="8" w:color="4B61A8"/>
            </w:tcBorders>
            <w:shd w:val="clear" w:color="auto" w:fill="4B61A8"/>
          </w:tcPr>
          <w:p>
            <w:pPr>
              <w:ind w:left="3300"/>
              <w:spacing w:after="0"/>
              <w:rPr>
                <w:sz w:val="20"/>
                <w:szCs w:val="20"/>
                <w:color w:val="auto"/>
              </w:rPr>
            </w:pPr>
            <w:r>
              <w:rPr>
                <w:rFonts w:ascii="Arial" w:cs="Arial" w:eastAsia="Arial" w:hAnsi="Arial"/>
                <w:sz w:val="18"/>
                <w:szCs w:val="18"/>
                <w:b w:val="1"/>
                <w:bCs w:val="1"/>
                <w:color w:val="FFFFFF"/>
              </w:rPr>
              <w:t>Observations</w:t>
            </w:r>
          </w:p>
        </w:tc>
      </w:tr>
      <w:tr>
        <w:trPr>
          <w:trHeight w:val="25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3"/>
              </w:rPr>
              <w:t>PLN-74809 reduced collagen gene expression</w:t>
            </w:r>
          </w:p>
        </w:tc>
        <w:tc>
          <w:tcPr>
            <w:tcW w:w="7380" w:type="dxa"/>
            <w:vAlign w:val="bottom"/>
            <w:tcBorders>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w w:val="92"/>
              </w:rPr>
              <w:t xml:space="preserve">•  Greater than 50% decrease in expression of </w:t>
            </w:r>
            <w:r>
              <w:rPr>
                <w:rFonts w:ascii="Arial" w:cs="Arial" w:eastAsia="Arial" w:hAnsi="Arial"/>
                <w:sz w:val="18"/>
                <w:szCs w:val="18"/>
                <w:i w:val="1"/>
                <w:iCs w:val="1"/>
                <w:color w:val="auto"/>
                <w:w w:val="92"/>
              </w:rPr>
              <w:t>COL1A1</w:t>
            </w:r>
            <w:r>
              <w:rPr>
                <w:rFonts w:ascii="Arial" w:cs="Arial" w:eastAsia="Arial" w:hAnsi="Arial"/>
                <w:sz w:val="18"/>
                <w:szCs w:val="18"/>
                <w:color w:val="auto"/>
                <w:w w:val="92"/>
              </w:rPr>
              <w:t xml:space="preserve"> relative to DMSO vehicle control seen</w:t>
            </w:r>
          </w:p>
        </w:tc>
      </w:tr>
      <w:tr>
        <w:trPr>
          <w:trHeight w:val="21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in live human ILD lung tissue</w:t>
            </w:r>
          </w:p>
        </w:tc>
        <w:tc>
          <w:tcPr>
            <w:tcW w:w="7380" w:type="dxa"/>
            <w:vAlign w:val="bottom"/>
            <w:tcBorders>
              <w:right w:val="single" w:sz="8" w:color="4B61A8"/>
            </w:tcBorders>
            <w:shd w:val="clear" w:color="auto" w:fill="DBDFED"/>
          </w:tcPr>
          <w:p>
            <w:pPr>
              <w:ind w:left="660"/>
              <w:spacing w:after="0"/>
              <w:rPr>
                <w:sz w:val="20"/>
                <w:szCs w:val="20"/>
                <w:color w:val="auto"/>
              </w:rPr>
            </w:pPr>
            <w:r>
              <w:rPr>
                <w:rFonts w:ascii="Arial" w:cs="Arial" w:eastAsia="Arial" w:hAnsi="Arial"/>
                <w:sz w:val="18"/>
                <w:szCs w:val="18"/>
                <w:color w:val="auto"/>
              </w:rPr>
              <w:t>in lung tissue from five IPF patients and one systemic sclerosis patient</w:t>
            </w:r>
          </w:p>
        </w:tc>
      </w:tr>
      <w:tr>
        <w:trPr>
          <w:trHeight w:val="237"/>
        </w:trPr>
        <w:tc>
          <w:tcPr>
            <w:tcW w:w="3660" w:type="dxa"/>
            <w:vAlign w:val="bottom"/>
            <w:tcBorders>
              <w:left w:val="single" w:sz="8" w:color="4B61A8"/>
              <w:bottom w:val="single" w:sz="8" w:color="4B61A8"/>
              <w:right w:val="single" w:sz="8" w:color="4B61A8"/>
            </w:tcBorders>
            <w:shd w:val="clear" w:color="auto" w:fill="DBDFED"/>
          </w:tcPr>
          <w:p>
            <w:pPr>
              <w:spacing w:after="0"/>
              <w:rPr>
                <w:sz w:val="20"/>
                <w:szCs w:val="20"/>
                <w:color w:val="auto"/>
              </w:rPr>
            </w:pPr>
          </w:p>
        </w:tc>
        <w:tc>
          <w:tcPr>
            <w:tcW w:w="7380" w:type="dxa"/>
            <w:vAlign w:val="bottom"/>
            <w:tcBorders>
              <w:bottom w:val="single" w:sz="8" w:color="4B61A8"/>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rPr>
              <w:t>•  An antibody to avß6 did not significantly decrease expression</w:t>
            </w:r>
          </w:p>
        </w:tc>
      </w:tr>
      <w:tr>
        <w:trPr>
          <w:trHeight w:val="256"/>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pSMAD3 was correlated with extractable</w:t>
            </w:r>
          </w:p>
        </w:tc>
        <w:tc>
          <w:tcPr>
            <w:tcW w:w="7380" w:type="dxa"/>
            <w:vAlign w:val="bottom"/>
            <w:tcBorders>
              <w:right w:val="single" w:sz="8" w:color="4B61A8"/>
            </w:tcBorders>
          </w:tcPr>
          <w:p>
            <w:pPr>
              <w:ind w:left="400"/>
              <w:spacing w:after="0"/>
              <w:rPr>
                <w:sz w:val="20"/>
                <w:szCs w:val="20"/>
                <w:color w:val="auto"/>
              </w:rPr>
            </w:pPr>
            <w:r>
              <w:rPr>
                <w:rFonts w:ascii="Arial" w:cs="Arial" w:eastAsia="Arial" w:hAnsi="Arial"/>
                <w:sz w:val="18"/>
                <w:szCs w:val="18"/>
                <w:color w:val="auto"/>
                <w:w w:val="95"/>
              </w:rPr>
              <w:t>•  pSMAD3 and extractable, or newly formed, collagen 1 were measured in biopsy samples</w:t>
            </w:r>
          </w:p>
        </w:tc>
      </w:tr>
      <w:tr>
        <w:trPr>
          <w:trHeight w:val="216"/>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3"/>
              </w:rPr>
              <w:t>collagen levels in patients suspected of having</w:t>
            </w:r>
          </w:p>
        </w:tc>
        <w:tc>
          <w:tcPr>
            <w:tcW w:w="7380" w:type="dxa"/>
            <w:vAlign w:val="bottom"/>
            <w:tcBorders>
              <w:right w:val="single" w:sz="8" w:color="4B61A8"/>
            </w:tcBorders>
          </w:tcPr>
          <w:p>
            <w:pPr>
              <w:ind w:left="660"/>
              <w:spacing w:after="0"/>
              <w:rPr>
                <w:sz w:val="20"/>
                <w:szCs w:val="20"/>
                <w:color w:val="auto"/>
              </w:rPr>
            </w:pPr>
            <w:r>
              <w:rPr>
                <w:rFonts w:ascii="Arial" w:cs="Arial" w:eastAsia="Arial" w:hAnsi="Arial"/>
                <w:sz w:val="18"/>
                <w:szCs w:val="18"/>
                <w:color w:val="auto"/>
              </w:rPr>
              <w:t>from 18 patients and 5 controls.</w:t>
            </w:r>
          </w:p>
        </w:tc>
      </w:tr>
      <w:tr>
        <w:trPr>
          <w:trHeight w:val="237"/>
        </w:trPr>
        <w:tc>
          <w:tcPr>
            <w:tcW w:w="3660" w:type="dxa"/>
            <w:vAlign w:val="bottom"/>
            <w:tcBorders>
              <w:left w:val="single" w:sz="8" w:color="4B61A8"/>
              <w:bottom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IPF</w:t>
            </w:r>
          </w:p>
        </w:tc>
        <w:tc>
          <w:tcPr>
            <w:tcW w:w="7380" w:type="dxa"/>
            <w:vAlign w:val="bottom"/>
            <w:tcBorders>
              <w:bottom w:val="single" w:sz="8" w:color="4B61A8"/>
              <w:right w:val="single" w:sz="8" w:color="4B61A8"/>
            </w:tcBorders>
          </w:tcPr>
          <w:p>
            <w:pPr>
              <w:ind w:left="400"/>
              <w:spacing w:after="0"/>
              <w:rPr>
                <w:sz w:val="20"/>
                <w:szCs w:val="20"/>
                <w:color w:val="auto"/>
              </w:rPr>
            </w:pPr>
            <w:r>
              <w:rPr>
                <w:rFonts w:ascii="Arial" w:cs="Arial" w:eastAsia="Arial" w:hAnsi="Arial"/>
                <w:sz w:val="18"/>
                <w:szCs w:val="18"/>
                <w:color w:val="auto"/>
                <w:w w:val="95"/>
              </w:rPr>
              <w:t>•  pSMAD3 and extractable collagen 1 were correlated with an r value of 0.7807 (p&lt;0.0001)</w:t>
            </w:r>
          </w:p>
        </w:tc>
      </w:tr>
      <w:tr>
        <w:trPr>
          <w:trHeight w:val="25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0"/>
              </w:rPr>
              <w:t>avß6 and avß1 expression is elevated in mouse</w:t>
            </w:r>
          </w:p>
        </w:tc>
        <w:tc>
          <w:tcPr>
            <w:tcW w:w="7380" w:type="dxa"/>
            <w:vAlign w:val="bottom"/>
            <w:tcBorders>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w w:val="98"/>
              </w:rPr>
              <w:t>•  In both acute and chronic bleomycin IPF mouse models, expression of avß6 and avß1</w:t>
            </w:r>
          </w:p>
        </w:tc>
      </w:tr>
      <w:tr>
        <w:trPr>
          <w:trHeight w:val="230"/>
        </w:trPr>
        <w:tc>
          <w:tcPr>
            <w:tcW w:w="3660" w:type="dxa"/>
            <w:vAlign w:val="bottom"/>
            <w:tcBorders>
              <w:left w:val="single" w:sz="8" w:color="4B61A8"/>
              <w:bottom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bleomycin IPF models</w:t>
            </w:r>
          </w:p>
        </w:tc>
        <w:tc>
          <w:tcPr>
            <w:tcW w:w="7380" w:type="dxa"/>
            <w:vAlign w:val="bottom"/>
            <w:tcBorders>
              <w:bottom w:val="single" w:sz="8" w:color="4B61A8"/>
              <w:right w:val="single" w:sz="8" w:color="4B61A8"/>
            </w:tcBorders>
            <w:shd w:val="clear" w:color="auto" w:fill="DBDFED"/>
          </w:tcPr>
          <w:p>
            <w:pPr>
              <w:ind w:left="660"/>
              <w:spacing w:after="0"/>
              <w:rPr>
                <w:sz w:val="20"/>
                <w:szCs w:val="20"/>
                <w:color w:val="auto"/>
              </w:rPr>
            </w:pPr>
            <w:r>
              <w:rPr>
                <w:rFonts w:ascii="Arial" w:cs="Arial" w:eastAsia="Arial" w:hAnsi="Arial"/>
                <w:sz w:val="18"/>
                <w:szCs w:val="18"/>
                <w:color w:val="auto"/>
              </w:rPr>
              <w:t>integrins was higher in bleomycin exposed animals compared to healthy controls</w:t>
            </w:r>
          </w:p>
        </w:tc>
      </w:tr>
      <w:tr>
        <w:trPr>
          <w:trHeight w:val="249"/>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Dual avß6 and avß1 inhibition decreased</w:t>
            </w:r>
          </w:p>
        </w:tc>
        <w:tc>
          <w:tcPr>
            <w:tcW w:w="7380" w:type="dxa"/>
            <w:vAlign w:val="bottom"/>
            <w:tcBorders>
              <w:right w:val="single" w:sz="8" w:color="4B61A8"/>
            </w:tcBorders>
          </w:tcPr>
          <w:p>
            <w:pPr>
              <w:ind w:left="400"/>
              <w:spacing w:after="0"/>
              <w:rPr>
                <w:sz w:val="20"/>
                <w:szCs w:val="20"/>
                <w:color w:val="auto"/>
              </w:rPr>
            </w:pPr>
            <w:r>
              <w:rPr>
                <w:rFonts w:ascii="Arial" w:cs="Arial" w:eastAsia="Arial" w:hAnsi="Arial"/>
                <w:sz w:val="18"/>
                <w:szCs w:val="18"/>
                <w:color w:val="auto"/>
                <w:w w:val="97"/>
              </w:rPr>
              <w:t>•  Dual inhibition of avß6 and avß1 at 10x IC</w:t>
            </w:r>
            <w:r>
              <w:rPr>
                <w:rFonts w:ascii="Arial" w:cs="Arial" w:eastAsia="Arial" w:hAnsi="Arial"/>
                <w:sz w:val="15"/>
                <w:szCs w:val="15"/>
                <w:color w:val="auto"/>
                <w:w w:val="97"/>
              </w:rPr>
              <w:t>50</w:t>
            </w:r>
            <w:r>
              <w:rPr>
                <w:rFonts w:ascii="Arial" w:cs="Arial" w:eastAsia="Arial" w:hAnsi="Arial"/>
                <w:sz w:val="18"/>
                <w:szCs w:val="18"/>
                <w:color w:val="auto"/>
                <w:w w:val="97"/>
              </w:rPr>
              <w:t xml:space="preserve"> significantly decreased </w:t>
            </w:r>
            <w:r>
              <w:rPr>
                <w:rFonts w:ascii="Arial" w:cs="Arial" w:eastAsia="Arial" w:hAnsi="Arial"/>
                <w:sz w:val="18"/>
                <w:szCs w:val="18"/>
                <w:i w:val="1"/>
                <w:iCs w:val="1"/>
                <w:color w:val="auto"/>
                <w:w w:val="97"/>
              </w:rPr>
              <w:t>Col1a1</w:t>
            </w:r>
            <w:r>
              <w:rPr>
                <w:rFonts w:ascii="Arial" w:cs="Arial" w:eastAsia="Arial" w:hAnsi="Arial"/>
                <w:sz w:val="18"/>
                <w:szCs w:val="18"/>
                <w:color w:val="auto"/>
                <w:w w:val="97"/>
              </w:rPr>
              <w:t xml:space="preserve"> expression</w:t>
            </w:r>
          </w:p>
        </w:tc>
      </w:tr>
      <w:tr>
        <w:trPr>
          <w:trHeight w:val="216"/>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collagen more than avß6 or avß1 single</w:t>
            </w:r>
          </w:p>
        </w:tc>
        <w:tc>
          <w:tcPr>
            <w:tcW w:w="7380" w:type="dxa"/>
            <w:vAlign w:val="bottom"/>
            <w:tcBorders>
              <w:right w:val="single" w:sz="8" w:color="4B61A8"/>
            </w:tcBorders>
          </w:tcPr>
          <w:p>
            <w:pPr>
              <w:ind w:left="660"/>
              <w:spacing w:after="0"/>
              <w:rPr>
                <w:sz w:val="20"/>
                <w:szCs w:val="20"/>
                <w:color w:val="auto"/>
              </w:rPr>
            </w:pPr>
            <w:r>
              <w:rPr>
                <w:rFonts w:ascii="Arial" w:cs="Arial" w:eastAsia="Arial" w:hAnsi="Arial"/>
                <w:sz w:val="18"/>
                <w:szCs w:val="18"/>
                <w:color w:val="auto"/>
              </w:rPr>
              <w:t>relative to DMSO vehicle control</w:t>
            </w:r>
          </w:p>
        </w:tc>
      </w:tr>
      <w:tr>
        <w:trPr>
          <w:trHeight w:val="216"/>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inhibition in mouse chronic bleomycin</w:t>
            </w:r>
          </w:p>
        </w:tc>
        <w:tc>
          <w:tcPr>
            <w:tcW w:w="7380" w:type="dxa"/>
            <w:vAlign w:val="bottom"/>
            <w:tcBorders>
              <w:right w:val="single" w:sz="8" w:color="4B61A8"/>
            </w:tcBorders>
          </w:tcPr>
          <w:p>
            <w:pPr>
              <w:ind w:left="400"/>
              <w:spacing w:after="0"/>
              <w:rPr>
                <w:sz w:val="20"/>
                <w:szCs w:val="20"/>
                <w:color w:val="auto"/>
              </w:rPr>
            </w:pPr>
            <w:r>
              <w:rPr>
                <w:rFonts w:ascii="Arial" w:cs="Arial" w:eastAsia="Arial" w:hAnsi="Arial"/>
                <w:sz w:val="18"/>
                <w:szCs w:val="18"/>
                <w:color w:val="auto"/>
                <w:w w:val="96"/>
              </w:rPr>
              <w:t>•  Single inhibition of either avß6 and avß1 at 10x IC</w:t>
            </w:r>
            <w:r>
              <w:rPr>
                <w:rFonts w:ascii="Arial" w:cs="Arial" w:eastAsia="Arial" w:hAnsi="Arial"/>
                <w:sz w:val="15"/>
                <w:szCs w:val="15"/>
                <w:color w:val="auto"/>
                <w:w w:val="96"/>
              </w:rPr>
              <w:t>50</w:t>
            </w:r>
            <w:r>
              <w:rPr>
                <w:rFonts w:ascii="Arial" w:cs="Arial" w:eastAsia="Arial" w:hAnsi="Arial"/>
                <w:sz w:val="18"/>
                <w:szCs w:val="18"/>
                <w:color w:val="auto"/>
                <w:w w:val="96"/>
              </w:rPr>
              <w:t xml:space="preserve"> did not show significant decrease in</w:t>
            </w:r>
          </w:p>
        </w:tc>
      </w:tr>
      <w:tr>
        <w:trPr>
          <w:trHeight w:val="237"/>
        </w:trPr>
        <w:tc>
          <w:tcPr>
            <w:tcW w:w="3660" w:type="dxa"/>
            <w:vAlign w:val="bottom"/>
            <w:tcBorders>
              <w:left w:val="single" w:sz="8" w:color="4B61A8"/>
              <w:bottom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precision cut lung slices</w:t>
            </w:r>
          </w:p>
        </w:tc>
        <w:tc>
          <w:tcPr>
            <w:tcW w:w="7380" w:type="dxa"/>
            <w:vAlign w:val="bottom"/>
            <w:tcBorders>
              <w:bottom w:val="single" w:sz="8" w:color="4B61A8"/>
              <w:right w:val="single" w:sz="8" w:color="4B61A8"/>
            </w:tcBorders>
          </w:tcPr>
          <w:p>
            <w:pPr>
              <w:ind w:left="660"/>
              <w:spacing w:after="0"/>
              <w:rPr>
                <w:sz w:val="20"/>
                <w:szCs w:val="20"/>
                <w:color w:val="auto"/>
              </w:rPr>
            </w:pPr>
            <w:r>
              <w:rPr>
                <w:rFonts w:ascii="Arial" w:cs="Arial" w:eastAsia="Arial" w:hAnsi="Arial"/>
                <w:sz w:val="18"/>
                <w:szCs w:val="18"/>
                <w:i w:val="1"/>
                <w:iCs w:val="1"/>
                <w:color w:val="auto"/>
              </w:rPr>
              <w:t xml:space="preserve">Col1a1 </w:t>
            </w:r>
            <w:r>
              <w:rPr>
                <w:rFonts w:ascii="Arial" w:cs="Arial" w:eastAsia="Arial" w:hAnsi="Arial"/>
                <w:sz w:val="18"/>
                <w:szCs w:val="18"/>
                <w:color w:val="auto"/>
              </w:rPr>
              <w:t>expression</w:t>
            </w:r>
          </w:p>
        </w:tc>
      </w:tr>
      <w:tr>
        <w:trPr>
          <w:trHeight w:val="25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89"/>
              </w:rPr>
              <w:t>PLN-74809 showed a dose dependent reduction</w:t>
            </w:r>
          </w:p>
        </w:tc>
        <w:tc>
          <w:tcPr>
            <w:tcW w:w="7380" w:type="dxa"/>
            <w:vAlign w:val="bottom"/>
            <w:tcBorders>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w w:val="93"/>
              </w:rPr>
              <w:t>•  Three weeks of treatment with PLN-74809 utilizing second-harmonic generation resulted in</w:t>
            </w:r>
          </w:p>
        </w:tc>
      </w:tr>
      <w:tr>
        <w:trPr>
          <w:trHeight w:val="21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4"/>
              </w:rPr>
              <w:t>in collagen fiber density in a mouse bleomycin</w:t>
            </w:r>
          </w:p>
        </w:tc>
        <w:tc>
          <w:tcPr>
            <w:tcW w:w="7380" w:type="dxa"/>
            <w:vAlign w:val="bottom"/>
            <w:tcBorders>
              <w:right w:val="single" w:sz="8" w:color="4B61A8"/>
            </w:tcBorders>
            <w:shd w:val="clear" w:color="auto" w:fill="DBDFED"/>
          </w:tcPr>
          <w:p>
            <w:pPr>
              <w:ind w:left="660"/>
              <w:spacing w:after="0"/>
              <w:rPr>
                <w:sz w:val="20"/>
                <w:szCs w:val="20"/>
                <w:color w:val="auto"/>
              </w:rPr>
            </w:pPr>
            <w:r>
              <w:rPr>
                <w:rFonts w:ascii="Arial" w:cs="Arial" w:eastAsia="Arial" w:hAnsi="Arial"/>
                <w:sz w:val="18"/>
                <w:szCs w:val="18"/>
                <w:color w:val="auto"/>
              </w:rPr>
              <w:t>a dose dependent decrease in collagen fiber density</w:t>
            </w:r>
          </w:p>
        </w:tc>
      </w:tr>
      <w:tr>
        <w:trPr>
          <w:trHeight w:val="21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IPF model</w:t>
            </w:r>
          </w:p>
        </w:tc>
        <w:tc>
          <w:tcPr>
            <w:tcW w:w="7380" w:type="dxa"/>
            <w:vAlign w:val="bottom"/>
            <w:tcBorders>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w w:val="93"/>
              </w:rPr>
              <w:t>•  Fibrous composite score was significantly reduced in a dose dependent manner vs. vehicle</w:t>
            </w:r>
          </w:p>
        </w:tc>
      </w:tr>
      <w:tr>
        <w:trPr>
          <w:trHeight w:val="237"/>
        </w:trPr>
        <w:tc>
          <w:tcPr>
            <w:tcW w:w="3660" w:type="dxa"/>
            <w:vAlign w:val="bottom"/>
            <w:tcBorders>
              <w:left w:val="single" w:sz="8" w:color="4B61A8"/>
              <w:bottom w:val="single" w:sz="8" w:color="4B61A8"/>
              <w:right w:val="single" w:sz="8" w:color="4B61A8"/>
            </w:tcBorders>
            <w:shd w:val="clear" w:color="auto" w:fill="DBDFED"/>
          </w:tcPr>
          <w:p>
            <w:pPr>
              <w:spacing w:after="0"/>
              <w:rPr>
                <w:sz w:val="20"/>
                <w:szCs w:val="20"/>
                <w:color w:val="auto"/>
              </w:rPr>
            </w:pPr>
          </w:p>
        </w:tc>
        <w:tc>
          <w:tcPr>
            <w:tcW w:w="7380" w:type="dxa"/>
            <w:vAlign w:val="bottom"/>
            <w:tcBorders>
              <w:bottom w:val="single" w:sz="8" w:color="4B61A8"/>
              <w:right w:val="single" w:sz="8" w:color="4B61A8"/>
            </w:tcBorders>
            <w:shd w:val="clear" w:color="auto" w:fill="DBDFED"/>
          </w:tcPr>
          <w:p>
            <w:pPr>
              <w:ind w:left="660"/>
              <w:spacing w:after="0"/>
              <w:rPr>
                <w:sz w:val="20"/>
                <w:szCs w:val="20"/>
                <w:color w:val="auto"/>
              </w:rPr>
            </w:pPr>
            <w:r>
              <w:rPr>
                <w:rFonts w:ascii="Arial" w:cs="Arial" w:eastAsia="Arial" w:hAnsi="Arial"/>
                <w:sz w:val="18"/>
                <w:szCs w:val="18"/>
                <w:color w:val="auto"/>
              </w:rPr>
              <w:t>control</w:t>
            </w:r>
          </w:p>
        </w:tc>
      </w:tr>
      <w:tr>
        <w:trPr>
          <w:trHeight w:val="256"/>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PLN-74809 decreased TGF-ß activation in</w:t>
            </w:r>
          </w:p>
        </w:tc>
        <w:tc>
          <w:tcPr>
            <w:tcW w:w="7380" w:type="dxa"/>
            <w:vAlign w:val="bottom"/>
            <w:tcBorders>
              <w:right w:val="single" w:sz="8" w:color="4B61A8"/>
            </w:tcBorders>
          </w:tcPr>
          <w:p>
            <w:pPr>
              <w:ind w:left="400"/>
              <w:spacing w:after="0"/>
              <w:rPr>
                <w:sz w:val="20"/>
                <w:szCs w:val="20"/>
                <w:color w:val="auto"/>
              </w:rPr>
            </w:pPr>
            <w:r>
              <w:rPr>
                <w:rFonts w:ascii="Arial" w:cs="Arial" w:eastAsia="Arial" w:hAnsi="Arial"/>
                <w:sz w:val="18"/>
                <w:szCs w:val="18"/>
                <w:color w:val="auto"/>
              </w:rPr>
              <w:t>•  After two weeks of treatment with PLN-74809 levels of pSMAD3 were significantly</w:t>
            </w:r>
          </w:p>
        </w:tc>
      </w:tr>
      <w:tr>
        <w:trPr>
          <w:trHeight w:val="216"/>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chronic bleomycin mouse model</w:t>
            </w:r>
          </w:p>
        </w:tc>
        <w:tc>
          <w:tcPr>
            <w:tcW w:w="7380" w:type="dxa"/>
            <w:vAlign w:val="bottom"/>
            <w:tcBorders>
              <w:right w:val="single" w:sz="8" w:color="4B61A8"/>
            </w:tcBorders>
          </w:tcPr>
          <w:p>
            <w:pPr>
              <w:ind w:left="660"/>
              <w:spacing w:after="0"/>
              <w:rPr>
                <w:sz w:val="20"/>
                <w:szCs w:val="20"/>
                <w:color w:val="auto"/>
              </w:rPr>
            </w:pPr>
            <w:r>
              <w:rPr>
                <w:rFonts w:ascii="Arial" w:cs="Arial" w:eastAsia="Arial" w:hAnsi="Arial"/>
                <w:sz w:val="18"/>
                <w:szCs w:val="18"/>
                <w:color w:val="auto"/>
              </w:rPr>
              <w:t>reduced compared to PBS vehicle control</w:t>
            </w:r>
          </w:p>
        </w:tc>
      </w:tr>
      <w:tr>
        <w:trPr>
          <w:trHeight w:val="237"/>
        </w:trPr>
        <w:tc>
          <w:tcPr>
            <w:tcW w:w="3660" w:type="dxa"/>
            <w:vAlign w:val="bottom"/>
            <w:tcBorders>
              <w:left w:val="single" w:sz="8" w:color="4B61A8"/>
              <w:bottom w:val="single" w:sz="8" w:color="4B61A8"/>
              <w:right w:val="single" w:sz="8" w:color="4B61A8"/>
            </w:tcBorders>
          </w:tcPr>
          <w:p>
            <w:pPr>
              <w:spacing w:after="0"/>
              <w:rPr>
                <w:sz w:val="20"/>
                <w:szCs w:val="20"/>
                <w:color w:val="auto"/>
              </w:rPr>
            </w:pPr>
          </w:p>
        </w:tc>
        <w:tc>
          <w:tcPr>
            <w:tcW w:w="7380" w:type="dxa"/>
            <w:vAlign w:val="bottom"/>
            <w:tcBorders>
              <w:bottom w:val="single" w:sz="8" w:color="4B61A8"/>
              <w:right w:val="single" w:sz="8" w:color="4B61A8"/>
            </w:tcBorders>
          </w:tcPr>
          <w:p>
            <w:pPr>
              <w:ind w:left="400"/>
              <w:spacing w:after="0"/>
              <w:rPr>
                <w:sz w:val="20"/>
                <w:szCs w:val="20"/>
                <w:color w:val="auto"/>
              </w:rPr>
            </w:pPr>
            <w:r>
              <w:rPr>
                <w:rFonts w:ascii="Arial" w:cs="Arial" w:eastAsia="Arial" w:hAnsi="Arial"/>
                <w:sz w:val="18"/>
                <w:szCs w:val="18"/>
                <w:color w:val="auto"/>
              </w:rPr>
              <w:t>•  Post-treatment pSMAD3 levels were similar to those of healthy controls</w:t>
            </w:r>
          </w:p>
        </w:tc>
      </w:tr>
      <w:tr>
        <w:trPr>
          <w:trHeight w:val="25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Inhibition of avß6 and avß1 blocked TGF-ß</w:t>
            </w:r>
          </w:p>
        </w:tc>
        <w:tc>
          <w:tcPr>
            <w:tcW w:w="7380" w:type="dxa"/>
            <w:vAlign w:val="bottom"/>
            <w:tcBorders>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rPr>
              <w:t>•  After seven days of treatment with dual avß6 and avß1 inhibitor pSMAD2 levels were</w:t>
            </w:r>
          </w:p>
        </w:tc>
      </w:tr>
      <w:tr>
        <w:trPr>
          <w:trHeight w:val="21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3"/>
              </w:rPr>
              <w:t>activation in the pulmonary cells of non-human</w:t>
            </w:r>
          </w:p>
        </w:tc>
        <w:tc>
          <w:tcPr>
            <w:tcW w:w="7380" w:type="dxa"/>
            <w:vAlign w:val="bottom"/>
            <w:tcBorders>
              <w:right w:val="single" w:sz="8" w:color="4B61A8"/>
            </w:tcBorders>
            <w:shd w:val="clear" w:color="auto" w:fill="DBDFED"/>
          </w:tcPr>
          <w:p>
            <w:pPr>
              <w:ind w:left="660"/>
              <w:spacing w:after="0"/>
              <w:rPr>
                <w:sz w:val="20"/>
                <w:szCs w:val="20"/>
                <w:color w:val="auto"/>
              </w:rPr>
            </w:pPr>
            <w:r>
              <w:rPr>
                <w:rFonts w:ascii="Arial" w:cs="Arial" w:eastAsia="Arial" w:hAnsi="Arial"/>
                <w:sz w:val="18"/>
                <w:szCs w:val="18"/>
                <w:color w:val="auto"/>
              </w:rPr>
              <w:t>reduced by greater than 75% in pulmonary cells of non-human primates</w:t>
            </w:r>
          </w:p>
        </w:tc>
      </w:tr>
      <w:tr>
        <w:trPr>
          <w:trHeight w:val="216"/>
        </w:trPr>
        <w:tc>
          <w:tcPr>
            <w:tcW w:w="36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primates</w:t>
            </w:r>
          </w:p>
        </w:tc>
        <w:tc>
          <w:tcPr>
            <w:tcW w:w="7380" w:type="dxa"/>
            <w:vAlign w:val="bottom"/>
            <w:tcBorders>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rPr>
              <w:t>•  An anti-avß6 antibody showed approximately 50% decrease</w:t>
            </w:r>
          </w:p>
        </w:tc>
      </w:tr>
      <w:tr>
        <w:trPr>
          <w:trHeight w:val="216"/>
        </w:trPr>
        <w:tc>
          <w:tcPr>
            <w:tcW w:w="3660" w:type="dxa"/>
            <w:vAlign w:val="bottom"/>
            <w:tcBorders>
              <w:left w:val="single" w:sz="8" w:color="4B61A8"/>
              <w:right w:val="single" w:sz="8" w:color="4B61A8"/>
            </w:tcBorders>
            <w:shd w:val="clear" w:color="auto" w:fill="DBDFED"/>
          </w:tcPr>
          <w:p>
            <w:pPr>
              <w:spacing w:after="0"/>
              <w:rPr>
                <w:sz w:val="18"/>
                <w:szCs w:val="18"/>
                <w:color w:val="auto"/>
              </w:rPr>
            </w:pPr>
          </w:p>
        </w:tc>
        <w:tc>
          <w:tcPr>
            <w:tcW w:w="7380" w:type="dxa"/>
            <w:vAlign w:val="bottom"/>
            <w:tcBorders>
              <w:right w:val="single" w:sz="8" w:color="4B61A8"/>
            </w:tcBorders>
            <w:shd w:val="clear" w:color="auto" w:fill="DBDFED"/>
          </w:tcPr>
          <w:p>
            <w:pPr>
              <w:ind w:left="400"/>
              <w:spacing w:after="0"/>
              <w:rPr>
                <w:sz w:val="20"/>
                <w:szCs w:val="20"/>
                <w:color w:val="auto"/>
              </w:rPr>
            </w:pPr>
            <w:r>
              <w:rPr>
                <w:rFonts w:ascii="Arial" w:cs="Arial" w:eastAsia="Arial" w:hAnsi="Arial"/>
                <w:sz w:val="18"/>
                <w:szCs w:val="18"/>
                <w:color w:val="auto"/>
                <w:w w:val="94"/>
              </w:rPr>
              <w:t>•  Dual inhibition showed a clear PK/PD relationship with maximal pSMAD2 suppression was</w:t>
            </w:r>
          </w:p>
        </w:tc>
      </w:tr>
      <w:tr>
        <w:trPr>
          <w:trHeight w:val="216"/>
        </w:trPr>
        <w:tc>
          <w:tcPr>
            <w:tcW w:w="3660" w:type="dxa"/>
            <w:vAlign w:val="bottom"/>
            <w:tcBorders>
              <w:left w:val="single" w:sz="8" w:color="4B61A8"/>
              <w:right w:val="single" w:sz="8" w:color="4B61A8"/>
            </w:tcBorders>
            <w:shd w:val="clear" w:color="auto" w:fill="DBDFED"/>
          </w:tcPr>
          <w:p>
            <w:pPr>
              <w:spacing w:after="0"/>
              <w:rPr>
                <w:sz w:val="18"/>
                <w:szCs w:val="18"/>
                <w:color w:val="auto"/>
              </w:rPr>
            </w:pPr>
          </w:p>
        </w:tc>
        <w:tc>
          <w:tcPr>
            <w:tcW w:w="7380" w:type="dxa"/>
            <w:vAlign w:val="bottom"/>
            <w:tcBorders>
              <w:right w:val="single" w:sz="8" w:color="4B61A8"/>
            </w:tcBorders>
            <w:shd w:val="clear" w:color="auto" w:fill="DBDFED"/>
          </w:tcPr>
          <w:p>
            <w:pPr>
              <w:ind w:left="660"/>
              <w:spacing w:after="0"/>
              <w:rPr>
                <w:sz w:val="20"/>
                <w:szCs w:val="20"/>
                <w:color w:val="auto"/>
              </w:rPr>
            </w:pPr>
            <w:r>
              <w:rPr>
                <w:rFonts w:ascii="Arial" w:cs="Arial" w:eastAsia="Arial" w:hAnsi="Arial"/>
                <w:sz w:val="18"/>
                <w:szCs w:val="18"/>
                <w:color w:val="auto"/>
                <w:w w:val="94"/>
              </w:rPr>
              <w:t>achieved and maintained while drug concentrations were in the effective dose range (i.e.,</w:t>
            </w:r>
          </w:p>
        </w:tc>
      </w:tr>
      <w:tr>
        <w:trPr>
          <w:trHeight w:val="244"/>
        </w:trPr>
        <w:tc>
          <w:tcPr>
            <w:tcW w:w="3660" w:type="dxa"/>
            <w:vAlign w:val="bottom"/>
            <w:tcBorders>
              <w:left w:val="single" w:sz="8" w:color="4B61A8"/>
              <w:bottom w:val="single" w:sz="8" w:color="4B61A8"/>
              <w:right w:val="single" w:sz="8" w:color="4B61A8"/>
            </w:tcBorders>
            <w:shd w:val="clear" w:color="auto" w:fill="DBDFED"/>
          </w:tcPr>
          <w:p>
            <w:pPr>
              <w:spacing w:after="0"/>
              <w:rPr>
                <w:sz w:val="21"/>
                <w:szCs w:val="21"/>
                <w:color w:val="auto"/>
              </w:rPr>
            </w:pPr>
          </w:p>
        </w:tc>
        <w:tc>
          <w:tcPr>
            <w:tcW w:w="7380" w:type="dxa"/>
            <w:vAlign w:val="bottom"/>
            <w:tcBorders>
              <w:bottom w:val="single" w:sz="8" w:color="4B61A8"/>
              <w:right w:val="single" w:sz="8" w:color="4B61A8"/>
            </w:tcBorders>
            <w:shd w:val="clear" w:color="auto" w:fill="DBDFED"/>
          </w:tcPr>
          <w:p>
            <w:pPr>
              <w:ind w:left="660"/>
              <w:spacing w:after="0"/>
              <w:rPr>
                <w:sz w:val="20"/>
                <w:szCs w:val="20"/>
                <w:color w:val="auto"/>
              </w:rPr>
            </w:pPr>
            <w:r>
              <w:rPr>
                <w:rFonts w:ascii="Arial" w:cs="Arial" w:eastAsia="Arial" w:hAnsi="Arial"/>
                <w:sz w:val="18"/>
                <w:szCs w:val="18"/>
                <w:color w:val="auto"/>
              </w:rPr>
              <w:t>above the plasma protein adjusted IC</w:t>
            </w:r>
            <w:r>
              <w:rPr>
                <w:rFonts w:ascii="Arial" w:cs="Arial" w:eastAsia="Arial" w:hAnsi="Arial"/>
                <w:sz w:val="15"/>
                <w:szCs w:val="15"/>
                <w:color w:val="auto"/>
              </w:rPr>
              <w:t>50</w:t>
            </w:r>
            <w:r>
              <w:rPr>
                <w:rFonts w:ascii="Arial" w:cs="Arial" w:eastAsia="Arial" w:hAnsi="Arial"/>
                <w:sz w:val="18"/>
                <w:szCs w:val="18"/>
                <w:color w:val="auto"/>
              </w:rPr>
              <w:t>, or p.a. IC</w:t>
            </w:r>
            <w:r>
              <w:rPr>
                <w:rFonts w:ascii="Arial" w:cs="Arial" w:eastAsia="Arial" w:hAnsi="Arial"/>
                <w:sz w:val="15"/>
                <w:szCs w:val="15"/>
                <w:color w:val="auto"/>
              </w:rPr>
              <w:t>50</w:t>
            </w:r>
            <w:r>
              <w:rPr>
                <w:rFonts w:ascii="Arial" w:cs="Arial" w:eastAsia="Arial" w:hAnsi="Arial"/>
                <w:sz w:val="18"/>
                <w:szCs w:val="18"/>
                <w:color w:val="auto"/>
              </w:rPr>
              <w:t>)</w:t>
            </w:r>
          </w:p>
        </w:tc>
      </w:tr>
      <w:tr>
        <w:trPr>
          <w:trHeight w:val="249"/>
        </w:trPr>
        <w:tc>
          <w:tcPr>
            <w:tcW w:w="36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4"/>
              </w:rPr>
              <w:t>PLN-74809 binds to all conformations of avß6</w:t>
            </w:r>
          </w:p>
        </w:tc>
        <w:tc>
          <w:tcPr>
            <w:tcW w:w="7380" w:type="dxa"/>
            <w:vAlign w:val="bottom"/>
            <w:tcBorders>
              <w:right w:val="single" w:sz="8" w:color="4B61A8"/>
            </w:tcBorders>
          </w:tcPr>
          <w:p>
            <w:pPr>
              <w:ind w:left="400"/>
              <w:spacing w:after="0"/>
              <w:rPr>
                <w:sz w:val="20"/>
                <w:szCs w:val="20"/>
                <w:color w:val="auto"/>
              </w:rPr>
            </w:pPr>
            <w:r>
              <w:rPr>
                <w:rFonts w:ascii="Arial" w:cs="Arial" w:eastAsia="Arial" w:hAnsi="Arial"/>
                <w:sz w:val="18"/>
                <w:szCs w:val="18"/>
                <w:color w:val="auto"/>
                <w:w w:val="94"/>
              </w:rPr>
              <w:t>•  PLN-74809 binds both bent-closed and extended-open conformations of avß6 and avß1 at</w:t>
            </w:r>
          </w:p>
        </w:tc>
      </w:tr>
      <w:tr>
        <w:trPr>
          <w:trHeight w:val="230"/>
        </w:trPr>
        <w:tc>
          <w:tcPr>
            <w:tcW w:w="3660" w:type="dxa"/>
            <w:vAlign w:val="bottom"/>
            <w:tcBorders>
              <w:left w:val="single" w:sz="8" w:color="4B61A8"/>
              <w:bottom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and avß1 in biochemical assays</w:t>
            </w:r>
          </w:p>
        </w:tc>
        <w:tc>
          <w:tcPr>
            <w:tcW w:w="7380" w:type="dxa"/>
            <w:vAlign w:val="bottom"/>
            <w:tcBorders>
              <w:bottom w:val="single" w:sz="8" w:color="4B61A8"/>
              <w:right w:val="single" w:sz="8" w:color="4B61A8"/>
            </w:tcBorders>
          </w:tcPr>
          <w:p>
            <w:pPr>
              <w:ind w:left="660"/>
              <w:spacing w:after="0"/>
              <w:rPr>
                <w:sz w:val="20"/>
                <w:szCs w:val="20"/>
                <w:color w:val="auto"/>
              </w:rPr>
            </w:pPr>
            <w:r>
              <w:rPr>
                <w:rFonts w:ascii="Arial" w:cs="Arial" w:eastAsia="Arial" w:hAnsi="Arial"/>
                <w:sz w:val="18"/>
                <w:szCs w:val="18"/>
                <w:color w:val="auto"/>
              </w:rPr>
              <w:t>below 2.0 nM concentrations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-4285615</wp:posOffset>
            </wp:positionV>
            <wp:extent cx="700341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03415" cy="188595"/>
                    </a:xfrm>
                    <a:prstGeom prst="rect">
                      <a:avLst/>
                    </a:prstGeom>
                    <a:noFill/>
                  </pic:spPr>
                </pic:pic>
              </a:graphicData>
            </a:graphic>
          </wp:anchor>
        </w:drawing>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PLN-74809 reduced collagen gene expression in live human ILD lung tissue</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 xml:space="preserve">In an assay using live lung tissue from five patients with IPF, application of PLN-74809 for seven days led to significant decrease of &gt;50% in expression of </w:t>
      </w:r>
      <w:r>
        <w:rPr>
          <w:rFonts w:ascii="Arial" w:cs="Arial" w:eastAsia="Arial" w:hAnsi="Arial"/>
          <w:sz w:val="16"/>
          <w:szCs w:val="16"/>
          <w:i w:val="1"/>
          <w:iCs w:val="1"/>
          <w:color w:val="auto"/>
        </w:rPr>
        <w:t>COL1A1</w:t>
      </w:r>
      <w:r>
        <w:rPr>
          <w:rFonts w:ascii="Arial" w:cs="Arial" w:eastAsia="Arial" w:hAnsi="Arial"/>
          <w:sz w:val="16"/>
          <w:szCs w:val="16"/>
          <w:color w:val="auto"/>
        </w:rPr>
        <w:t>, a key gene responsible for collagen production. The degree of inhibition observed with PLN-74809 approaching that of a complete blockade of TGF-ß signaling using a direct inhibitor of its TGF-ß type I receptor kinase, also known as ALK5. In contrast, an avß6-specific</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monoclonal antibody, or mAb, that we synthesized based on publicly available information regarding Biogen’s antibody, 3G9, was unable to significantly inhibit </w:t>
      </w:r>
      <w:r>
        <w:rPr>
          <w:rFonts w:ascii="Arial" w:cs="Arial" w:eastAsia="Arial" w:hAnsi="Arial"/>
          <w:sz w:val="18"/>
          <w:szCs w:val="18"/>
          <w:i w:val="1"/>
          <w:iCs w:val="1"/>
          <w:color w:val="auto"/>
        </w:rPr>
        <w:t>COL1A1</w:t>
      </w:r>
      <w:r>
        <w:rPr>
          <w:rFonts w:ascii="Arial" w:cs="Arial" w:eastAsia="Arial" w:hAnsi="Arial"/>
          <w:sz w:val="18"/>
          <w:szCs w:val="18"/>
          <w:color w:val="auto"/>
        </w:rPr>
        <w:t xml:space="preserve"> expression. In the same assay, using live lung tissue from a patient with systemic sclerosis-associated pulmonary fibrosis, application of PLN-74809 for seven days also led to a decrease of &gt;50% in expression of </w:t>
      </w:r>
      <w:r>
        <w:rPr>
          <w:rFonts w:ascii="Arial" w:cs="Arial" w:eastAsia="Arial" w:hAnsi="Arial"/>
          <w:sz w:val="18"/>
          <w:szCs w:val="18"/>
          <w:i w:val="1"/>
          <w:iCs w:val="1"/>
          <w:color w:val="auto"/>
        </w:rPr>
        <w:t>COL1A1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1513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560" w:right="100"/>
        <w:spacing w:after="0" w:line="282" w:lineRule="auto"/>
        <w:rPr>
          <w:sz w:val="20"/>
          <w:szCs w:val="20"/>
          <w:color w:val="auto"/>
        </w:rPr>
      </w:pPr>
      <w:r>
        <w:rPr>
          <w:rFonts w:ascii="Arial" w:cs="Arial" w:eastAsia="Arial" w:hAnsi="Arial"/>
          <w:sz w:val="18"/>
          <w:szCs w:val="18"/>
          <w:b w:val="1"/>
          <w:bCs w:val="1"/>
          <w:color w:val="auto"/>
        </w:rPr>
        <w:t xml:space="preserve">Combined inhibition of </w:t>
      </w:r>
      <w:r>
        <w:rPr>
          <w:rFonts w:ascii="Arial" w:cs="Arial" w:eastAsia="Arial" w:hAnsi="Arial"/>
          <w:sz w:val="18"/>
          <w:szCs w:val="18"/>
          <w:color w:val="auto"/>
        </w:rPr>
        <w:t>a</w:t>
      </w:r>
      <w:r>
        <w:rPr>
          <w:rFonts w:ascii="Arial" w:cs="Arial" w:eastAsia="Arial" w:hAnsi="Arial"/>
          <w:sz w:val="18"/>
          <w:szCs w:val="18"/>
          <w:b w:val="1"/>
          <w:bCs w:val="1"/>
          <w:color w:val="auto"/>
        </w:rPr>
        <w:t xml:space="preserve">vß6 and </w:t>
      </w:r>
      <w:r>
        <w:rPr>
          <w:rFonts w:ascii="Arial" w:cs="Arial" w:eastAsia="Arial" w:hAnsi="Arial"/>
          <w:sz w:val="18"/>
          <w:szCs w:val="18"/>
          <w:color w:val="auto"/>
        </w:rPr>
        <w:t>a</w:t>
      </w:r>
      <w:r>
        <w:rPr>
          <w:rFonts w:ascii="Arial" w:cs="Arial" w:eastAsia="Arial" w:hAnsi="Arial"/>
          <w:sz w:val="18"/>
          <w:szCs w:val="18"/>
          <w:b w:val="1"/>
          <w:bCs w:val="1"/>
          <w:color w:val="auto"/>
        </w:rPr>
        <w:t>vß1 provided increased anti-fibrotic activity in live human fibrotic tissue as compared to DMSO vehicle control.</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pSMAD3 was correlated with extractable collagen levels in patients suspected of having IPF</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Open lung biopsies for histologic confirmation of IPF diagnosis were performed in 18 patients with interstitial lung disease, or ILD, who were suspected of having IPF. As part of this analysis, five controls (non-transplanted donor lungs) were also included. Multiple biopsies were taken from different lobes of each lung. Total pSMAD3 and extractable collagen 1 were measured by western blot. Extractable collagen 1 is thought to be collagen that has been recently formed and has not been cross-linked to the extracellular matrix. Total pSMAD3 and extractable collagen were significantly correlated. Higher pSMAD3 levels corresponded to higher levels of recently produced collagen.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pSMAD3 levels are correlated with extractable collagen in lung biopsies from patients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suspected of having IPF</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320" w:top="459" w:right="5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vß6 and</w:t>
      </w:r>
      <w:r>
        <w:rPr>
          <w:rFonts w:ascii="Arial" w:cs="Arial" w:eastAsia="Arial" w:hAnsi="Arial"/>
          <w:sz w:val="18"/>
          <w:szCs w:val="18"/>
          <w:color w:val="auto"/>
        </w:rPr>
        <w:t xml:space="preserve"> a</w:t>
      </w:r>
      <w:r>
        <w:rPr>
          <w:rFonts w:ascii="Arial" w:cs="Arial" w:eastAsia="Arial" w:hAnsi="Arial"/>
          <w:sz w:val="18"/>
          <w:szCs w:val="18"/>
          <w:i w:val="1"/>
          <w:iCs w:val="1"/>
          <w:color w:val="auto"/>
        </w:rPr>
        <w:t>vß1 expression is elevated in mouse bleomycin IPF model</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used the increased expression of both avß6 and avß1 integrins in human disease samples to select animal models with similar characteristics which we then employed for higher-throughput and more extensive testing than would be feasible with primary human tissue. The bleomycin model is the most extensively used model of IPF due to its ability to reproduce many aspects of the disease. The pattern of expression of integrins suggests that the bleomycin model can serve as a valid preclinical surrogate for evaluating the effects of integrin inhibition in IPF. We confirmed that both avß6 and avß1 integrins are upregulated in a mouse model of pulmonary fibrosis induced by exposure to bleomycin. In both acute and chronic versions of this model, expression of avß6 and avß1 integrins were higher in bleomycin-exposed animals compared to healthy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130810</wp:posOffset>
            </wp:positionV>
            <wp:extent cx="4980305" cy="2348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8030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vß6 and</w:t>
      </w:r>
      <w:r>
        <w:rPr>
          <w:rFonts w:ascii="Arial" w:cs="Arial" w:eastAsia="Arial" w:hAnsi="Arial"/>
          <w:sz w:val="18"/>
          <w:szCs w:val="18"/>
          <w:color w:val="auto"/>
        </w:rPr>
        <w:t xml:space="preserve"> a</w:t>
      </w:r>
      <w:r>
        <w:rPr>
          <w:rFonts w:ascii="Arial" w:cs="Arial" w:eastAsia="Arial" w:hAnsi="Arial"/>
          <w:sz w:val="18"/>
          <w:szCs w:val="18"/>
          <w:b w:val="1"/>
          <w:bCs w:val="1"/>
          <w:color w:val="auto"/>
        </w:rPr>
        <w:t>vß1 expression in murine bleomycin model</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 xml:space="preserve">Dual </w:t>
      </w:r>
      <w:r>
        <w:rPr>
          <w:rFonts w:ascii="Arial" w:cs="Arial" w:eastAsia="Arial" w:hAnsi="Arial"/>
          <w:sz w:val="17"/>
          <w:szCs w:val="17"/>
          <w:color w:val="auto"/>
        </w:rPr>
        <w:t>a</w:t>
      </w:r>
      <w:r>
        <w:rPr>
          <w:rFonts w:ascii="Arial" w:cs="Arial" w:eastAsia="Arial" w:hAnsi="Arial"/>
          <w:sz w:val="17"/>
          <w:szCs w:val="17"/>
          <w:i w:val="1"/>
          <w:iCs w:val="1"/>
          <w:color w:val="auto"/>
        </w:rPr>
        <w:t xml:space="preserve">vß6 and </w:t>
      </w:r>
      <w:r>
        <w:rPr>
          <w:rFonts w:ascii="Arial" w:cs="Arial" w:eastAsia="Arial" w:hAnsi="Arial"/>
          <w:sz w:val="17"/>
          <w:szCs w:val="17"/>
          <w:color w:val="auto"/>
        </w:rPr>
        <w:t>a</w:t>
      </w:r>
      <w:r>
        <w:rPr>
          <w:rFonts w:ascii="Arial" w:cs="Arial" w:eastAsia="Arial" w:hAnsi="Arial"/>
          <w:sz w:val="17"/>
          <w:szCs w:val="17"/>
          <w:i w:val="1"/>
          <w:iCs w:val="1"/>
          <w:color w:val="auto"/>
        </w:rPr>
        <w:t xml:space="preserve">vß1 inhibition decreased collagen more than </w:t>
      </w:r>
      <w:r>
        <w:rPr>
          <w:rFonts w:ascii="Arial" w:cs="Arial" w:eastAsia="Arial" w:hAnsi="Arial"/>
          <w:sz w:val="17"/>
          <w:szCs w:val="17"/>
          <w:color w:val="auto"/>
        </w:rPr>
        <w:t>a</w:t>
      </w:r>
      <w:r>
        <w:rPr>
          <w:rFonts w:ascii="Arial" w:cs="Arial" w:eastAsia="Arial" w:hAnsi="Arial"/>
          <w:sz w:val="17"/>
          <w:szCs w:val="17"/>
          <w:i w:val="1"/>
          <w:iCs w:val="1"/>
          <w:color w:val="auto"/>
        </w:rPr>
        <w:t xml:space="preserve">vß6 or </w:t>
      </w:r>
      <w:r>
        <w:rPr>
          <w:rFonts w:ascii="Arial" w:cs="Arial" w:eastAsia="Arial" w:hAnsi="Arial"/>
          <w:sz w:val="17"/>
          <w:szCs w:val="17"/>
          <w:color w:val="auto"/>
        </w:rPr>
        <w:t>a</w:t>
      </w:r>
      <w:r>
        <w:rPr>
          <w:rFonts w:ascii="Arial" w:cs="Arial" w:eastAsia="Arial" w:hAnsi="Arial"/>
          <w:sz w:val="17"/>
          <w:szCs w:val="17"/>
          <w:i w:val="1"/>
          <w:iCs w:val="1"/>
          <w:color w:val="auto"/>
        </w:rPr>
        <w:t>vß1 single inhibition in mouse chronic bleomycin precision cut lung slices</w:t>
      </w:r>
    </w:p>
    <w:p>
      <w:pPr>
        <w:spacing w:after="0" w:line="1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To further understand the anti-fibrotic effect of single vs. dual integrin inhibition in the murine chronic bleomycin model, we performed assays on precision cut lung slices from chronic bleomycin mouse lungs. We incubated the samples for seven days with either a single selective avß1 inhibitor (PLN-1474), a single selective avß6 inhibitor (avß6 mAb), or a dual selective avß6/avß1 inhibitor. Dual selective inhibition was accomplished with either PLN-74809 or a combination of PLN-1474 and the avß6 mAb. In this assay, we also compared against PLN-1451, an inhibitor of the TGF-ß receptor kinase ALK5, as a positive control. We measured effects on pro-fibrotic gene expression through the mRNA counts for </w:t>
      </w:r>
      <w:r>
        <w:rPr>
          <w:rFonts w:ascii="Arial" w:cs="Arial" w:eastAsia="Arial" w:hAnsi="Arial"/>
          <w:sz w:val="17"/>
          <w:szCs w:val="17"/>
          <w:i w:val="1"/>
          <w:iCs w:val="1"/>
          <w:color w:val="auto"/>
        </w:rPr>
        <w:t>Col1a1.</w:t>
      </w:r>
      <w:r>
        <w:rPr>
          <w:rFonts w:ascii="Arial" w:cs="Arial" w:eastAsia="Arial" w:hAnsi="Arial"/>
          <w:sz w:val="17"/>
          <w:szCs w:val="17"/>
          <w:color w:val="auto"/>
        </w:rPr>
        <w:t xml:space="preserve"> PLN-1474, a single selective inhibitor of avß1, and the avß6 mAb, dosed at 10x their IC</w:t>
      </w:r>
      <w:r>
        <w:rPr>
          <w:rFonts w:ascii="Arial" w:cs="Arial" w:eastAsia="Arial" w:hAnsi="Arial"/>
          <w:sz w:val="14"/>
          <w:szCs w:val="14"/>
          <w:color w:val="auto"/>
        </w:rPr>
        <w:t>50</w:t>
      </w:r>
      <w:r>
        <w:rPr>
          <w:rFonts w:ascii="Arial" w:cs="Arial" w:eastAsia="Arial" w:hAnsi="Arial"/>
          <w:sz w:val="17"/>
          <w:szCs w:val="17"/>
          <w:color w:val="auto"/>
        </w:rPr>
        <w:t xml:space="preserve">, failed to show a significant reduction in </w:t>
      </w:r>
      <w:r>
        <w:rPr>
          <w:rFonts w:ascii="Arial" w:cs="Arial" w:eastAsia="Arial" w:hAnsi="Arial"/>
          <w:sz w:val="17"/>
          <w:szCs w:val="17"/>
          <w:i w:val="1"/>
          <w:iCs w:val="1"/>
          <w:color w:val="auto"/>
        </w:rPr>
        <w:t>Col1a1</w:t>
      </w:r>
      <w:r>
        <w:rPr>
          <w:rFonts w:ascii="Arial" w:cs="Arial" w:eastAsia="Arial" w:hAnsi="Arial"/>
          <w:sz w:val="17"/>
          <w:szCs w:val="17"/>
          <w:color w:val="auto"/>
        </w:rPr>
        <w:t xml:space="preserve"> expression. PLN-74809 showed a significant reduction in </w:t>
      </w:r>
      <w:r>
        <w:rPr>
          <w:rFonts w:ascii="Arial" w:cs="Arial" w:eastAsia="Arial" w:hAnsi="Arial"/>
          <w:sz w:val="17"/>
          <w:szCs w:val="17"/>
          <w:i w:val="1"/>
          <w:iCs w:val="1"/>
          <w:color w:val="auto"/>
        </w:rPr>
        <w:t>Col1a1</w:t>
      </w:r>
      <w:r>
        <w:rPr>
          <w:rFonts w:ascii="Arial" w:cs="Arial" w:eastAsia="Arial" w:hAnsi="Arial"/>
          <w:sz w:val="17"/>
          <w:szCs w:val="17"/>
          <w:color w:val="auto"/>
        </w:rPr>
        <w:t xml:space="preserve"> expression that was similar to what was seen when PLN-1474 and the avß6 mAb were incubated as a combination therapy. We also evaluated gene expression across a broad panel of 17 additional pro-fibrotic genes. Similar to </w:t>
      </w:r>
      <w:r>
        <w:rPr>
          <w:rFonts w:ascii="Arial" w:cs="Arial" w:eastAsia="Arial" w:hAnsi="Arial"/>
          <w:sz w:val="17"/>
          <w:szCs w:val="17"/>
          <w:i w:val="1"/>
          <w:iCs w:val="1"/>
          <w:color w:val="auto"/>
        </w:rPr>
        <w:t>Col1a1</w:t>
      </w:r>
      <w:r>
        <w:rPr>
          <w:rFonts w:ascii="Arial" w:cs="Arial" w:eastAsia="Arial" w:hAnsi="Arial"/>
          <w:sz w:val="17"/>
          <w:szCs w:val="17"/>
          <w:color w:val="auto"/>
        </w:rPr>
        <w:t>, dual inhibition resulted in a greater reduction in gene expression across the panel versus single inhibition.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468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xml:space="preserve">Dual </w:t>
      </w:r>
      <w:r>
        <w:rPr>
          <w:rFonts w:ascii="Arial" w:cs="Arial" w:eastAsia="Arial" w:hAnsi="Arial"/>
          <w:sz w:val="16"/>
          <w:szCs w:val="16"/>
          <w:color w:val="auto"/>
        </w:rPr>
        <w:t>a</w:t>
      </w:r>
      <w:r>
        <w:rPr>
          <w:rFonts w:ascii="Arial" w:cs="Arial" w:eastAsia="Arial" w:hAnsi="Arial"/>
          <w:sz w:val="16"/>
          <w:szCs w:val="16"/>
          <w:b w:val="1"/>
          <w:bCs w:val="1"/>
          <w:color w:val="auto"/>
        </w:rPr>
        <w:t>vß6/</w:t>
      </w:r>
      <w:r>
        <w:rPr>
          <w:rFonts w:ascii="Arial" w:cs="Arial" w:eastAsia="Arial" w:hAnsi="Arial"/>
          <w:sz w:val="16"/>
          <w:szCs w:val="16"/>
          <w:color w:val="auto"/>
        </w:rPr>
        <w:t>a</w:t>
      </w:r>
      <w:r>
        <w:rPr>
          <w:rFonts w:ascii="Arial" w:cs="Arial" w:eastAsia="Arial" w:hAnsi="Arial"/>
          <w:sz w:val="16"/>
          <w:szCs w:val="16"/>
          <w:b w:val="1"/>
          <w:bCs w:val="1"/>
          <w:color w:val="auto"/>
        </w:rPr>
        <w:t xml:space="preserve">vß1 inhibition blocked </w:t>
      </w:r>
      <w:r>
        <w:rPr>
          <w:rFonts w:ascii="Arial" w:cs="Arial" w:eastAsia="Arial" w:hAnsi="Arial"/>
          <w:sz w:val="16"/>
          <w:szCs w:val="16"/>
          <w:b w:val="1"/>
          <w:bCs w:val="1"/>
          <w:i w:val="1"/>
          <w:iCs w:val="1"/>
          <w:color w:val="auto"/>
        </w:rPr>
        <w:t>Col1a1</w:t>
      </w:r>
      <w:r>
        <w:rPr>
          <w:rFonts w:ascii="Arial" w:cs="Arial" w:eastAsia="Arial" w:hAnsi="Arial"/>
          <w:sz w:val="16"/>
          <w:szCs w:val="16"/>
          <w:b w:val="1"/>
          <w:bCs w:val="1"/>
          <w:color w:val="auto"/>
        </w:rPr>
        <w:t xml:space="preserve"> expression more than single inhibition (</w:t>
      </w:r>
      <w:r>
        <w:rPr>
          <w:rFonts w:ascii="Arial" w:cs="Arial" w:eastAsia="Arial" w:hAnsi="Arial"/>
          <w:sz w:val="16"/>
          <w:szCs w:val="16"/>
          <w:color w:val="auto"/>
        </w:rPr>
        <w:t>a</w:t>
      </w:r>
      <w:r>
        <w:rPr>
          <w:rFonts w:ascii="Arial" w:cs="Arial" w:eastAsia="Arial" w:hAnsi="Arial"/>
          <w:sz w:val="16"/>
          <w:szCs w:val="16"/>
          <w:b w:val="1"/>
          <w:bCs w:val="1"/>
          <w:color w:val="auto"/>
        </w:rPr>
        <w:t xml:space="preserve">vß6 or </w:t>
      </w:r>
      <w:r>
        <w:rPr>
          <w:rFonts w:ascii="Arial" w:cs="Arial" w:eastAsia="Arial" w:hAnsi="Arial"/>
          <w:sz w:val="16"/>
          <w:szCs w:val="16"/>
          <w:color w:val="auto"/>
        </w:rPr>
        <w:t>a</w:t>
      </w:r>
      <w:r>
        <w:rPr>
          <w:rFonts w:ascii="Arial" w:cs="Arial" w:eastAsia="Arial" w:hAnsi="Arial"/>
          <w:sz w:val="16"/>
          <w:szCs w:val="16"/>
          <w:b w:val="1"/>
          <w:bCs w:val="1"/>
          <w:color w:val="auto"/>
        </w:rPr>
        <w:t>vß1) in chronic bleomycin lung slices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186055</wp:posOffset>
            </wp:positionV>
            <wp:extent cx="5194935" cy="31115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9493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Dual </w:t>
      </w:r>
      <w:r>
        <w:rPr>
          <w:rFonts w:ascii="Arial" w:cs="Arial" w:eastAsia="Arial" w:hAnsi="Arial"/>
          <w:sz w:val="16"/>
          <w:szCs w:val="16"/>
          <w:color w:val="auto"/>
        </w:rPr>
        <w:t>a</w:t>
      </w:r>
      <w:r>
        <w:rPr>
          <w:rFonts w:ascii="Arial" w:cs="Arial" w:eastAsia="Arial" w:hAnsi="Arial"/>
          <w:sz w:val="16"/>
          <w:szCs w:val="16"/>
          <w:b w:val="1"/>
          <w:bCs w:val="1"/>
          <w:color w:val="auto"/>
        </w:rPr>
        <w:t>vß6/</w:t>
      </w:r>
      <w:r>
        <w:rPr>
          <w:rFonts w:ascii="Arial" w:cs="Arial" w:eastAsia="Arial" w:hAnsi="Arial"/>
          <w:sz w:val="16"/>
          <w:szCs w:val="16"/>
          <w:color w:val="auto"/>
        </w:rPr>
        <w:t>a</w:t>
      </w:r>
      <w:r>
        <w:rPr>
          <w:rFonts w:ascii="Arial" w:cs="Arial" w:eastAsia="Arial" w:hAnsi="Arial"/>
          <w:sz w:val="16"/>
          <w:szCs w:val="16"/>
          <w:b w:val="1"/>
          <w:bCs w:val="1"/>
          <w:color w:val="auto"/>
        </w:rPr>
        <w:t>vß1 inhibition blocked profibrotic gene expression more than single inhibition (</w:t>
      </w:r>
      <w:r>
        <w:rPr>
          <w:rFonts w:ascii="Arial" w:cs="Arial" w:eastAsia="Arial" w:hAnsi="Arial"/>
          <w:sz w:val="16"/>
          <w:szCs w:val="16"/>
          <w:color w:val="auto"/>
        </w:rPr>
        <w:t>a</w:t>
      </w:r>
      <w:r>
        <w:rPr>
          <w:rFonts w:ascii="Arial" w:cs="Arial" w:eastAsia="Arial" w:hAnsi="Arial"/>
          <w:sz w:val="16"/>
          <w:szCs w:val="16"/>
          <w:b w:val="1"/>
          <w:bCs w:val="1"/>
          <w:color w:val="auto"/>
        </w:rPr>
        <w:t xml:space="preserve">vß6 or </w:t>
      </w:r>
      <w:r>
        <w:rPr>
          <w:rFonts w:ascii="Arial" w:cs="Arial" w:eastAsia="Arial" w:hAnsi="Arial"/>
          <w:sz w:val="16"/>
          <w:szCs w:val="16"/>
          <w:color w:val="auto"/>
        </w:rPr>
        <w:t>a</w:t>
      </w:r>
      <w:r>
        <w:rPr>
          <w:rFonts w:ascii="Arial" w:cs="Arial" w:eastAsia="Arial" w:hAnsi="Arial"/>
          <w:sz w:val="16"/>
          <w:szCs w:val="16"/>
          <w:b w:val="1"/>
          <w:bCs w:val="1"/>
          <w:color w:val="auto"/>
        </w:rPr>
        <w:t>vß1) in chronic bleomycin lung slices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PLN-74809 showed a dose-dependent reduction in collagen fiber density in a mouse bleomycin IPF model</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evaluated three doses of PLN-74809 in a mouse bleomycin IPF model utilizing second-harmonic generation to evaluate the amount of new collagen formation ongoing post-treatment with PLN-74809. We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860"/>
          </w:cols>
          <w:pgMar w:left="320" w:top="459" w:right="7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evaluated 100 mg/kg, 250 mg/kg, and 500 mg/kg doses against vehicle control and saw a dose dependent reduction in collagen fiber density and fibrosis composite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37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460" w:right="220"/>
        <w:spacing w:after="0" w:line="282" w:lineRule="auto"/>
        <w:rPr>
          <w:sz w:val="20"/>
          <w:szCs w:val="20"/>
          <w:color w:val="auto"/>
        </w:rPr>
      </w:pPr>
      <w:r>
        <w:rPr>
          <w:rFonts w:ascii="Arial" w:cs="Arial" w:eastAsia="Arial" w:hAnsi="Arial"/>
          <w:sz w:val="18"/>
          <w:szCs w:val="18"/>
          <w:b w:val="1"/>
          <w:bCs w:val="1"/>
          <w:color w:val="auto"/>
        </w:rPr>
        <w:t>PLN-74809 resulted in a dose-dependent decrease in collagen fiber density in a mouse bleomycin IPF model as measured through second-harmonic generation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PLN-74809 decreased TGF-ß activation in chronic bleomycin mouse model</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confirmed through biochemical analyses that anti-fibrotic efficacy of PLN-74809 in the bleomycin model was due to blockade of TGF-ß activation. A key biochemical marker of TGF-ß activation is the phosphorylation of SMAD2/3. In the bleomycin model, two weeks of treatment with PLN-74809 reduced pSMAD3 levels in a dose-dependent manner to those seen in control mice that had not been exposed to bleomycin in the acute IPF model. In addition, levels of newly formed collagen, or neo-collagen, and total lung collagen as measured by hydroxyproline content were significantly reduced in a dose-dependent manner in the treatment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800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PLN-74809 blocked TGF-ß activation in a chronic bleomycin model</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ability to measure TGF-ß activation through SMAD phosphorylation also provided us with the opportunity to develop SMAD2/3 phosphorylation as a biomarker that correlates with avß6 and avß1 integrin inhibition.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Inhibition of </w:t>
      </w:r>
      <w:r>
        <w:rPr>
          <w:rFonts w:ascii="Arial" w:cs="Arial" w:eastAsia="Arial" w:hAnsi="Arial"/>
          <w:sz w:val="18"/>
          <w:szCs w:val="18"/>
          <w:color w:val="auto"/>
        </w:rPr>
        <w:t>a</w:t>
      </w:r>
      <w:r>
        <w:rPr>
          <w:rFonts w:ascii="Arial" w:cs="Arial" w:eastAsia="Arial" w:hAnsi="Arial"/>
          <w:sz w:val="18"/>
          <w:szCs w:val="18"/>
          <w:i w:val="1"/>
          <w:iCs w:val="1"/>
          <w:color w:val="auto"/>
        </w:rPr>
        <w:t xml:space="preserve">vß6 and </w:t>
      </w:r>
      <w:r>
        <w:rPr>
          <w:rFonts w:ascii="Arial" w:cs="Arial" w:eastAsia="Arial" w:hAnsi="Arial"/>
          <w:sz w:val="18"/>
          <w:szCs w:val="18"/>
          <w:color w:val="auto"/>
        </w:rPr>
        <w:t>a</w:t>
      </w:r>
      <w:r>
        <w:rPr>
          <w:rFonts w:ascii="Arial" w:cs="Arial" w:eastAsia="Arial" w:hAnsi="Arial"/>
          <w:sz w:val="18"/>
          <w:szCs w:val="18"/>
          <w:i w:val="1"/>
          <w:iCs w:val="1"/>
          <w:color w:val="auto"/>
        </w:rPr>
        <w:t>vß1 blocked TGF-ß activation in the pulmonary cells of non-human primates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conducted a non-human primate study to validate pSMAD as a biomarker for TGF-ß activation for future clinical studies. Given that this study will not be part of our regulatory package for our lead compound, PLN-74809, we used PLN-75068, a close analog to PLN-74809, with a similar binding and PK profile for this particular study. In the first stage of this study, we treated non-human primates with PLN-75068 at 50 mg/kg twice daily, or with the avß6 mAb at 1 mg/kg every other day for seven days. We performed BAL procedures on the monkeys pre- and post- treatment and measured pSMAD2 levels in the pulmonary macrophages. BAL fluid collected three hours after dosing showed a significant reduction of pSMAD2 levels when compared to pre-treatment levels. The avß6 mAb showed pSMAD2 level reduction as well, but the effect was less pronounced than for PLN-75068.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130810</wp:posOffset>
            </wp:positionV>
            <wp:extent cx="3540125" cy="3103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4012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BID Dosing of PLN-75068 reduced pSMAD2 levels in non-human primate alveolar fluid</w:t>
      </w:r>
    </w:p>
    <w:p>
      <w:pPr>
        <w:spacing w:after="0" w:line="229" w:lineRule="exact"/>
        <w:rPr>
          <w:sz w:val="20"/>
          <w:szCs w:val="20"/>
          <w:color w:val="auto"/>
        </w:rPr>
      </w:pPr>
    </w:p>
    <w:p>
      <w:pPr>
        <w:jc w:val="both"/>
        <w:ind w:left="120" w:right="20" w:firstLine="440"/>
        <w:spacing w:after="0" w:line="285" w:lineRule="auto"/>
        <w:rPr>
          <w:sz w:val="20"/>
          <w:szCs w:val="20"/>
          <w:color w:val="auto"/>
        </w:rPr>
      </w:pPr>
      <w:r>
        <w:rPr>
          <w:rFonts w:ascii="Arial" w:cs="Arial" w:eastAsia="Arial" w:hAnsi="Arial"/>
          <w:sz w:val="16"/>
          <w:szCs w:val="16"/>
          <w:color w:val="auto"/>
        </w:rPr>
        <w:t>A second stage of this study was designed to evaluate the PK/PD relationship between PLN-75068 and the inhibition of TGF-ß activation. In this stage, we dosed monkeys at either 50 mg/kg or 100 mg/kg once a day for seven days. We designed the study to obtain multiple BAL measurements after the last treatment in order to understand how changes in the pSMAD2 levels relate to serum levels of PLN-75068. Dosing of PLN-75068 in non-human primates showed a decrease in the pSMAD2 levels at both doses. Soon after dosing, when drug concentrations were at their peak, the levels of pSMAD2 levels showed a reduction of more than 75 percent. As the drug concentration decreased, pSMAD2 levels gradually returned to baseline levels.</w:t>
      </w:r>
    </w:p>
    <w:p>
      <w:pPr>
        <w:spacing w:after="0" w:line="2"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Importantly, the 50 mg/kg and 100 mg/kg dosing groups resulted in similar levels of pSMAD2 level reduction; however, the 100 mg/kg dose stayed in the effective dose range longer, and therefore maintained pSMAD2 level reduction for a longer period.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203190" cy="1671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0319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QD dosing of PLN-75068 reduced pSMAD2 levels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PLN-74809 binds to all conformations of </w:t>
      </w:r>
      <w:r>
        <w:rPr>
          <w:rFonts w:ascii="Arial" w:cs="Arial" w:eastAsia="Arial" w:hAnsi="Arial"/>
          <w:sz w:val="18"/>
          <w:szCs w:val="18"/>
          <w:color w:val="auto"/>
        </w:rPr>
        <w:t>a</w:t>
      </w:r>
      <w:r>
        <w:rPr>
          <w:rFonts w:ascii="Arial" w:cs="Arial" w:eastAsia="Arial" w:hAnsi="Arial"/>
          <w:sz w:val="18"/>
          <w:szCs w:val="18"/>
          <w:i w:val="1"/>
          <w:iCs w:val="1"/>
          <w:color w:val="auto"/>
        </w:rPr>
        <w:t xml:space="preserve">vß6 and </w:t>
      </w:r>
      <w:r>
        <w:rPr>
          <w:rFonts w:ascii="Arial" w:cs="Arial" w:eastAsia="Arial" w:hAnsi="Arial"/>
          <w:sz w:val="18"/>
          <w:szCs w:val="18"/>
          <w:color w:val="auto"/>
        </w:rPr>
        <w:t>a</w:t>
      </w:r>
      <w:r>
        <w:rPr>
          <w:rFonts w:ascii="Arial" w:cs="Arial" w:eastAsia="Arial" w:hAnsi="Arial"/>
          <w:sz w:val="18"/>
          <w:szCs w:val="18"/>
          <w:i w:val="1"/>
          <w:iCs w:val="1"/>
          <w:color w:val="auto"/>
        </w:rPr>
        <w:t>vß1 in biochemical assays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Integrins are cellular adhesion proteins having a high degree of structural flexibility with two predominant forms: an extended form with high affinity for binding to ligands, and a bent or closed form in which the ligand binding domain has low affinity for binding to ligands. The conformation of the integrin can also dramatically alter the binding of potential therapeutics such as antibodies.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Biochemical profiling of PLN-74809 confirms that it can inhibit both avß6 and avß1 integrins in both the high-affinity, extended open conformation as well as in the lower-affinity, bent closed conformation and thus has the potential to block integrin interactions regardless of the initial state of the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17145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9493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PLN-74809 binds to both high-affinity and low-affinity conformations of </w:t>
      </w:r>
      <w:r>
        <w:rPr>
          <w:rFonts w:ascii="Arial" w:cs="Arial" w:eastAsia="Arial" w:hAnsi="Arial"/>
          <w:sz w:val="18"/>
          <w:szCs w:val="18"/>
          <w:color w:val="auto"/>
        </w:rPr>
        <w:t>a</w:t>
      </w:r>
      <w:r>
        <w:rPr>
          <w:rFonts w:ascii="Arial" w:cs="Arial" w:eastAsia="Arial" w:hAnsi="Arial"/>
          <w:sz w:val="18"/>
          <w:szCs w:val="18"/>
          <w:b w:val="1"/>
          <w:bCs w:val="1"/>
          <w:color w:val="auto"/>
        </w:rPr>
        <w:t xml:space="preserve">vß1 and </w:t>
      </w:r>
      <w:r>
        <w:rPr>
          <w:rFonts w:ascii="Arial" w:cs="Arial" w:eastAsia="Arial" w:hAnsi="Arial"/>
          <w:sz w:val="18"/>
          <w:szCs w:val="18"/>
          <w:color w:val="auto"/>
        </w:rPr>
        <w:t>a</w:t>
      </w:r>
      <w:r>
        <w:rPr>
          <w:rFonts w:ascii="Arial" w:cs="Arial" w:eastAsia="Arial" w:hAnsi="Arial"/>
          <w:sz w:val="18"/>
          <w:szCs w:val="18"/>
          <w:b w:val="1"/>
          <w:bCs w:val="1"/>
          <w:color w:val="auto"/>
        </w:rPr>
        <w:t>vß6</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Preclinical data in PSC</w:t>
      </w:r>
    </w:p>
    <w:p>
      <w:pPr>
        <w:spacing w:after="0" w:line="266" w:lineRule="exact"/>
        <w:rPr>
          <w:sz w:val="20"/>
          <w:szCs w:val="20"/>
          <w:color w:val="auto"/>
        </w:rPr>
      </w:pPr>
    </w:p>
    <w:tbl>
      <w:tblPr>
        <w:tblLayout w:type="fixed"/>
        <w:tblInd w:w="130" w:type="dxa"/>
        <w:tblCellMar>
          <w:top w:w="0" w:type="dxa"/>
          <w:left w:w="0" w:type="dxa"/>
          <w:bottom w:w="0" w:type="dxa"/>
          <w:right w:w="0" w:type="dxa"/>
        </w:tblCellMar>
      </w:tblPr>
      <w:tr>
        <w:trPr>
          <w:trHeight w:val="283"/>
        </w:trPr>
        <w:tc>
          <w:tcPr>
            <w:tcW w:w="3560" w:type="dxa"/>
            <w:vAlign w:val="bottom"/>
            <w:tcBorders>
              <w:left w:val="single" w:sz="8" w:color="4B61A8"/>
              <w:right w:val="single" w:sz="8" w:color="4B61A8"/>
            </w:tcBorders>
            <w:shd w:val="clear" w:color="auto" w:fill="4B61A8"/>
          </w:tcPr>
          <w:p>
            <w:pPr>
              <w:spacing w:after="0"/>
              <w:rPr>
                <w:sz w:val="24"/>
                <w:szCs w:val="24"/>
                <w:color w:val="auto"/>
              </w:rPr>
            </w:pPr>
          </w:p>
        </w:tc>
        <w:tc>
          <w:tcPr>
            <w:tcW w:w="7460" w:type="dxa"/>
            <w:vAlign w:val="bottom"/>
            <w:shd w:val="clear" w:color="auto" w:fill="4B61A8"/>
          </w:tcPr>
          <w:p>
            <w:pPr>
              <w:ind w:left="640"/>
              <w:spacing w:after="0"/>
              <w:rPr>
                <w:sz w:val="20"/>
                <w:szCs w:val="20"/>
                <w:color w:val="auto"/>
              </w:rPr>
            </w:pPr>
            <w:r>
              <w:rPr>
                <w:rFonts w:ascii="Arial" w:cs="Arial" w:eastAsia="Arial" w:hAnsi="Arial"/>
                <w:sz w:val="18"/>
                <w:szCs w:val="18"/>
                <w:b w:val="1"/>
                <w:bCs w:val="1"/>
                <w:color w:val="FFFFFF"/>
              </w:rPr>
              <w:t>Summary Preclinical Data in PSC</w:t>
            </w:r>
          </w:p>
        </w:tc>
        <w:tc>
          <w:tcPr>
            <w:tcW w:w="20" w:type="dxa"/>
            <w:vAlign w:val="bottom"/>
          </w:tcPr>
          <w:p>
            <w:pPr>
              <w:spacing w:after="0"/>
              <w:rPr>
                <w:sz w:val="24"/>
                <w:szCs w:val="24"/>
                <w:color w:val="auto"/>
              </w:rPr>
            </w:pPr>
          </w:p>
        </w:tc>
      </w:tr>
      <w:tr>
        <w:trPr>
          <w:trHeight w:val="283"/>
        </w:trPr>
        <w:tc>
          <w:tcPr>
            <w:tcW w:w="3560" w:type="dxa"/>
            <w:vAlign w:val="bottom"/>
            <w:tcBorders>
              <w:left w:val="single" w:sz="8" w:color="4B61A8"/>
              <w:right w:val="single" w:sz="8" w:color="4B61A8"/>
            </w:tcBorders>
            <w:shd w:val="clear" w:color="auto" w:fill="4B61A8"/>
          </w:tcPr>
          <w:p>
            <w:pPr>
              <w:ind w:left="1000"/>
              <w:spacing w:after="0"/>
              <w:rPr>
                <w:sz w:val="20"/>
                <w:szCs w:val="20"/>
                <w:color w:val="auto"/>
              </w:rPr>
            </w:pPr>
            <w:r>
              <w:rPr>
                <w:rFonts w:ascii="Arial" w:cs="Arial" w:eastAsia="Arial" w:hAnsi="Arial"/>
                <w:sz w:val="18"/>
                <w:szCs w:val="18"/>
                <w:b w:val="1"/>
                <w:bCs w:val="1"/>
                <w:color w:val="FFFFFF"/>
              </w:rPr>
              <w:t>Preclinical Findings</w:t>
            </w:r>
          </w:p>
        </w:tc>
        <w:tc>
          <w:tcPr>
            <w:tcW w:w="7460" w:type="dxa"/>
            <w:vAlign w:val="bottom"/>
            <w:shd w:val="clear" w:color="auto" w:fill="4B61A8"/>
          </w:tcPr>
          <w:p>
            <w:pPr>
              <w:ind w:left="3260"/>
              <w:spacing w:after="0"/>
              <w:rPr>
                <w:sz w:val="20"/>
                <w:szCs w:val="20"/>
                <w:color w:val="auto"/>
              </w:rPr>
            </w:pPr>
            <w:r>
              <w:rPr>
                <w:rFonts w:ascii="Arial" w:cs="Arial" w:eastAsia="Arial" w:hAnsi="Arial"/>
                <w:sz w:val="18"/>
                <w:szCs w:val="18"/>
                <w:b w:val="1"/>
                <w:bCs w:val="1"/>
                <w:color w:val="FFFFFF"/>
              </w:rPr>
              <w:t>Observations</w:t>
            </w:r>
          </w:p>
        </w:tc>
        <w:tc>
          <w:tcPr>
            <w:tcW w:w="20" w:type="dxa"/>
            <w:vAlign w:val="bottom"/>
          </w:tcPr>
          <w:p>
            <w:pPr>
              <w:spacing w:after="0"/>
              <w:rPr>
                <w:sz w:val="24"/>
                <w:szCs w:val="24"/>
                <w:color w:val="auto"/>
              </w:rPr>
            </w:pPr>
          </w:p>
        </w:tc>
      </w:tr>
      <w:tr>
        <w:trPr>
          <w:trHeight w:val="269"/>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5"/>
              </w:rPr>
              <w:t>avß6 and avß1 are overexpressed in human</w:t>
            </w:r>
          </w:p>
        </w:tc>
        <w:tc>
          <w:tcPr>
            <w:tcW w:w="7460" w:type="dxa"/>
            <w:vAlign w:val="bottom"/>
            <w:shd w:val="clear" w:color="auto" w:fill="DBDFED"/>
          </w:tcPr>
          <w:p>
            <w:pPr>
              <w:ind w:left="180"/>
              <w:spacing w:after="0"/>
              <w:rPr>
                <w:sz w:val="20"/>
                <w:szCs w:val="20"/>
                <w:color w:val="auto"/>
              </w:rPr>
            </w:pPr>
            <w:r>
              <w:rPr>
                <w:rFonts w:ascii="Arial" w:cs="Arial" w:eastAsia="Arial" w:hAnsi="Arial"/>
                <w:sz w:val="18"/>
                <w:szCs w:val="18"/>
                <w:color w:val="auto"/>
                <w:w w:val="96"/>
              </w:rPr>
              <w:t xml:space="preserve">•  We confirmed that the widely used </w:t>
            </w:r>
            <w:r>
              <w:rPr>
                <w:rFonts w:ascii="Arial" w:cs="Arial" w:eastAsia="Arial" w:hAnsi="Arial"/>
                <w:sz w:val="18"/>
                <w:szCs w:val="18"/>
                <w:i w:val="1"/>
                <w:iCs w:val="1"/>
                <w:color w:val="auto"/>
                <w:w w:val="96"/>
              </w:rPr>
              <w:t>Mdr2</w:t>
            </w:r>
            <w:r>
              <w:rPr>
                <w:rFonts w:ascii="Arial" w:cs="Arial" w:eastAsia="Arial" w:hAnsi="Arial"/>
                <w:sz w:val="18"/>
                <w:szCs w:val="18"/>
                <w:color w:val="auto"/>
                <w:w w:val="96"/>
              </w:rPr>
              <w:t xml:space="preserve"> knockout PSC mouse model shows upregulation of</w:t>
            </w:r>
          </w:p>
        </w:tc>
        <w:tc>
          <w:tcPr>
            <w:tcW w:w="20" w:type="dxa"/>
            <w:vAlign w:val="bottom"/>
            <w:shd w:val="clear" w:color="auto" w:fill="4B61A8"/>
          </w:tcPr>
          <w:p>
            <w:pPr>
              <w:spacing w:after="0"/>
              <w:rPr>
                <w:sz w:val="23"/>
                <w:szCs w:val="23"/>
                <w:color w:val="auto"/>
              </w:rPr>
            </w:pPr>
          </w:p>
        </w:tc>
      </w:tr>
      <w:tr>
        <w:trPr>
          <w:trHeight w:val="216"/>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3"/>
              </w:rPr>
              <w:t>PSC liver tissue as well as a mouse model of</w:t>
            </w:r>
          </w:p>
        </w:tc>
        <w:tc>
          <w:tcPr>
            <w:tcW w:w="7460" w:type="dxa"/>
            <w:vAlign w:val="bottom"/>
            <w:shd w:val="clear" w:color="auto" w:fill="DBDFED"/>
          </w:tcPr>
          <w:p>
            <w:pPr>
              <w:ind w:left="440"/>
              <w:spacing w:after="0"/>
              <w:rPr>
                <w:sz w:val="20"/>
                <w:szCs w:val="20"/>
                <w:color w:val="auto"/>
              </w:rPr>
            </w:pPr>
            <w:r>
              <w:rPr>
                <w:rFonts w:ascii="Arial" w:cs="Arial" w:eastAsia="Arial" w:hAnsi="Arial"/>
                <w:sz w:val="18"/>
                <w:szCs w:val="18"/>
                <w:color w:val="auto"/>
              </w:rPr>
              <w:t>both avß6 and avß1, similar to our observations in diseased tissue from PSC patients</w:t>
            </w:r>
          </w:p>
        </w:tc>
        <w:tc>
          <w:tcPr>
            <w:tcW w:w="20" w:type="dxa"/>
            <w:vAlign w:val="bottom"/>
            <w:shd w:val="clear" w:color="auto" w:fill="4B61A8"/>
          </w:tcPr>
          <w:p>
            <w:pPr>
              <w:spacing w:after="0"/>
              <w:rPr>
                <w:sz w:val="18"/>
                <w:szCs w:val="18"/>
                <w:color w:val="auto"/>
              </w:rPr>
            </w:pPr>
          </w:p>
        </w:tc>
      </w:tr>
      <w:tr>
        <w:trPr>
          <w:trHeight w:val="230"/>
        </w:trPr>
        <w:tc>
          <w:tcPr>
            <w:tcW w:w="3560" w:type="dxa"/>
            <w:vAlign w:val="bottom"/>
            <w:tcBorders>
              <w:left w:val="single" w:sz="8" w:color="4B61A8"/>
              <w:bottom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PSC</w:t>
            </w:r>
          </w:p>
        </w:tc>
        <w:tc>
          <w:tcPr>
            <w:tcW w:w="7460" w:type="dxa"/>
            <w:vAlign w:val="bottom"/>
            <w:tcBorders>
              <w:bottom w:val="single" w:sz="8" w:color="4B61A8"/>
            </w:tcBorders>
            <w:shd w:val="clear" w:color="auto" w:fill="DBDFED"/>
          </w:tcPr>
          <w:p>
            <w:pPr>
              <w:spacing w:after="0"/>
              <w:rPr>
                <w:sz w:val="20"/>
                <w:szCs w:val="20"/>
                <w:color w:val="auto"/>
              </w:rPr>
            </w:pPr>
          </w:p>
        </w:tc>
        <w:tc>
          <w:tcPr>
            <w:tcW w:w="20" w:type="dxa"/>
            <w:vAlign w:val="bottom"/>
            <w:tcBorders>
              <w:bottom w:val="single" w:sz="8" w:color="4B61A8"/>
            </w:tcBorders>
            <w:shd w:val="clear" w:color="auto" w:fill="4B61A8"/>
          </w:tcPr>
          <w:p>
            <w:pPr>
              <w:spacing w:after="0"/>
              <w:rPr>
                <w:sz w:val="20"/>
                <w:szCs w:val="20"/>
                <w:color w:val="auto"/>
              </w:rPr>
            </w:pPr>
          </w:p>
        </w:tc>
      </w:tr>
      <w:tr>
        <w:trPr>
          <w:trHeight w:val="249"/>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PLN-74809 showed a dose dependent</w:t>
            </w:r>
          </w:p>
        </w:tc>
        <w:tc>
          <w:tcPr>
            <w:tcW w:w="7460" w:type="dxa"/>
            <w:vAlign w:val="bottom"/>
          </w:tcPr>
          <w:p>
            <w:pPr>
              <w:ind w:left="180"/>
              <w:spacing w:after="0"/>
              <w:rPr>
                <w:sz w:val="20"/>
                <w:szCs w:val="20"/>
                <w:color w:val="auto"/>
              </w:rPr>
            </w:pPr>
            <w:r>
              <w:rPr>
                <w:rFonts w:ascii="Arial" w:cs="Arial" w:eastAsia="Arial" w:hAnsi="Arial"/>
                <w:sz w:val="18"/>
                <w:szCs w:val="18"/>
                <w:color w:val="auto"/>
                <w:w w:val="96"/>
              </w:rPr>
              <w:t>•  Six weeks of treatment with PLN-74809 resulted in a significant dose-dependent reduction in</w:t>
            </w:r>
          </w:p>
        </w:tc>
        <w:tc>
          <w:tcPr>
            <w:tcW w:w="20" w:type="dxa"/>
            <w:vAlign w:val="bottom"/>
            <w:shd w:val="clear" w:color="auto" w:fill="4B61A8"/>
          </w:tcPr>
          <w:p>
            <w:pPr>
              <w:spacing w:after="0"/>
              <w:rPr>
                <w:sz w:val="21"/>
                <w:szCs w:val="21"/>
                <w:color w:val="auto"/>
              </w:rPr>
            </w:pPr>
          </w:p>
        </w:tc>
      </w:tr>
      <w:tr>
        <w:trPr>
          <w:trHeight w:val="21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7"/>
              </w:rPr>
              <w:t>reduction in fibrosis in a mouse PSC model</w:t>
            </w:r>
          </w:p>
        </w:tc>
        <w:tc>
          <w:tcPr>
            <w:tcW w:w="7460" w:type="dxa"/>
            <w:vAlign w:val="bottom"/>
          </w:tcPr>
          <w:p>
            <w:pPr>
              <w:ind w:left="440"/>
              <w:spacing w:after="0"/>
              <w:rPr>
                <w:sz w:val="20"/>
                <w:szCs w:val="20"/>
                <w:color w:val="auto"/>
              </w:rPr>
            </w:pPr>
            <w:r>
              <w:rPr>
                <w:rFonts w:ascii="Arial" w:cs="Arial" w:eastAsia="Arial" w:hAnsi="Arial"/>
                <w:sz w:val="18"/>
                <w:szCs w:val="18"/>
                <w:color w:val="auto"/>
              </w:rPr>
              <w:t>fibrosis compared to vehicle treated mice</w:t>
            </w:r>
          </w:p>
        </w:tc>
        <w:tc>
          <w:tcPr>
            <w:tcW w:w="20" w:type="dxa"/>
            <w:vAlign w:val="bottom"/>
            <w:shd w:val="clear" w:color="auto" w:fill="4B61A8"/>
          </w:tcPr>
          <w:p>
            <w:pPr>
              <w:spacing w:after="0"/>
              <w:rPr>
                <w:sz w:val="18"/>
                <w:szCs w:val="18"/>
                <w:color w:val="auto"/>
              </w:rPr>
            </w:pPr>
          </w:p>
        </w:tc>
      </w:tr>
      <w:tr>
        <w:trPr>
          <w:trHeight w:val="237"/>
        </w:trPr>
        <w:tc>
          <w:tcPr>
            <w:tcW w:w="3560" w:type="dxa"/>
            <w:vAlign w:val="bottom"/>
            <w:tcBorders>
              <w:left w:val="single" w:sz="8" w:color="4B61A8"/>
              <w:bottom w:val="single" w:sz="8" w:color="4B61A8"/>
              <w:right w:val="single" w:sz="8" w:color="4B61A8"/>
            </w:tcBorders>
          </w:tcPr>
          <w:p>
            <w:pPr>
              <w:spacing w:after="0"/>
              <w:rPr>
                <w:sz w:val="20"/>
                <w:szCs w:val="20"/>
                <w:color w:val="auto"/>
              </w:rPr>
            </w:pPr>
          </w:p>
        </w:tc>
        <w:tc>
          <w:tcPr>
            <w:tcW w:w="7460" w:type="dxa"/>
            <w:vAlign w:val="bottom"/>
            <w:tcBorders>
              <w:bottom w:val="single" w:sz="8" w:color="4B61A8"/>
            </w:tcBorders>
          </w:tcPr>
          <w:p>
            <w:pPr>
              <w:ind w:left="180"/>
              <w:spacing w:after="0"/>
              <w:rPr>
                <w:sz w:val="20"/>
                <w:szCs w:val="20"/>
                <w:color w:val="auto"/>
              </w:rPr>
            </w:pPr>
            <w:r>
              <w:rPr>
                <w:rFonts w:ascii="Arial" w:cs="Arial" w:eastAsia="Arial" w:hAnsi="Arial"/>
                <w:sz w:val="18"/>
                <w:szCs w:val="18"/>
                <w:color w:val="auto"/>
              </w:rPr>
              <w:t>•  pSMAD3 levels were also significantly reduced in a dose-dependent manner</w:t>
            </w:r>
          </w:p>
        </w:tc>
        <w:tc>
          <w:tcPr>
            <w:tcW w:w="20" w:type="dxa"/>
            <w:vAlign w:val="bottom"/>
            <w:tcBorders>
              <w:bottom w:val="single" w:sz="8" w:color="4B61A8"/>
            </w:tcBorders>
            <w:shd w:val="clear" w:color="auto" w:fill="4B61A8"/>
          </w:tcPr>
          <w:p>
            <w:pPr>
              <w:spacing w:after="0"/>
              <w:rPr>
                <w:sz w:val="20"/>
                <w:szCs w:val="20"/>
                <w:color w:val="auto"/>
              </w:rPr>
            </w:pPr>
          </w:p>
        </w:tc>
      </w:tr>
      <w:tr>
        <w:trPr>
          <w:trHeight w:val="256"/>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7"/>
              </w:rPr>
              <w:t>PLN-74809 reduced cholestasis markers in</w:t>
            </w:r>
          </w:p>
        </w:tc>
        <w:tc>
          <w:tcPr>
            <w:tcW w:w="7460" w:type="dxa"/>
            <w:vAlign w:val="bottom"/>
            <w:shd w:val="clear" w:color="auto" w:fill="DBDFED"/>
          </w:tcPr>
          <w:p>
            <w:pPr>
              <w:ind w:left="180"/>
              <w:spacing w:after="0"/>
              <w:rPr>
                <w:sz w:val="20"/>
                <w:szCs w:val="20"/>
                <w:color w:val="auto"/>
              </w:rPr>
            </w:pPr>
            <w:r>
              <w:rPr>
                <w:rFonts w:ascii="Arial" w:cs="Arial" w:eastAsia="Arial" w:hAnsi="Arial"/>
                <w:sz w:val="18"/>
                <w:szCs w:val="18"/>
                <w:color w:val="auto"/>
              </w:rPr>
              <w:t>•  After six weeks of treatment with PLN-74809, at the highest dose tested, we observed a</w:t>
            </w:r>
          </w:p>
        </w:tc>
        <w:tc>
          <w:tcPr>
            <w:tcW w:w="20" w:type="dxa"/>
            <w:vAlign w:val="bottom"/>
            <w:shd w:val="clear" w:color="auto" w:fill="4B61A8"/>
          </w:tcPr>
          <w:p>
            <w:pPr>
              <w:spacing w:after="0"/>
              <w:rPr>
                <w:sz w:val="22"/>
                <w:szCs w:val="22"/>
                <w:color w:val="auto"/>
              </w:rPr>
            </w:pPr>
          </w:p>
        </w:tc>
      </w:tr>
      <w:tr>
        <w:trPr>
          <w:trHeight w:val="230"/>
        </w:trPr>
        <w:tc>
          <w:tcPr>
            <w:tcW w:w="3560" w:type="dxa"/>
            <w:vAlign w:val="bottom"/>
            <w:tcBorders>
              <w:left w:val="single" w:sz="8" w:color="4B61A8"/>
              <w:bottom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PSC model</w:t>
            </w:r>
          </w:p>
        </w:tc>
        <w:tc>
          <w:tcPr>
            <w:tcW w:w="7460" w:type="dxa"/>
            <w:vAlign w:val="bottom"/>
            <w:tcBorders>
              <w:bottom w:val="single" w:sz="8" w:color="4B61A8"/>
            </w:tcBorders>
            <w:shd w:val="clear" w:color="auto" w:fill="DBDFED"/>
          </w:tcPr>
          <w:p>
            <w:pPr>
              <w:ind w:left="440"/>
              <w:spacing w:after="0"/>
              <w:rPr>
                <w:sz w:val="20"/>
                <w:szCs w:val="20"/>
                <w:color w:val="auto"/>
              </w:rPr>
            </w:pPr>
            <w:r>
              <w:rPr>
                <w:rFonts w:ascii="Arial" w:cs="Arial" w:eastAsia="Arial" w:hAnsi="Arial"/>
                <w:sz w:val="18"/>
                <w:szCs w:val="18"/>
                <w:color w:val="auto"/>
              </w:rPr>
              <w:t>significant reduction of alkaline phosphatase and total bilirubin</w:t>
            </w:r>
          </w:p>
        </w:tc>
        <w:tc>
          <w:tcPr>
            <w:tcW w:w="20" w:type="dxa"/>
            <w:vAlign w:val="bottom"/>
            <w:tcBorders>
              <w:bottom w:val="single" w:sz="8" w:color="4B61A8"/>
            </w:tcBorders>
            <w:shd w:val="clear" w:color="auto" w:fill="4B61A8"/>
          </w:tcPr>
          <w:p>
            <w:pPr>
              <w:spacing w:after="0"/>
              <w:rPr>
                <w:sz w:val="20"/>
                <w:szCs w:val="20"/>
                <w:color w:val="auto"/>
              </w:rPr>
            </w:pPr>
          </w:p>
        </w:tc>
      </w:tr>
      <w:tr>
        <w:trPr>
          <w:trHeight w:val="249"/>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1"/>
              </w:rPr>
              <w:t xml:space="preserve">PLN-74809 decreased </w:t>
            </w:r>
            <w:r>
              <w:rPr>
                <w:rFonts w:ascii="Arial" w:cs="Arial" w:eastAsia="Arial" w:hAnsi="Arial"/>
                <w:sz w:val="18"/>
                <w:szCs w:val="18"/>
                <w:i w:val="1"/>
                <w:iCs w:val="1"/>
                <w:color w:val="auto"/>
                <w:w w:val="91"/>
              </w:rPr>
              <w:t>COL1A1</w:t>
            </w:r>
            <w:r>
              <w:rPr>
                <w:rFonts w:ascii="Arial" w:cs="Arial" w:eastAsia="Arial" w:hAnsi="Arial"/>
                <w:sz w:val="18"/>
                <w:szCs w:val="18"/>
                <w:color w:val="auto"/>
                <w:w w:val="91"/>
              </w:rPr>
              <w:t xml:space="preserve"> expression in</w:t>
            </w:r>
          </w:p>
        </w:tc>
        <w:tc>
          <w:tcPr>
            <w:tcW w:w="7460" w:type="dxa"/>
            <w:vAlign w:val="bottom"/>
          </w:tcPr>
          <w:p>
            <w:pPr>
              <w:ind w:left="180"/>
              <w:spacing w:after="0"/>
              <w:rPr>
                <w:sz w:val="20"/>
                <w:szCs w:val="20"/>
                <w:color w:val="auto"/>
              </w:rPr>
            </w:pPr>
            <w:r>
              <w:rPr>
                <w:rFonts w:ascii="Arial" w:cs="Arial" w:eastAsia="Arial" w:hAnsi="Arial"/>
                <w:sz w:val="18"/>
                <w:szCs w:val="18"/>
                <w:color w:val="auto"/>
                <w:w w:val="93"/>
              </w:rPr>
              <w:t xml:space="preserve">•  After two days incubation with PLN-74809 we observed dose-dependent reductions in </w:t>
            </w:r>
            <w:r>
              <w:rPr>
                <w:rFonts w:ascii="Arial" w:cs="Arial" w:eastAsia="Arial" w:hAnsi="Arial"/>
                <w:sz w:val="18"/>
                <w:szCs w:val="18"/>
                <w:i w:val="1"/>
                <w:iCs w:val="1"/>
                <w:color w:val="auto"/>
                <w:w w:val="93"/>
              </w:rPr>
              <w:t>COL1A1</w:t>
            </w:r>
          </w:p>
        </w:tc>
        <w:tc>
          <w:tcPr>
            <w:tcW w:w="20" w:type="dxa"/>
            <w:vAlign w:val="bottom"/>
            <w:shd w:val="clear" w:color="auto" w:fill="4B61A8"/>
          </w:tcPr>
          <w:p>
            <w:pPr>
              <w:spacing w:after="0"/>
              <w:rPr>
                <w:sz w:val="21"/>
                <w:szCs w:val="21"/>
                <w:color w:val="auto"/>
              </w:rPr>
            </w:pPr>
          </w:p>
        </w:tc>
      </w:tr>
      <w:tr>
        <w:trPr>
          <w:trHeight w:val="21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1"/>
              </w:rPr>
              <w:t>live human PSC and PBC liver tissue samples</w:t>
            </w:r>
          </w:p>
        </w:tc>
        <w:tc>
          <w:tcPr>
            <w:tcW w:w="7460" w:type="dxa"/>
            <w:vAlign w:val="bottom"/>
          </w:tcPr>
          <w:p>
            <w:pPr>
              <w:ind w:left="440"/>
              <w:spacing w:after="0"/>
              <w:rPr>
                <w:sz w:val="20"/>
                <w:szCs w:val="20"/>
                <w:color w:val="auto"/>
              </w:rPr>
            </w:pPr>
            <w:r>
              <w:rPr>
                <w:rFonts w:ascii="Arial" w:cs="Arial" w:eastAsia="Arial" w:hAnsi="Arial"/>
                <w:sz w:val="18"/>
                <w:szCs w:val="18"/>
                <w:color w:val="auto"/>
                <w:w w:val="96"/>
              </w:rPr>
              <w:t>gene expression in live liver samples from a PSC patient and a PBC patient after transplant</w:t>
            </w:r>
          </w:p>
        </w:tc>
        <w:tc>
          <w:tcPr>
            <w:tcW w:w="20" w:type="dxa"/>
            <w:vAlign w:val="bottom"/>
            <w:shd w:val="clear" w:color="auto" w:fill="4B61A8"/>
          </w:tcPr>
          <w:p>
            <w:pPr>
              <w:spacing w:after="0"/>
              <w:rPr>
                <w:sz w:val="18"/>
                <w:szCs w:val="18"/>
                <w:color w:val="auto"/>
              </w:rPr>
            </w:pPr>
          </w:p>
        </w:tc>
      </w:tr>
      <w:tr>
        <w:trPr>
          <w:trHeight w:val="21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more than OCA</w:t>
            </w:r>
          </w:p>
        </w:tc>
        <w:tc>
          <w:tcPr>
            <w:tcW w:w="7460" w:type="dxa"/>
            <w:vAlign w:val="bottom"/>
          </w:tcPr>
          <w:p>
            <w:pPr>
              <w:ind w:left="180"/>
              <w:spacing w:after="0"/>
              <w:rPr>
                <w:sz w:val="20"/>
                <w:szCs w:val="20"/>
                <w:color w:val="auto"/>
              </w:rPr>
            </w:pPr>
            <w:r>
              <w:rPr>
                <w:rFonts w:ascii="Arial" w:cs="Arial" w:eastAsia="Arial" w:hAnsi="Arial"/>
                <w:sz w:val="18"/>
                <w:szCs w:val="18"/>
                <w:color w:val="auto"/>
                <w:w w:val="98"/>
              </w:rPr>
              <w:t xml:space="preserve">•  Incubation with OCA did not achieve the same level of reduction of </w:t>
            </w:r>
            <w:r>
              <w:rPr>
                <w:rFonts w:ascii="Arial" w:cs="Arial" w:eastAsia="Arial" w:hAnsi="Arial"/>
                <w:sz w:val="18"/>
                <w:szCs w:val="18"/>
                <w:i w:val="1"/>
                <w:iCs w:val="1"/>
                <w:color w:val="auto"/>
                <w:w w:val="98"/>
              </w:rPr>
              <w:t>COL1A1</w:t>
            </w:r>
            <w:r>
              <w:rPr>
                <w:rFonts w:ascii="Arial" w:cs="Arial" w:eastAsia="Arial" w:hAnsi="Arial"/>
                <w:sz w:val="18"/>
                <w:szCs w:val="18"/>
                <w:color w:val="auto"/>
                <w:w w:val="98"/>
              </w:rPr>
              <w:t xml:space="preserve"> expression as</w:t>
            </w:r>
          </w:p>
        </w:tc>
        <w:tc>
          <w:tcPr>
            <w:tcW w:w="20" w:type="dxa"/>
            <w:vAlign w:val="bottom"/>
            <w:shd w:val="clear" w:color="auto" w:fill="4B61A8"/>
          </w:tcPr>
          <w:p>
            <w:pPr>
              <w:spacing w:after="0"/>
              <w:rPr>
                <w:sz w:val="18"/>
                <w:szCs w:val="18"/>
                <w:color w:val="auto"/>
              </w:rPr>
            </w:pPr>
          </w:p>
        </w:tc>
      </w:tr>
      <w:tr>
        <w:trPr>
          <w:trHeight w:val="237"/>
        </w:trPr>
        <w:tc>
          <w:tcPr>
            <w:tcW w:w="3560" w:type="dxa"/>
            <w:vAlign w:val="bottom"/>
            <w:tcBorders>
              <w:left w:val="single" w:sz="8" w:color="4B61A8"/>
              <w:bottom w:val="single" w:sz="8" w:color="4B61A8"/>
              <w:right w:val="single" w:sz="8" w:color="4B61A8"/>
            </w:tcBorders>
          </w:tcPr>
          <w:p>
            <w:pPr>
              <w:spacing w:after="0"/>
              <w:rPr>
                <w:sz w:val="20"/>
                <w:szCs w:val="20"/>
                <w:color w:val="auto"/>
              </w:rPr>
            </w:pPr>
          </w:p>
        </w:tc>
        <w:tc>
          <w:tcPr>
            <w:tcW w:w="7460" w:type="dxa"/>
            <w:vAlign w:val="bottom"/>
            <w:tcBorders>
              <w:bottom w:val="single" w:sz="8" w:color="4B61A8"/>
            </w:tcBorders>
          </w:tcPr>
          <w:p>
            <w:pPr>
              <w:ind w:left="440"/>
              <w:spacing w:after="0"/>
              <w:rPr>
                <w:sz w:val="20"/>
                <w:szCs w:val="20"/>
                <w:color w:val="auto"/>
              </w:rPr>
            </w:pPr>
            <w:r>
              <w:rPr>
                <w:rFonts w:ascii="Arial" w:cs="Arial" w:eastAsia="Arial" w:hAnsi="Arial"/>
                <w:sz w:val="18"/>
                <w:szCs w:val="18"/>
                <w:color w:val="auto"/>
              </w:rPr>
              <w:t>PLN-74809</w:t>
            </w:r>
          </w:p>
        </w:tc>
        <w:tc>
          <w:tcPr>
            <w:tcW w:w="20" w:type="dxa"/>
            <w:vAlign w:val="bottom"/>
            <w:tcBorders>
              <w:bottom w:val="single" w:sz="8" w:color="4B61A8"/>
            </w:tcBorders>
            <w:shd w:val="clear" w:color="auto" w:fill="4B61A8"/>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-2022475</wp:posOffset>
            </wp:positionV>
            <wp:extent cx="699516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vß6 and</w:t>
      </w:r>
      <w:r>
        <w:rPr>
          <w:rFonts w:ascii="Arial" w:cs="Arial" w:eastAsia="Arial" w:hAnsi="Arial"/>
          <w:sz w:val="18"/>
          <w:szCs w:val="18"/>
          <w:color w:val="auto"/>
        </w:rPr>
        <w:t xml:space="preserve"> a</w:t>
      </w:r>
      <w:r>
        <w:rPr>
          <w:rFonts w:ascii="Arial" w:cs="Arial" w:eastAsia="Arial" w:hAnsi="Arial"/>
          <w:sz w:val="18"/>
          <w:szCs w:val="18"/>
          <w:i w:val="1"/>
          <w:iCs w:val="1"/>
          <w:color w:val="auto"/>
        </w:rPr>
        <w:t>vß1 are overexpressed in human PSC liver tissue as well as a mouse model of PSC</w:t>
      </w:r>
    </w:p>
    <w:p>
      <w:pPr>
        <w:spacing w:after="0" w:line="11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 xml:space="preserve">Similar to our approach in diseased tissue from an IPF patient, we examined the expression patterns of integrins in live, diseased tissue obtained from a patient with PSC. We found that both avß6 and avß1 integrins are overexpressed in these tissues. We then went to the standard animal model for PSC based on a deletion of the </w:t>
      </w:r>
      <w:r>
        <w:rPr>
          <w:rFonts w:ascii="Arial" w:cs="Arial" w:eastAsia="Arial" w:hAnsi="Arial"/>
          <w:sz w:val="18"/>
          <w:szCs w:val="18"/>
          <w:i w:val="1"/>
          <w:iCs w:val="1"/>
          <w:color w:val="auto"/>
        </w:rPr>
        <w:t>Mdr2</w:t>
      </w:r>
      <w:r>
        <w:rPr>
          <w:rFonts w:ascii="Arial" w:cs="Arial" w:eastAsia="Arial" w:hAnsi="Arial"/>
          <w:sz w:val="18"/>
          <w:szCs w:val="18"/>
          <w:color w:val="auto"/>
        </w:rPr>
        <w:t xml:space="preserve"> gene in mice and confirmed that in this model both avß6 and avß1 are overexpressed compared to normal control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144780</wp:posOffset>
            </wp:positionV>
            <wp:extent cx="6180455" cy="26142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8045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Both </w:t>
      </w:r>
      <w:r>
        <w:rPr>
          <w:rFonts w:ascii="Arial" w:cs="Arial" w:eastAsia="Arial" w:hAnsi="Arial"/>
          <w:sz w:val="18"/>
          <w:szCs w:val="18"/>
          <w:color w:val="auto"/>
        </w:rPr>
        <w:t>a</w:t>
      </w:r>
      <w:r>
        <w:rPr>
          <w:rFonts w:ascii="Arial" w:cs="Arial" w:eastAsia="Arial" w:hAnsi="Arial"/>
          <w:sz w:val="18"/>
          <w:szCs w:val="18"/>
          <w:b w:val="1"/>
          <w:bCs w:val="1"/>
          <w:color w:val="auto"/>
        </w:rPr>
        <w:t xml:space="preserve">vß6 and </w:t>
      </w:r>
      <w:r>
        <w:rPr>
          <w:rFonts w:ascii="Arial" w:cs="Arial" w:eastAsia="Arial" w:hAnsi="Arial"/>
          <w:sz w:val="18"/>
          <w:szCs w:val="18"/>
          <w:color w:val="auto"/>
        </w:rPr>
        <w:t>a</w:t>
      </w:r>
      <w:r>
        <w:rPr>
          <w:rFonts w:ascii="Arial" w:cs="Arial" w:eastAsia="Arial" w:hAnsi="Arial"/>
          <w:sz w:val="18"/>
          <w:szCs w:val="18"/>
          <w:b w:val="1"/>
          <w:bCs w:val="1"/>
          <w:color w:val="auto"/>
        </w:rPr>
        <w:t xml:space="preserve">vß1 are overexpressed in a </w:t>
      </w:r>
      <w:r>
        <w:rPr>
          <w:rFonts w:ascii="Arial" w:cs="Arial" w:eastAsia="Arial" w:hAnsi="Arial"/>
          <w:sz w:val="18"/>
          <w:szCs w:val="18"/>
          <w:b w:val="1"/>
          <w:bCs w:val="1"/>
          <w:i w:val="1"/>
          <w:iCs w:val="1"/>
          <w:color w:val="auto"/>
        </w:rPr>
        <w:t>Mdr2</w:t>
      </w:r>
      <w:r>
        <w:rPr>
          <w:rFonts w:ascii="Arial" w:cs="Arial" w:eastAsia="Arial" w:hAnsi="Arial"/>
          <w:sz w:val="18"/>
          <w:szCs w:val="18"/>
          <w:b w:val="1"/>
          <w:bCs w:val="1"/>
          <w:color w:val="auto"/>
        </w:rPr>
        <w:t xml:space="preserve"> knockout model of PSC</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PLN-74809 showed a dose dependent reduction in fibrosis in a mouse PSC model</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Mdr2</w:t>
      </w:r>
      <w:r>
        <w:rPr>
          <w:rFonts w:ascii="Arial" w:cs="Arial" w:eastAsia="Arial" w:hAnsi="Arial"/>
          <w:sz w:val="18"/>
          <w:szCs w:val="18"/>
          <w:color w:val="auto"/>
        </w:rPr>
        <w:t>-deficient mice that have developed biliary fibrosis resembling PSC, dosing with PLN-74809 for six weeks resulted in a significant, dose-dependent reduction in fibrosis compared to vehicle treated mice. Similar results were observed whether the analyses were based on collagen levels as measured by hydroxyproline, pSMAD3 levels or histological 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142875</wp:posOffset>
            </wp:positionV>
            <wp:extent cx="5040630" cy="27343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4063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PLN-74809 showed reduction of fibrosis in the </w:t>
      </w:r>
      <w:r>
        <w:rPr>
          <w:rFonts w:ascii="Arial" w:cs="Arial" w:eastAsia="Arial" w:hAnsi="Arial"/>
          <w:sz w:val="18"/>
          <w:szCs w:val="18"/>
          <w:b w:val="1"/>
          <w:bCs w:val="1"/>
          <w:i w:val="1"/>
          <w:iCs w:val="1"/>
          <w:color w:val="auto"/>
        </w:rPr>
        <w:t>Mdr2</w:t>
      </w:r>
      <w:r>
        <w:rPr>
          <w:rFonts w:ascii="Arial" w:cs="Arial" w:eastAsia="Arial" w:hAnsi="Arial"/>
          <w:sz w:val="18"/>
          <w:szCs w:val="18"/>
          <w:b w:val="1"/>
          <w:bCs w:val="1"/>
          <w:color w:val="auto"/>
        </w:rPr>
        <w:t xml:space="preserve"> deficient PSC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171450</wp:posOffset>
            </wp:positionV>
            <wp:extent cx="5589270" cy="2177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8927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 xml:space="preserve">PLN-74809 showed improved histology score in the </w:t>
      </w:r>
      <w:r>
        <w:rPr>
          <w:rFonts w:ascii="Arial" w:cs="Arial" w:eastAsia="Arial" w:hAnsi="Arial"/>
          <w:sz w:val="18"/>
          <w:szCs w:val="18"/>
          <w:b w:val="1"/>
          <w:bCs w:val="1"/>
          <w:i w:val="1"/>
          <w:iCs w:val="1"/>
          <w:color w:val="auto"/>
        </w:rPr>
        <w:t>Mdr2</w:t>
      </w:r>
      <w:r>
        <w:rPr>
          <w:rFonts w:ascii="Arial" w:cs="Arial" w:eastAsia="Arial" w:hAnsi="Arial"/>
          <w:sz w:val="18"/>
          <w:szCs w:val="18"/>
          <w:b w:val="1"/>
          <w:bCs w:val="1"/>
          <w:color w:val="auto"/>
        </w:rPr>
        <w:t xml:space="preserve"> deficient PSC model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PLN-74809 reduced cholestasis liver biomarkers in PSC model</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Treatment of </w:t>
      </w:r>
      <w:r>
        <w:rPr>
          <w:rFonts w:ascii="Arial" w:cs="Arial" w:eastAsia="Arial" w:hAnsi="Arial"/>
          <w:sz w:val="18"/>
          <w:szCs w:val="18"/>
          <w:i w:val="1"/>
          <w:iCs w:val="1"/>
          <w:color w:val="auto"/>
        </w:rPr>
        <w:t>Mdr2</w:t>
      </w:r>
      <w:r>
        <w:rPr>
          <w:rFonts w:ascii="Arial" w:cs="Arial" w:eastAsia="Arial" w:hAnsi="Arial"/>
          <w:sz w:val="18"/>
          <w:szCs w:val="18"/>
          <w:color w:val="auto"/>
        </w:rPr>
        <w:t>-deficient mice with PLN-74809 also reduced in a dose-dependent manner serum levels of alkaline phosphatase and total bilirubin compared to vehicle controls. Both are markers of cholestasis.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205740</wp:posOffset>
            </wp:positionV>
            <wp:extent cx="5546090" cy="29146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4609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PLN-74809 reduced cholestasis markers in PSC model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PLN-74809 decreased COL1A1 expression in live human PSC and PBC liver tissue samples more than OCA</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We assessed the anti-fibrotic activity of our integrin inhibitors using liver samples obtained from a PSC patient and a PBC patient. We used precision-cut tissue slices to establish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tissue culture samples that mimic the multicellular characteristics of organs. The use of these precision-cut tissue culture assays not only provides the opportunity to assess the effects of our compounds directly on diseased human tissue, but also allows this to be done in a three-dimensional, multicellular context that better represents the complexity of the diseased tissue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194935" cy="12433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9493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Assessing anti-fibrotic activity of compounds in live human liver fibrosis tissue</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Live tissue samples from a PSC patient and a PBC patient were incubated for two days with varying concentrations of PLN-74809 and obeticholic acid, or OCA, a drug approved for the treatment of PBC. Incubation with PLN-74809 led to a significant dose-dependent decrease of </w:t>
      </w:r>
      <w:r>
        <w:rPr>
          <w:rFonts w:ascii="Arial" w:cs="Arial" w:eastAsia="Arial" w:hAnsi="Arial"/>
          <w:sz w:val="18"/>
          <w:szCs w:val="18"/>
          <w:i w:val="1"/>
          <w:iCs w:val="1"/>
          <w:color w:val="auto"/>
        </w:rPr>
        <w:t>COL1A1</w:t>
      </w:r>
      <w:r>
        <w:rPr>
          <w:rFonts w:ascii="Arial" w:cs="Arial" w:eastAsia="Arial" w:hAnsi="Arial"/>
          <w:sz w:val="18"/>
          <w:szCs w:val="18"/>
          <w:color w:val="auto"/>
        </w:rPr>
        <w:t xml:space="preserve"> expression, while incubation with OCA did not.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3914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PLN-74809 blocked fibrosis in live human PSC and PBC liver tissue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PLN-1474 for the treatment of liver fibrosis and NASH</w:t>
      </w:r>
    </w:p>
    <w:p>
      <w:pPr>
        <w:spacing w:after="0" w:line="121"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PLN-1474 is a selective inhibitor of avß1 integrin that we are developing for the treatment of stage F3/F4 liver fibrosis in patients with NASH. PLN-1474 is an orally bioavailable inhibitor that has shown anti-fibrotic activity in multiple animal models of liver fibrosis as well as in live human NASH fibrotic liver tissue. We are completing IND enabling studies on PLN-1474 and anticipate filing an IND with the FDA by the end of 2019.</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Background on liver fibrosis and NASH</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NASH is a severe form of NAFLD that is associated with the development of liver fibrosis and potentially life-threatening liver dysfunction. NAFLD is characterized by increased amounts of fat in the liver, or steatosis. NAFLD is believed to occur due to a combination of factors including high caloric diet, obesity and metabolic syndrome, type 2 diabetes mellitus and genetics. Early stages of the disease often have no symptoms other than slightly elevated or fluctuating levels of liver enzymes in some patients.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excess fat builds up in the liver, it can eventually cause lipotoxicity, resulting in inflammation in the liver and leading to injury of hepatocytes, known as ballooning. It is this combination of steatosis, inflammation and hepatocellular ballooning that defines NASH. Over time, NASH can lead to fibrosis of the liver. Fibrosis can progress to cirrhosis, resulting in impaired liver function and increased risk of liver-related complications and mortality. In fact, liver fibrosis is an independent predictor of liver-related morbidity and all-cause mortality in NASH. There are currently no approved therapies for NASH, and to date investigational NASH therapies have only shown modest anti-fibrotic benefits in published clinical trials.</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It is estimated that 30 to 40 percent of adults in the United States have NAFLD and approximately 30 percent of these patients, or up to 12 percent of adults, will develop NASH. NASH is already highly prevalent, affecting approximately 16.5 million adults in the United States with approximately 3.3 million at stage F3/F4 liver fibrosis. NASH is a growing problem with U.S. cases expected to top 27 million by 2030, with approximately eight million at stage F3/F4 liver fibrosis.</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While NASH is becoming more common in the general population, identifying patients with increased risk of liver-related morbidity and mortality is important for clinical management. While steatosis, inflammation and hepatocellular ballooning are the measures used to diagnose NASH, to date, the presence and severity of liver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fibrosis is the only proven independent predictor of poor clinical outcomes in NASH. Cirrhosis associated with NASH is the fastest growing indication for liver transplantation in the United States.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Approximately 10 to 15 percent of NASH patients will ultimately progress to cirrhosis over time. On average, these patients advance one fibrosis stage every seven years. NASH patients, regardless of stage of fibrosis, have an estimated annual mortality rate of 1.5 to 3.5 percent per year, mostly due to cardiovascular complications. However, when patients progress to stage F2 fibrosis or greater, liver-related complications become the highest risk for mortality. Each progressive stage of fibrosis correlates to a dramatic increase in liver-related mortality risk. Moreover, patients with F3 and F4 fibrosis carry liver-related mortality risk that is 17 times and 42 times greater, respectively, than NASH patients without fibrosis. We believe treatments with a potent anti-fibrotic effect would be more likely to have a meaningful impact on clinical outcomes for NASH patients with F3 to F4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130810</wp:posOffset>
            </wp:positionV>
            <wp:extent cx="5194935" cy="3334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9493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Stages of liver fibrosis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are currently no therapies approved for the treatment of NAFLD or NASH. Lifestyle changes and exercise to reduce body weight and treatment of concomitant diabetes and dyslipidemia comprise the cornerstone of treatment but are not sustainable in the majority of patients. For patients with cirrhosis, liver transplantation is the only potential treatment option, but transplant livers are not widely available, and only a minority of these patients will be eligible for a transplant due to the risks, costs and complexities associated with the procedure. NASH is the second leading indication for liver transplantation in the United States, but is also the most rapidly growing indication and is expected to eventually overtake alcoholic liver disease as the largest driver of liver transplant.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There are many candidates in development for the treatment of NASH that target various aspects of the disease. A number of these candidates are directed at reducing the underlying causes of the disease such as obesity and diabetes or addressing fat accumulation in the liver by altering lipid metabolism. Other candidates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are focused on suppressing the inflammatory stage of NASH with the intent of preventing the progression of fibrosis. To date, only modest improvements in liver fibrosis stage or severity have been reported with investigational compounds evaluated in patients with NASH. Our approach is to directly target the fibrosis pathway with the goal of preventing progression or reversing advanced fibrosis (F3/F4). Given TGF- ß’s central role to fibrosis pathophysiology, we believe that directly targeting the TGF-ß activation pathway via avß1 integrin inhibition holds the potential to provide a more clinically meaningful anti-fibrotic effect than current investigational therapies, and ultimately prevent disease progression to cirrhosis and liver related complications.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solution, PLN-1474</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PLN-1474 is an orally bioavailable, small-molecule, selective inhibitor of avß1 mediated TGF-ß activation. We are developing PLN-1474 as an anti-fibrotic therapy for patients with F3/F4 stage liver fibrosis associated with NASH. We have shown that in human fibrotic liver tissue from patients with NASH that the levels of avß1 are significantly elevated in tissue from patients with stage 4 fibrotic disease. Overexpression of avß1 is correlated with TGF-ß activation as measured by pSMAD3 levels. Therefore, we believe a single-selective inhibitor of avß1 is a promising and differentiated approach to treating NASH related liver fibrosis. We are currently conducting IND-enabling studies and plan to submit an IND by the end of 2019.</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266" w:lineRule="exact"/>
        <w:rPr>
          <w:sz w:val="20"/>
          <w:szCs w:val="20"/>
          <w:color w:val="auto"/>
        </w:rPr>
      </w:pPr>
    </w:p>
    <w:tbl>
      <w:tblPr>
        <w:tblLayout w:type="fixed"/>
        <w:tblInd w:w="130" w:type="dxa"/>
        <w:tblCellMar>
          <w:top w:w="0" w:type="dxa"/>
          <w:left w:w="0" w:type="dxa"/>
          <w:bottom w:w="0" w:type="dxa"/>
          <w:right w:w="0" w:type="dxa"/>
        </w:tblCellMar>
      </w:tblPr>
      <w:tr>
        <w:trPr>
          <w:trHeight w:val="283"/>
        </w:trPr>
        <w:tc>
          <w:tcPr>
            <w:tcW w:w="3560" w:type="dxa"/>
            <w:vAlign w:val="bottom"/>
            <w:tcBorders>
              <w:left w:val="single" w:sz="8" w:color="4B61A8"/>
              <w:right w:val="single" w:sz="8" w:color="4B61A8"/>
            </w:tcBorders>
            <w:shd w:val="clear" w:color="auto" w:fill="4B61A8"/>
          </w:tcPr>
          <w:p>
            <w:pPr>
              <w:spacing w:after="0"/>
              <w:rPr>
                <w:sz w:val="24"/>
                <w:szCs w:val="24"/>
                <w:color w:val="auto"/>
              </w:rPr>
            </w:pPr>
          </w:p>
        </w:tc>
        <w:tc>
          <w:tcPr>
            <w:tcW w:w="7460" w:type="dxa"/>
            <w:vAlign w:val="bottom"/>
            <w:shd w:val="clear" w:color="auto" w:fill="4B61A8"/>
          </w:tcPr>
          <w:p>
            <w:pPr>
              <w:ind w:left="460"/>
              <w:spacing w:after="0"/>
              <w:rPr>
                <w:sz w:val="20"/>
                <w:szCs w:val="20"/>
                <w:color w:val="auto"/>
              </w:rPr>
            </w:pPr>
            <w:r>
              <w:rPr>
                <w:rFonts w:ascii="Arial" w:cs="Arial" w:eastAsia="Arial" w:hAnsi="Arial"/>
                <w:sz w:val="18"/>
                <w:szCs w:val="18"/>
                <w:b w:val="1"/>
                <w:bCs w:val="1"/>
                <w:color w:val="FFFFFF"/>
              </w:rPr>
              <w:t>Summary of Preclinical Data in NASH</w:t>
            </w:r>
          </w:p>
        </w:tc>
        <w:tc>
          <w:tcPr>
            <w:tcW w:w="20" w:type="dxa"/>
            <w:vAlign w:val="bottom"/>
          </w:tcPr>
          <w:p>
            <w:pPr>
              <w:spacing w:after="0"/>
              <w:rPr>
                <w:sz w:val="24"/>
                <w:szCs w:val="24"/>
                <w:color w:val="auto"/>
              </w:rPr>
            </w:pPr>
          </w:p>
        </w:tc>
      </w:tr>
      <w:tr>
        <w:trPr>
          <w:trHeight w:val="283"/>
        </w:trPr>
        <w:tc>
          <w:tcPr>
            <w:tcW w:w="3560" w:type="dxa"/>
            <w:vAlign w:val="bottom"/>
            <w:tcBorders>
              <w:left w:val="single" w:sz="8" w:color="4B61A8"/>
              <w:right w:val="single" w:sz="8" w:color="4B61A8"/>
            </w:tcBorders>
            <w:shd w:val="clear" w:color="auto" w:fill="4B61A8"/>
          </w:tcPr>
          <w:p>
            <w:pPr>
              <w:ind w:left="1000"/>
              <w:spacing w:after="0"/>
              <w:rPr>
                <w:sz w:val="20"/>
                <w:szCs w:val="20"/>
                <w:color w:val="auto"/>
              </w:rPr>
            </w:pPr>
            <w:r>
              <w:rPr>
                <w:rFonts w:ascii="Arial" w:cs="Arial" w:eastAsia="Arial" w:hAnsi="Arial"/>
                <w:sz w:val="18"/>
                <w:szCs w:val="18"/>
                <w:b w:val="1"/>
                <w:bCs w:val="1"/>
                <w:color w:val="FFFFFF"/>
              </w:rPr>
              <w:t>Preclinical Findings</w:t>
            </w:r>
          </w:p>
        </w:tc>
        <w:tc>
          <w:tcPr>
            <w:tcW w:w="7460" w:type="dxa"/>
            <w:vAlign w:val="bottom"/>
            <w:shd w:val="clear" w:color="auto" w:fill="4B61A8"/>
          </w:tcPr>
          <w:p>
            <w:pPr>
              <w:ind w:left="3260"/>
              <w:spacing w:after="0"/>
              <w:rPr>
                <w:sz w:val="20"/>
                <w:szCs w:val="20"/>
                <w:color w:val="auto"/>
              </w:rPr>
            </w:pPr>
            <w:r>
              <w:rPr>
                <w:rFonts w:ascii="Arial" w:cs="Arial" w:eastAsia="Arial" w:hAnsi="Arial"/>
                <w:sz w:val="18"/>
                <w:szCs w:val="18"/>
                <w:b w:val="1"/>
                <w:bCs w:val="1"/>
                <w:color w:val="FFFFFF"/>
              </w:rPr>
              <w:t>Observations</w:t>
            </w:r>
          </w:p>
        </w:tc>
        <w:tc>
          <w:tcPr>
            <w:tcW w:w="20" w:type="dxa"/>
            <w:vAlign w:val="bottom"/>
          </w:tcPr>
          <w:p>
            <w:pPr>
              <w:spacing w:after="0"/>
              <w:rPr>
                <w:sz w:val="24"/>
                <w:szCs w:val="24"/>
                <w:color w:val="auto"/>
              </w:rPr>
            </w:pPr>
          </w:p>
        </w:tc>
      </w:tr>
      <w:tr>
        <w:trPr>
          <w:trHeight w:val="269"/>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2"/>
              </w:rPr>
              <w:t>avß1 and TGF-ß activation are upregulated in</w:t>
            </w:r>
          </w:p>
        </w:tc>
        <w:tc>
          <w:tcPr>
            <w:tcW w:w="7460" w:type="dxa"/>
            <w:vAlign w:val="bottom"/>
            <w:shd w:val="clear" w:color="auto" w:fill="DBDFED"/>
          </w:tcPr>
          <w:p>
            <w:pPr>
              <w:ind w:left="180"/>
              <w:spacing w:after="0"/>
              <w:rPr>
                <w:sz w:val="20"/>
                <w:szCs w:val="20"/>
                <w:color w:val="auto"/>
              </w:rPr>
            </w:pPr>
            <w:r>
              <w:rPr>
                <w:rFonts w:ascii="Arial" w:cs="Arial" w:eastAsia="Arial" w:hAnsi="Arial"/>
                <w:sz w:val="18"/>
                <w:szCs w:val="18"/>
                <w:color w:val="auto"/>
                <w:w w:val="94"/>
              </w:rPr>
              <w:t>•  Levels of avß1 and pSMAD3 levels are both significantly elevated in tissues from patients with</w:t>
            </w:r>
          </w:p>
        </w:tc>
        <w:tc>
          <w:tcPr>
            <w:tcW w:w="20" w:type="dxa"/>
            <w:vAlign w:val="bottom"/>
            <w:shd w:val="clear" w:color="auto" w:fill="4B61A8"/>
          </w:tcPr>
          <w:p>
            <w:pPr>
              <w:spacing w:after="0"/>
              <w:rPr>
                <w:sz w:val="23"/>
                <w:szCs w:val="23"/>
                <w:color w:val="auto"/>
              </w:rPr>
            </w:pPr>
          </w:p>
        </w:tc>
      </w:tr>
      <w:tr>
        <w:trPr>
          <w:trHeight w:val="216"/>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human F4 NASH liver biopsies</w:t>
            </w:r>
          </w:p>
        </w:tc>
        <w:tc>
          <w:tcPr>
            <w:tcW w:w="7460" w:type="dxa"/>
            <w:vAlign w:val="bottom"/>
            <w:shd w:val="clear" w:color="auto" w:fill="DBDFED"/>
          </w:tcPr>
          <w:p>
            <w:pPr>
              <w:ind w:left="440"/>
              <w:spacing w:after="0"/>
              <w:rPr>
                <w:sz w:val="20"/>
                <w:szCs w:val="20"/>
                <w:color w:val="auto"/>
              </w:rPr>
            </w:pPr>
            <w:r>
              <w:rPr>
                <w:rFonts w:ascii="Arial" w:cs="Arial" w:eastAsia="Arial" w:hAnsi="Arial"/>
                <w:sz w:val="18"/>
                <w:szCs w:val="18"/>
                <w:color w:val="auto"/>
              </w:rPr>
              <w:t>stage F4 liver fibrosis</w:t>
            </w:r>
          </w:p>
        </w:tc>
        <w:tc>
          <w:tcPr>
            <w:tcW w:w="20" w:type="dxa"/>
            <w:vAlign w:val="bottom"/>
            <w:shd w:val="clear" w:color="auto" w:fill="4B61A8"/>
          </w:tcPr>
          <w:p>
            <w:pPr>
              <w:spacing w:after="0"/>
              <w:rPr>
                <w:sz w:val="18"/>
                <w:szCs w:val="18"/>
                <w:color w:val="auto"/>
              </w:rPr>
            </w:pPr>
          </w:p>
        </w:tc>
      </w:tr>
      <w:tr>
        <w:trPr>
          <w:trHeight w:val="237"/>
        </w:trPr>
        <w:tc>
          <w:tcPr>
            <w:tcW w:w="3560" w:type="dxa"/>
            <w:vAlign w:val="bottom"/>
            <w:tcBorders>
              <w:left w:val="single" w:sz="8" w:color="4B61A8"/>
              <w:bottom w:val="single" w:sz="8" w:color="4B61A8"/>
              <w:right w:val="single" w:sz="8" w:color="4B61A8"/>
            </w:tcBorders>
            <w:shd w:val="clear" w:color="auto" w:fill="DBDFED"/>
          </w:tcPr>
          <w:p>
            <w:pPr>
              <w:spacing w:after="0"/>
              <w:rPr>
                <w:sz w:val="20"/>
                <w:szCs w:val="20"/>
                <w:color w:val="auto"/>
              </w:rPr>
            </w:pPr>
          </w:p>
        </w:tc>
        <w:tc>
          <w:tcPr>
            <w:tcW w:w="7460" w:type="dxa"/>
            <w:vAlign w:val="bottom"/>
            <w:tcBorders>
              <w:bottom w:val="single" w:sz="8" w:color="4B61A8"/>
            </w:tcBorders>
            <w:shd w:val="clear" w:color="auto" w:fill="DBDFED"/>
          </w:tcPr>
          <w:p>
            <w:pPr>
              <w:ind w:left="180"/>
              <w:spacing w:after="0"/>
              <w:rPr>
                <w:sz w:val="20"/>
                <w:szCs w:val="20"/>
                <w:color w:val="auto"/>
              </w:rPr>
            </w:pPr>
            <w:r>
              <w:rPr>
                <w:rFonts w:ascii="Arial" w:cs="Arial" w:eastAsia="Arial" w:hAnsi="Arial"/>
                <w:sz w:val="18"/>
                <w:szCs w:val="18"/>
                <w:color w:val="auto"/>
              </w:rPr>
              <w:t>•  Levels of avß1 and pSMAD3 levels are highly correlated in NASH liver biopsies</w:t>
            </w:r>
          </w:p>
        </w:tc>
        <w:tc>
          <w:tcPr>
            <w:tcW w:w="20" w:type="dxa"/>
            <w:vAlign w:val="bottom"/>
            <w:tcBorders>
              <w:bottom w:val="single" w:sz="8" w:color="4B61A8"/>
            </w:tcBorders>
            <w:shd w:val="clear" w:color="auto" w:fill="4B61A8"/>
          </w:tcPr>
          <w:p>
            <w:pPr>
              <w:spacing w:after="0"/>
              <w:rPr>
                <w:sz w:val="20"/>
                <w:szCs w:val="20"/>
                <w:color w:val="auto"/>
              </w:rPr>
            </w:pPr>
          </w:p>
        </w:tc>
      </w:tr>
      <w:tr>
        <w:trPr>
          <w:trHeight w:val="25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PLN-1474 is associated with anti-fibrotic</w:t>
            </w:r>
          </w:p>
        </w:tc>
        <w:tc>
          <w:tcPr>
            <w:tcW w:w="7460" w:type="dxa"/>
            <w:vAlign w:val="bottom"/>
          </w:tcPr>
          <w:p>
            <w:pPr>
              <w:ind w:left="180"/>
              <w:spacing w:after="0"/>
              <w:rPr>
                <w:sz w:val="20"/>
                <w:szCs w:val="20"/>
                <w:color w:val="auto"/>
              </w:rPr>
            </w:pPr>
            <w:r>
              <w:rPr>
                <w:rFonts w:ascii="Arial" w:cs="Arial" w:eastAsia="Arial" w:hAnsi="Arial"/>
                <w:sz w:val="18"/>
                <w:szCs w:val="18"/>
                <w:color w:val="auto"/>
                <w:w w:val="94"/>
              </w:rPr>
              <w:t xml:space="preserve">•  After two days incubation with PLN-1474 we observed a significant reduction in </w:t>
            </w:r>
            <w:r>
              <w:rPr>
                <w:rFonts w:ascii="Arial" w:cs="Arial" w:eastAsia="Arial" w:hAnsi="Arial"/>
                <w:sz w:val="18"/>
                <w:szCs w:val="18"/>
                <w:i w:val="1"/>
                <w:iCs w:val="1"/>
                <w:color w:val="auto"/>
                <w:w w:val="94"/>
              </w:rPr>
              <w:t>COL1A1</w:t>
            </w:r>
            <w:r>
              <w:rPr>
                <w:rFonts w:ascii="Arial" w:cs="Arial" w:eastAsia="Arial" w:hAnsi="Arial"/>
                <w:sz w:val="18"/>
                <w:szCs w:val="18"/>
                <w:color w:val="auto"/>
                <w:w w:val="94"/>
              </w:rPr>
              <w:t xml:space="preserve"> gene</w:t>
            </w:r>
          </w:p>
        </w:tc>
        <w:tc>
          <w:tcPr>
            <w:tcW w:w="20" w:type="dxa"/>
            <w:vAlign w:val="bottom"/>
            <w:shd w:val="clear" w:color="auto" w:fill="4B61A8"/>
          </w:tcPr>
          <w:p>
            <w:pPr>
              <w:spacing w:after="0"/>
              <w:rPr>
                <w:sz w:val="22"/>
                <w:szCs w:val="22"/>
                <w:color w:val="auto"/>
              </w:rPr>
            </w:pPr>
          </w:p>
        </w:tc>
      </w:tr>
      <w:tr>
        <w:trPr>
          <w:trHeight w:val="21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activity in live human fibrotic NASH liver</w:t>
            </w:r>
          </w:p>
        </w:tc>
        <w:tc>
          <w:tcPr>
            <w:tcW w:w="7460" w:type="dxa"/>
            <w:vAlign w:val="bottom"/>
          </w:tcPr>
          <w:p>
            <w:pPr>
              <w:ind w:left="440"/>
              <w:spacing w:after="0"/>
              <w:rPr>
                <w:sz w:val="20"/>
                <w:szCs w:val="20"/>
                <w:color w:val="auto"/>
              </w:rPr>
            </w:pPr>
            <w:r>
              <w:rPr>
                <w:rFonts w:ascii="Arial" w:cs="Arial" w:eastAsia="Arial" w:hAnsi="Arial"/>
                <w:sz w:val="18"/>
                <w:szCs w:val="18"/>
                <w:color w:val="auto"/>
              </w:rPr>
              <w:t>expression in live liver samples from three NASH patients after transplant</w:t>
            </w:r>
          </w:p>
        </w:tc>
        <w:tc>
          <w:tcPr>
            <w:tcW w:w="20" w:type="dxa"/>
            <w:vAlign w:val="bottom"/>
            <w:shd w:val="clear" w:color="auto" w:fill="4B61A8"/>
          </w:tcPr>
          <w:p>
            <w:pPr>
              <w:spacing w:after="0"/>
              <w:rPr>
                <w:sz w:val="18"/>
                <w:szCs w:val="18"/>
                <w:color w:val="auto"/>
              </w:rPr>
            </w:pPr>
          </w:p>
        </w:tc>
      </w:tr>
      <w:tr>
        <w:trPr>
          <w:trHeight w:val="21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tissue</w:t>
            </w:r>
          </w:p>
        </w:tc>
        <w:tc>
          <w:tcPr>
            <w:tcW w:w="7460" w:type="dxa"/>
            <w:vAlign w:val="bottom"/>
          </w:tcPr>
          <w:p>
            <w:pPr>
              <w:ind w:left="180"/>
              <w:spacing w:after="0"/>
              <w:rPr>
                <w:sz w:val="20"/>
                <w:szCs w:val="20"/>
                <w:color w:val="auto"/>
              </w:rPr>
            </w:pPr>
            <w:r>
              <w:rPr>
                <w:rFonts w:ascii="Arial" w:cs="Arial" w:eastAsia="Arial" w:hAnsi="Arial"/>
                <w:sz w:val="18"/>
                <w:szCs w:val="18"/>
                <w:color w:val="auto"/>
                <w:w w:val="98"/>
              </w:rPr>
              <w:t xml:space="preserve">•  Gene expression of </w:t>
            </w:r>
            <w:r>
              <w:rPr>
                <w:rFonts w:ascii="Arial" w:cs="Arial" w:eastAsia="Arial" w:hAnsi="Arial"/>
                <w:sz w:val="18"/>
                <w:szCs w:val="18"/>
                <w:i w:val="1"/>
                <w:iCs w:val="1"/>
                <w:color w:val="auto"/>
                <w:w w:val="98"/>
              </w:rPr>
              <w:t>TIMP1</w:t>
            </w:r>
            <w:r>
              <w:rPr>
                <w:rFonts w:ascii="Arial" w:cs="Arial" w:eastAsia="Arial" w:hAnsi="Arial"/>
                <w:sz w:val="18"/>
                <w:szCs w:val="18"/>
                <w:color w:val="auto"/>
                <w:w w:val="98"/>
              </w:rPr>
              <w:t>, a strong predictor of mortality in patients with fibrosis, was also</w:t>
            </w:r>
          </w:p>
        </w:tc>
        <w:tc>
          <w:tcPr>
            <w:tcW w:w="20" w:type="dxa"/>
            <w:vAlign w:val="bottom"/>
            <w:shd w:val="clear" w:color="auto" w:fill="4B61A8"/>
          </w:tcPr>
          <w:p>
            <w:pPr>
              <w:spacing w:after="0"/>
              <w:rPr>
                <w:sz w:val="18"/>
                <w:szCs w:val="18"/>
                <w:color w:val="auto"/>
              </w:rPr>
            </w:pPr>
          </w:p>
        </w:tc>
      </w:tr>
      <w:tr>
        <w:trPr>
          <w:trHeight w:val="237"/>
        </w:trPr>
        <w:tc>
          <w:tcPr>
            <w:tcW w:w="3560" w:type="dxa"/>
            <w:vAlign w:val="bottom"/>
            <w:tcBorders>
              <w:left w:val="single" w:sz="8" w:color="4B61A8"/>
              <w:bottom w:val="single" w:sz="8" w:color="4B61A8"/>
              <w:right w:val="single" w:sz="8" w:color="4B61A8"/>
            </w:tcBorders>
          </w:tcPr>
          <w:p>
            <w:pPr>
              <w:spacing w:after="0"/>
              <w:rPr>
                <w:sz w:val="20"/>
                <w:szCs w:val="20"/>
                <w:color w:val="auto"/>
              </w:rPr>
            </w:pPr>
          </w:p>
        </w:tc>
        <w:tc>
          <w:tcPr>
            <w:tcW w:w="7460" w:type="dxa"/>
            <w:vAlign w:val="bottom"/>
            <w:tcBorders>
              <w:bottom w:val="single" w:sz="8" w:color="4B61A8"/>
            </w:tcBorders>
          </w:tcPr>
          <w:p>
            <w:pPr>
              <w:ind w:left="440"/>
              <w:spacing w:after="0"/>
              <w:rPr>
                <w:sz w:val="20"/>
                <w:szCs w:val="20"/>
                <w:color w:val="auto"/>
              </w:rPr>
            </w:pPr>
            <w:r>
              <w:rPr>
                <w:rFonts w:ascii="Arial" w:cs="Arial" w:eastAsia="Arial" w:hAnsi="Arial"/>
                <w:sz w:val="18"/>
                <w:szCs w:val="18"/>
                <w:color w:val="auto"/>
              </w:rPr>
              <w:t>reduced after incubation</w:t>
            </w:r>
          </w:p>
        </w:tc>
        <w:tc>
          <w:tcPr>
            <w:tcW w:w="20" w:type="dxa"/>
            <w:vAlign w:val="bottom"/>
            <w:tcBorders>
              <w:bottom w:val="single" w:sz="8" w:color="4B61A8"/>
            </w:tcBorders>
            <w:shd w:val="clear" w:color="auto" w:fill="4B61A8"/>
          </w:tcPr>
          <w:p>
            <w:pPr>
              <w:spacing w:after="0"/>
              <w:rPr>
                <w:sz w:val="20"/>
                <w:szCs w:val="20"/>
                <w:color w:val="auto"/>
              </w:rPr>
            </w:pPr>
          </w:p>
        </w:tc>
      </w:tr>
      <w:tr>
        <w:trPr>
          <w:trHeight w:val="256"/>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PLN-1474 resulted in a broad decrease in</w:t>
            </w:r>
          </w:p>
        </w:tc>
        <w:tc>
          <w:tcPr>
            <w:tcW w:w="7460" w:type="dxa"/>
            <w:vAlign w:val="bottom"/>
            <w:shd w:val="clear" w:color="auto" w:fill="DBDFED"/>
          </w:tcPr>
          <w:p>
            <w:pPr>
              <w:ind w:left="180"/>
              <w:spacing w:after="0"/>
              <w:rPr>
                <w:sz w:val="20"/>
                <w:szCs w:val="20"/>
                <w:color w:val="auto"/>
              </w:rPr>
            </w:pPr>
            <w:r>
              <w:rPr>
                <w:rFonts w:ascii="Arial" w:cs="Arial" w:eastAsia="Arial" w:hAnsi="Arial"/>
                <w:sz w:val="18"/>
                <w:szCs w:val="18"/>
                <w:color w:val="auto"/>
                <w:w w:val="93"/>
              </w:rPr>
              <w:t>•  In an abbreviated CDA-HFD mouse NASH model, after 3 weeks of treatment, mice treated with</w:t>
            </w:r>
          </w:p>
        </w:tc>
        <w:tc>
          <w:tcPr>
            <w:tcW w:w="20" w:type="dxa"/>
            <w:vAlign w:val="bottom"/>
            <w:shd w:val="clear" w:color="auto" w:fill="4B61A8"/>
          </w:tcPr>
          <w:p>
            <w:pPr>
              <w:spacing w:after="0"/>
              <w:rPr>
                <w:sz w:val="22"/>
                <w:szCs w:val="22"/>
                <w:color w:val="auto"/>
              </w:rPr>
            </w:pPr>
          </w:p>
        </w:tc>
      </w:tr>
      <w:tr>
        <w:trPr>
          <w:trHeight w:val="216"/>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expression of pro-fibrotic genes in an</w:t>
            </w:r>
          </w:p>
        </w:tc>
        <w:tc>
          <w:tcPr>
            <w:tcW w:w="7460" w:type="dxa"/>
            <w:vAlign w:val="bottom"/>
            <w:shd w:val="clear" w:color="auto" w:fill="DBDFED"/>
          </w:tcPr>
          <w:p>
            <w:pPr>
              <w:ind w:left="440"/>
              <w:spacing w:after="0"/>
              <w:rPr>
                <w:sz w:val="20"/>
                <w:szCs w:val="20"/>
                <w:color w:val="auto"/>
              </w:rPr>
            </w:pPr>
            <w:r>
              <w:rPr>
                <w:rFonts w:ascii="Arial" w:cs="Arial" w:eastAsia="Arial" w:hAnsi="Arial"/>
                <w:sz w:val="18"/>
                <w:szCs w:val="18"/>
                <w:color w:val="auto"/>
                <w:w w:val="93"/>
              </w:rPr>
              <w:t>PLN-1474 showed decreased expression of a broad set of profibrotic genes relative to vehicle</w:t>
            </w:r>
          </w:p>
        </w:tc>
        <w:tc>
          <w:tcPr>
            <w:tcW w:w="20" w:type="dxa"/>
            <w:vAlign w:val="bottom"/>
            <w:shd w:val="clear" w:color="auto" w:fill="4B61A8"/>
          </w:tcPr>
          <w:p>
            <w:pPr>
              <w:spacing w:after="0"/>
              <w:rPr>
                <w:sz w:val="18"/>
                <w:szCs w:val="18"/>
                <w:color w:val="auto"/>
              </w:rPr>
            </w:pPr>
          </w:p>
        </w:tc>
      </w:tr>
      <w:tr>
        <w:trPr>
          <w:trHeight w:val="230"/>
        </w:trPr>
        <w:tc>
          <w:tcPr>
            <w:tcW w:w="3560" w:type="dxa"/>
            <w:vAlign w:val="bottom"/>
            <w:tcBorders>
              <w:left w:val="single" w:sz="8" w:color="4B61A8"/>
              <w:bottom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abbreviated mouse model of NASH</w:t>
            </w:r>
          </w:p>
        </w:tc>
        <w:tc>
          <w:tcPr>
            <w:tcW w:w="7460" w:type="dxa"/>
            <w:vAlign w:val="bottom"/>
            <w:tcBorders>
              <w:bottom w:val="single" w:sz="8" w:color="4B61A8"/>
            </w:tcBorders>
            <w:shd w:val="clear" w:color="auto" w:fill="DBDFED"/>
          </w:tcPr>
          <w:p>
            <w:pPr>
              <w:ind w:left="440"/>
              <w:spacing w:after="0"/>
              <w:rPr>
                <w:sz w:val="20"/>
                <w:szCs w:val="20"/>
                <w:color w:val="auto"/>
              </w:rPr>
            </w:pPr>
            <w:r>
              <w:rPr>
                <w:rFonts w:ascii="Arial" w:cs="Arial" w:eastAsia="Arial" w:hAnsi="Arial"/>
                <w:sz w:val="18"/>
                <w:szCs w:val="18"/>
                <w:color w:val="auto"/>
              </w:rPr>
              <w:t>controls</w:t>
            </w:r>
          </w:p>
        </w:tc>
        <w:tc>
          <w:tcPr>
            <w:tcW w:w="20" w:type="dxa"/>
            <w:vAlign w:val="bottom"/>
            <w:tcBorders>
              <w:bottom w:val="single" w:sz="8" w:color="4B61A8"/>
            </w:tcBorders>
            <w:shd w:val="clear" w:color="auto" w:fill="4B61A8"/>
          </w:tcPr>
          <w:p>
            <w:pPr>
              <w:spacing w:after="0"/>
              <w:rPr>
                <w:sz w:val="20"/>
                <w:szCs w:val="20"/>
                <w:color w:val="auto"/>
              </w:rPr>
            </w:pPr>
          </w:p>
        </w:tc>
      </w:tr>
      <w:tr>
        <w:trPr>
          <w:trHeight w:val="249"/>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2"/>
              </w:rPr>
              <w:t>PLN-1474 showed dose-dependent reduction</w:t>
            </w:r>
          </w:p>
        </w:tc>
        <w:tc>
          <w:tcPr>
            <w:tcW w:w="7460" w:type="dxa"/>
            <w:vAlign w:val="bottom"/>
          </w:tcPr>
          <w:p>
            <w:pPr>
              <w:ind w:left="180"/>
              <w:spacing w:after="0"/>
              <w:rPr>
                <w:sz w:val="20"/>
                <w:szCs w:val="20"/>
                <w:color w:val="auto"/>
              </w:rPr>
            </w:pPr>
            <w:r>
              <w:rPr>
                <w:rFonts w:ascii="Arial" w:cs="Arial" w:eastAsia="Arial" w:hAnsi="Arial"/>
                <w:sz w:val="18"/>
                <w:szCs w:val="18"/>
                <w:color w:val="auto"/>
                <w:w w:val="97"/>
              </w:rPr>
              <w:t>•  Six weeks of treatment with PLN-1474, resulted in a significant dose-dependent decrease in</w:t>
            </w:r>
          </w:p>
        </w:tc>
        <w:tc>
          <w:tcPr>
            <w:tcW w:w="20" w:type="dxa"/>
            <w:vAlign w:val="bottom"/>
            <w:shd w:val="clear" w:color="auto" w:fill="4B61A8"/>
          </w:tcPr>
          <w:p>
            <w:pPr>
              <w:spacing w:after="0"/>
              <w:rPr>
                <w:sz w:val="21"/>
                <w:szCs w:val="21"/>
                <w:color w:val="auto"/>
              </w:rPr>
            </w:pPr>
          </w:p>
        </w:tc>
      </w:tr>
      <w:tr>
        <w:trPr>
          <w:trHeight w:val="21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7"/>
              </w:rPr>
              <w:t>of fibrosis in NASH and liver fibrosis mouse</w:t>
            </w:r>
          </w:p>
        </w:tc>
        <w:tc>
          <w:tcPr>
            <w:tcW w:w="7460" w:type="dxa"/>
            <w:vAlign w:val="bottom"/>
          </w:tcPr>
          <w:p>
            <w:pPr>
              <w:ind w:left="440"/>
              <w:spacing w:after="0"/>
              <w:rPr>
                <w:sz w:val="20"/>
                <w:szCs w:val="20"/>
                <w:color w:val="auto"/>
              </w:rPr>
            </w:pPr>
            <w:r>
              <w:rPr>
                <w:rFonts w:ascii="Arial" w:cs="Arial" w:eastAsia="Arial" w:hAnsi="Arial"/>
                <w:sz w:val="18"/>
                <w:szCs w:val="18"/>
                <w:color w:val="auto"/>
                <w:w w:val="99"/>
              </w:rPr>
              <w:t xml:space="preserve">expression of </w:t>
            </w:r>
            <w:r>
              <w:rPr>
                <w:rFonts w:ascii="Arial" w:cs="Arial" w:eastAsia="Arial" w:hAnsi="Arial"/>
                <w:sz w:val="18"/>
                <w:szCs w:val="18"/>
                <w:i w:val="1"/>
                <w:iCs w:val="1"/>
                <w:color w:val="auto"/>
                <w:w w:val="99"/>
              </w:rPr>
              <w:t>Col1a1</w:t>
            </w:r>
            <w:r>
              <w:rPr>
                <w:rFonts w:ascii="Arial" w:cs="Arial" w:eastAsia="Arial" w:hAnsi="Arial"/>
                <w:sz w:val="18"/>
                <w:szCs w:val="18"/>
                <w:color w:val="auto"/>
                <w:w w:val="99"/>
              </w:rPr>
              <w:t xml:space="preserve"> and </w:t>
            </w:r>
            <w:r>
              <w:rPr>
                <w:rFonts w:ascii="Arial" w:cs="Arial" w:eastAsia="Arial" w:hAnsi="Arial"/>
                <w:sz w:val="18"/>
                <w:szCs w:val="18"/>
                <w:i w:val="1"/>
                <w:iCs w:val="1"/>
                <w:color w:val="auto"/>
                <w:w w:val="99"/>
              </w:rPr>
              <w:t>Col1a2</w:t>
            </w:r>
            <w:r>
              <w:rPr>
                <w:rFonts w:ascii="Arial" w:cs="Arial" w:eastAsia="Arial" w:hAnsi="Arial"/>
                <w:sz w:val="18"/>
                <w:szCs w:val="18"/>
                <w:color w:val="auto"/>
                <w:w w:val="99"/>
              </w:rPr>
              <w:t xml:space="preserve"> as well as hydroxyproline in a CDA-HFD NASH mouse</w:t>
            </w:r>
          </w:p>
        </w:tc>
        <w:tc>
          <w:tcPr>
            <w:tcW w:w="20" w:type="dxa"/>
            <w:vAlign w:val="bottom"/>
            <w:shd w:val="clear" w:color="auto" w:fill="4B61A8"/>
          </w:tcPr>
          <w:p>
            <w:pPr>
              <w:spacing w:after="0"/>
              <w:rPr>
                <w:sz w:val="18"/>
                <w:szCs w:val="18"/>
                <w:color w:val="auto"/>
              </w:rPr>
            </w:pPr>
          </w:p>
        </w:tc>
      </w:tr>
      <w:tr>
        <w:trPr>
          <w:trHeight w:val="216"/>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models</w:t>
            </w:r>
          </w:p>
        </w:tc>
        <w:tc>
          <w:tcPr>
            <w:tcW w:w="7460" w:type="dxa"/>
            <w:vAlign w:val="bottom"/>
          </w:tcPr>
          <w:p>
            <w:pPr>
              <w:ind w:left="440"/>
              <w:spacing w:after="0"/>
              <w:rPr>
                <w:sz w:val="20"/>
                <w:szCs w:val="20"/>
                <w:color w:val="auto"/>
              </w:rPr>
            </w:pPr>
            <w:r>
              <w:rPr>
                <w:rFonts w:ascii="Arial" w:cs="Arial" w:eastAsia="Arial" w:hAnsi="Arial"/>
                <w:sz w:val="18"/>
                <w:szCs w:val="18"/>
                <w:color w:val="auto"/>
              </w:rPr>
              <w:t>model</w:t>
            </w:r>
          </w:p>
        </w:tc>
        <w:tc>
          <w:tcPr>
            <w:tcW w:w="20" w:type="dxa"/>
            <w:vAlign w:val="bottom"/>
            <w:shd w:val="clear" w:color="auto" w:fill="4B61A8"/>
          </w:tcPr>
          <w:p>
            <w:pPr>
              <w:spacing w:after="0"/>
              <w:rPr>
                <w:sz w:val="18"/>
                <w:szCs w:val="18"/>
                <w:color w:val="auto"/>
              </w:rPr>
            </w:pPr>
          </w:p>
        </w:tc>
      </w:tr>
      <w:tr>
        <w:trPr>
          <w:trHeight w:val="216"/>
        </w:trPr>
        <w:tc>
          <w:tcPr>
            <w:tcW w:w="3560" w:type="dxa"/>
            <w:vAlign w:val="bottom"/>
            <w:tcBorders>
              <w:left w:val="single" w:sz="8" w:color="4B61A8"/>
              <w:right w:val="single" w:sz="8" w:color="4B61A8"/>
            </w:tcBorders>
          </w:tcPr>
          <w:p>
            <w:pPr>
              <w:spacing w:after="0"/>
              <w:rPr>
                <w:sz w:val="18"/>
                <w:szCs w:val="18"/>
                <w:color w:val="auto"/>
              </w:rPr>
            </w:pPr>
          </w:p>
        </w:tc>
        <w:tc>
          <w:tcPr>
            <w:tcW w:w="7460" w:type="dxa"/>
            <w:vAlign w:val="bottom"/>
          </w:tcPr>
          <w:p>
            <w:pPr>
              <w:ind w:left="180"/>
              <w:spacing w:after="0"/>
              <w:rPr>
                <w:sz w:val="20"/>
                <w:szCs w:val="20"/>
                <w:color w:val="auto"/>
              </w:rPr>
            </w:pPr>
            <w:r>
              <w:rPr>
                <w:rFonts w:ascii="Arial" w:cs="Arial" w:eastAsia="Arial" w:hAnsi="Arial"/>
                <w:sz w:val="18"/>
                <w:szCs w:val="18"/>
                <w:color w:val="auto"/>
                <w:w w:val="92"/>
              </w:rPr>
              <w:t>•  After one week of treatment with PLN-1474, we observed significant dose-dependent reductions</w:t>
            </w:r>
          </w:p>
        </w:tc>
        <w:tc>
          <w:tcPr>
            <w:tcW w:w="20" w:type="dxa"/>
            <w:vAlign w:val="bottom"/>
            <w:shd w:val="clear" w:color="auto" w:fill="4B61A8"/>
          </w:tcPr>
          <w:p>
            <w:pPr>
              <w:spacing w:after="0"/>
              <w:rPr>
                <w:sz w:val="18"/>
                <w:szCs w:val="18"/>
                <w:color w:val="auto"/>
              </w:rPr>
            </w:pPr>
          </w:p>
        </w:tc>
      </w:tr>
      <w:tr>
        <w:trPr>
          <w:trHeight w:val="244"/>
        </w:trPr>
        <w:tc>
          <w:tcPr>
            <w:tcW w:w="3560" w:type="dxa"/>
            <w:vAlign w:val="bottom"/>
            <w:tcBorders>
              <w:left w:val="single" w:sz="8" w:color="4B61A8"/>
              <w:bottom w:val="single" w:sz="8" w:color="4B61A8"/>
              <w:right w:val="single" w:sz="8" w:color="4B61A8"/>
            </w:tcBorders>
          </w:tcPr>
          <w:p>
            <w:pPr>
              <w:spacing w:after="0"/>
              <w:rPr>
                <w:sz w:val="21"/>
                <w:szCs w:val="21"/>
                <w:color w:val="auto"/>
              </w:rPr>
            </w:pPr>
          </w:p>
        </w:tc>
        <w:tc>
          <w:tcPr>
            <w:tcW w:w="7460" w:type="dxa"/>
            <w:vAlign w:val="bottom"/>
            <w:tcBorders>
              <w:bottom w:val="single" w:sz="8" w:color="4B61A8"/>
            </w:tcBorders>
          </w:tcPr>
          <w:p>
            <w:pPr>
              <w:ind w:left="4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Col1a1</w:t>
            </w:r>
            <w:r>
              <w:rPr>
                <w:rFonts w:ascii="Arial" w:cs="Arial" w:eastAsia="Arial" w:hAnsi="Arial"/>
                <w:sz w:val="18"/>
                <w:szCs w:val="18"/>
                <w:color w:val="auto"/>
              </w:rPr>
              <w:t xml:space="preserve">, </w:t>
            </w:r>
            <w:r>
              <w:rPr>
                <w:rFonts w:ascii="Arial" w:cs="Arial" w:eastAsia="Arial" w:hAnsi="Arial"/>
                <w:sz w:val="18"/>
                <w:szCs w:val="18"/>
                <w:i w:val="1"/>
                <w:iCs w:val="1"/>
                <w:color w:val="auto"/>
              </w:rPr>
              <w:t>Col1a2</w:t>
            </w:r>
            <w:r>
              <w:rPr>
                <w:rFonts w:ascii="Arial" w:cs="Arial" w:eastAsia="Arial" w:hAnsi="Arial"/>
                <w:sz w:val="18"/>
                <w:szCs w:val="18"/>
                <w:color w:val="auto"/>
              </w:rPr>
              <w:t xml:space="preserve"> and </w:t>
            </w:r>
            <w:r>
              <w:rPr>
                <w:rFonts w:ascii="Arial" w:cs="Arial" w:eastAsia="Arial" w:hAnsi="Arial"/>
                <w:sz w:val="18"/>
                <w:szCs w:val="18"/>
                <w:i w:val="1"/>
                <w:iCs w:val="1"/>
                <w:color w:val="auto"/>
              </w:rPr>
              <w:t>Col3a1</w:t>
            </w:r>
            <w:r>
              <w:rPr>
                <w:rFonts w:ascii="Arial" w:cs="Arial" w:eastAsia="Arial" w:hAnsi="Arial"/>
                <w:sz w:val="18"/>
                <w:szCs w:val="18"/>
                <w:color w:val="auto"/>
              </w:rPr>
              <w:t xml:space="preserve"> in a CCL</w:t>
            </w:r>
            <w:r>
              <w:rPr>
                <w:rFonts w:ascii="Arial" w:cs="Arial" w:eastAsia="Arial" w:hAnsi="Arial"/>
                <w:sz w:val="15"/>
                <w:szCs w:val="15"/>
                <w:color w:val="auto"/>
              </w:rPr>
              <w:t>4</w:t>
            </w:r>
            <w:r>
              <w:rPr>
                <w:rFonts w:ascii="Arial" w:cs="Arial" w:eastAsia="Arial" w:hAnsi="Arial"/>
                <w:sz w:val="18"/>
                <w:szCs w:val="18"/>
                <w:color w:val="auto"/>
              </w:rPr>
              <w:t xml:space="preserve"> liver fibrosis mouse model</w:t>
            </w:r>
          </w:p>
        </w:tc>
        <w:tc>
          <w:tcPr>
            <w:tcW w:w="20" w:type="dxa"/>
            <w:vAlign w:val="bottom"/>
            <w:tcBorders>
              <w:bottom w:val="single" w:sz="8" w:color="4B61A8"/>
            </w:tcBorders>
            <w:shd w:val="clear" w:color="auto" w:fill="4B61A8"/>
          </w:tcPr>
          <w:p>
            <w:pPr>
              <w:spacing w:after="0"/>
              <w:rPr>
                <w:sz w:val="21"/>
                <w:szCs w:val="21"/>
                <w:color w:val="auto"/>
              </w:rPr>
            </w:pPr>
          </w:p>
        </w:tc>
      </w:tr>
      <w:tr>
        <w:trPr>
          <w:trHeight w:val="249"/>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7"/>
              </w:rPr>
              <w:t>PLN-1474 decreased collagen fiber density</w:t>
            </w:r>
          </w:p>
        </w:tc>
        <w:tc>
          <w:tcPr>
            <w:tcW w:w="7460" w:type="dxa"/>
            <w:vAlign w:val="bottom"/>
            <w:shd w:val="clear" w:color="auto" w:fill="DBDFED"/>
          </w:tcPr>
          <w:p>
            <w:pPr>
              <w:ind w:left="180"/>
              <w:spacing w:after="0"/>
              <w:rPr>
                <w:sz w:val="20"/>
                <w:szCs w:val="20"/>
                <w:color w:val="auto"/>
              </w:rPr>
            </w:pPr>
            <w:r>
              <w:rPr>
                <w:rFonts w:ascii="Arial" w:cs="Arial" w:eastAsia="Arial" w:hAnsi="Arial"/>
                <w:sz w:val="18"/>
                <w:szCs w:val="18"/>
                <w:color w:val="auto"/>
                <w:w w:val="97"/>
              </w:rPr>
              <w:t>•  Six weeks of treatment with PLN-1474 utilizing 2</w:t>
            </w:r>
            <w:r>
              <w:rPr>
                <w:rFonts w:ascii="Arial" w:cs="Arial" w:eastAsia="Arial" w:hAnsi="Arial"/>
                <w:sz w:val="15"/>
                <w:szCs w:val="15"/>
                <w:color w:val="auto"/>
                <w:w w:val="97"/>
              </w:rPr>
              <w:t>nd</w:t>
            </w:r>
            <w:r>
              <w:rPr>
                <w:rFonts w:ascii="Arial" w:cs="Arial" w:eastAsia="Arial" w:hAnsi="Arial"/>
                <w:sz w:val="18"/>
                <w:szCs w:val="18"/>
                <w:color w:val="auto"/>
                <w:w w:val="97"/>
              </w:rPr>
              <w:t xml:space="preserve"> harmonic generation, resulted in a dose-</w:t>
            </w:r>
          </w:p>
        </w:tc>
        <w:tc>
          <w:tcPr>
            <w:tcW w:w="20" w:type="dxa"/>
            <w:vAlign w:val="bottom"/>
            <w:shd w:val="clear" w:color="auto" w:fill="4B61A8"/>
          </w:tcPr>
          <w:p>
            <w:pPr>
              <w:spacing w:after="0"/>
              <w:rPr>
                <w:sz w:val="21"/>
                <w:szCs w:val="21"/>
                <w:color w:val="auto"/>
              </w:rPr>
            </w:pPr>
          </w:p>
        </w:tc>
      </w:tr>
      <w:tr>
        <w:trPr>
          <w:trHeight w:val="216"/>
        </w:trPr>
        <w:tc>
          <w:tcPr>
            <w:tcW w:w="3560" w:type="dxa"/>
            <w:vAlign w:val="bottom"/>
            <w:tcBorders>
              <w:left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rPr>
              <w:t>and characteristics via 2nd harmonic</w:t>
            </w:r>
          </w:p>
        </w:tc>
        <w:tc>
          <w:tcPr>
            <w:tcW w:w="7460" w:type="dxa"/>
            <w:vAlign w:val="bottom"/>
            <w:shd w:val="clear" w:color="auto" w:fill="DBDFED"/>
          </w:tcPr>
          <w:p>
            <w:pPr>
              <w:ind w:left="440"/>
              <w:spacing w:after="0"/>
              <w:rPr>
                <w:sz w:val="20"/>
                <w:szCs w:val="20"/>
                <w:color w:val="auto"/>
              </w:rPr>
            </w:pPr>
            <w:r>
              <w:rPr>
                <w:rFonts w:ascii="Arial" w:cs="Arial" w:eastAsia="Arial" w:hAnsi="Arial"/>
                <w:sz w:val="18"/>
                <w:szCs w:val="18"/>
                <w:color w:val="auto"/>
                <w:w w:val="98"/>
              </w:rPr>
              <w:t>dependent decrease in collagen fiber density and fibrosis composite score in a CDA-HFD</w:t>
            </w:r>
          </w:p>
        </w:tc>
        <w:tc>
          <w:tcPr>
            <w:tcW w:w="20" w:type="dxa"/>
            <w:vAlign w:val="bottom"/>
            <w:shd w:val="clear" w:color="auto" w:fill="4B61A8"/>
          </w:tcPr>
          <w:p>
            <w:pPr>
              <w:spacing w:after="0"/>
              <w:rPr>
                <w:sz w:val="18"/>
                <w:szCs w:val="18"/>
                <w:color w:val="auto"/>
              </w:rPr>
            </w:pPr>
          </w:p>
        </w:tc>
      </w:tr>
      <w:tr>
        <w:trPr>
          <w:trHeight w:val="230"/>
        </w:trPr>
        <w:tc>
          <w:tcPr>
            <w:tcW w:w="3560" w:type="dxa"/>
            <w:vAlign w:val="bottom"/>
            <w:tcBorders>
              <w:left w:val="single" w:sz="8" w:color="4B61A8"/>
              <w:bottom w:val="single" w:sz="8" w:color="4B61A8"/>
              <w:right w:val="single" w:sz="8" w:color="4B61A8"/>
            </w:tcBorders>
            <w:shd w:val="clear" w:color="auto" w:fill="DBDFED"/>
          </w:tcPr>
          <w:p>
            <w:pPr>
              <w:ind w:left="160"/>
              <w:spacing w:after="0"/>
              <w:rPr>
                <w:sz w:val="20"/>
                <w:szCs w:val="20"/>
                <w:color w:val="auto"/>
              </w:rPr>
            </w:pPr>
            <w:r>
              <w:rPr>
                <w:rFonts w:ascii="Arial" w:cs="Arial" w:eastAsia="Arial" w:hAnsi="Arial"/>
                <w:sz w:val="18"/>
                <w:szCs w:val="18"/>
                <w:color w:val="auto"/>
                <w:w w:val="93"/>
              </w:rPr>
              <w:t>generation analysis in a NASH fibrosis model</w:t>
            </w:r>
          </w:p>
        </w:tc>
        <w:tc>
          <w:tcPr>
            <w:tcW w:w="7460" w:type="dxa"/>
            <w:vAlign w:val="bottom"/>
            <w:tcBorders>
              <w:bottom w:val="single" w:sz="8" w:color="4B61A8"/>
            </w:tcBorders>
            <w:shd w:val="clear" w:color="auto" w:fill="DBDFED"/>
          </w:tcPr>
          <w:p>
            <w:pPr>
              <w:ind w:left="440"/>
              <w:spacing w:after="0"/>
              <w:rPr>
                <w:sz w:val="20"/>
                <w:szCs w:val="20"/>
                <w:color w:val="auto"/>
              </w:rPr>
            </w:pPr>
            <w:r>
              <w:rPr>
                <w:rFonts w:ascii="Arial" w:cs="Arial" w:eastAsia="Arial" w:hAnsi="Arial"/>
                <w:sz w:val="18"/>
                <w:szCs w:val="18"/>
                <w:color w:val="auto"/>
              </w:rPr>
              <w:t>NASH mouse model</w:t>
            </w:r>
          </w:p>
        </w:tc>
        <w:tc>
          <w:tcPr>
            <w:tcW w:w="20" w:type="dxa"/>
            <w:vAlign w:val="bottom"/>
            <w:tcBorders>
              <w:bottom w:val="single" w:sz="8" w:color="4B61A8"/>
            </w:tcBorders>
            <w:shd w:val="clear" w:color="auto" w:fill="4B61A8"/>
          </w:tcPr>
          <w:p>
            <w:pPr>
              <w:spacing w:after="0"/>
              <w:rPr>
                <w:sz w:val="20"/>
                <w:szCs w:val="20"/>
                <w:color w:val="auto"/>
              </w:rPr>
            </w:pPr>
          </w:p>
        </w:tc>
      </w:tr>
      <w:tr>
        <w:trPr>
          <w:trHeight w:val="249"/>
        </w:trPr>
        <w:tc>
          <w:tcPr>
            <w:tcW w:w="3560" w:type="dxa"/>
            <w:vAlign w:val="bottom"/>
            <w:tcBorders>
              <w:left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w w:val="93"/>
              </w:rPr>
              <w:t>PLN-1474 potently binds to all conformations</w:t>
            </w:r>
          </w:p>
        </w:tc>
        <w:tc>
          <w:tcPr>
            <w:tcW w:w="7460" w:type="dxa"/>
            <w:vAlign w:val="bottom"/>
          </w:tcPr>
          <w:p>
            <w:pPr>
              <w:ind w:left="180"/>
              <w:spacing w:after="0"/>
              <w:rPr>
                <w:sz w:val="20"/>
                <w:szCs w:val="20"/>
                <w:color w:val="auto"/>
              </w:rPr>
            </w:pPr>
            <w:r>
              <w:rPr>
                <w:rFonts w:ascii="Arial" w:cs="Arial" w:eastAsia="Arial" w:hAnsi="Arial"/>
                <w:sz w:val="18"/>
                <w:szCs w:val="18"/>
                <w:color w:val="auto"/>
                <w:w w:val="94"/>
              </w:rPr>
              <w:t>•  PLN-1474 binds both bent-closed and extended-open conformations of avß1 at concentrations</w:t>
            </w:r>
          </w:p>
        </w:tc>
        <w:tc>
          <w:tcPr>
            <w:tcW w:w="20" w:type="dxa"/>
            <w:vAlign w:val="bottom"/>
            <w:shd w:val="clear" w:color="auto" w:fill="4B61A8"/>
          </w:tcPr>
          <w:p>
            <w:pPr>
              <w:spacing w:after="0"/>
              <w:rPr>
                <w:sz w:val="21"/>
                <w:szCs w:val="21"/>
                <w:color w:val="auto"/>
              </w:rPr>
            </w:pPr>
          </w:p>
        </w:tc>
      </w:tr>
      <w:tr>
        <w:trPr>
          <w:trHeight w:val="230"/>
        </w:trPr>
        <w:tc>
          <w:tcPr>
            <w:tcW w:w="3560" w:type="dxa"/>
            <w:vAlign w:val="bottom"/>
            <w:tcBorders>
              <w:left w:val="single" w:sz="8" w:color="4B61A8"/>
              <w:bottom w:val="single" w:sz="8" w:color="4B61A8"/>
              <w:right w:val="single" w:sz="8" w:color="4B61A8"/>
            </w:tcBorders>
          </w:tcPr>
          <w:p>
            <w:pPr>
              <w:ind w:left="160"/>
              <w:spacing w:after="0"/>
              <w:rPr>
                <w:sz w:val="20"/>
                <w:szCs w:val="20"/>
                <w:color w:val="auto"/>
              </w:rPr>
            </w:pPr>
            <w:r>
              <w:rPr>
                <w:rFonts w:ascii="Arial" w:cs="Arial" w:eastAsia="Arial" w:hAnsi="Arial"/>
                <w:sz w:val="18"/>
                <w:szCs w:val="18"/>
                <w:color w:val="auto"/>
              </w:rPr>
              <w:t>of avß1</w:t>
            </w:r>
          </w:p>
        </w:tc>
        <w:tc>
          <w:tcPr>
            <w:tcW w:w="7460" w:type="dxa"/>
            <w:vAlign w:val="bottom"/>
            <w:tcBorders>
              <w:bottom w:val="single" w:sz="8" w:color="4B61A8"/>
            </w:tcBorders>
          </w:tcPr>
          <w:p>
            <w:pPr>
              <w:ind w:left="440"/>
              <w:spacing w:after="0"/>
              <w:rPr>
                <w:sz w:val="20"/>
                <w:szCs w:val="20"/>
                <w:color w:val="auto"/>
              </w:rPr>
            </w:pPr>
            <w:r>
              <w:rPr>
                <w:rFonts w:ascii="Arial" w:cs="Arial" w:eastAsia="Arial" w:hAnsi="Arial"/>
                <w:sz w:val="18"/>
                <w:szCs w:val="18"/>
                <w:color w:val="auto"/>
              </w:rPr>
              <w:t>below 1.1 nM</w:t>
            </w:r>
          </w:p>
        </w:tc>
        <w:tc>
          <w:tcPr>
            <w:tcW w:w="20" w:type="dxa"/>
            <w:vAlign w:val="bottom"/>
            <w:tcBorders>
              <w:bottom w:val="single" w:sz="8" w:color="4B61A8"/>
            </w:tcBorders>
            <w:shd w:val="clear" w:color="auto" w:fill="4B61A8"/>
          </w:tcPr>
          <w:p>
            <w:pPr>
              <w:spacing w:after="0"/>
              <w:rPr>
                <w:sz w:val="20"/>
                <w:szCs w:val="20"/>
                <w:color w:val="auto"/>
              </w:rPr>
            </w:pPr>
          </w:p>
        </w:tc>
      </w:tr>
      <w:tr>
        <w:trPr>
          <w:trHeight w:val="358"/>
        </w:trPr>
        <w:tc>
          <w:tcPr>
            <w:tcW w:w="3560" w:type="dxa"/>
            <w:vAlign w:val="bottom"/>
          </w:tcPr>
          <w:p>
            <w:pPr>
              <w:spacing w:after="0"/>
              <w:rPr>
                <w:sz w:val="24"/>
                <w:szCs w:val="24"/>
                <w:color w:val="auto"/>
              </w:rPr>
            </w:pPr>
          </w:p>
        </w:tc>
        <w:tc>
          <w:tcPr>
            <w:tcW w:w="7460" w:type="dxa"/>
            <w:vAlign w:val="bottom"/>
          </w:tcPr>
          <w:p>
            <w:pPr>
              <w:ind w:left="180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-3445510</wp:posOffset>
            </wp:positionV>
            <wp:extent cx="699516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vß1 and TGF-</w:t>
      </w:r>
      <w:r>
        <w:rPr>
          <w:rFonts w:ascii="Arial" w:cs="Arial" w:eastAsia="Arial" w:hAnsi="Arial"/>
          <w:sz w:val="18"/>
          <w:szCs w:val="18"/>
          <w:color w:val="auto"/>
        </w:rPr>
        <w:t xml:space="preserve">ß </w:t>
      </w:r>
      <w:r>
        <w:rPr>
          <w:rFonts w:ascii="Arial" w:cs="Arial" w:eastAsia="Arial" w:hAnsi="Arial"/>
          <w:sz w:val="18"/>
          <w:szCs w:val="18"/>
          <w:i w:val="1"/>
          <w:iCs w:val="1"/>
          <w:color w:val="auto"/>
        </w:rPr>
        <w:t>activation are upregulated in human F4 NASH liver biopsies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measured avß1 protein expression and pSMAD3 levels in a group of late-stage liver fibrosis biopsies. In F4 biopsies, avß1 was significantly overexpressed relative to F0/F1 biopsies. Similarly, the pSMAD3 levels were also significantly elevated in F4 biopsies compared to F0/F1.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104775</wp:posOffset>
            </wp:positionV>
            <wp:extent cx="5186045" cy="1817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604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vß1 and pSMAD3 levels are both upregulated in F4 liver fibrosis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PLN-1474 is associated with anti-fibrotic activity in live human fibrotic NASH liver tissue</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We assessed the anti-fibrotic activity of PLN-1474 in live human NASH liver tissue. Precision cut tissue slices from multiple F4 NASH livers treated with PLN-1474 exhibited a mean 50 percent reduction in the levels of </w:t>
      </w:r>
      <w:r>
        <w:rPr>
          <w:rFonts w:ascii="Arial" w:cs="Arial" w:eastAsia="Arial" w:hAnsi="Arial"/>
          <w:sz w:val="18"/>
          <w:szCs w:val="18"/>
          <w:i w:val="1"/>
          <w:iCs w:val="1"/>
          <w:color w:val="auto"/>
        </w:rPr>
        <w:t>COL1A1</w:t>
      </w:r>
      <w:r>
        <w:rPr>
          <w:rFonts w:ascii="Arial" w:cs="Arial" w:eastAsia="Arial" w:hAnsi="Arial"/>
          <w:sz w:val="18"/>
          <w:szCs w:val="18"/>
          <w:color w:val="auto"/>
        </w:rPr>
        <w:t xml:space="preserve"> expression compared to vehicle treated controls. In the PLN-1474 treated tissue slices, we also saw a significant reduction in the gene expression of </w:t>
      </w:r>
      <w:r>
        <w:rPr>
          <w:rFonts w:ascii="Arial" w:cs="Arial" w:eastAsia="Arial" w:hAnsi="Arial"/>
          <w:sz w:val="18"/>
          <w:szCs w:val="18"/>
          <w:i w:val="1"/>
          <w:iCs w:val="1"/>
          <w:color w:val="auto"/>
        </w:rPr>
        <w:t>TIMP1</w:t>
      </w:r>
      <w:r>
        <w:rPr>
          <w:rFonts w:ascii="Arial" w:cs="Arial" w:eastAsia="Arial" w:hAnsi="Arial"/>
          <w:sz w:val="18"/>
          <w:szCs w:val="18"/>
          <w:color w:val="auto"/>
        </w:rPr>
        <w:t>, which encodes the tissue inhibitor of metallopeptidase, or TIMP-1. In a recent study, TIMP-1 was shown to be a strong predictor of all-cause mortality in patients with fibrosis. TIMP-1 is one of the three components of the Enhanced Liver Fibrosis, or ELF, score, a non-invasive clinical diagnostic test to assess the likelihood of having clinically significant fibrosis. These results suggest that selective inhibition of avß1 could have clinically meaningful anti-fibrotic activity in NASH patients with advanced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149860</wp:posOffset>
            </wp:positionV>
            <wp:extent cx="5186045" cy="21431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PLN-1474 significantly reduced </w:t>
      </w:r>
      <w:r>
        <w:rPr>
          <w:rFonts w:ascii="Arial" w:cs="Arial" w:eastAsia="Arial" w:hAnsi="Arial"/>
          <w:sz w:val="18"/>
          <w:szCs w:val="18"/>
          <w:b w:val="1"/>
          <w:bCs w:val="1"/>
          <w:i w:val="1"/>
          <w:iCs w:val="1"/>
          <w:color w:val="auto"/>
        </w:rPr>
        <w:t>COL1A1</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TIMP1</w:t>
      </w:r>
      <w:r>
        <w:rPr>
          <w:rFonts w:ascii="Arial" w:cs="Arial" w:eastAsia="Arial" w:hAnsi="Arial"/>
          <w:sz w:val="18"/>
          <w:szCs w:val="18"/>
          <w:b w:val="1"/>
          <w:bCs w:val="1"/>
          <w:color w:val="auto"/>
        </w:rPr>
        <w:t xml:space="preserve"> gene expression in human NASH liver tissue</w:t>
      </w:r>
    </w:p>
    <w:p>
      <w:pPr>
        <w:spacing w:after="0" w:line="1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20"/>
          </w:cols>
          <w:pgMar w:left="320" w:top="459" w:right="6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PLN-1474 resulted in a decrease in expression levels of a broad panel of pro-fibrotic genes in an abbreviated mouse model of NASH</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Mice were treated prophylactically with PLN-1474 for 3 weeks at 30mg/kg BID in an abbreviated CDA-HFD mouse NASH fibrosis model. A broad panel of profibrotic genes showed decreased expression in mice treated with PLN-1474 relative to mice that were treated with a vehicle control.</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Profibrotic Gene Expression After Treatment with PLN-1474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174625</wp:posOffset>
            </wp:positionV>
            <wp:extent cx="2623185" cy="28975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2318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Treatment with PLN-1474 resulted in decreased expression of a broad set of profibrotic genes in a CDA-HFD mouse NASH liver fibrosis model</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PLN-1474 showed dose-dependent reduction of fibrosis in NASH and liver fibrosis mouse models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We tested the ability of PLN-1474 to inhibit fibrosis in a mouse model of NASH induced by a choline-deficient high fat diet. Treatment of these mice for six weeks, beginning at week five of the high fat diet, resulted in a dose-dependent reduction in collagen production as measured by hydroxyproline levels compared to vehicle-treated controls. Similar dose-dependent decreases in the expression of </w:t>
      </w:r>
      <w:r>
        <w:rPr>
          <w:rFonts w:ascii="Arial" w:cs="Arial" w:eastAsia="Arial" w:hAnsi="Arial"/>
          <w:sz w:val="18"/>
          <w:szCs w:val="18"/>
          <w:i w:val="1"/>
          <w:iCs w:val="1"/>
          <w:color w:val="auto"/>
        </w:rPr>
        <w:t>Col1a1</w:t>
      </w:r>
      <w:r>
        <w:rPr>
          <w:rFonts w:ascii="Arial" w:cs="Arial" w:eastAsia="Arial" w:hAnsi="Arial"/>
          <w:sz w:val="18"/>
          <w:szCs w:val="18"/>
          <w:color w:val="auto"/>
        </w:rPr>
        <w:t xml:space="preserve"> genes and picrosirius red staining, a histologic marker for fibrosis, were observed after treatment with PLN-1474. Treatment with PLN-1474 also led to decreases in pSMAD3 levels indicating that PLN-1474 was able to block TGF-ß activation.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PLN-1474 inhibits fibrosis in NASH fibrosis model</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PLN-1474 also inhibited fibrosis in an acute CCl</w:t>
      </w:r>
      <w:r>
        <w:rPr>
          <w:rFonts w:ascii="Arial" w:cs="Arial" w:eastAsia="Arial" w:hAnsi="Arial"/>
          <w:sz w:val="15"/>
          <w:szCs w:val="15"/>
          <w:color w:val="auto"/>
        </w:rPr>
        <w:t>4</w:t>
      </w:r>
      <w:r>
        <w:rPr>
          <w:rFonts w:ascii="Arial" w:cs="Arial" w:eastAsia="Arial" w:hAnsi="Arial"/>
          <w:sz w:val="18"/>
          <w:szCs w:val="18"/>
          <w:color w:val="auto"/>
        </w:rPr>
        <w:t xml:space="preserve"> model of liver fibrosis. In this model, liver fibrosis in mice is induced by two weeks of exposure to CCl</w:t>
      </w:r>
      <w:r>
        <w:rPr>
          <w:rFonts w:ascii="Arial" w:cs="Arial" w:eastAsia="Arial" w:hAnsi="Arial"/>
          <w:sz w:val="15"/>
          <w:szCs w:val="15"/>
          <w:color w:val="auto"/>
        </w:rPr>
        <w:t>4.</w:t>
      </w:r>
      <w:r>
        <w:rPr>
          <w:rFonts w:ascii="Arial" w:cs="Arial" w:eastAsia="Arial" w:hAnsi="Arial"/>
          <w:sz w:val="18"/>
          <w:szCs w:val="18"/>
          <w:color w:val="auto"/>
        </w:rPr>
        <w:t xml:space="preserve"> Treatment with PLN-1474 for one week reduced the expression of </w:t>
      </w:r>
      <w:r>
        <w:rPr>
          <w:rFonts w:ascii="Arial" w:cs="Arial" w:eastAsia="Arial" w:hAnsi="Arial"/>
          <w:sz w:val="18"/>
          <w:szCs w:val="18"/>
          <w:i w:val="1"/>
          <w:iCs w:val="1"/>
          <w:color w:val="auto"/>
        </w:rPr>
        <w:t>Col1a1</w:t>
      </w:r>
      <w:r>
        <w:rPr>
          <w:rFonts w:ascii="Arial" w:cs="Arial" w:eastAsia="Arial" w:hAnsi="Arial"/>
          <w:sz w:val="18"/>
          <w:szCs w:val="18"/>
          <w:color w:val="auto"/>
        </w:rPr>
        <w:t>, C</w:t>
      </w:r>
      <w:r>
        <w:rPr>
          <w:rFonts w:ascii="Arial" w:cs="Arial" w:eastAsia="Arial" w:hAnsi="Arial"/>
          <w:sz w:val="18"/>
          <w:szCs w:val="18"/>
          <w:i w:val="1"/>
          <w:iCs w:val="1"/>
          <w:color w:val="auto"/>
        </w:rPr>
        <w:t>ol1a2</w:t>
      </w:r>
      <w:r>
        <w:rPr>
          <w:rFonts w:ascii="Arial" w:cs="Arial" w:eastAsia="Arial" w:hAnsi="Arial"/>
          <w:sz w:val="18"/>
          <w:szCs w:val="18"/>
          <w:color w:val="auto"/>
        </w:rPr>
        <w:t xml:space="preserve"> and </w:t>
      </w:r>
      <w:r>
        <w:rPr>
          <w:rFonts w:ascii="Arial" w:cs="Arial" w:eastAsia="Arial" w:hAnsi="Arial"/>
          <w:sz w:val="18"/>
          <w:szCs w:val="18"/>
          <w:i w:val="1"/>
          <w:iCs w:val="1"/>
          <w:color w:val="auto"/>
        </w:rPr>
        <w:t>Col3a1</w:t>
      </w:r>
      <w:r>
        <w:rPr>
          <w:rFonts w:ascii="Arial" w:cs="Arial" w:eastAsia="Arial" w:hAnsi="Arial"/>
          <w:sz w:val="18"/>
          <w:szCs w:val="18"/>
          <w:color w:val="auto"/>
        </w:rPr>
        <w:t xml:space="preserve"> compared to vehicle-treated controls. Treatment with PLN-1474 also reduced TGF-ß signaling to baseline levels as measured by pSMAD3 levels.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the chronic version of the CCL</w:t>
      </w:r>
      <w:r>
        <w:rPr>
          <w:rFonts w:ascii="Arial" w:cs="Arial" w:eastAsia="Arial" w:hAnsi="Arial"/>
          <w:sz w:val="14"/>
          <w:szCs w:val="14"/>
          <w:color w:val="auto"/>
        </w:rPr>
        <w:t>4</w:t>
      </w:r>
      <w:r>
        <w:rPr>
          <w:rFonts w:ascii="Arial" w:cs="Arial" w:eastAsia="Arial" w:hAnsi="Arial"/>
          <w:sz w:val="17"/>
          <w:szCs w:val="17"/>
          <w:color w:val="auto"/>
        </w:rPr>
        <w:t xml:space="preserve"> model, fibrosis is induced by 21 days of exposure to CCl</w:t>
      </w:r>
      <w:r>
        <w:rPr>
          <w:rFonts w:ascii="Arial" w:cs="Arial" w:eastAsia="Arial" w:hAnsi="Arial"/>
          <w:sz w:val="14"/>
          <w:szCs w:val="14"/>
          <w:color w:val="auto"/>
        </w:rPr>
        <w:t>4</w:t>
      </w:r>
      <w:r>
        <w:rPr>
          <w:rFonts w:ascii="Arial" w:cs="Arial" w:eastAsia="Arial" w:hAnsi="Arial"/>
          <w:sz w:val="17"/>
          <w:szCs w:val="17"/>
          <w:color w:val="auto"/>
        </w:rPr>
        <w:t>. Treatment of these mice with PLN-1474 resulted in significant reductions in the expression of collagen genes beginning as soon as two hours after dosing. These results suggest that PLN-1474 has the potential to lead to significant and rapid changes in fibrosis even in livers containing extensive and established fibrotic lesions.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131445</wp:posOffset>
            </wp:positionV>
            <wp:extent cx="3128645" cy="26231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286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PLN-1474 inhibited collagen expression in a chronic CCl</w:t>
      </w:r>
      <w:r>
        <w:rPr>
          <w:rFonts w:ascii="Arial" w:cs="Arial" w:eastAsia="Arial" w:hAnsi="Arial"/>
          <w:sz w:val="15"/>
          <w:szCs w:val="15"/>
          <w:b w:val="1"/>
          <w:bCs w:val="1"/>
          <w:color w:val="auto"/>
        </w:rPr>
        <w:t>4</w:t>
      </w:r>
      <w:r>
        <w:rPr>
          <w:rFonts w:ascii="Arial" w:cs="Arial" w:eastAsia="Arial" w:hAnsi="Arial"/>
          <w:sz w:val="18"/>
          <w:szCs w:val="18"/>
          <w:b w:val="1"/>
          <w:bCs w:val="1"/>
          <w:color w:val="auto"/>
        </w:rPr>
        <w:t xml:space="preserve"> liver fibrosis model</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PLN-1474 decreased collagen fiber density and characteristics via second-harmonic generation analysis in a NASH fibrosis model</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evaluated three doses of PLN-1474 in a NASH fibrosis mouse model utilizing second-harmonic generation to evaluate the amount of new collagen formation ongoing post-treatment with PLN-1474. We evaluated 10mg/kg, 30mg/kg and 100mg/kg doses against placebo in a NASH fibrosis model and saw a dose-dependent reduction in collagen fiber density and fibrosis composite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4174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80" w:right="160"/>
        <w:spacing w:after="0" w:line="282" w:lineRule="auto"/>
        <w:rPr>
          <w:sz w:val="20"/>
          <w:szCs w:val="20"/>
          <w:color w:val="auto"/>
        </w:rPr>
      </w:pPr>
      <w:r>
        <w:rPr>
          <w:rFonts w:ascii="Arial" w:cs="Arial" w:eastAsia="Arial" w:hAnsi="Arial"/>
          <w:sz w:val="18"/>
          <w:szCs w:val="18"/>
          <w:b w:val="1"/>
          <w:bCs w:val="1"/>
          <w:color w:val="auto"/>
        </w:rPr>
        <w:t>PLN-1474 resulted in a dose-dependent decrease in collagen fiber density in a NASH fibrosis model as measured through second-harmonic generation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PLN-1474 potently binds to all conformations of </w:t>
      </w:r>
      <w:r>
        <w:rPr>
          <w:rFonts w:ascii="Arial" w:cs="Arial" w:eastAsia="Arial" w:hAnsi="Arial"/>
          <w:sz w:val="18"/>
          <w:szCs w:val="18"/>
          <w:color w:val="auto"/>
        </w:rPr>
        <w:t>a</w:t>
      </w:r>
      <w:r>
        <w:rPr>
          <w:rFonts w:ascii="Arial" w:cs="Arial" w:eastAsia="Arial" w:hAnsi="Arial"/>
          <w:sz w:val="18"/>
          <w:szCs w:val="18"/>
          <w:i w:val="1"/>
          <w:iCs w:val="1"/>
          <w:color w:val="auto"/>
        </w:rPr>
        <w:t>vß1</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Similar to our observations with PLN-74809, we have shown that PLN-1474 binds to both the higher-affinity, extended open conformation of integrin avß1 as well as the lower-affinity, bent closed conformation and thus has the potential to block integrin interactions regardless of the state of the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142875</wp:posOffset>
            </wp:positionV>
            <wp:extent cx="2408555" cy="7797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0855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PLN-1474 binds to both the extended open and bent closed conformations of </w:t>
      </w:r>
      <w:r>
        <w:rPr>
          <w:rFonts w:ascii="Arial" w:cs="Arial" w:eastAsia="Arial" w:hAnsi="Arial"/>
          <w:sz w:val="18"/>
          <w:szCs w:val="18"/>
          <w:color w:val="auto"/>
        </w:rPr>
        <w:t>a</w:t>
      </w:r>
      <w:r>
        <w:rPr>
          <w:rFonts w:ascii="Arial" w:cs="Arial" w:eastAsia="Arial" w:hAnsi="Arial"/>
          <w:sz w:val="18"/>
          <w:szCs w:val="18"/>
          <w:b w:val="1"/>
          <w:bCs w:val="1"/>
          <w:color w:val="auto"/>
        </w:rPr>
        <w:t>vß1</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Planned clinical development of PLN-1474</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completing IND-enabling studies for PLN-1474 and anticipate filing an IND by the end of 2019. Our initial clinical trials will be conducted in healthy volunteers where we intend to conduct dose-escalation and evaluate safety and tolerability and PK. Initial testing in NASH patients may also include assessment of avß1 expression in the liver using a specific PET ligand and to assess treatment effects via this method.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Applying our fibrosis expertise in developing additional products</w:t>
      </w:r>
    </w:p>
    <w:p>
      <w:pPr>
        <w:spacing w:after="0" w:line="12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We are pursuing potential uses of our existing product candidates, PLN-74809 and PLN-1474, in additional fibrotic indications. We use our precision cut human fibrotic tissue assays in addition to our animal model data to inform our clinical development programs and potentially select additional indications where we think our pipeline candidates could have an effect.</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mission is to advance the understanding of fibrosis by building a biology-, chemistry- and screening-based engine to drive drug development across the spectrum of fibrotic diseases. While our initial focus is on small-molecule integrin inhibitors in lung and liver fibrosis, we are actively pursuing additional treatment modalities across fibrosis indications in multiple different organs. We have identified other potential non-integrin targets related to TGF-ß signaling as well as other pathways across multiple fibrosis indications, such as regulators of epithelial-to-mesenchymal transition, a critical process in fibrosis. In addition, while our initial focus is on small-molecule drug candidates, we are agnostic to treatment modalities in the development of our pipeline.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biomarker discovery engine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are developing an extensive biomarker discovery and validation program. We are seeking to develop biomarkers in order to (i) identify patients at high risk of rapid disease progression, (ii) identify those more likely to respond to treatment and (iii) monitor early treatment responses. We are conducting clinical studies and other research with leading academic centers to track disease progression and collect biological samples such as blood, urine, and tissue biopsies which we can use to discover and validate novel biomarkers.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An example of our efforts is the discovery of potential biomarkers for IPF derived from urine and plasma samples. We discovered two novel biomarkers: WFDC2 and PLAUR. We compared these biomarkers to MMP-7, a widely recognized IPF biomarker. All three biomarkers were elevated in a set of urine samples from IPF patients compared to healthy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12433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9493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Potential biomarkers identified in urine samples from IPF patients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Further support for the potential importance of our novel biomarkers is that their expression levels were highly correlated with reduced lung function in IPF patients while MMP-7 was not. Patients with poor lung function as measured by forced expiratory volume, or FEV</w:t>
      </w:r>
      <w:r>
        <w:rPr>
          <w:rFonts w:ascii="Arial" w:cs="Arial" w:eastAsia="Arial" w:hAnsi="Arial"/>
          <w:sz w:val="15"/>
          <w:szCs w:val="15"/>
          <w:color w:val="auto"/>
        </w:rPr>
        <w:t>1</w:t>
      </w:r>
      <w:r>
        <w:rPr>
          <w:rFonts w:ascii="Arial" w:cs="Arial" w:eastAsia="Arial" w:hAnsi="Arial"/>
          <w:sz w:val="18"/>
          <w:szCs w:val="18"/>
          <w:color w:val="auto"/>
        </w:rPr>
        <w:t>, or by FVC, have elevated levels of these biomarkers while patients with good lung function do not.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320" w:top="459" w:right="5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205740</wp:posOffset>
            </wp:positionV>
            <wp:extent cx="5237480" cy="25374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374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Urine biomarkers of IPF correlate with reduced pulmonary function</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also measured these three biomarkers in urine samples from a cohort of 15 IPF patients who underwent lung transplantation. Levels of our novel biomarkers were significantly reduced following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212080" cy="1577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208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Plasma biomarkers of IPF pre- and post-transplant</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data indicates that our biomarkers may be effective in tracking treatment response. We plan to further validate these biomarkers, which will ultimately support our development programs.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larger pharmaceutical companies with greater resources. Smaller specialty biotechnology and biopharmaceutical companies, academic research institutions, governmental agencies, as well as public and private institutions are also potential sources of competitive products and technologies, including through collaborative arrangements with large and established biopharmaceutical companies. We also face competition in recruiting and retaining qualified scientific and management personnel,</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60"/>
          </w:cols>
          <w:pgMar w:left="320" w:top="459"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establishing clinical trial sites and enrolling patients for clinical trials, and acquiring technologies complementary to, or necessary for, our programs. We believe that the key competitive factors affecting the success of any of our product candidates will include efficacy, safety profile, convenience, method of administration, cost, level of promotional activity and intellectual property protection.</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There are currently a number of companies targeting the treatment of various fibrosis indications through inhibiting various parts of the TGF-ß pathway, including Biogen Inc., AbbVie Inc., Gilead Sciences, Inc., Indalo Therapeutics, Inc., FibroGen Inc., Galapagos NV, Bristol Myers Squibb Co., or BMS, and Novartis AG. However, we know of no other companies currently in clinical development with an orally bioavailable small-molecule, selective integrin inhibitor.</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Although our novel approach is unique from most other existing or investigational therapies across the disease areas where we are focusing our development, we will need to compete with currently approved therapies, and potentially those in currently in development if they are approved. We are aware of several marketed and investigational products in our leading disease areas, including but not limited to:</w:t>
      </w:r>
    </w:p>
    <w:p>
      <w:pPr>
        <w:spacing w:after="0" w:line="71" w:lineRule="exact"/>
        <w:rPr>
          <w:sz w:val="20"/>
          <w:szCs w:val="20"/>
          <w:color w:val="auto"/>
        </w:rPr>
      </w:pPr>
    </w:p>
    <w:p>
      <w:pPr>
        <w:ind w:left="760" w:right="260" w:hanging="212"/>
        <w:spacing w:after="0" w:line="263"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IPF: </w:t>
      </w:r>
      <w:r>
        <w:rPr>
          <w:rFonts w:ascii="Arial" w:cs="Arial" w:eastAsia="Arial" w:hAnsi="Arial"/>
          <w:sz w:val="18"/>
          <w:szCs w:val="18"/>
          <w:color w:val="auto"/>
        </w:rPr>
        <w:t>There are currently two approved products for the treatment of IPF; Esbriet, marketed by Roche Holding AG, and Ofev, marketed by</w:t>
      </w:r>
      <w:r>
        <w:rPr>
          <w:rFonts w:ascii="Arial" w:cs="Arial" w:eastAsia="Arial" w:hAnsi="Arial"/>
          <w:sz w:val="18"/>
          <w:szCs w:val="18"/>
          <w:i w:val="1"/>
          <w:iCs w:val="1"/>
          <w:color w:val="auto"/>
        </w:rPr>
        <w:t xml:space="preserve"> </w:t>
      </w:r>
      <w:r>
        <w:rPr>
          <w:rFonts w:ascii="Arial" w:cs="Arial" w:eastAsia="Arial" w:hAnsi="Arial"/>
          <w:sz w:val="18"/>
          <w:szCs w:val="18"/>
          <w:color w:val="auto"/>
        </w:rPr>
        <w:t>Boehringer Ingelheim GmbH. Other companies currently developing product candidates in IPF include Biogen, AbbVie, Galapagos, Indalo, Kadmon Holdings, Inc., Prometic Life Sciences, Inc. and Promedior, Inc.</w:t>
      </w:r>
    </w:p>
    <w:p>
      <w:pPr>
        <w:spacing w:after="0" w:line="89" w:lineRule="exact"/>
        <w:rPr>
          <w:rFonts w:ascii="Arial" w:cs="Arial" w:eastAsia="Arial" w:hAnsi="Arial"/>
          <w:sz w:val="18"/>
          <w:szCs w:val="18"/>
          <w:color w:val="auto"/>
        </w:rPr>
      </w:pPr>
    </w:p>
    <w:p>
      <w:pPr>
        <w:ind w:left="760" w:right="160" w:hanging="212"/>
        <w:spacing w:after="0" w:line="308" w:lineRule="auto"/>
        <w:tabs>
          <w:tab w:leader="none" w:pos="7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PSC</w:t>
      </w:r>
      <w:r>
        <w:rPr>
          <w:rFonts w:ascii="Arial" w:cs="Arial" w:eastAsia="Arial" w:hAnsi="Arial"/>
          <w:sz w:val="17"/>
          <w:szCs w:val="17"/>
          <w:color w:val="auto"/>
        </w:rPr>
        <w:t>: There are currently no approved therapies for the treatment of PSC. Companies currently developing product candidates in PSC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Gilead, Allergan plc, NGM Biopharmaceuticals, Inc., or NGM, Intercept Pharmaceuticals, Inc. and CymaBay Therapeutics, Inc.</w:t>
      </w:r>
    </w:p>
    <w:p>
      <w:pPr>
        <w:spacing w:after="0" w:line="51" w:lineRule="exact"/>
        <w:rPr>
          <w:rFonts w:ascii="Arial" w:cs="Arial" w:eastAsia="Arial" w:hAnsi="Arial"/>
          <w:sz w:val="17"/>
          <w:szCs w:val="17"/>
          <w:color w:val="auto"/>
        </w:rPr>
      </w:pPr>
    </w:p>
    <w:p>
      <w:pPr>
        <w:ind w:left="760" w:hanging="212"/>
        <w:spacing w:after="0" w:line="273" w:lineRule="auto"/>
        <w:tabs>
          <w:tab w:leader="none" w:pos="7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NASH: </w:t>
      </w:r>
      <w:r>
        <w:rPr>
          <w:rFonts w:ascii="Arial" w:cs="Arial" w:eastAsia="Arial" w:hAnsi="Arial"/>
          <w:sz w:val="17"/>
          <w:szCs w:val="17"/>
          <w:color w:val="auto"/>
        </w:rPr>
        <w:t>There are currently no FDA approved therapies for the treatment of NASH. There are a number of companies developing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the treatment of NASH including Intercept, Pfizer Inc., Gilead, Allergan, Novartis, AstraZeneca plc, Eli Lilly &amp; Company, GlaxoSmithKline plc, Amgen, Inc., BMS, Johnson &amp; Johnson, Merck &amp; Co., Inc., Roche, Sanofi S.A., Takeda Pharmaceuticals, Novo Nordisk, Genfit SA, Madrigal Pharmaceuticals, Inc., Viking Therapeutics, Inc., Cirius Therapeutics, Inc., NGM, Akero Therapeutics, Inc., Conatus Pharmaceuticals Inc., Metacrine, Inc. and CymaBay. Most of the drugs currently in development for NASH are focused on decreasing liver fat or improving liver inflammation as opposed to direct liver anti-fibrotic approaches.</w:t>
      </w:r>
    </w:p>
    <w:p>
      <w:pPr>
        <w:spacing w:after="0" w:line="178"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availability of reimbursement from government and other third-party payors will also significantly affect the pricing and competitiveness of our product candidates, if approved for marketing. Our competitors also may obtain FDA or other regulatory approval for their products more rapidly than we do, which could result in our competitors establishing a strong market position before we are able to enter the market.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years ended December 31, 2017 and 2018, we had research and development expenses of $14.5 million and $24.4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three months ended March 31, 2018 and 2019, we had research and development expenses of $5.0 million and $11.7 million, respectively.</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fibrosis that may be important for the development of our business. We additionally may rely on regulatory protection afforded through data exclusivity, market exclusivity, and patent term extensions, where available.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6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 of May 1, 2019, we own or license nineteen pending patent applications, worldwide, including in the United States and corresponding foreign patent applications. At least four pending patent applications have been filed in the United States or corresponding foreign jurisdictions by or on behalf of the Regents of the University of California, which have granted us exclusive license rights to the technology. To date, two patents have issued to us or to our licensors. Our policy is to file patent applications to protect technology, inventions and improvements to inventions that are commercially important to the development of our business. We seek United States and foreign patent protection for a variety of technologies, including: research compounds and methods, candidate compounds and antibodies for modulating the activity of integrins, methods for treating diseases of interest, and methods for manufacturing our products.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Company Owned IP</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own multiple families of patent applications that are directed to small-molecule compositions capable of modulating integrins and methods for treating or preventing diseases associated with integrins. Certain applications in these families relate to our PLN-1474 and PLN-74809 small-molecule product candidates, backup compounds and structural analogs, various unit dosages, dosing regimens, and routes of administration. We are also pursuing innovative ways to modulate integrin function using antibodies, and have one pending patent application to that technology in the United States. Patents that may issue from these company owned applications are generally expected to expire between the years 2037 to 2040, subject to possible patent term adjustment and/or extension.</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Licensed IP</w:t>
      </w:r>
    </w:p>
    <w:p>
      <w:pPr>
        <w:spacing w:after="0" w:line="23"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We have obtained an exclusive license from the Regents of the University of California to two patent families, which are expected to expire in 2034 and 2036, respectively, subject to possible patent term adjustment and/or extension. Included in these families are two issued U.S. patents with claims directed to small-molecule integrin inhibitors and methods of using such inhibitors for treating fibrotic and other diseases, as well as related patent applications that are pending in Canada, Europe, and Hong Kong. The molecules currently being developed by us as product candidates are not within the scope of the agreement with the Regents of the University of California.</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registered trademarks for use in connection with our products. We may pursue additional registrations for future products in markets of interest.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Secret Protection</w:t>
      </w:r>
    </w:p>
    <w:p>
      <w:pPr>
        <w:spacing w:after="0" w:line="117"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addition to the above, we have established expertise and development capabilities focused in the areas of preclinical research and development, manufacturing and manufacturing process development, quality control, quality assurance, regulatory affairs, and clinical trial design and implementation. We believe that our focus and expertise will help us develop products based on our proprietary intellectual property.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03"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October 2018, we entered into a collaboration agreement, or the Adimab Agreement, with Adimab, LLC, or Adimab, for the discovery and optimization of proprietary antibodies as potential therapeutic product candidates. Under the Adimab Agreement, we have initially agreed with Adimab to collaborate on an initial research program. In addition, we may select up to three additional biological targets against which Adimab will use its technology to research and develop antibodies pursuant to a mutually agreed upon research plan.</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During the ongoing research period and for a specified evaluation period thereafter, or the Evaluation Term, Adimab will grant us a worldwide, non-exclusive license to Adimab’s technology to perform our responsibilities under the specified research plan and to evaluate the program antibodies to determine, at our election, how to proceed with any antibodies discovered as a result of such research program.</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 research program by research program basis, Adimab has granted to us an exclusive option to acquire the rights to up to a certain specified number of discovered antibodies for development and commercialization as biopharmaceutical products. We have also granted Adimab a non-exclusive, non-sublicensable license under our technology during each research program, and during the relevant Evaluation Term solely to perform Adimab’s responsibilities under such research plan.</w:t>
      </w:r>
    </w:p>
    <w:p>
      <w:pPr>
        <w:spacing w:after="0" w:line="18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Upon execution of the Adimab Agreement we paid to Adimab a one-time, non-creditable non-refundable technology access fee in the low-five figures. For each agreed upon research program that is commenced, we are required to pay Adimab an agreed upon rate for its full-time employees during a given research program, a specified discovery delivery fee, and an optimization completion fee in the low-six figures.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choose to exercise our option with respect to a specific research program, we are required to pay Adimab a non-creditable, non-refundable high six-figure option exercise fee, payable in installments. If we exercise our option with respect to more than the specified number of antibodies resulting from such research program, we are obligated to make an additional specified payment for each additional optioned antibody. To date, we have not exercised any options under the Adimab Agreement.</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required to make certain milestone payments to Adimab upon the achievement of certain clinical and regulatory milestone events in the development of therapeutic products and diagnostic products which use the antibodies we have obtained pursuant to our exclusive option. The milestone payments total approximately $12 million for each therapeutic product. For any product that is commercialized pursuant to the Adimab Agreement, we are required to pay Adimab low single digit percentage tiered royalty payments based on annual aggregate worldwide net sales thresholds for such products, subject to reduction as specified in the Adimab Agreement. Royalty terms with respect to each product will expire on a country-by-country basis upon the later of (a) ten years after the first commercial sale of such product in such country and (b) the expiration of the last patent related to any antibody acquired by us pursuant to our option from a specified research program.</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Under the Adimab Agreement, we are required to use commercially reasonable efforts to conduct certain research to discover and optimize antibodies directed against the targets that we select. The Adimab Agreement will expire unless earlier terminated (a) in the event that we do not exercise any option pursuant to a research program, upon the conclusion of the last to expire Evaluation Term, or (b) if we do exercise an option, on the expiration of the last royalty term for a product in a particular country. We have the right to terminate the Adimab Agreement at any time upon advance written notice to Adimab. In addition, subject to certain conditions, either we or Adimab may terminate the Adimab Agreement if the other party commits a material breach of the agreement and fails to cure such breach within a specified cure period after written notice is provided. Upon expiration or termination of the Adimab Agreement, all licenses granted to us on a product-by-product and country-by-country basis will continue on a non-exclusive, fully-paid, worldwide, royalty-free, irrevocable basis.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product candidates, PLN-74809 and PLN-1474, are small molecule inhibitors amenable to standard oral formulation technologies. We have validated the synthetic process and manufactured large kilogram quantities similar to the campaigns that will be required to provide drug product for our anticipated Phase 2a clinical trials. The manufacturing process of the drug substance for such product candidates is robust and accessed from readily available starting materials. The synthetic route is amenable to large-scale production and does not require unusual equipment or handling during the manufacturing process. We have obtained an adequate supply chain of the drug substance for PLN-74809 and PLN-1474 from our first North American contract manufacturing organization, or CMO, to satisfy both our clinical and preclinical requirements in 2019. We rely on a sole supplier for the manufacture of PLN-74809. We are engaging secondary raw material suppliers in addition to North American and European CMOs to mitigate global supply chain risk and ensure continuity of supply of drug substance. To maximize flexibility, we have established relationships with non-overlapping vendors for manufacturing of not only raw materials but also drug substance.</w:t>
      </w:r>
    </w:p>
    <w:p>
      <w:pPr>
        <w:spacing w:after="0" w:line="18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We currently rely on third-party manufacturers for the GMP production of larger quantities of our drug product candidates for our clinical trials. Our internal personnel have extensive cGMP manufacturing experience in order to ensure seamless technology transfer and to manage the manufacturing and development processes conducted by third-party manufacturers. Our agreements with third-party manufacturers include confidentiality and intellectual property provisions as well as routine quality audits. In some instances, we have reserved resources from third-party manufacturers for the development and manufacture of our product candidates for near-term clinical programs.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do not own or operate facilities for clinical drug manufacturing, storage, distribution or quality testing. Currently, all of our clinical manufacturing is outsourced to third-party manufacturers. As our development programs expand and we build new process efficiencies, we expect to continually evaluate this strategy with the objective of satisfying demand for our clinical trials and, if approved, the manufacture, sale and distribution of commercial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760" w:right="220" w:hanging="212"/>
        <w:spacing w:after="0" w:line="277"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75" w:lineRule="exact"/>
        <w:rPr>
          <w:rFonts w:ascii="Arial" w:cs="Arial" w:eastAsia="Arial" w:hAnsi="Arial"/>
          <w:sz w:val="18"/>
          <w:szCs w:val="18"/>
          <w:color w:val="auto"/>
        </w:rPr>
      </w:pPr>
    </w:p>
    <w:p>
      <w:pPr>
        <w:ind w:left="760" w:right="360" w:hanging="212"/>
        <w:spacing w:after="0" w:line="277"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30" w:lineRule="exact"/>
        <w:rPr>
          <w:rFonts w:ascii="Arial" w:cs="Arial" w:eastAsia="Arial" w:hAnsi="Arial"/>
          <w:sz w:val="18"/>
          <w:szCs w:val="18"/>
          <w:color w:val="auto"/>
        </w:rPr>
      </w:pPr>
    </w:p>
    <w:p>
      <w:pPr>
        <w:ind w:left="760" w:right="60" w:hanging="212"/>
        <w:spacing w:after="0" w:line="277"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760" w:right="100" w:hanging="212"/>
        <w:spacing w:after="0" w:line="263"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130" w:lineRule="exact"/>
        <w:rPr>
          <w:rFonts w:ascii="Arial" w:cs="Arial" w:eastAsia="Arial" w:hAnsi="Arial"/>
          <w:sz w:val="18"/>
          <w:szCs w:val="18"/>
          <w:color w:val="auto"/>
        </w:rPr>
      </w:pPr>
    </w:p>
    <w:p>
      <w:pPr>
        <w:ind w:left="760" w:right="20" w:hanging="212"/>
        <w:spacing w:after="0" w:line="277"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which include the requirement that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initiates at that institution. Information about certain clinical trials must be submitted within specific timeframes to the National Institutes of Health, or NIH, for public dissemination on their www.clinicaltrials.gov website.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131" w:lineRule="exact"/>
        <w:rPr>
          <w:sz w:val="20"/>
          <w:szCs w:val="20"/>
          <w:color w:val="auto"/>
        </w:rPr>
      </w:pPr>
    </w:p>
    <w:p>
      <w:pPr>
        <w:ind w:left="760" w:right="520" w:hanging="212"/>
        <w:spacing w:after="0" w:line="342" w:lineRule="auto"/>
        <w:tabs>
          <w:tab w:leader="none" w:pos="7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9" w:lineRule="exact"/>
        <w:rPr>
          <w:rFonts w:ascii="Arial" w:cs="Arial" w:eastAsia="Arial" w:hAnsi="Arial"/>
          <w:sz w:val="16"/>
          <w:szCs w:val="16"/>
          <w:color w:val="auto"/>
        </w:rPr>
      </w:pPr>
    </w:p>
    <w:p>
      <w:pPr>
        <w:ind w:left="760" w:right="140" w:hanging="212"/>
        <w:spacing w:after="0" w:line="308" w:lineRule="auto"/>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1" w:lineRule="exact"/>
        <w:rPr>
          <w:rFonts w:ascii="Arial" w:cs="Arial" w:eastAsia="Arial" w:hAnsi="Arial"/>
          <w:sz w:val="17"/>
          <w:szCs w:val="17"/>
          <w:color w:val="auto"/>
        </w:rPr>
      </w:pPr>
    </w:p>
    <w:p>
      <w:pPr>
        <w:ind w:left="760" w:hanging="212"/>
        <w:spacing w:after="0" w:line="263"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An Agreed Initial Pediatric Study Plan requesting a waiver from the requirement to conduct clinical studies has been submitted to the FDA.</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the original non-modified version of the drug.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 and the establishments where such products are manufactured, as well as new application fees for supplemental applications with clinical data.</w:t>
      </w:r>
    </w:p>
    <w:p>
      <w:pPr>
        <w:spacing w:after="0" w:line="17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Once an approval of a drug or medical device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760" w:hanging="212"/>
        <w:spacing w:after="0"/>
        <w:tabs>
          <w:tab w:leader="none" w:pos="7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760" w:hanging="21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42" w:lineRule="exact"/>
        <w:rPr>
          <w:rFonts w:ascii="Arial" w:cs="Arial" w:eastAsia="Arial" w:hAnsi="Arial"/>
          <w:sz w:val="17"/>
          <w:szCs w:val="17"/>
          <w:color w:val="auto"/>
        </w:rPr>
      </w:pPr>
    </w:p>
    <w:p>
      <w:pPr>
        <w:ind w:left="760" w:hanging="21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or devices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Furthermore, on May 10, 2019, the Centers for Medicare and Medicaid Services announced a new pricing transparency rule, which goes into effect on July 9, 2019. This final rule requires direct-to-consumer television advertisements for prescription drugs and biological products for which reimbursement is available, directly or indirectly, through or under Medicare or Medicaid to include the list price of that product, except for a prescription drug or biological product that has a list price of less than $35 per month for a 30-day supply or typical course of treatment. The pricing transparency rule could have a negative effect on our business.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Healthcare providers, physicians, and third party payors play a primary role in the recommendation and prescription of drug products for which we obtain marketing approval. Arrangements with third party payors, healthcare providers and physicians, in connection with the clinical research, sales, marketing and promotion of products, once approved, and related activities, may expose a pharmaceutical manufacturer to broadly applicable fraud and abuse and other healthcare laws and regulations. In the United States, these laws include, without limitation, state and federal anti- kickback, false claims, physician transparency, and patient data privacy and security laws and regulations, including but not limited to those described below:</w:t>
      </w:r>
    </w:p>
    <w:p>
      <w:pPr>
        <w:spacing w:after="0" w:line="67" w:lineRule="exact"/>
        <w:rPr>
          <w:sz w:val="20"/>
          <w:szCs w:val="20"/>
          <w:color w:val="auto"/>
        </w:rPr>
      </w:pPr>
    </w:p>
    <w:p>
      <w:pPr>
        <w:ind w:left="760" w:right="80" w:hanging="212"/>
        <w:spacing w:after="0" w:line="311" w:lineRule="auto"/>
        <w:tabs>
          <w:tab w:leader="none" w:pos="7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federal Anti-Kickback Statute, or AKS, which makes it illegal for any person,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100"/>
        <w:spacing w:after="0" w:line="279" w:lineRule="auto"/>
        <w:rPr>
          <w:sz w:val="20"/>
          <w:szCs w:val="20"/>
          <w:color w:val="auto"/>
        </w:rPr>
      </w:pPr>
      <w:r>
        <w:rPr>
          <w:rFonts w:ascii="Arial" w:cs="Arial" w:eastAsia="Arial" w:hAnsi="Arial"/>
          <w:sz w:val="17"/>
          <w:szCs w:val="17"/>
          <w:color w:val="auto"/>
        </w:rPr>
        <w:t>order or prescription of a particular drug for which payment may be made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77" w:lineRule="exact"/>
        <w:rPr>
          <w:sz w:val="20"/>
          <w:szCs w:val="20"/>
          <w:color w:val="auto"/>
        </w:rPr>
      </w:pPr>
    </w:p>
    <w:p>
      <w:pPr>
        <w:ind w:left="760" w:right="20" w:hanging="212"/>
        <w:spacing w:after="0" w:line="254"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False Claims Act, which impose criminal and civil penalties, including through civil “qui tam” or “whistleblower” actions,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Similar to the federal Anti-Kickback Statute, a person or entity does not need to have actual knowledge of these statutes or specific intent to violate them in order to have committed a violation.</w:t>
      </w:r>
    </w:p>
    <w:p>
      <w:pPr>
        <w:spacing w:after="0" w:line="100" w:lineRule="exact"/>
        <w:rPr>
          <w:rFonts w:ascii="Arial" w:cs="Arial" w:eastAsia="Arial" w:hAnsi="Arial"/>
          <w:sz w:val="18"/>
          <w:szCs w:val="18"/>
          <w:color w:val="auto"/>
        </w:rPr>
      </w:pPr>
    </w:p>
    <w:p>
      <w:pPr>
        <w:ind w:left="760" w:right="100" w:hanging="212"/>
        <w:spacing w:after="0" w:line="273" w:lineRule="auto"/>
        <w:tabs>
          <w:tab w:leader="none" w:pos="7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3" w:lineRule="exact"/>
        <w:rPr>
          <w:rFonts w:ascii="Arial" w:cs="Arial" w:eastAsia="Arial" w:hAnsi="Arial"/>
          <w:sz w:val="17"/>
          <w:szCs w:val="17"/>
          <w:color w:val="auto"/>
        </w:rPr>
      </w:pPr>
    </w:p>
    <w:p>
      <w:pPr>
        <w:ind w:left="760" w:right="60" w:hanging="212"/>
        <w:spacing w:after="0" w:line="279" w:lineRule="auto"/>
        <w:tabs>
          <w:tab w:leader="none" w:pos="7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76" w:lineRule="exact"/>
        <w:rPr>
          <w:rFonts w:ascii="Arial" w:cs="Arial" w:eastAsia="Arial" w:hAnsi="Arial"/>
          <w:sz w:val="17"/>
          <w:szCs w:val="17"/>
          <w:color w:val="auto"/>
        </w:rPr>
      </w:pPr>
    </w:p>
    <w:p>
      <w:pPr>
        <w:ind w:left="760" w:right="80" w:hanging="212"/>
        <w:spacing w:after="0" w:line="255"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to report annually to the Centers for Medicare and Medicaid Services, or CMS, under the Open Payments Program, information related to payments or other transfers of value made to physicians and teaching hospitals, as well as ownership and investment interests held by physicians and their immediate family members; and</w:t>
      </w:r>
    </w:p>
    <w:p>
      <w:pPr>
        <w:spacing w:after="0" w:line="97" w:lineRule="exact"/>
        <w:rPr>
          <w:rFonts w:ascii="Arial" w:cs="Arial" w:eastAsia="Arial" w:hAnsi="Arial"/>
          <w:sz w:val="18"/>
          <w:szCs w:val="18"/>
          <w:color w:val="auto"/>
        </w:rPr>
      </w:pPr>
    </w:p>
    <w:p>
      <w:pPr>
        <w:ind w:left="760" w:hanging="212"/>
        <w:spacing w:after="0" w:line="288" w:lineRule="auto"/>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monetary fines, possible exclusion from participation in Medicare, Medicaid and other federal healthcare programs,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 commercialization of any drug product outside the United States will also likely be subject to foreign equivalents of the healthcare laws mentioned above, among other foreign laws.</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both the United States and certain foreign jurisdictions, there have been a number of legislative and regulatory changes to the health care system. In particular,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1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There have been a number of significant changes to the ACA and its implementation. The Tax Cuts and Jobs Act of 2017, or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Multiple state Attorneys General filed suit to stop the administration from terminating the subsidies, but their case was dismissed by a federal judge in California on July 18, 2018. 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Similarly, on April 9, 2018, CMS issued a final rule that will give states greater flexibility in setting benchmarks for insurers in the individual and small group marketplaces by relaxing certain requirements for essential health benefits required under the ACA for plans sold through such marketplaces. Moreover,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Tax Act. The Texas U.S. District Court Judge, as well as the Trump Administration and CMS have stated that the ruling will have no immediate effect pending appeal of the decision.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remain in effect through 2027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Legislative and regulatory proposals, and enactment of laws, at the foreign, federal and state levels, directed at containing or lowering the cost of healthcare, will continue into the future.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 of World Regulation</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Additionally, to the extent that any of our product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Successful commercialization of new drug products depends in part on the extent to which reimbursement for those drug products will be available from government health administration authorities,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paid for by health maintenance, managed care, pharmacy benefit and similar healthcare management organizations, or reimbursed by government health administration authorities, private health coverage insurers and other third-party payors.</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the United States, the principal decisions about reimbursement for new drug products are typically made by CMS, an agency within the HHS. CMS decides whether and to what extent a new drug product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covered and reimbursed under Medicare, and private payors tend to follow CMS to a substantial degree. However, no uniform policy of coverage and reimbursement for drug products exists among third-party payors and coverage and reimbursement levels for drug products can differ significantly from payor to payor.</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average manufacturer price, or AMP, and Medicaid rebate data, the revisions to the Medicaid rebate formula and AMP definition described above could cause the required 340B discount to increase. 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6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Outside of the United States, the pricing of pharmaceutical products and medical devices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 assessments, in order to obtain reimbursement or pricing approval. Other countries may allow</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March 31, 2019, we had 48 full-time employees, including 21 with Ph.D. or M.D. degrees and 37 are engaged in research and development activities. None of our employees are represented by labor unions or covered by collective bargaining agreements. We consider our relationship with our employees to be good.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lease a facility containing 32,974 square feet of laboratory and office space, which is located at 260 Littlefield Avenue, South San Francisco, California 94080. The lease expires on February 28, 2025. We believe that our current facilities are sufficient to meet our current and near-term needs and that, should it be needed, suitable additional space will be available.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As of the date of this prospectus,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about our executive officers and directors, including their ages as of May 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4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6480" w:type="dxa"/>
            <w:vAlign w:val="bottom"/>
          </w:tcPr>
          <w:p>
            <w:pPr>
              <w:ind w:left="2900"/>
              <w:spacing w:after="0"/>
              <w:rPr>
                <w:sz w:val="20"/>
                <w:szCs w:val="20"/>
                <w:color w:val="auto"/>
              </w:rPr>
            </w:pPr>
            <w:r>
              <w:rPr>
                <w:rFonts w:ascii="Arial" w:cs="Arial" w:eastAsia="Arial" w:hAnsi="Arial"/>
                <w:sz w:val="14"/>
                <w:szCs w:val="14"/>
                <w:b w:val="1"/>
                <w:bCs w:val="1"/>
                <w:color w:val="auto"/>
              </w:rPr>
              <w:t>Position(s)</w:t>
            </w:r>
          </w:p>
        </w:tc>
      </w:tr>
      <w:tr>
        <w:trPr>
          <w:trHeight w:val="175"/>
        </w:trPr>
        <w:tc>
          <w:tcPr>
            <w:tcW w:w="378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3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480" w:type="dxa"/>
            <w:vAlign w:val="bottom"/>
            <w:tcBorders>
              <w:top w:val="single" w:sz="8" w:color="auto"/>
            </w:tcBorders>
          </w:tcPr>
          <w:p>
            <w:pPr>
              <w:spacing w:after="0"/>
              <w:rPr>
                <w:sz w:val="15"/>
                <w:szCs w:val="15"/>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Bernard Coulie, M.D., Ph.D.</w:t>
            </w: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Hans Hull</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Éric Lefebvre, M.D.</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Keith Cummings, M.D., MBA</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Barbara Howes</w:t>
            </w: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Human Resource Officer</w:t>
            </w: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Hoyoung Huh, M.D., Ph.D.</w:t>
            </w:r>
            <w:r>
              <w:rPr>
                <w:rFonts w:ascii="Arial" w:cs="Arial" w:eastAsia="Arial" w:hAnsi="Arial"/>
                <w:sz w:val="15"/>
                <w:szCs w:val="15"/>
                <w:color w:val="auto"/>
              </w:rPr>
              <w:t>(3)</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Lead 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Suzanne Bruhn, Ph.D.</w:t>
            </w:r>
            <w:r>
              <w:rPr>
                <w:rFonts w:ascii="Arial" w:cs="Arial" w:eastAsia="Arial" w:hAnsi="Arial"/>
                <w:sz w:val="15"/>
                <w:szCs w:val="15"/>
                <w:color w:val="auto"/>
              </w:rPr>
              <w:t>(2)</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John Curnutte, M.D.</w:t>
            </w:r>
            <w:r>
              <w:rPr>
                <w:rFonts w:ascii="Arial" w:cs="Arial" w:eastAsia="Arial" w:hAnsi="Arial"/>
                <w:sz w:val="15"/>
                <w:szCs w:val="15"/>
                <w:color w:val="auto"/>
              </w:rPr>
              <w:t>(2)</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Neil Exter</w:t>
            </w:r>
            <w:r>
              <w:rPr>
                <w:rFonts w:ascii="Arial" w:cs="Arial" w:eastAsia="Arial" w:hAnsi="Arial"/>
                <w:sz w:val="15"/>
                <w:szCs w:val="15"/>
                <w:color w:val="auto"/>
              </w:rPr>
              <w:t>(2)</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Charles Homcy, M.D.</w:t>
            </w:r>
            <w:r>
              <w:rPr>
                <w:rFonts w:ascii="Arial" w:cs="Arial" w:eastAsia="Arial" w:hAnsi="Arial"/>
                <w:sz w:val="15"/>
                <w:szCs w:val="15"/>
                <w:color w:val="auto"/>
              </w:rPr>
              <w:t>(3)</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Kevin Raidy</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Smital Shah</w:t>
            </w:r>
            <w:r>
              <w:rPr>
                <w:rFonts w:ascii="Arial" w:cs="Arial" w:eastAsia="Arial" w:hAnsi="Arial"/>
                <w:sz w:val="15"/>
                <w:szCs w:val="15"/>
                <w:color w:val="auto"/>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hanging="324"/>
        <w:spacing w:after="0"/>
        <w:tabs>
          <w:tab w:leader="none" w:pos="4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Member of the Audit Committee.</w:t>
      </w:r>
    </w:p>
    <w:p>
      <w:pPr>
        <w:ind w:left="440" w:hanging="324"/>
        <w:spacing w:after="0" w:line="221" w:lineRule="auto"/>
        <w:tabs>
          <w:tab w:leader="none" w:pos="4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Member of the Compensation Committee.</w:t>
      </w:r>
    </w:p>
    <w:p>
      <w:pPr>
        <w:ind w:left="440" w:hanging="324"/>
        <w:spacing w:after="0"/>
        <w:tabs>
          <w:tab w:leader="none" w:pos="4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Member of the Nominating and Corporate Governance Committee.</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6"/>
          <w:szCs w:val="16"/>
          <w:b w:val="1"/>
          <w:bCs w:val="1"/>
          <w:i w:val="1"/>
          <w:iCs w:val="1"/>
          <w:color w:val="auto"/>
        </w:rPr>
        <w:t xml:space="preserve">Bernard Coulie, M.D., Ph.D., MBA, </w:t>
      </w:r>
      <w:r>
        <w:rPr>
          <w:rFonts w:ascii="Arial" w:cs="Arial" w:eastAsia="Arial" w:hAnsi="Arial"/>
          <w:sz w:val="16"/>
          <w:szCs w:val="16"/>
          <w:color w:val="auto"/>
        </w:rPr>
        <w:t>has served as our Chief Executive Officer and as a Director since February 2016. Prior to joining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Coulie cofounded ActoGeniX N.V., a biopharmaceutical company, and held roles of increasing responsibility there, including as Vice President R&amp;D, Chief Medical Officer and Chief Executive Officer, from September 2006 until February 2015, when it was acquired by Intrexon Corporation. Prior to cofounding ActoGeniX, Dr. Coulie held various positions with increasing responsibilities in drug discovery and clinical development</w:t>
      </w:r>
    </w:p>
    <w:p>
      <w:pPr>
        <w:spacing w:after="0" w:line="1" w:lineRule="exact"/>
        <w:rPr>
          <w:sz w:val="20"/>
          <w:szCs w:val="20"/>
          <w:color w:val="auto"/>
        </w:rPr>
      </w:pPr>
    </w:p>
    <w:p>
      <w:pPr>
        <w:ind w:left="120" w:right="320"/>
        <w:spacing w:after="0" w:line="271" w:lineRule="auto"/>
        <w:rPr>
          <w:sz w:val="20"/>
          <w:szCs w:val="20"/>
          <w:color w:val="auto"/>
        </w:rPr>
      </w:pPr>
      <w:r>
        <w:rPr>
          <w:rFonts w:ascii="Arial" w:cs="Arial" w:eastAsia="Arial" w:hAnsi="Arial"/>
          <w:sz w:val="17"/>
          <w:szCs w:val="17"/>
          <w:color w:val="auto"/>
        </w:rPr>
        <w:t>at Johnson &amp; Johnson Pharmaceutical Research and Development Europe. Dr. Coulie previously served as a director of ActoGeniX from April 2010 until February 2015, Biogazelle N.V. from July 2015 until November 2018, Myoscience from June 2016 until March 2019. Dr. Coulie is currently serving as a director and Chairman of Calypso BV. Dr. Coulie holds a M.D. and Ph.D. from the University of Leuven, Belgium and a MBA from the Vlerick Management School, Leuven, Belgium. We believe that Dr. Coulie is qualified to serve on our board of directors based on our review of his experience and expertise in operations management and executive leadership at various biopharmaceutical companies.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Hans Hull, J.D., </w:t>
      </w:r>
      <w:r>
        <w:rPr>
          <w:rFonts w:ascii="Arial" w:cs="Arial" w:eastAsia="Arial" w:hAnsi="Arial"/>
          <w:sz w:val="18"/>
          <w:szCs w:val="18"/>
          <w:color w:val="auto"/>
        </w:rPr>
        <w:t>has served as our Chief Business Officer since March 2016. Prior to joining us, Mr. Hull held roles of increasing responsibility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Avalanche Biotechnologies, Inc., a biopharmaceutical company, from March 2011 until December 2015, including as Vice President, Legal and Corporate Development, Senior Vice President, Business Operations and interim President and Chief Executive Officer. Prior to Avalanche, from May 2008 to December 2011, he served as a legal and business development consultant for life sciences companies, including Second Genome, Inc., a biotechnology company, and Aprecia Pharmaceuticals, a pharmaceutical company. Mr. Hull was also the Chief Executive Officer of Orthobond Corporation, a medical device startup from March 2005 to April 2008. Mr. Hull also had an earlier career as an intellectual property attorney at Heller Ehrman LLP and life science consultant at ZS Associates. He holds an A.B. in Chemistry from Princeton University and a J.D. from the University of California, Berkeley.</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Éric Lefebvre, M.D., </w:t>
      </w:r>
      <w:r>
        <w:rPr>
          <w:rFonts w:ascii="Arial" w:cs="Arial" w:eastAsia="Arial" w:hAnsi="Arial"/>
          <w:sz w:val="17"/>
          <w:szCs w:val="17"/>
          <w:color w:val="auto"/>
        </w:rPr>
        <w:t>has served as our Chief Medical Officer since May 2018. Prior to joining us, Dr. Lefebvre served as the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Allergan plc, a global pharmaceutical company, from November 2016 until April 2018. Prior to Allergan, Dr. Lefebvre served as Chief Medical Officer of Tobira Therapeutics, Inc., a clinical-stage biopharmaceutical company, from January 2012 until November 2016. Dr. Lefebvre also led global clinical development and global medical affairs at Janssen Pharmaceuticals for 10 years prior to starting his pharmaceutical career at GlaxoSmithKline Canada. This was preceded by 15 years of providing primary care at Clinique Medicale L’Actuel in Montreal, Canada. He holds a B.S. in Health Sciences from Edouard-Montpetit College and a M.D. from the University of Montreal.</w:t>
      </w:r>
    </w:p>
    <w:p>
      <w:pPr>
        <w:spacing w:after="0" w:line="17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Keith Cummings, M.D., MBA, </w:t>
      </w:r>
      <w:r>
        <w:rPr>
          <w:rFonts w:ascii="Arial" w:cs="Arial" w:eastAsia="Arial" w:hAnsi="Arial"/>
          <w:sz w:val="18"/>
          <w:szCs w:val="18"/>
          <w:color w:val="auto"/>
        </w:rPr>
        <w:t>has served as our Chief Financial Officer since December 2018. Prior to joining us, Dr. Cummings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in the Investment Banking Healthcare Group at Citigroup Global Markets from September 2014 until December 2018. Prior to joining Citigroup, Dr. Cummings worked at Lehman Brothers and subsequently, as the Vice President, Investment Banking Barclays Investment Bank from August 2009 to September 2014. He holds a B.S. in Biochemistry from North Carolina State University, a MBA from Duke University’s Fuqua School of Business and a M.D. from Duke University School of Medicine.</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Barbara Howes </w:t>
      </w:r>
      <w:r>
        <w:rPr>
          <w:rFonts w:ascii="Arial" w:cs="Arial" w:eastAsia="Arial" w:hAnsi="Arial"/>
          <w:sz w:val="17"/>
          <w:szCs w:val="17"/>
          <w:color w:val="auto"/>
        </w:rPr>
        <w:t>has served as our served as our Chief Human Resource Officer since May 2019. Prior to joining us, Ms. Howes worked full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consulting full-time in October 2014 where she served as the interim Head of Human Resources for several biotechnology companies, including Pliant prior to joining us full time. Ms. Howes has over 20 years’ experience designing and delivering creative and impactful human resources, leadership development and change management solutions with a focus on optimizing organizational performance in the areas of innovation, collaboration, culture and strategy. Prior to founding her consulting practice in October 2014, Ms. Howes led the executive and organization development, career &amp; learning, diversity, and workforce research teams at Genentech from June 2008 through October 2014. Prior to joining Genentech, Ms. Howes spent 12 years at The Walt Disney Company, where she held various development positions at The Disney Stores, Walt Disney Imagineering, and Corporate. She holds a B.A. in Liberal Arts from Mount Saint Mary’s College and a MBA with an emphasis in Organizational Behavior from California Lutheran University.</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Hoyoung Huh, M.D., Ph.D., </w:t>
      </w:r>
      <w:r>
        <w:rPr>
          <w:rFonts w:ascii="Arial" w:cs="Arial" w:eastAsia="Arial" w:hAnsi="Arial"/>
          <w:sz w:val="17"/>
          <w:szCs w:val="17"/>
          <w:color w:val="auto"/>
        </w:rPr>
        <w:t>has served as Lead Director of our board of directors since December 2017. He is the founder of pH Pharma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&amp; Humanity Foundation. Dr. Huh was a Managing Director of Konus Advisory Group, Inc. from January 2012 to September 2014. Prior to founding Konus Advisory Group, Inc., Dr. Huh was Chief Executive Officer and Chairman of the board of directors of BiPar Sciences, Inc. from February 2008 until December 2010. In addition, Dr. Huh has been involved in the formation, management and board positions of multiple biotechnology and innovation-based companies. He previously served as the Chairman of the board of directors of Geron Corporation from September 2011 to December 2018, and CytomX Therapeutics, Inc. from February 2012 to December 2018, a member of the board of directors of Rezolute, Inc. (f/k/a AntriaBio, Inc.) from 2013 to January 2019, the Chairman of the board of directors of Epizyme, Inc., and as a member of the board of directors of Facet Biotech Corporation, Nektar Therapeutics, Inc., Addex Therapeutics Ltd. and EOS, S.p.A (Milano, Italy). Earlier in his career, Dr. Huh was a partner at McKinsey &amp; Company. He holds A.B. in Biochemistry from Dartmouth College, a M.D. from Cornell University Medical College and a Ph.D. in Cell Biology and Genetics from Cornell University Sloan Kettering Institute. We believe Dr. Huh is qualified to serve on our board of directors based on his significant leadership experience in and familiarity with the biopharmaceutical industry.</w:t>
      </w:r>
    </w:p>
    <w:p>
      <w:pPr>
        <w:spacing w:after="0" w:line="182"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Suzanne Bruhn, Ph.D., </w:t>
      </w:r>
      <w:r>
        <w:rPr>
          <w:rFonts w:ascii="Arial" w:cs="Arial" w:eastAsia="Arial" w:hAnsi="Arial"/>
          <w:sz w:val="17"/>
          <w:szCs w:val="17"/>
          <w:color w:val="auto"/>
        </w:rPr>
        <w:t>has served as a member of our board of directors since July 2016. Dr. Bruhn currently serves as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Tiaki Therapeutics, a preclinical biotechnology company, since May 2019. Prior to that, Dr. Bruhn served as President and Chief Executive Officer of Proclara Biosciences, Inc, a clinical-stage biotechnology company, from April 2017 until September 2018. Prior to Proclara, Dr. Bruhn served as President and Chief Executive Officer of Promedior, Inc., a private clinical-stage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biotech company developing targeted therapies to treat diseases involving fibrosis, from May 2012 until November 2015. She currently also serves on the board of directors of Aeglea BioTherapeutics, Inc, a publicly traded biotherapeutics company, from February 2017 and Novelion Therapeutics, Inc, a publicly traded pharmaceutical company, from October 2017. She previously served as a member of the board of directors of Raptor Pharmaceuticals Corp., a publicly traded pharmaceutical company, from April 2011 until it was acquired by Horizon Pharma plc in October 2016. She holds a B.S. in Chemistry from Iowa State University and a Ph.D. in Chemistry from Massachusetts Institute of Technology and completed her postdoctoral fellowship in the department of human genetics at Harvard Medical School. We believe Dr. Bruhn is qualified to serve on our board of directors based on her expertise and experience in the biopharmaceutical industry, including her expertise in the development of treatments for rare diseases and diseases involving fibrosis.</w:t>
      </w:r>
    </w:p>
    <w:p>
      <w:pPr>
        <w:spacing w:after="0" w:line="19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b w:val="1"/>
          <w:bCs w:val="1"/>
          <w:i w:val="1"/>
          <w:iCs w:val="1"/>
          <w:color w:val="auto"/>
        </w:rPr>
        <w:t xml:space="preserve">John Curnutte, M.D., Ph.D., </w:t>
      </w:r>
      <w:r>
        <w:rPr>
          <w:rFonts w:ascii="Arial" w:cs="Arial" w:eastAsia="Arial" w:hAnsi="Arial"/>
          <w:sz w:val="16"/>
          <w:szCs w:val="16"/>
          <w:color w:val="auto"/>
        </w:rPr>
        <w:t>has served as a member of our board of directors since August 2017. Since February 2011, Dr. Curnutte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Executive Vice President of Research and Development at Portola Pharmaceuticals, Inc., a biopharmaceutical company developing product candidates for thrombosis and other hematologic diseases. Prior to that, Dr. Curnutte served as the Chief Executive Officer of 3-V Biosciences, Inc., a biotechnology company. Earlier in his career, he served as a President of Schering-Plough Biopharma and previously held several senior management positions at Genentech, Inc., a biotechnology company. Prior to Genentech, Dr. Curnutte was a tenured faculty member at The Scripps Research Institute, pursuing basic and clinical research in inflammation biochemistry and the molecular genetics of congenital immune deficiencies. He is currently an adjunct clinical professor of pediatrics at Stanford University School of Medicine and a member of the medical staff, where he continues to consult on patients with primary immunodeficiencies. He also currently serves as a member of the board of directors of diaDexus, Inc., a company focused on cardiovascular diagnostics, since February 2015. Dr. Curnutte holds a B.S. in Biochemistry and Molecular Biology from Harvard University and a M.D. and a Ph.D. in Biological Chemistry from Harvard Medical School. We believe Dr. Curnutte is qualified to serve on our board of directors based on his experience in the biopharmaceutical industry, including his operational experience in drug discovery and development.</w:t>
      </w:r>
    </w:p>
    <w:p>
      <w:pPr>
        <w:spacing w:after="0" w:line="172"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b w:val="1"/>
          <w:bCs w:val="1"/>
          <w:i w:val="1"/>
          <w:iCs w:val="1"/>
          <w:color w:val="auto"/>
        </w:rPr>
        <w:t xml:space="preserve">Neil Exter, MBA, </w:t>
      </w:r>
      <w:r>
        <w:rPr>
          <w:rFonts w:ascii="Arial" w:cs="Arial" w:eastAsia="Arial" w:hAnsi="Arial"/>
          <w:sz w:val="16"/>
          <w:szCs w:val="16"/>
          <w:color w:val="auto"/>
        </w:rPr>
        <w:t>has served as a member of our board of directors since June 2015. He has been a partner at Third Rock Ventures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2007. Mr. Exter has more than 30 years of business development, strategy and operating management experience, across the spectrum of emerging and established biotech and technology companies. Mr. Exter is currently the interim chief business officer of Cedilla Therapeutics. Prior to joining Third Rock Ventures, Mr. Exter was CBO of Alantos Pharmaceuticals and led the sale of that company to Amgen. Previously, he served as Vice President of Business Development for Millennium Pharmaceuticals. Mr. Exter presently is a board member of Element Science, Goldfinch Bio, Pliant Therapeutics, Revolution Medicines, Celsius Therapeutics and Decibel Therapeutics. He is a member of the Research Committee of Children’s Hospital Boston, the investment committee of the Innovation Research Fund at Partners Healthcare, and the board of directors of the New England Venture Capital Association. He holds an MBA as a Baker Scholar from Harvard Business School, an M.S. from Stanford University, and a B.S. from Cornell University. We believe that Mr. Exter’s extensive experience in the life sciences industry as a venture capitalist and senior executive, as well as his service on the boards of directors of numerous biotechnology companies provide him with the qualifications to serve as a director of our company.</w:t>
      </w:r>
    </w:p>
    <w:p>
      <w:pPr>
        <w:spacing w:after="0" w:line="5"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b w:val="1"/>
          <w:bCs w:val="1"/>
          <w:i w:val="1"/>
          <w:iCs w:val="1"/>
          <w:color w:val="auto"/>
        </w:rPr>
        <w:t xml:space="preserve">Charles Homcy, M.D. </w:t>
      </w:r>
      <w:r>
        <w:rPr>
          <w:rFonts w:ascii="Arial" w:cs="Arial" w:eastAsia="Arial" w:hAnsi="Arial"/>
          <w:sz w:val="17"/>
          <w:szCs w:val="17"/>
          <w:color w:val="auto"/>
        </w:rPr>
        <w:t>has served as a member of our board of directors since July 2015. In 2010, Dr. Homcy joined Third Rock Ventures,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capital firm, where he is currently a partner. In 2003, he co-founded Portola Pharmaceuticals, a clinical biotechnology company, and he served as their president and chief executive officer until 2010. Prior to that, Dr. Homcy served as the president of research and development at Millennium Pharmaceuticals, Inc. (currently, Takeda Oncology), a biopharmaceutical company, following its acquisition of COR Therapeutics, Inc. in 2002. He joined COR Therapeutics, Inc., a biopharmaceutical company, in 1995 as executive vice president of research and development, and he served as a director of the company from 1988 to 2002. Dr. Homcy was a clinical professor of medicine at the University of California, San Francisco Medical School, and attending physician at the San Francisco Veterans Affairs Hospital from 1997 to 2011. He was previously president of the medical research division of American Cyanamid-Lederle Laboratories,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division of Wyeth-Ayest Laboratories. He currently serves on the board of directors of BridgeBio Pharma LLC, a position he has held since November 2018, and of Global Blood Therapeutics, Inc., a position he has held since 2012. Dr. Homcy holds a B.A. and an M.D. from Johns Hopkins University and currently serves on its board of trustees. We believe Dr. Homcy is qualified to serve on our board of directors based on his significant experience building and leading successful biotechnology companies and his scientific expertise.</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Kevin Raidy </w:t>
      </w:r>
      <w:r>
        <w:rPr>
          <w:rFonts w:ascii="Arial" w:cs="Arial" w:eastAsia="Arial" w:hAnsi="Arial"/>
          <w:sz w:val="17"/>
          <w:szCs w:val="17"/>
          <w:color w:val="auto"/>
        </w:rPr>
        <w:t>is the Portfolio Manager of Cowen Healthcare Investments. Until October 2017, Mr. Raidy served as Head of Investment Banking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Cowen and Company. He previously served as co-head of Cowen and Company’s equity capital markets group, which is responsible for the origination and execution of all equity capital-raising transactions. Before that, he was a managing director at Ramius LLC, where he was portfolio manager for direct investments and convertible bonds, managing a portfolio in excess of $1 billion. Mr. Raidy also was the founder of H4 Capital Management LLC. His sell-side experience includes ten years at Shipley Raidy Capital Partners LP, a boutique investment banking firm that he co-founded, where he was responsible for sourcing, evaluating, and structuring numerous debt and equity financings and also performed M&amp;A advisory services. Prior to founding Shipley Raidy, Mr. Raidy was an associate at Philadelphia First Group. He started his career at Cantor Fitzgerald before moving to Merrill Lynch as an analyst in the municipal finance group. Mr. Raidy holds a BS in economics with a concentration in finance from the Wharton School of the University of Pennsylvania. We believe Mr. Raidy is qualified to serve on our board of directors based on his significant leadership experience in the investment banking industry.</w:t>
      </w:r>
    </w:p>
    <w:p>
      <w:pPr>
        <w:spacing w:after="0" w:line="18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 xml:space="preserve">Smital Shah, MBA, </w:t>
      </w:r>
      <w:r>
        <w:rPr>
          <w:rFonts w:ascii="Arial" w:cs="Arial" w:eastAsia="Arial" w:hAnsi="Arial"/>
          <w:sz w:val="17"/>
          <w:szCs w:val="17"/>
          <w:color w:val="auto"/>
        </w:rPr>
        <w:t>has served as a member of our board of directors since March 2019. Since October 2014, Ms. Shah has served in roles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responsibility at ProQR Therapeutics NV, a rare disease company, including as Chief Financial Officer and most recently as Chief Business and Financial Officer. Previously, Ms. Shah managed the multi-billion-dollar debt, cash and investment portfolios of Gilead Sciences, Inc. Prior to Gilead, she was an investment banker at Leerink Partners and JP Morgan focused on capital raising and strategic transactions in the biotechnology space. Previously, Ms. Shah held various research and development roles at Johnson &amp; Johnson Company. She holds a B.S. in Chemical Engineering from the University of Mumbai, a M.S. in Chemical Engineering from Virginia Tech and a MBA from the University of California, Berkeley Haas School of Business. We believe Ms. Shah is qualified to serve on our board of directors due to her extensive experience in the life sciences industry and her leadership experience as a senior financial executive.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board of directors consists of eight members, each of whom are members pursuant to the board composition provisions of our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consider a broad range of factors relating to the qualifications and background of nominees. Our nominating and corporate governance committee’s and our board of directors’ priority in selecting board members is to identify persons who will further the interests of our stockholders through his or her established record of professional accomplishments,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immediately prior to the closing of this offering also provide that our directors may be removed only for cause by the affirmative vote of the holders of at least two-thirds of the votes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Upon the completion of this offering, we expect that our common stock will be listed on the Nasdaq Global Market. Applicable Nasdaq rules require a majority of a listed company’s board of directors to be comprised of independent directors within one year of listing. In addition, the Nasdaq rules require that (i) on the date of the initial listing, at least one member of each of a listed company’s audit, compensation and nominating and corporate governance committees be independent, (ii) within 90 days of the date of the initial listing, a majority of the members of such committees be independent and (iii) within one year of the date of the initial listing, all the members of such committees be independent. Audit committee members must also satisfy the independence criteria set forth in Rule 10A-3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Our board of directors has determined that all members of the board of directors, except Dr. Coulie,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his or her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Nasdaq and the rules and regulations of the SEC. Dr. Coulie is not an independent director under these rules because he is currently employed as the chief executive officer of our company.</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that will become effective immediately prior to the closing of this offering,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2020 for Class I directors, 2021 for Class II directors and 2022 for Class III directors.</w:t>
      </w:r>
    </w:p>
    <w:p>
      <w:pPr>
        <w:sectPr>
          <w:pgSz w:w="11900" w:h="16838" w:orient="portrait"/>
          <w:cols w:equalWidth="0" w:num="1">
            <w:col w:w="11120"/>
          </w:cols>
          <w:pgMar w:left="320" w:top="459" w:right="459" w:bottom="1440" w:gutter="0" w:footer="0" w:header="0"/>
        </w:sectPr>
      </w:pPr>
    </w:p>
    <w:p>
      <w:pPr>
        <w:spacing w:after="0" w:line="67" w:lineRule="exact"/>
        <w:rPr>
          <w:sz w:val="20"/>
          <w:szCs w:val="20"/>
          <w:color w:val="auto"/>
        </w:rPr>
      </w:pPr>
    </w:p>
    <w:p>
      <w:pPr>
        <w:ind w:left="540"/>
        <w:spacing w:after="0"/>
        <w:tabs>
          <w:tab w:leader="none" w:pos="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Class I directors will be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8" w:lineRule="exact"/>
        <w:rPr>
          <w:sz w:val="20"/>
          <w:szCs w:val="20"/>
          <w:color w:val="auto"/>
        </w:rPr>
      </w:pPr>
    </w:p>
    <w:p>
      <w:pPr>
        <w:sectPr>
          <w:pgSz w:w="11900" w:h="16838" w:orient="portrait"/>
          <w:cols w:equalWidth="0" w:num="4">
            <w:col w:w="2800" w:space="720"/>
            <w:col w:w="80" w:space="720"/>
            <w:col w:w="400" w:space="720"/>
            <w:col w:w="5680"/>
          </w:cols>
          <w:pgMar w:left="320" w:top="459" w:right="459" w:bottom="1440" w:gutter="0" w:footer="0" w:header="0"/>
          <w:type w:val="continuous"/>
        </w:sectPr>
      </w:pPr>
    </w:p>
    <w:p>
      <w:pPr>
        <w:ind w:left="540"/>
        <w:spacing w:after="0"/>
        <w:tabs>
          <w:tab w:leader="none" w:pos="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Class II directors will be</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188" w:lineRule="exact"/>
        <w:rPr>
          <w:sz w:val="20"/>
          <w:szCs w:val="20"/>
          <w:color w:val="auto"/>
        </w:rPr>
      </w:pPr>
    </w:p>
    <w:p>
      <w:pPr>
        <w:sectPr>
          <w:pgSz w:w="11900" w:h="16838" w:orient="portrait"/>
          <w:cols w:equalWidth="0" w:num="4">
            <w:col w:w="2860" w:space="720"/>
            <w:col w:w="80" w:space="720"/>
            <w:col w:w="400" w:space="720"/>
            <w:col w:w="5620"/>
          </w:cols>
          <w:pgMar w:left="320" w:top="459" w:right="459" w:bottom="1440" w:gutter="0" w:footer="0" w:header="0"/>
          <w:type w:val="continuous"/>
        </w:sectPr>
      </w:pPr>
    </w:p>
    <w:p>
      <w:pPr>
        <w:ind w:left="540"/>
        <w:spacing w:after="0"/>
        <w:tabs>
          <w:tab w:leader="none" w:pos="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Class III directors will be</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57" w:lineRule="exact"/>
        <w:rPr>
          <w:sz w:val="20"/>
          <w:szCs w:val="20"/>
          <w:color w:val="auto"/>
        </w:rPr>
      </w:pPr>
    </w:p>
    <w:p>
      <w:pPr>
        <w:sectPr>
          <w:pgSz w:w="11900" w:h="16838" w:orient="portrait"/>
          <w:cols w:equalWidth="0" w:num="3">
            <w:col w:w="3000" w:space="720"/>
            <w:col w:w="320" w:space="720"/>
            <w:col w:w="6360"/>
          </w:cols>
          <w:pgMar w:left="320" w:top="459" w:right="459" w:bottom="1440" w:gutter="0" w:footer="0" w:header="0"/>
          <w:type w:val="continuous"/>
        </w:sectPr>
      </w:pP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immediately prior to the</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closing of this offering will provide that the number of directors shall be fixed from time to time by a resolution of the majority of our board of directors.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board of directors or a change in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Hoyoung Huh, M.D., Ph.D. is our current lead director of the board and Bernard Coulie, M.D., Ph.D. is our current chief executive officer, hence the roles of lead director or chairman and the chief executive officer and president are separated. We plan to keep these roles separated following the completion of this offering. We believe that separating these positions allows our chief executive officer to focus on setting the overall strategic direction of the company, expanding the organization to deliver on our strategy and overseeing our day-to-day business, while allowing a lead director of the board to lead the board of directors in its fundamental role of providing strategic advice. Our board of directors recognizes the time, effort and energy that the chief executive officer is required to devote to his position in the current business environment, as well as the commitment required to serve as our lead director, particularly as the board of directors’ oversight responsibilities continue to grow. While our amended and restated by-laws and corporate governance guidelines do not require that our lead director and chief executive officer positions be separate, our board of directors believes that having separate positions is the appropriate leadership structure for us at this time and demonstrates our commitment to good corporate governance.</w:t>
      </w:r>
    </w:p>
    <w:p>
      <w:pPr>
        <w:spacing w:after="0" w:line="16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entitled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pursuant to a charter adopted by our board of directors and will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of 2002, and with Nasdaq and SEC rules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Effective upon the effectiveness of the registration statement of which this prospectus is a part, Smital Shah, on the audit committee, which will be chaired by Smital Shah. Our board of directors has determined that each of committee purposes as that term is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160" w:firstLine="159"/>
        <w:spacing w:after="0" w:line="277" w:lineRule="auto"/>
        <w:rPr>
          <w:sz w:val="20"/>
          <w:szCs w:val="20"/>
          <w:color w:val="auto"/>
        </w:rPr>
      </w:pPr>
      <w:r>
        <w:rPr>
          <w:rFonts w:ascii="Arial" w:cs="Arial" w:eastAsia="Arial" w:hAnsi="Arial"/>
          <w:sz w:val="18"/>
          <w:szCs w:val="18"/>
          <w:color w:val="auto"/>
        </w:rPr>
        <w:t>and will serve are “independent” for audit</w:t>
      </w:r>
    </w:p>
    <w:p>
      <w:pPr>
        <w:spacing w:after="0" w:line="318" w:lineRule="exact"/>
        <w:rPr>
          <w:sz w:val="20"/>
          <w:szCs w:val="20"/>
          <w:color w:val="auto"/>
        </w:rPr>
      </w:pPr>
    </w:p>
    <w:p>
      <w:pPr>
        <w:sectPr>
          <w:pgSz w:w="11900" w:h="16838" w:orient="portrait"/>
          <w:cols w:equalWidth="0" w:num="2">
            <w:col w:w="8340" w:space="660"/>
            <w:col w:w="21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20"/>
          </w:cols>
          <w:pgMar w:left="320" w:top="459" w:right="45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defined in the rules of the SEC and the applicable Nasdaq rules, and each has sufficient knowledge in financial and auditing matters to serve on the audit</w:t>
      </w:r>
    </w:p>
    <w:p>
      <w:pPr>
        <w:spacing w:after="0" w:line="46"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committee. Our board of directors has designated as an “audit committee financial expert,” as defined under the applicable Nasdaq rules. The audit committee’s responsibilities include:</w:t>
      </w:r>
    </w:p>
    <w:p>
      <w:pPr>
        <w:spacing w:after="0" w:line="91" w:lineRule="exact"/>
        <w:rPr>
          <w:sz w:val="20"/>
          <w:szCs w:val="20"/>
          <w:color w:val="auto"/>
        </w:rPr>
      </w:pPr>
    </w:p>
    <w:p>
      <w:pPr>
        <w:ind w:left="760" w:hanging="212"/>
        <w:spacing w:after="0"/>
        <w:tabs>
          <w:tab w:leader="none" w:pos="7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42" w:lineRule="exact"/>
        <w:rPr>
          <w:rFonts w:ascii="Arial" w:cs="Arial" w:eastAsia="Arial" w:hAnsi="Arial"/>
          <w:sz w:val="17"/>
          <w:szCs w:val="17"/>
          <w:color w:val="auto"/>
        </w:rPr>
      </w:pPr>
    </w:p>
    <w:p>
      <w:pPr>
        <w:ind w:left="760" w:right="100" w:hanging="212"/>
        <w:spacing w:after="0" w:line="277"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760" w:right="40" w:hanging="212"/>
        <w:spacing w:after="0" w:line="277"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760" w:right="780" w:hanging="212"/>
        <w:spacing w:after="0" w:line="277"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760" w:right="200" w:hanging="212"/>
        <w:spacing w:after="0" w:line="277"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75" w:lineRule="exact"/>
        <w:rPr>
          <w:rFonts w:ascii="Arial" w:cs="Arial" w:eastAsia="Arial" w:hAnsi="Arial"/>
          <w:sz w:val="18"/>
          <w:szCs w:val="18"/>
          <w:color w:val="auto"/>
        </w:rPr>
      </w:pPr>
    </w:p>
    <w:p>
      <w:pPr>
        <w:ind w:left="760" w:right="240" w:hanging="212"/>
        <w:spacing w:after="0" w:line="277"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Effective upon the effectiveness of the registration statement of which this prospectus is a part, Suzanne Bruhn, Ph.D., John Curnutte, M.D. and Neil Exter will serve on the compensation committee, which will be chaired by Suzanne Bruhn, Ph.D. Our board of directors has determined that each member of the compensation committee is “independent” as defined in the applicable Nasdaq rules. The compensation committee’s responsibilities include:</w:t>
      </w:r>
    </w:p>
    <w:p>
      <w:pPr>
        <w:spacing w:after="0" w:line="92" w:lineRule="exact"/>
        <w:rPr>
          <w:sz w:val="20"/>
          <w:szCs w:val="20"/>
          <w:color w:val="auto"/>
        </w:rPr>
      </w:pPr>
    </w:p>
    <w:p>
      <w:pPr>
        <w:ind w:left="760" w:hanging="212"/>
        <w:spacing w:after="0" w:line="277"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the corporate goals and objectives relevant to the compensation of our principal executive officer;</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evaluating the performance of our principal executive officer in light of such corporate goals and objectives and based on such evaluation:</w:t>
      </w:r>
    </w:p>
    <w:p>
      <w:pPr>
        <w:spacing w:after="0" w:line="34" w:lineRule="exact"/>
        <w:rPr>
          <w:rFonts w:ascii="Arial" w:cs="Arial" w:eastAsia="Arial" w:hAnsi="Arial"/>
          <w:sz w:val="17"/>
          <w:szCs w:val="17"/>
          <w:color w:val="auto"/>
        </w:rPr>
      </w:pPr>
    </w:p>
    <w:p>
      <w:pPr>
        <w:ind w:left="760" w:right="480"/>
        <w:spacing w:after="0" w:line="260" w:lineRule="auto"/>
        <w:rPr>
          <w:rFonts w:ascii="Arial" w:cs="Arial" w:eastAsia="Arial" w:hAnsi="Arial"/>
          <w:sz w:val="17"/>
          <w:szCs w:val="17"/>
          <w:color w:val="auto"/>
        </w:rPr>
      </w:pPr>
      <w:r>
        <w:rPr>
          <w:rFonts w:ascii="Arial" w:cs="Arial" w:eastAsia="Arial" w:hAnsi="Arial"/>
          <w:sz w:val="18"/>
          <w:szCs w:val="18"/>
          <w:color w:val="auto"/>
        </w:rPr>
        <w:t>(i) determining cash compensation of our principal executive officer; and (ii) reviewing and approving grants and awards to our principal executive officer under equity-based plans;</w:t>
      </w:r>
    </w:p>
    <w:p>
      <w:pPr>
        <w:spacing w:after="0" w:line="90" w:lineRule="exact"/>
        <w:rPr>
          <w:rFonts w:ascii="Arial" w:cs="Arial" w:eastAsia="Arial" w:hAnsi="Arial"/>
          <w:sz w:val="17"/>
          <w:szCs w:val="17"/>
          <w:color w:val="auto"/>
        </w:rPr>
      </w:pPr>
    </w:p>
    <w:p>
      <w:pPr>
        <w:ind w:left="760" w:hanging="212"/>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the compensation of our other executive officers;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760" w:hanging="212"/>
        <w:spacing w:after="0" w:line="277"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preparing the compensation committee report required by SEC rules, if and when required, to be included in our annual proxy statement; and</w:t>
      </w:r>
    </w:p>
    <w:p>
      <w:pPr>
        <w:spacing w:after="0" w:line="153" w:lineRule="exact"/>
        <w:rPr>
          <w:rFonts w:ascii="Arial" w:cs="Arial" w:eastAsia="Arial" w:hAnsi="Arial"/>
          <w:sz w:val="16"/>
          <w:szCs w:val="16"/>
          <w:color w:val="auto"/>
        </w:rPr>
      </w:pPr>
    </w:p>
    <w:p>
      <w:pPr>
        <w:ind w:left="760" w:right="400" w:hanging="212"/>
        <w:spacing w:after="0" w:line="277"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the retention, termination or compensation of any consulting firm or outside advisor to assist in the evaluation of compensation matters.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Effective upon the effectiveness of the registration statement of which this prospectus is a part, Hoyoung Huh, M.D., Ph.D. and Charles Homcy, M.D., will serve on the nominating and corporate governance committee, which will be chaired by Hoyoung Huh, M.D., Ph.D. Our board of directors has determined that each member of the nominating and corporate governance committee is “independent” as defined in the applicable Nasdaq rules. The nominating and corporate governance committee’s responsibilities include:</w:t>
      </w:r>
    </w:p>
    <w:p>
      <w:pPr>
        <w:spacing w:after="0" w:line="77" w:lineRule="exact"/>
        <w:rPr>
          <w:sz w:val="20"/>
          <w:szCs w:val="20"/>
          <w:color w:val="auto"/>
        </w:rPr>
      </w:pPr>
    </w:p>
    <w:p>
      <w:pPr>
        <w:ind w:left="760" w:hanging="212"/>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auto"/>
        </w:rPr>
      </w:pPr>
    </w:p>
    <w:p>
      <w:pPr>
        <w:ind w:left="760" w:right="120" w:hanging="212"/>
        <w:spacing w:after="0" w:line="277"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760" w:hanging="212"/>
        <w:spacing w:after="0"/>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code of business conduct and ethics and a set of corporate governance guidelines; and</w:t>
      </w:r>
    </w:p>
    <w:p>
      <w:pPr>
        <w:spacing w:after="0" w:line="153" w:lineRule="exact"/>
        <w:rPr>
          <w:rFonts w:ascii="Arial" w:cs="Arial" w:eastAsia="Arial" w:hAnsi="Arial"/>
          <w:sz w:val="16"/>
          <w:szCs w:val="16"/>
          <w:color w:val="auto"/>
        </w:rPr>
      </w:pPr>
    </w:p>
    <w:p>
      <w:pPr>
        <w:ind w:left="780" w:right="5060" w:hanging="232"/>
        <w:spacing w:after="0" w:line="623" w:lineRule="auto"/>
        <w:tabs>
          <w:tab w:leader="none" w:pos="767" w:val="left"/>
        </w:tabs>
        <w:numPr>
          <w:ilvl w:val="0"/>
          <w:numId w:val="83"/>
        </w:numPr>
        <w:rPr>
          <w:rFonts w:ascii="Arial" w:cs="Arial" w:eastAsia="Arial" w:hAnsi="Arial"/>
          <w:sz w:val="16"/>
          <w:szCs w:val="16"/>
          <w:color w:val="auto"/>
        </w:rPr>
      </w:pPr>
      <w:r>
        <w:rPr>
          <w:rFonts w:ascii="Arial" w:cs="Arial" w:eastAsia="Arial" w:hAnsi="Arial"/>
          <w:sz w:val="16"/>
          <w:szCs w:val="16"/>
          <w:color w:val="auto"/>
        </w:rPr>
        <w:t>overseeing the evaluation of our board of directors and management. Our board of directors may from time to time establish other committees.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intend to adopt a written code of business conduct and ethics, effective upon the effectiveness of the registration statement of which this prospectus is a part,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the code will be posted on the investor relations section of our website, which is located at https://pliantrx.com. The inclusion of our website address in this prospectus does not incorporate by reference the information on or accessible through our website into this prospectus. If we make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any substantive amendments to, or grant any waivers from, the code of business conduct and ethics for any officer or director, we will disclose the nature of such amendment or waiver on our website or in a current report on Form 8-K.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54" w:lineRule="exact"/>
        <w:rPr>
          <w:sz w:val="20"/>
          <w:szCs w:val="20"/>
          <w:color w:val="auto"/>
        </w:rPr>
      </w:pPr>
    </w:p>
    <w:p>
      <w:pPr>
        <w:ind w:left="760" w:hanging="212"/>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760" w:hanging="212"/>
        <w:spacing w:after="0" w:line="277" w:lineRule="auto"/>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Each of our amended and restated certificate of incorporation and amended and restated bylaws, which will become effective immediately prior to the completion of this offering, will provide that we are required to indemnify our directors and officers, in each case to the fullest extent permitted by 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certificate of incorporation and bylaw provisions and indemnification agreements are necessary to attract and retain qualified persons as directors and officers. We also maintain directors’ and officers’ liability insurance.</w:t>
      </w:r>
    </w:p>
    <w:p>
      <w:pPr>
        <w:spacing w:after="0" w:line="18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following discussion contains forward-looking statements that are based on our current plans and expectations regarding our future compensation programs. The actual amount and form of compensation that we pay and the compensation policies and practices that we adopt in the future may differ materially from the currently-planned programs that are summarized in this discussion.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compensation provided to our named executive officers for the fiscal year ended December 31, 2018 is detailed in the 2018 Summary Compensation Table and accompanying footnotes and narrative that follow. Our named executive officers for the fiscal year ended December 31, 2018, which consists of our Chief Executive Officer and our two most highly-compensated individuals (other than our Chief Executive Officer) who were serving as executive officers on December 31, 2018 are:</w:t>
      </w:r>
    </w:p>
    <w:p>
      <w:pPr>
        <w:spacing w:after="0" w:line="92" w:lineRule="exact"/>
        <w:rPr>
          <w:sz w:val="20"/>
          <w:szCs w:val="20"/>
          <w:color w:val="auto"/>
        </w:rPr>
      </w:pPr>
    </w:p>
    <w:p>
      <w:pPr>
        <w:ind w:left="760" w:hanging="212"/>
        <w:spacing w:after="0"/>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Bernard J. Coulie, M.D., Ph.D., our Chief Executive Officer;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Éric Lefebvre, M.D., our Chief Medical Officer;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Hans Hull, J.D., our Chief Business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Summary Compensation Table</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awarded to, earned by, and paid to our named executive officers for services rendered to us in all capacities for the fiscal year ended December 31, 2018.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Non-equity</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Salary</w:t>
            </w: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Bonus</w:t>
            </w:r>
          </w:p>
        </w:tc>
        <w:tc>
          <w:tcPr>
            <w:tcW w:w="8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24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560" w:type="dxa"/>
            <w:vAlign w:val="bottom"/>
          </w:tcPr>
          <w:p>
            <w:pPr>
              <w:jc w:val="right"/>
              <w:ind w:right="122"/>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2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Bernard J. Coulie, M.D., Ph.D.</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2018</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6"/>
              </w:rPr>
              <w:t>413,631</w:t>
            </w:r>
          </w:p>
        </w:tc>
        <w:tc>
          <w:tcPr>
            <w:tcW w:w="2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112,682</w:t>
            </w:r>
          </w:p>
        </w:tc>
        <w:tc>
          <w:tcPr>
            <w:tcW w:w="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190,270</w:t>
            </w: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44,835</w:t>
            </w: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761,418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000" w:type="dxa"/>
            <w:vAlign w:val="bottom"/>
            <w:gridSpan w:val="2"/>
          </w:tcPr>
          <w:p>
            <w:pPr>
              <w:spacing w:after="0"/>
              <w:rPr>
                <w:sz w:val="20"/>
                <w:szCs w:val="20"/>
                <w:color w:val="auto"/>
              </w:rPr>
            </w:pPr>
            <w:r>
              <w:rPr>
                <w:rFonts w:ascii="Arial" w:cs="Arial" w:eastAsia="Arial" w:hAnsi="Arial"/>
                <w:sz w:val="18"/>
                <w:szCs w:val="18"/>
                <w:color w:val="auto"/>
              </w:rPr>
              <w:t>Éric Lefebvre, M.D.</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269,167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80,000</w:t>
            </w:r>
            <w:r>
              <w:rPr>
                <w:rFonts w:ascii="Arial" w:cs="Arial" w:eastAsia="Arial" w:hAnsi="Arial"/>
                <w:sz w:val="15"/>
                <w:szCs w:val="15"/>
                <w:color w:val="auto"/>
                <w:w w:val="95"/>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342,938</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83,067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7,600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782,772</w:t>
            </w:r>
          </w:p>
        </w:tc>
        <w:tc>
          <w:tcPr>
            <w:tcW w:w="0" w:type="dxa"/>
            <w:vAlign w:val="bottom"/>
          </w:tcPr>
          <w:p>
            <w:pPr>
              <w:spacing w:after="0"/>
              <w:rPr>
                <w:sz w:val="1"/>
                <w:szCs w:val="1"/>
                <w:color w:val="auto"/>
              </w:rPr>
            </w:pPr>
          </w:p>
        </w:tc>
      </w:tr>
      <w:tr>
        <w:trPr>
          <w:trHeight w:val="230"/>
        </w:trPr>
        <w:tc>
          <w:tcPr>
            <w:tcW w:w="40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r>
              <w:rPr>
                <w:rFonts w:ascii="Arial" w:cs="Arial" w:eastAsia="Arial" w:hAnsi="Arial"/>
                <w:sz w:val="15"/>
                <w:szCs w:val="15"/>
                <w:color w:val="auto"/>
              </w:rPr>
              <w:t>(4)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Hans Hull, J.D.</w:t>
            </w:r>
          </w:p>
        </w:tc>
        <w:tc>
          <w:tcPr>
            <w:tcW w:w="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344,793</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18,780</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111,712</w:t>
            </w: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11,000</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486,285</w:t>
            </w:r>
          </w:p>
        </w:tc>
        <w:tc>
          <w:tcPr>
            <w:tcW w:w="0" w:type="dxa"/>
            <w:vAlign w:val="bottom"/>
          </w:tcPr>
          <w:p>
            <w:pPr>
              <w:spacing w:after="0"/>
              <w:rPr>
                <w:sz w:val="1"/>
                <w:szCs w:val="1"/>
                <w:color w:val="auto"/>
              </w:rPr>
            </w:pPr>
          </w:p>
        </w:tc>
      </w:tr>
      <w:tr>
        <w:trPr>
          <w:trHeight w:val="244"/>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Business Officer</w:t>
            </w: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right="220" w:hanging="324"/>
        <w:spacing w:after="0" w:line="262" w:lineRule="auto"/>
        <w:tabs>
          <w:tab w:leader="none" w:pos="440" w:val="left"/>
        </w:tabs>
        <w:numPr>
          <w:ilvl w:val="0"/>
          <w:numId w:val="86"/>
        </w:numPr>
        <w:rPr>
          <w:rFonts w:ascii="Arial" w:cs="Arial" w:eastAsia="Arial" w:hAnsi="Arial"/>
          <w:sz w:val="11"/>
          <w:szCs w:val="11"/>
          <w:color w:val="auto"/>
        </w:rPr>
      </w:pPr>
      <w:r>
        <w:rPr>
          <w:rFonts w:ascii="Arial" w:cs="Arial" w:eastAsia="Arial" w:hAnsi="Arial"/>
          <w:sz w:val="12"/>
          <w:szCs w:val="12"/>
          <w:color w:val="auto"/>
        </w:rPr>
        <w:t>The amounts reported represent the aggregate grant date fair value of the restricted stock awards granted to our named executive officers during the 2018 fiscal year, calculated in accordance with Financial Accounting Standards Board, or FASB, Accounting Standards Codification, or ASC, Topic 718. Such grant date fair values do not take into account any estimated forfeitures. The assumptions used in calculating the grant date fair value of the restricted stock awards reported in this column are set forth in note 11 of our financial statements included elsewhere in this prospectus. The amounts reported in this column reflect the accounting cost for these restricted stock awards and do not correspond to the actual economic value that may be received by our named executive officers upon the vesting of the restricted stock awards or any sale of the underlying shares of common stock. For</w:t>
      </w:r>
    </w:p>
    <w:p>
      <w:pPr>
        <w:spacing w:after="0" w:line="1" w:lineRule="exact"/>
        <w:rPr>
          <w:rFonts w:ascii="Arial" w:cs="Arial" w:eastAsia="Arial" w:hAnsi="Arial"/>
          <w:sz w:val="11"/>
          <w:szCs w:val="11"/>
          <w:color w:val="auto"/>
        </w:rPr>
      </w:pPr>
    </w:p>
    <w:p>
      <w:pPr>
        <w:ind w:left="440" w:right="260"/>
        <w:spacing w:after="0" w:line="238" w:lineRule="auto"/>
        <w:rPr>
          <w:rFonts w:ascii="Arial" w:cs="Arial" w:eastAsia="Arial" w:hAnsi="Arial"/>
          <w:sz w:val="11"/>
          <w:szCs w:val="11"/>
          <w:color w:val="auto"/>
        </w:rPr>
      </w:pPr>
      <w:r>
        <w:rPr>
          <w:rFonts w:ascii="Arial" w:cs="Arial" w:eastAsia="Arial" w:hAnsi="Arial"/>
          <w:sz w:val="13"/>
          <w:szCs w:val="13"/>
          <w:color w:val="auto"/>
        </w:rPr>
        <w:t>Dr. Lefebvre, the grant date fair value of his performance-based restricted stock award is reported based on the probable outcome of the applicable performance metrics and the grant date fair value of the such performance-based restricted stock award, based on maximum level of achievement of the applicable performance metrics, is $57,063.</w:t>
      </w:r>
    </w:p>
    <w:p>
      <w:pPr>
        <w:ind w:left="440" w:right="180" w:hanging="324"/>
        <w:spacing w:after="0" w:line="221" w:lineRule="auto"/>
        <w:tabs>
          <w:tab w:leader="none" w:pos="4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Represents amounts earned by our named executive officers under our short-term incentive program, based on the Company’s achievement of certain corporate performance goals and the named executive officers’ individual performance during the 2018 fiscal year.</w:t>
      </w:r>
    </w:p>
    <w:p>
      <w:pPr>
        <w:ind w:left="440" w:right="60" w:hanging="324"/>
        <w:spacing w:after="0" w:line="221" w:lineRule="auto"/>
        <w:tabs>
          <w:tab w:leader="none" w:pos="4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For the 2018 fiscal year, the amounts reported for Dr. Coulie represents—$11,000 for matching contributions made by the Company under its 401(k) plan, $20,000 for a travel allowance, and $13,835 for tax gross-ups paid by the Company for such travel allowance and the amounts reported for Dr. Lefebvre and Mr. Hull represent matching contributions made by the Company under its 401(k) plan.</w:t>
      </w:r>
    </w:p>
    <w:p>
      <w:pPr>
        <w:ind w:left="440" w:hanging="324"/>
        <w:spacing w:after="0" w:line="221" w:lineRule="auto"/>
        <w:tabs>
          <w:tab w:leader="none" w:pos="4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Dr. Lefebvre commenced employment with us in April 2018 and his annual base salary of $380,000 and annual bonus amounts were pro-rated accordingly.</w:t>
      </w:r>
    </w:p>
    <w:p>
      <w:pPr>
        <w:ind w:left="440" w:hanging="324"/>
        <w:spacing w:after="0"/>
        <w:tabs>
          <w:tab w:leader="none" w:pos="440" w:val="left"/>
        </w:tabs>
        <w:numPr>
          <w:ilvl w:val="0"/>
          <w:numId w:val="86"/>
        </w:numPr>
        <w:rPr>
          <w:rFonts w:ascii="Arial" w:cs="Arial" w:eastAsia="Arial" w:hAnsi="Arial"/>
          <w:sz w:val="12"/>
          <w:szCs w:val="12"/>
          <w:color w:val="auto"/>
        </w:rPr>
      </w:pPr>
      <w:r>
        <w:rPr>
          <w:rFonts w:ascii="Arial" w:cs="Arial" w:eastAsia="Arial" w:hAnsi="Arial"/>
          <w:sz w:val="14"/>
          <w:szCs w:val="14"/>
          <w:color w:val="auto"/>
        </w:rPr>
        <w:t>Represents a one-time lump sum sign-on bonus that Dr. Lefebvre received in connection with his commencement of employment with us.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January 1, 2018 through February 15, 2018, the annual base salaries for Dr. Coulie and Mr. Hull were $386,250 and $334,750,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as of February 16, 2018, the annual base salaries for Dr. Coulie and Mr. Hull were increased to $403,631 and $344,793, respectively.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Coulie’s annual base salary was further increased to $413,631, effective as of February 20, 2018.</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Bonuses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Bonuses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During the fiscal year ended December 31, 2018, our named executive officers were eligible to participate in the Company’s short-term incentive program, pursuant to which each was eligible to earn an annual bonus based on the achievement of certain Company performance objectives and individual performance. From January 1, 2018 through February 7, 2018, the target annual bonuses for Drs. Coulie and Lefebvre and Mr. Hull were 35%, 30% and 25%, respectively, of the applicable named executive officer’s annual base salary. Effective as of February 8, 2018, the target annual bonuses for Dr. Coulie and Mr. Hull were increased to 40% and 30%, respectively, of the applicable named executive officer’s annual base salary.</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Sign-on Bonus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connection with Dr. Lefebvre’s commencement of employment with us in April 2018, he received a one-time lump sum bonus equal to $80,000.</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fiscal year ended December 31, 2018, we granted restricted stock awards to each of our named executive officers, as described in more detail in the “Outstanding equity awards at fiscal 2018 year-end” table.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We maintain a tax-qualified 401(k) plan that provides eligible U.S. employees with an opportunity to save for retirement on a tax-advantaged basis. Plan participants are able to defer eligible compensation subject to applicable annual Internal Revenue Code limits. We provide a safe harbor matching contribution equal to 100% on the first 3% of participant contributions and an additional 50% on the next 2% of participant contributions, which is 100% vested when contributed. We may also decide to make nonelective contributions, although we are not required to do so pursuant to the terms of the 401(k) plan. The 401(k) plan is intended to be qualified under Section 401(a) of the Internal Revenue Code with the 401(k) plan’s related trust intended to be tax exempt under Section 501(a) of the Internal Revenue Code. As a tax-qualified retirement plan, contributions to the 401(k) plan and earnings on those contributions are not taxable to the employees until distributed from the 401(k) plan.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generally do not provide perquisites to our employees, other than a travel allowance and related tax gross ups to Dr. Coulie.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initially entered into an offer letter with each of the named executive officers in connection with his employment with us, which set forth the terms and conditions of his employment. Each named executive officer also entered into our standard confidentiality and inventions assignment agreement.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2840"/>
        <w:spacing w:after="0" w:line="375" w:lineRule="auto"/>
        <w:rPr>
          <w:sz w:val="20"/>
          <w:szCs w:val="20"/>
          <w:color w:val="auto"/>
        </w:rPr>
      </w:pPr>
      <w:r>
        <w:rPr>
          <w:rFonts w:ascii="Arial" w:cs="Arial" w:eastAsia="Arial" w:hAnsi="Arial"/>
          <w:sz w:val="18"/>
          <w:szCs w:val="18"/>
          <w:b w:val="1"/>
          <w:bCs w:val="1"/>
          <w:i w:val="1"/>
          <w:iCs w:val="1"/>
          <w:color w:val="auto"/>
        </w:rPr>
        <w:t xml:space="preserve">Offer Letters in Place During the Fiscal Year Ended December 31, 2018 for Our Named Executive Officers </w:t>
      </w:r>
      <w:r>
        <w:rPr>
          <w:rFonts w:ascii="Arial" w:cs="Arial" w:eastAsia="Arial" w:hAnsi="Arial"/>
          <w:sz w:val="18"/>
          <w:szCs w:val="18"/>
          <w:i w:val="1"/>
          <w:iCs w:val="1"/>
          <w:color w:val="auto"/>
        </w:rPr>
        <w:t>Bernard Coulie, M.D., Ph.D.</w:t>
      </w:r>
    </w:p>
    <w:p>
      <w:pPr>
        <w:spacing w:after="0" w:line="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October 12, 2015, we entered into an offer letter with Dr. Coulie, who currently serves as our Chief Executive Officer. The offer letter provided for Dr. Coulie’s at-will employment and set forth his initial annual base salary, initial target annual bonus opportunity, a $250,000 sign-on bonus, annual travel allowance of up to $20,000, and an initial restricted stock grant for 2,759,780 shares of our common stock, as well as his eligibility to participate in our employee benefit plans generally. Dr. Coulie’s initial restricted stock grant vests with respect to 25% of the shares subject thereto on the first anniversary of the vesting commencement date and 1/48</w:t>
      </w:r>
      <w:r>
        <w:rPr>
          <w:rFonts w:ascii="Arial" w:cs="Arial" w:eastAsia="Arial" w:hAnsi="Arial"/>
          <w:sz w:val="14"/>
          <w:szCs w:val="14"/>
          <w:color w:val="auto"/>
        </w:rPr>
        <w:t>th</w:t>
      </w:r>
      <w:r>
        <w:rPr>
          <w:rFonts w:ascii="Arial" w:cs="Arial" w:eastAsia="Arial" w:hAnsi="Arial"/>
          <w:sz w:val="17"/>
          <w:szCs w:val="17"/>
          <w:color w:val="auto"/>
        </w:rPr>
        <w:t xml:space="preserve"> of the shares subject thereto each month thereafter, subject to Dr. Coulie’s continued service to the Company through each applicable vesting date. In the event of a termination of his employment by the Company without “cause” (as defined in Dr. Coulie’s offer letter) and other than for death or disability, subject to Dr. Coulie’s execution of an effective release of claims in favor of the Company and his continued compliance will all legal and contractual obligations to the Company, Dr. Coulie will be entitled to a severance benefit in the form of a lump sum payment equal to six months of his then-base salary.</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Éric Lefebvre, M.D.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February 28, 2018, we entered into an offer letter with Dr. Lefebvre, who currently serves as our Chief Medical Officer. The offer letter provided for Dr. Lefebvre’s at-will employment and set forth his initial annual base salary, initial target bonus opportunity, an $80,000 sign-on bonus, an initial restricted stock grant for 1,069,927 shares of our common stock, or the Initial Lefebvre Grant, and an additional restricted stock grant for 178,321 shares of our common stock, or the Additional Lefebvre Grant, as well as his eligibility to participate in our employee benefit plans generally. The Initial Lefebvre Grant vests with respect to 25% of the shares subject thereto on the first anniversary of the vesting commencement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thereto each month thereafter, subject to Dr. Lefebvre’s continued service to the Company on each applicable vesting date. The Additional Lefebvre Grant fully vests upon the successful completion of a Phase 1b study with a pharmacodynamic marker in 2019, subject to Dr. Lefebvre’s continued service to the Company through such date. In the event of a termination of his employment by the Company without “cause” (as defined in Dr. Lefebvre’s offer letter) and other than for death or disability, subject to Dr. Lefebvre’s execution of an effective release of claims in favor of the Company and his continued compliance will all legal and contractual obligations to the Company, Dr. Lefebvre will be entitled to a severance benefit in the form of a lump sum payment equal to nine months of his then-base salary. If Dr. Lefebvre becomes re-employed by the Company within nine months of his termination, he must repay his severance amount less the number of months he was unemployed.</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Hans Hull, J.D.</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On February 10, 2016, we entered into an offer letter with Mr. Hull, who currently serves as our Chief Business Officer. The offer letter provided for Mr. Hull’s at-will employment and set forth his initial annual base salary, initial target annual bonus opportunity, and an initial restricted stock grant for 927,000 shares of our common stock, as well as his eligibility to participate in our employee benefit plans generally. Mr. Hull’s initial restricted stock grant vests with respect to 25% of the shares subject thereto on the first anniversary of the vesting commencement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thereto each month thereafter, subject to Mr. Hull’s continued service to the Company through each applicable vesting date. In the event of a termination of his employment by the Company without “cause” (as defined in Mr. Hull’s offer letter) and other than for death or disability, subject to Mr. Hull’s execution of an effective release of claims in favor of the Company and his continued compliance will all legal and contractual obligations to the Company, Mr. Hull will be entitled to a severance benefit in the form of a lump sum payment equal to six months of his then-base salary.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Severance Plan</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connection with this offering, our board of directors adopted an Executive Severance Plan, or the Severance Plan, subject to the effectiveness of this offering, in which our named executive officers, and certain other executives, will participate. The benefits provided in the Severance Plan will replace any severance for which our named executive officers may be eligible under their existing offer letters. The severance plan will provide that upon a (i) termination by us for any reason other than for “cause,” as defined in the Severance Plan, death or disability, in each case outside of the change in control period (i.e., the period of 12 months after a “change in control,” as defined in the Severance plan), an eligible participant will be entitled to receive, subject to the execution and delivery of an effective release of claims in favor of the Company, (i) 12 months of base salary for our Chief Executive Officer and nine months of base salary for the other named executive officers, plus a pro rata target annual bonus for the year of termination, and (ii) health benefits continuation for 12 months for our Chief Executive Officer and nine months for our other named executive officers.</w:t>
      </w:r>
    </w:p>
    <w:p>
      <w:pPr>
        <w:spacing w:after="0" w:line="165"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The Severance Plan will also provide that upon a termination by us other than for “cause,” as defined in the Severance Plan, death or disability or a resignation for “good reason,” as defined in the Severance plan, in each case within the change in control period, an eligible participant will be entitled to receive, in lieu of the payments and benefits above and subject to the execution and delivery of an effective release of claims in favor of the Company,</w:t>
      </w:r>
    </w:p>
    <w:p>
      <w:pPr>
        <w:spacing w:after="0" w:line="2" w:lineRule="exact"/>
        <w:rPr>
          <w:sz w:val="20"/>
          <w:szCs w:val="20"/>
          <w:color w:val="auto"/>
        </w:rPr>
      </w:pPr>
    </w:p>
    <w:p>
      <w:pPr>
        <w:ind w:left="120" w:right="20" w:hanging="4"/>
        <w:spacing w:after="0" w:line="277" w:lineRule="auto"/>
        <w:tabs>
          <w:tab w:leader="none" w:pos="335" w:val="left"/>
        </w:tabs>
        <w:numPr>
          <w:ilvl w:val="0"/>
          <w:numId w:val="87"/>
        </w:numPr>
        <w:rPr>
          <w:rFonts w:ascii="Arial" w:cs="Arial" w:eastAsia="Arial" w:hAnsi="Arial"/>
          <w:sz w:val="17"/>
          <w:szCs w:val="17"/>
          <w:color w:val="auto"/>
        </w:rPr>
      </w:pPr>
      <w:r>
        <w:rPr>
          <w:rFonts w:ascii="Arial" w:cs="Arial" w:eastAsia="Arial" w:hAnsi="Arial"/>
          <w:sz w:val="17"/>
          <w:szCs w:val="17"/>
          <w:color w:val="auto"/>
        </w:rPr>
        <w:t>18 months of base salary plus target annual bonus for our Chief Executive Officer and 12 months of base salary plus target annual bonus for our other named executive officers (ii) health benefits continuation for 18 months for our Chief Executive Officer and 12 months for our other named executive officers, and (iii) full accelerated vesting of all outstanding and unvested equity awards held by such participant.</w:t>
      </w:r>
    </w:p>
    <w:p>
      <w:pPr>
        <w:spacing w:after="0" w:line="173"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payments and benefits provided under the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2018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2018:</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Bernard Coulie</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Éric Lefebvre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1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66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Market Value</w:t>
            </w:r>
          </w:p>
        </w:tc>
        <w:tc>
          <w:tcPr>
            <w:tcW w:w="17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Equity Incentive Plan</w:t>
            </w:r>
          </w:p>
        </w:tc>
        <w:tc>
          <w:tcPr>
            <w:tcW w:w="1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 Plan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Awards: Market or</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Vesting</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6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Payout Value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Grant</w:t>
            </w: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6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Units or Other Rights</w:t>
            </w:r>
          </w:p>
        </w:tc>
        <w:tc>
          <w:tcPr>
            <w:tcW w:w="1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 Shares, Units</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have Not</w:t>
            </w:r>
          </w:p>
        </w:tc>
        <w:tc>
          <w:tcPr>
            <w:tcW w:w="6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that have Not Vested</w:t>
            </w:r>
          </w:p>
        </w:tc>
        <w:tc>
          <w:tcPr>
            <w:tcW w:w="1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or Other Rights that</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Date</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Vested (#)</w:t>
            </w:r>
          </w:p>
        </w:tc>
        <w:tc>
          <w:tcPr>
            <w:tcW w:w="660" w:type="dxa"/>
            <w:vAlign w:val="bottom"/>
            <w:vMerge w:val="restart"/>
          </w:tcPr>
          <w:p>
            <w:pPr>
              <w:jc w:val="right"/>
              <w:ind w:right="184"/>
              <w:spacing w:after="0"/>
              <w:rPr>
                <w:sz w:val="20"/>
                <w:szCs w:val="20"/>
                <w:color w:val="auto"/>
              </w:rPr>
            </w:pPr>
            <w:r>
              <w:rPr>
                <w:rFonts w:ascii="Arial" w:cs="Arial" w:eastAsia="Arial" w:hAnsi="Arial"/>
                <w:sz w:val="15"/>
                <w:szCs w:val="15"/>
                <w:color w:val="auto"/>
              </w:rPr>
              <w:t>(3 )</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have Not Vested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2/25/16</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9/29/15</w:t>
            </w: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517,459</w:t>
            </w: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6"/>
              </w:rPr>
              <w:t>150,063</w:t>
            </w: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2/8/18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w:t>
            </w:r>
          </w:p>
        </w:tc>
        <w:tc>
          <w:tcPr>
            <w:tcW w:w="6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(3 )</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130,500</w:t>
            </w: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0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5/17/18</w:t>
            </w:r>
          </w:p>
        </w:tc>
        <w:tc>
          <w:tcPr>
            <w:tcW w:w="12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5/1/18</w:t>
            </w:r>
          </w:p>
        </w:tc>
        <w:tc>
          <w:tcPr>
            <w:tcW w:w="11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1,069,927</w:t>
            </w:r>
          </w:p>
        </w:tc>
        <w:tc>
          <w:tcPr>
            <w:tcW w:w="660" w:type="dxa"/>
            <w:vAlign w:val="bottom"/>
          </w:tcPr>
          <w:p>
            <w:pPr>
              <w:jc w:val="right"/>
              <w:ind w:right="184"/>
              <w:spacing w:after="0"/>
              <w:rPr>
                <w:sz w:val="20"/>
                <w:szCs w:val="20"/>
                <w:color w:val="auto"/>
              </w:rPr>
            </w:pPr>
            <w:r>
              <w:rPr>
                <w:rFonts w:ascii="Arial" w:cs="Arial" w:eastAsia="Arial" w:hAnsi="Arial"/>
                <w:sz w:val="15"/>
                <w:szCs w:val="15"/>
                <w:color w:val="auto"/>
              </w:rPr>
              <w:t>(4 )</w:t>
            </w:r>
          </w:p>
        </w:tc>
        <w:tc>
          <w:tcPr>
            <w:tcW w:w="11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310,279</w:t>
            </w: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5/17/18</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178,321</w:t>
            </w:r>
            <w:r>
              <w:rPr>
                <w:rFonts w:ascii="Arial" w:cs="Arial" w:eastAsia="Arial" w:hAnsi="Arial"/>
                <w:sz w:val="15"/>
                <w:szCs w:val="15"/>
                <w:color w:val="auto"/>
              </w:rPr>
              <w:t>(5)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51,713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-554990</wp:posOffset>
            </wp:positionV>
            <wp:extent cx="6995160" cy="282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840" w:space="720"/>
            <w:col w:w="85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4"/>
        </w:trPr>
        <w:tc>
          <w:tcPr>
            <w:tcW w:w="24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Hans Hull</w:t>
            </w:r>
          </w:p>
        </w:tc>
        <w:tc>
          <w:tcPr>
            <w:tcW w:w="1220" w:type="dxa"/>
            <w:vAlign w:val="bottom"/>
            <w:shd w:val="clear" w:color="auto" w:fill="CCEEFF"/>
          </w:tcPr>
          <w:p>
            <w:pPr>
              <w:jc w:val="right"/>
              <w:ind w:right="310"/>
              <w:spacing w:after="0" w:line="204" w:lineRule="exact"/>
              <w:rPr>
                <w:sz w:val="20"/>
                <w:szCs w:val="20"/>
                <w:color w:val="auto"/>
              </w:rPr>
            </w:pPr>
            <w:r>
              <w:rPr>
                <w:rFonts w:ascii="Arial" w:cs="Arial" w:eastAsia="Arial" w:hAnsi="Arial"/>
                <w:sz w:val="18"/>
                <w:szCs w:val="18"/>
                <w:color w:val="auto"/>
              </w:rPr>
              <w:t>4/7/16</w:t>
            </w:r>
          </w:p>
        </w:tc>
        <w:tc>
          <w:tcPr>
            <w:tcW w:w="1200" w:type="dxa"/>
            <w:vAlign w:val="bottom"/>
            <w:shd w:val="clear" w:color="auto" w:fill="CCEEFF"/>
          </w:tcPr>
          <w:p>
            <w:pPr>
              <w:jc w:val="right"/>
              <w:ind w:right="230"/>
              <w:spacing w:after="0" w:line="204" w:lineRule="exact"/>
              <w:rPr>
                <w:sz w:val="20"/>
                <w:szCs w:val="20"/>
                <w:color w:val="auto"/>
              </w:rPr>
            </w:pPr>
            <w:r>
              <w:rPr>
                <w:rFonts w:ascii="Arial" w:cs="Arial" w:eastAsia="Arial" w:hAnsi="Arial"/>
                <w:sz w:val="18"/>
                <w:szCs w:val="18"/>
                <w:color w:val="auto"/>
              </w:rPr>
              <w:t>3/9/16</w:t>
            </w:r>
          </w:p>
        </w:tc>
        <w:tc>
          <w:tcPr>
            <w:tcW w:w="1060" w:type="dxa"/>
            <w:vAlign w:val="bottom"/>
            <w:shd w:val="clear" w:color="auto" w:fill="CCEEFF"/>
          </w:tcPr>
          <w:p>
            <w:pPr>
              <w:jc w:val="right"/>
              <w:ind w:right="70"/>
              <w:spacing w:after="0" w:line="204" w:lineRule="exact"/>
              <w:rPr>
                <w:sz w:val="20"/>
                <w:szCs w:val="20"/>
                <w:color w:val="auto"/>
              </w:rPr>
            </w:pPr>
            <w:r>
              <w:rPr>
                <w:rFonts w:ascii="Arial" w:cs="Arial" w:eastAsia="Arial" w:hAnsi="Arial"/>
                <w:sz w:val="18"/>
                <w:szCs w:val="18"/>
                <w:color w:val="auto"/>
              </w:rPr>
              <w:t>289,688</w:t>
            </w:r>
          </w:p>
        </w:tc>
        <w:tc>
          <w:tcPr>
            <w:tcW w:w="7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(3 )</w:t>
            </w:r>
          </w:p>
        </w:tc>
        <w:tc>
          <w:tcPr>
            <w:tcW w:w="4380" w:type="dxa"/>
            <w:vAlign w:val="bottom"/>
            <w:shd w:val="clear" w:color="auto" w:fill="CCEEFF"/>
          </w:tcPr>
          <w:p>
            <w:pPr>
              <w:jc w:val="right"/>
              <w:ind w:right="3490"/>
              <w:spacing w:after="0" w:line="204" w:lineRule="exact"/>
              <w:rPr>
                <w:sz w:val="20"/>
                <w:szCs w:val="20"/>
                <w:color w:val="auto"/>
              </w:rPr>
            </w:pPr>
            <w:r>
              <w:rPr>
                <w:rFonts w:ascii="Arial" w:cs="Arial" w:eastAsia="Arial" w:hAnsi="Arial"/>
                <w:sz w:val="18"/>
                <w:szCs w:val="18"/>
                <w:color w:val="auto"/>
              </w:rPr>
              <w:t>84,010</w:t>
            </w:r>
          </w:p>
        </w:tc>
      </w:tr>
      <w:tr>
        <w:trPr>
          <w:trHeight w:val="230"/>
        </w:trPr>
        <w:tc>
          <w:tcPr>
            <w:tcW w:w="2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2/8/18</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3/1/18</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75,000</w:t>
            </w:r>
          </w:p>
        </w:tc>
        <w:tc>
          <w:tcPr>
            <w:tcW w:w="7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(3 )</w:t>
            </w:r>
          </w:p>
        </w:tc>
        <w:tc>
          <w:tcPr>
            <w:tcW w:w="438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rPr>
              <w:t>21,750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0" w:lineRule="exact"/>
        <w:rPr>
          <w:sz w:val="20"/>
          <w:szCs w:val="20"/>
          <w:color w:val="auto"/>
        </w:rPr>
      </w:pPr>
    </w:p>
    <w:p>
      <w:pPr>
        <w:ind w:left="440" w:hanging="324"/>
        <w:spacing w:after="0"/>
        <w:tabs>
          <w:tab w:leader="none" w:pos="440" w:val="left"/>
        </w:tabs>
        <w:numPr>
          <w:ilvl w:val="0"/>
          <w:numId w:val="88"/>
        </w:numPr>
        <w:rPr>
          <w:rFonts w:ascii="Arial" w:cs="Arial" w:eastAsia="Arial" w:hAnsi="Arial"/>
          <w:sz w:val="12"/>
          <w:szCs w:val="12"/>
          <w:color w:val="auto"/>
        </w:rPr>
      </w:pPr>
      <w:r>
        <w:rPr>
          <w:rFonts w:ascii="Arial" w:cs="Arial" w:eastAsia="Arial" w:hAnsi="Arial"/>
          <w:sz w:val="14"/>
          <w:szCs w:val="14"/>
          <w:color w:val="auto"/>
        </w:rPr>
        <w:t>Each equity award is subject to the terms of our 2015 Equity Incentive Plan, as amended from time to time, or the 2015 Plan.</w:t>
      </w:r>
    </w:p>
    <w:p>
      <w:pPr>
        <w:ind w:left="440" w:hanging="324"/>
        <w:spacing w:after="0" w:line="221" w:lineRule="auto"/>
        <w:tabs>
          <w:tab w:leader="none" w:pos="440" w:val="left"/>
        </w:tabs>
        <w:numPr>
          <w:ilvl w:val="0"/>
          <w:numId w:val="88"/>
        </w:numPr>
        <w:rPr>
          <w:rFonts w:ascii="Arial" w:cs="Arial" w:eastAsia="Arial" w:hAnsi="Arial"/>
          <w:sz w:val="12"/>
          <w:szCs w:val="12"/>
          <w:color w:val="auto"/>
        </w:rPr>
      </w:pPr>
      <w:r>
        <w:rPr>
          <w:rFonts w:ascii="Arial" w:cs="Arial" w:eastAsia="Arial" w:hAnsi="Arial"/>
          <w:sz w:val="14"/>
          <w:szCs w:val="14"/>
          <w:color w:val="auto"/>
        </w:rPr>
        <w:t>Based on the fair market value of a share of our common stock on 12/31/18, which was $0.29.</w:t>
      </w:r>
    </w:p>
    <w:p>
      <w:pPr>
        <w:ind w:left="440" w:right="120" w:hanging="324"/>
        <w:spacing w:after="0" w:line="229" w:lineRule="auto"/>
        <w:tabs>
          <w:tab w:leader="none" w:pos="440" w:val="left"/>
        </w:tabs>
        <w:numPr>
          <w:ilvl w:val="0"/>
          <w:numId w:val="88"/>
        </w:numPr>
        <w:rPr>
          <w:rFonts w:ascii="Arial" w:cs="Arial" w:eastAsia="Arial" w:hAnsi="Arial"/>
          <w:sz w:val="12"/>
          <w:szCs w:val="12"/>
          <w:color w:val="auto"/>
        </w:rPr>
      </w:pPr>
      <w:r>
        <w:rPr>
          <w:rFonts w:ascii="Arial" w:cs="Arial" w:eastAsia="Arial" w:hAnsi="Arial"/>
          <w:sz w:val="14"/>
          <w:szCs w:val="14"/>
          <w:color w:val="auto"/>
        </w:rPr>
        <w:t>25% of the shares vest on the first anniversary of the vesting commencement date and the remaining 75% vest in 36 equal monthly installments thereafter, subject to the named executive officer’s continuous service relationship with the Company through each applicable vesting date. Notwithstanding the foregoing, the shares are subject to certain acceleration of vesting provisions upon the occurrence of certain events, provided that the named executive officer is in “good standing” (as defined in the applicable restricted stock award agreement) at the time of such event and subject to continued service to the Company through such event: (i) 25% upon the named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right="580"/>
        <w:spacing w:after="0" w:line="230" w:lineRule="auto"/>
        <w:rPr>
          <w:sz w:val="20"/>
          <w:szCs w:val="20"/>
          <w:color w:val="auto"/>
        </w:rPr>
      </w:pPr>
      <w:r>
        <w:rPr>
          <w:rFonts w:ascii="Arial" w:cs="Arial" w:eastAsia="Arial" w:hAnsi="Arial"/>
          <w:sz w:val="14"/>
          <w:szCs w:val="14"/>
          <w:color w:val="auto"/>
        </w:rPr>
        <w:t>executive officer’s death; (ii) 12.5% upon a termination of employment by the Company; and (iii) 100% upon a termination in connection with a “sale event” (as defined in the applicable restricted stock award agreement).</w:t>
      </w:r>
    </w:p>
    <w:p>
      <w:pPr>
        <w:ind w:left="440" w:right="580" w:hanging="324"/>
        <w:spacing w:after="0" w:line="221" w:lineRule="auto"/>
        <w:tabs>
          <w:tab w:leader="none" w:pos="440" w:val="left"/>
        </w:tabs>
        <w:numPr>
          <w:ilvl w:val="0"/>
          <w:numId w:val="89"/>
        </w:numPr>
        <w:rPr>
          <w:rFonts w:ascii="Arial" w:cs="Arial" w:eastAsia="Arial" w:hAnsi="Arial"/>
          <w:sz w:val="12"/>
          <w:szCs w:val="12"/>
          <w:color w:val="auto"/>
        </w:rPr>
      </w:pPr>
      <w:r>
        <w:rPr>
          <w:rFonts w:ascii="Arial" w:cs="Arial" w:eastAsia="Arial" w:hAnsi="Arial"/>
          <w:sz w:val="14"/>
          <w:szCs w:val="14"/>
          <w:color w:val="auto"/>
        </w:rPr>
        <w:t>25% of the shares vest on the first anniversary of the vesting commencement date and the remaining 75% vest in 36 equal monthly installments thereafter, subject to the named executive officer’s continuous service relationship with the Company through each applicable vesting date.</w:t>
      </w:r>
    </w:p>
    <w:p>
      <w:pPr>
        <w:ind w:left="440" w:right="40" w:hanging="324"/>
        <w:spacing w:after="0" w:line="237" w:lineRule="auto"/>
        <w:tabs>
          <w:tab w:leader="none" w:pos="440" w:val="left"/>
        </w:tabs>
        <w:numPr>
          <w:ilvl w:val="0"/>
          <w:numId w:val="89"/>
        </w:numPr>
        <w:rPr>
          <w:rFonts w:ascii="Arial" w:cs="Arial" w:eastAsia="Arial" w:hAnsi="Arial"/>
          <w:sz w:val="12"/>
          <w:szCs w:val="12"/>
          <w:color w:val="auto"/>
        </w:rPr>
      </w:pPr>
      <w:r>
        <w:rPr>
          <w:rFonts w:ascii="Arial" w:cs="Arial" w:eastAsia="Arial" w:hAnsi="Arial"/>
          <w:sz w:val="14"/>
          <w:szCs w:val="14"/>
          <w:color w:val="auto"/>
        </w:rPr>
        <w:t>The restricted stock fully vests upon the successful completion of a Phase Ib study with a pharmacodynamic marker in 2019, subject to Dr. Lefebvre’s continued service to the Company through such date. However, during 2019, we decided not to pursue the Phase Ib study and intend to repurchase such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 and Equity Compensation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2019 Stock Option and Incentive Plan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connection with this offering, our board of directors plans to adopt a 2019 Stock Option and Incentive Plan, or the 2019 Plan. The 2019 Plan will become effective on the date immediately prior to the date on which the registration statement of which this prospectus is part is declared effective by the SEC. The 2019 Plan will replace our 2015 Plan, as our board of directors will not to make additional awards under the 2015 Plan following the closing of this offering. The 2019 Plan will provide flexibility to our compensation committee to use various equity-based incentive awards as compensation tools to motivate our workforce.</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will initially reserve shares of our common stock, or the Initial Limit, for the issuance of awards under the 2019 Plan. The 2019 Plan provides that the number of shares reserved and available for issuance under the plan will automatically increase each January 1, beginning on January 1, 2020, by % of the outstanding number of shares of our common stock on the immediately preceding December 31, or such lesser number of shares as determined by our compensation committee. This is referred to herein as the Annual Increase. This number will be subject to adjustment in the event of a stock split, stock dividend or other change in our capitalization.</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we issue under the 2019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2019 Plan and the 2015 Plan will be added back to the shares of common stock available for issuance under the 2019 Plan.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maximum aggregate number of shares that may be issued in the form of incentive stock options may not exceed the Initial Limit cumulatively</w:t>
      </w:r>
    </w:p>
    <w:p>
      <w:pPr>
        <w:spacing w:after="0" w:line="46"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increased on January 1, 2020, and on each January 1 thereafter by the lesser of (i) the Annual Increase for such year or (ii) shares of common stock.</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grant date fair value of all awards made under our 2019 Plan and all other cash compensation paid by us to any non-employee director in any</w:t>
      </w:r>
    </w:p>
    <w:p>
      <w:pPr>
        <w:spacing w:after="0" w:line="46" w:lineRule="exact"/>
        <w:rPr>
          <w:sz w:val="20"/>
          <w:szCs w:val="20"/>
          <w:color w:val="auto"/>
        </w:rPr>
      </w:pPr>
    </w:p>
    <w:p>
      <w:pPr>
        <w:ind w:left="120"/>
        <w:spacing w:after="0"/>
        <w:tabs>
          <w:tab w:leader="none" w:pos="3080" w:val="left"/>
          <w:tab w:leader="none" w:pos="6160" w:val="left"/>
        </w:tabs>
        <w:rPr>
          <w:sz w:val="20"/>
          <w:szCs w:val="20"/>
          <w:color w:val="auto"/>
        </w:rPr>
      </w:pPr>
      <w:r>
        <w:rPr>
          <w:rFonts w:ascii="Arial" w:cs="Arial" w:eastAsia="Arial" w:hAnsi="Arial"/>
          <w:sz w:val="18"/>
          <w:szCs w:val="18"/>
          <w:color w:val="auto"/>
        </w:rPr>
        <w:t>calendar year may not exceed $</w:t>
      </w:r>
      <w:r>
        <w:rPr>
          <w:sz w:val="20"/>
          <w:szCs w:val="20"/>
          <w:color w:val="auto"/>
        </w:rPr>
        <w:tab/>
      </w:r>
      <w:r>
        <w:rPr>
          <w:rFonts w:ascii="Arial" w:cs="Arial" w:eastAsia="Arial" w:hAnsi="Arial"/>
          <w:sz w:val="18"/>
          <w:szCs w:val="18"/>
          <w:color w:val="auto"/>
        </w:rPr>
        <w:t>for the first year of service and $</w:t>
      </w:r>
      <w:r>
        <w:rPr>
          <w:sz w:val="20"/>
          <w:szCs w:val="20"/>
          <w:color w:val="auto"/>
        </w:rPr>
        <w:tab/>
      </w:r>
      <w:r>
        <w:rPr>
          <w:rFonts w:ascii="Arial" w:cs="Arial" w:eastAsia="Arial" w:hAnsi="Arial"/>
          <w:sz w:val="16"/>
          <w:szCs w:val="16"/>
          <w:color w:val="auto"/>
        </w:rPr>
        <w:t>for each year of service thereafter.</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2019 Plan will be administered by our compensation committee. Our compensation committee will have full power to select, from among the individuals eligible for awards, the individuals to whom awards will be granted, to make any combination of awards to participants, and to determine the specific terms and conditions of each award, subject to the provisions of the 2019 Plan. Persons eligible to participate in the 2019 Plan will be those full or part-time employees, non-employee directors and consultants of the Company and its affiliates, as selected from time to time by our compensation committee in its discretion.</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2019 Plan will permit the granting of both options to purchase common stock intended to qualify as incentive stock options under Section 422 of the Internal Revenue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ten years from the date of grant. Our compensation committee will determine at what time or times each option may be exercised.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Our compensation committee will be able to award stock appreciation rights subject to such conditions and restrictions as it may determine. Stock appreciation rights will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2" w:lineRule="exact"/>
        <w:rPr>
          <w:sz w:val="20"/>
          <w:szCs w:val="20"/>
          <w:color w:val="auto"/>
        </w:rPr>
      </w:pPr>
    </w:p>
    <w:p>
      <w:pPr>
        <w:ind w:left="120" w:right="580"/>
        <w:spacing w:after="0" w:line="260" w:lineRule="auto"/>
        <w:rPr>
          <w:sz w:val="20"/>
          <w:szCs w:val="20"/>
          <w:color w:val="auto"/>
        </w:rPr>
      </w:pPr>
      <w:r>
        <w:rPr>
          <w:rFonts w:ascii="Arial" w:cs="Arial" w:eastAsia="Arial" w:hAnsi="Arial"/>
          <w:sz w:val="18"/>
          <w:szCs w:val="18"/>
          <w:color w:val="auto"/>
        </w:rPr>
        <w:t>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8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compensation committee will be able to award restricted shares of common stock and restricted stock units to participants subject to such conditions and restrictions as it may determine. These conditions and restrictions may include the achievement of certain performance goals and/or continued employment or service relationship with us through a specified vesting period. Our compensation committee may also be permitted to grant shares of common stock that are free from any restrictions under the 2019 Stock Plan. Unrestricted stock may be granted to participants in recognition of past services or other valid consideration and may be issued in lieu of cash compensation due to such participant.</w:t>
      </w:r>
    </w:p>
    <w:p>
      <w:pPr>
        <w:spacing w:after="0" w:line="1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compensation committee will be able to grant cash bonuses under the 2019 Stock Plan to participants, subject to the achievement of certain performance goals.</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2019 Stock Plan will provide that upon the effectiveness of a “sale event,” as defined in the 2019 Stock Plan, an acquirer or successor entity may assume, continue or substitute outstanding awards under the 2019 Stock Plan. To the extent that awards granted under our 2019 Stock Plan are not assumed or continued or substituted by the successor entity, except as may be otherwise provided in the relevant award certificate, all awards with time-based vesting, conditions or restrictions will become fully vested and nonforfeitable as of the effective time of the sale event, and all awards with conditions and restrictions relating to the attainment of performance goals may become vested and nonforfeitable in connection with a sale event in the compensation committee’s discretion or to the extent specified in the relevant award certificate. Upon the effective time of the sale event, all outstanding awards granted under the 2019 Stock Plan will terminate to the extent not assumed, continued or substituted for. In the event of such termination, individuals holding options and stock appreciation rights will be permitted to exercise such options and stock appreciation rights (to the extent exercisable) within a specified period of time prior to the sale event. In addition, in connection with the termination of the 2019 Stock Plan upon a sale event, we may make or provide for a payment, in cash or in kind, to participants holding vested and exercisable options and stock appreciation rights equal to the difference between the per share cash consideration payable to stockholders in the sale event and the exercise price of the options or stock appreciation rights and we may make or provide for a payment, in cash or in kind, to participants holding other vested awards.</w:t>
      </w:r>
    </w:p>
    <w:p>
      <w:pPr>
        <w:spacing w:after="0" w:line="16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board of directors will be able to amend or discontinue the 2019 Stock Plan and our compensation committee will be permitted, at any time, to amend or cancel outstanding awards for purposes of satisfying changes in law or any other lawful purpose but no such action may adversely affect rights under an award without the holder’s consent. The compensation committee is specifically authorized to exercise its discretion to reduce the exercise price of outstanding stock options or stock appreciation rights or effect the repricing of such awards through cancellation and re-grants. Certain amendments to the 2019 Stock Plan will require the approval of our stockholders.</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No awards will be granted under the 2019 Stock Plan after the date that is 10 years from the date of stockholder approval. No awards under the 2019 Stock Plan will be made prior to the date of this prospectus.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board of directors adopted, and our stockholders approved, our 2015 Plan, on August 19, 2015. Our 2015 Plan was most recently amended on January 1, 2019. The 2015 Plan allowed for the grant of incentive stock options to employees, including employees of any parent or subsidiary, and for the grant of nonstatutory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color w:val="auto"/>
        </w:rPr>
        <w:t>options, stock appreciation rights, restricted stock awards, restricted stock units and other stock awards to employees, directors, and consultants, including employees and consultants of our affiliates, subject in each case to compliance with applicable tax laws.</w:t>
      </w:r>
    </w:p>
    <w:p>
      <w:pPr>
        <w:spacing w:after="0" w:line="146"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Our 2019 Stock Plan will become effective the day before the date that the registration statement of which this prospectus is part is declared effective by the SEC. As a result, we do not expect to grant any additional awards under the 2015 Plan following that date. Any awards granted under the 2015 Plan will remain subject to the terms of our 2015 Plan and applicable award agreements. As of December 31, 2018, options to purchase 809,200 shares of common stock and unexercised rights to purchase 32,600 shares of restricted stock were outstanding under the 2015 Plan.</w:t>
      </w:r>
    </w:p>
    <w:p>
      <w:pPr>
        <w:spacing w:after="0" w:line="15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maximum number of shares of our common stock that may have been issued under our 2015 Plan was 21,150,000. The maximum number of shares of stock that may have been issued pursuant to the exercise of incentive stock options was three times such maximum number of shares. Shares subject to stock awards granted under our 2015 Plan that expire, are forfeited, are repurchased or otherwise terminate without all the shares covered by such stock awards having been issued, or are settled in cash, do not reduce the number of shares available for issuance under our 2015 Plan. Additionally, shares used to pay the exercise price or purchase price of a stock award or shares reacquired by the Company to satisfy the tax withholding obligations related to a stock award will return to the share reserve under the 2015 Plan. The shares issuable pursuant to stock awards granted under the 2015 Plan are authorized but unissued or reacquired shares, including shares repurchased by the Company on the open market or otherwise.</w:t>
      </w:r>
    </w:p>
    <w:p>
      <w:pPr>
        <w:spacing w:after="0" w:line="166"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Company’s board of directors or a duly authorized committee of our board of directors administers our 2015 Plan and the stock awards granted under it, and has the power to interpret and administer our 2015 Plan and any agreement thereunder and to determine the terms of awards, including the recipients, the number of shares subject to each award, the exercise, purchase or strike price, if any, the vesting schedule applicable to the awards together with any vesting acceleration and the terms of the award agreement for use under our 2015 Plan. Under the 2015 Plan, the board of directors also generally has the authority to effect, with the consent of any adversely affected participant, the reduction of the exercise price of any outstanding option or stock appreciation right, the cancellation of any outstanding option or stock appreciation right and the grant in substitution therefore of other awards, cash, or other consideration, or any other action that is treated as a repricing under generally accepted accounting principles.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Pursuant to the 2015 Plan and subject to applicable law, the plan administrator may, in its discretion, delegate to one of more of our officers, the power to designate non-officer employees as recipients of options and/or stock appreciation rights and to determine the number of shares subject to such stock awards to be granted to such employees; provided, however, the plan administrator must specify the total number of shares that may be subject to the stock awards granted by such officer and such officer may not grant options to himself or herself. The board of directors may not delegate the authority to determine the fair market value of our common stock.</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2015 Plan provides that in the event of certain specified significant corporate transactions, generally including: (i) a sale of all or substantially all of our assets, (ii) the sale or disposition of at least 90% of our outstanding securities, (iii) the consummation of a merger or consolidation where we do not survive the transaction, and (iv) the consummation of a merger or consolidation where we do survive the transaction but the shares of common stock outstanding before such transaction are converted or exchanged into other property by virtue of the transaction, unless otherwise provided in an award agreement or other written agreement between us and the award holder, the administrator may take one or more of the following actions with respect to such stock awards: (A) arrange for the assumption, continuation or substitution of a stock award by a successor corporation, (B) arrange for the assignment of any reacquisition or repurchase rights held by us to a successor corporation, (C) accelerate the vesting, in whole or in part, of the stock award and provide for its termination before the transaction, (D) arrange for the lapse, in whole or in part, of any reacquisition or repurchase rights held by us,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hanging="4"/>
        <w:spacing w:after="0" w:line="288" w:lineRule="auto"/>
        <w:tabs>
          <w:tab w:leader="none" w:pos="3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cancel or arrange for the cancellation of the stock award before the transaction in exchange for a cash payment, if any, determined by the board of directors, or (F) make a payment, in the form determined by the board of directors, equal to the excess, if any, of the value of the property the participant would have received on exercise of the stock award before the transaction over any exercise price payable by the participant in connection with the exercise. The plan administrator is not obligated to treat all stock awards, even those that are of the same type, or all participants, in the same manner. In the event of a change in control, awards granted under the 2015 Plan will not receive automatic acceleration of vesting and exercisability, although the board of directors may provide for this treatment in an award agreement. Under the 2015 Plan, a change in control is defined to include (i) the acquisition by any person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or (iii) a sale, lease, exclusive license, or other disposition of all or substantially all of the assets to an entity that did not previously hold more than 50% of the voting power of our stock.</w:t>
      </w:r>
    </w:p>
    <w:p>
      <w:pPr>
        <w:spacing w:after="0" w:line="168"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Under our 2015 Plan, the board of directors may provide for limitations on the transferability of awards, in its sole discretion. Option awards are generally not transferable other than by will or the laws of descent and distribution, except as otherwise provided under our 2015 Plan.</w:t>
      </w:r>
    </w:p>
    <w:p>
      <w:pPr>
        <w:spacing w:after="0" w:line="124"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Our board of directors has the authority to amend, suspend, or terminate our 2015 Plan, although certain material amendments require the approval of our stockholders, and amendments that would impair the rights of any participant require the written consent of that participant.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has determined not to make any further awards under the 2015 Plan following the completion of this offering.</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connection with this offering, our board of directors plans to adopt a 2019 Employee Stock Purchase Plan, or an ESPP, which will become effective on the date immediately prior to the date on which the registration statement of which this prospectus is part is declared effective by the SEC.</w:t>
      </w:r>
    </w:p>
    <w:p>
      <w:pPr>
        <w:ind w:left="120" w:right="120"/>
        <w:spacing w:after="0" w:line="281" w:lineRule="auto"/>
        <w:rPr>
          <w:sz w:val="20"/>
          <w:szCs w:val="20"/>
          <w:color w:val="auto"/>
        </w:rPr>
      </w:pPr>
      <w:r>
        <w:rPr>
          <w:rFonts w:ascii="Arial" w:cs="Arial" w:eastAsia="Arial" w:hAnsi="Arial"/>
          <w:sz w:val="16"/>
          <w:szCs w:val="16"/>
          <w:color w:val="auto"/>
        </w:rPr>
        <w:t>The ESPP will initially reserve and authorize the issuance of up to a total of shares of common stock to participating employees. The ESPP will provide that the number of shares reserved and available for issuance will automatically increase each January 1, beginning on January 1, 2020, by</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least of shares of our common stock, % of the outstanding number of shares of our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9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All employees whose customary employment is for more than hours per week and who have completed at least days of employment will be eligible to participate in the ESPP. Any employee who owns 5% or more of the total combined voting power or value of all classes of stock will not be eligible to purchase shares under the ESPP.</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will make one or more offerings, consisting of one or more purchase periods, each year to our employees to purchase shares under the ESPP. Offerings will usually begin every six months and will continue for six-month periods, referred to as offering periods. Each eligible employee may elect to participate in any offering by submitting an enrollment form at least 15 business days before the relevant offering date.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employee who is a participant in the ESPP may purchase shares by authorizing contributions of between 1% and % of his or her compensation during an offering period. Unless the participating employee has previously withdrawn from the offering, his or her accumulated contributions will be used to purchase shares on the last business day of the purchase period at a price equal to 85% of the fair market value of the shares 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first business day of the offering period or the last business day of the purchase period, whichever is lower, provided that no more</w:t>
      </w:r>
    </w:p>
    <w:p>
      <w:pPr>
        <w:spacing w:after="0" w:line="23"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than shares of common stock (or a lesser number as established by the plan administrator in advance of the purchase period) may be purchased by any one employee during each purchase period. Under applicable tax rules, an employee may purchase no more than $25,000 worth of shares of common stock, valued at the start of the offering period, under the ESPP for each calendar year in which a purchase right is outstanding.</w:t>
      </w:r>
    </w:p>
    <w:p>
      <w:pPr>
        <w:spacing w:after="0" w:line="155"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2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ESPP may be terminated or amended by our board of directors at any time, but will automatically terminate on the 10-year anniversary of this offering. An amendment that increases the number of shares of common stock that are authorized under the ESPP and certain other amendments will require the approval of our stockholders. The plan administrator may adopt subplans under the ESPP for employees of our non-U.S. subsidiaries.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this offering, our board of directors plans to adopt a Senior Executive Cash Incentive Bonus Plan, or the Bonus Plan. The Bonus Plan will provide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compensation committee may select corporate performance goals from among the following: cash flow (including, but not limited to, operating cash flow and free cash flow); sales or revenue; corporate revenue; earnings before interest, taxes, depreciation and amortization; net income (loss) (either before or after interest, taxes, depreciation and/or amortization); changes in the market price of our common stock; economic value-added; development, clinical, regulatory or commercial milestones; acquisitions or strategic transactions, partnerships or joint ventures; operating income (loss); return on capital, assets, equity, or investment; stockholder returns; return on sales; gross or net profit levels; productivity; expense efficiency; margins; operating efficiency; customer satisfaction; working capital; earnings (loss) per share of our common stock; sales or market shares; number of customers; operating income and/or other strategic, financial or operational objectives, any of which may be measured in absolute terms, as compared to any incremental increase, in terms of growth, as compared to results of a peer group, against the market as a whole, compared to applicable market indices and/or measured on a pre-tax or post-tax basis.</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not later than 74 days after the end of the fiscal year in which such performance period ends. Subject to the rights contained in any agreement between the executive officer and us, an executive officer must be employed by us on the bonus payment date to be eligible to receive a bonus payment. The Bonus Plan will also permits the compensation committee to approve additional bonuses to executive officers in its sole discretion.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During the fiscal year ended December 31, 2018, we provided compensation to our non-employee directors for their services on our board of directors, other than those associated with Third Rock Ventures or Cowen, pursuant to our non-employee director compensation policies.</w:t>
      </w:r>
    </w:p>
    <w:p>
      <w:pPr>
        <w:spacing w:after="0" w:line="12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non-employee director compensation policies generally provided for an annual $25,000 cash retainer; however, Dr. Huh’s non-employee director compensation policy did not provide for any cash retainers.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upon initial election to our board of directors, each such non-employee director was granted a certain number of shares of our restricted common stock (approximately 180,000 for Drs. Bruhn and Curnutte and 668,228 for Dr. Huh), or the Initial Pre-IPO Director Grant. The Initial Pre-IPO Director Grant vests on the last date of each calendar quarter after the non-employee director’s commencement of his or her service to the Company, at a rate of approximately 11,250 shares for Drs. Bruhn and Curnutte and 41,768 for Dr. Huh, subject to continued service to the Company through each applicable vesting date. Upon a “sale event” (as defined in the non-employee director compensation policy), the Initial Pre-IPO Director Grants will vest in full.</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or following the first anniversary of the Initial Pre-IPO Director Grant, and each year thereafter, each continuing non-employee director was granted 29,350 shares of restricted stock, or the Annual Pre-IPO Director Grant. The Annual Pre-IPO Director Grant vests in equal quarterly installments over one year from the date of grant, subject to continued service to the Company through each applicable vesting date. Upon a sale event, the Annual Pre-IPO Director Grants will vest in full.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Employee directors received no additional compensation for their service as a director.</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reimbursed all reasonable out-of-pocket expenses incurred by directors for their attendance at meetings of our board of directors or any committee thereof.</w:t>
      </w:r>
    </w:p>
    <w:p>
      <w:pPr>
        <w:spacing w:after="0" w:line="170"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We plan to adopt a new non-employee director compensation policy which will become effective immediately prior to the completion of this offering, pursuant to which our non-employee directors will be eligible to receive certain cash retainers (which will be prorated for partial years of service) and equity awards.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table provides information regarding the total compensation that was earned by or paid to each of our non-employee directors during the fiscal year ended December 31, 2018. Dr. Coulie, who is our Chief Executive Officer, did not receive any additional compensation for his service as a director. The compensation received by Dr. Coulie, as a named executive officer of the Company, is presented in “Executive Compensation —2018 Summary Compensation Table” above.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Fees</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Earned or</w:t>
            </w: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0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540" w:type="dxa"/>
            <w:vAlign w:val="bottom"/>
            <w:vMerge w:val="restart"/>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in Cash</w:t>
            </w: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5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560" w:type="dxa"/>
            <w:vAlign w:val="bottom"/>
          </w:tcPr>
          <w:p>
            <w:pPr>
              <w:jc w:val="right"/>
              <w:ind w:right="1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Suzanne Bruhn, Ph.D.</w:t>
            </w:r>
            <w:r>
              <w:rPr>
                <w:rFonts w:ascii="Arial" w:cs="Arial" w:eastAsia="Arial" w:hAnsi="Arial"/>
                <w:sz w:val="15"/>
                <w:szCs w:val="15"/>
                <w:color w:val="auto"/>
              </w:rPr>
              <w:t>(2)</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8,818</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33,818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John Curnutte, M.D.</w:t>
            </w:r>
            <w:r>
              <w:rPr>
                <w:rFonts w:ascii="Arial" w:cs="Arial" w:eastAsia="Arial" w:hAnsi="Arial"/>
                <w:sz w:val="15"/>
                <w:szCs w:val="15"/>
                <w:color w:val="auto"/>
              </w:rPr>
              <w:t>(3)</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8,818</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33,818</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Exter</w:t>
            </w:r>
            <w:r>
              <w:rPr>
                <w:rFonts w:ascii="Arial" w:cs="Arial" w:eastAsia="Arial" w:hAnsi="Arial"/>
                <w:sz w:val="15"/>
                <w:szCs w:val="15"/>
                <w:color w:val="auto"/>
              </w:rPr>
              <w:t>(4)</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00" w:type="dxa"/>
            <w:vAlign w:val="bottom"/>
            <w:gridSpan w:val="2"/>
          </w:tcPr>
          <w:p>
            <w:pPr>
              <w:spacing w:after="0" w:line="201" w:lineRule="exact"/>
              <w:rPr>
                <w:sz w:val="20"/>
                <w:szCs w:val="20"/>
                <w:color w:val="auto"/>
              </w:rPr>
            </w:pPr>
            <w:r>
              <w:rPr>
                <w:rFonts w:ascii="Arial" w:cs="Arial" w:eastAsia="Arial" w:hAnsi="Arial"/>
                <w:sz w:val="18"/>
                <w:szCs w:val="18"/>
                <w:color w:val="auto"/>
              </w:rPr>
              <w:t>Charles Homcy, M.D.</w:t>
            </w:r>
            <w:r>
              <w:rPr>
                <w:rFonts w:ascii="Arial" w:cs="Arial" w:eastAsia="Arial" w:hAnsi="Arial"/>
                <w:sz w:val="15"/>
                <w:szCs w:val="15"/>
                <w:color w:val="auto"/>
              </w:rPr>
              <w:t>(5)</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w w:val="98"/>
              </w:rPr>
              <w:t>40,025</w:t>
            </w:r>
            <w:r>
              <w:rPr>
                <w:rFonts w:ascii="Arial" w:cs="Arial" w:eastAsia="Arial" w:hAnsi="Arial"/>
                <w:sz w:val="15"/>
                <w:szCs w:val="15"/>
                <w:color w:val="auto"/>
                <w:w w:val="98"/>
              </w:rPr>
              <w:t>(6)</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8"/>
              </w:rPr>
              <w:t>40,025</w:t>
            </w:r>
          </w:p>
        </w:tc>
        <w:tc>
          <w:tcPr>
            <w:tcW w:w="0" w:type="dxa"/>
            <w:vAlign w:val="bottom"/>
          </w:tcPr>
          <w:p>
            <w:pPr>
              <w:spacing w:after="0"/>
              <w:rPr>
                <w:sz w:val="1"/>
                <w:szCs w:val="1"/>
                <w:color w:val="auto"/>
              </w:rPr>
            </w:pPr>
          </w:p>
        </w:tc>
      </w:tr>
      <w:tr>
        <w:trPr>
          <w:trHeight w:val="229"/>
        </w:trPr>
        <w:tc>
          <w:tcPr>
            <w:tcW w:w="6900" w:type="dxa"/>
            <w:vAlign w:val="bottom"/>
            <w:gridSpan w:val="2"/>
          </w:tcPr>
          <w:p>
            <w:pPr>
              <w:spacing w:after="0"/>
              <w:rPr>
                <w:sz w:val="20"/>
                <w:szCs w:val="20"/>
                <w:color w:val="auto"/>
              </w:rPr>
            </w:pPr>
            <w:r>
              <w:rPr>
                <w:rFonts w:ascii="Arial" w:cs="Arial" w:eastAsia="Arial" w:hAnsi="Arial"/>
                <w:sz w:val="18"/>
                <w:szCs w:val="18"/>
                <w:color w:val="auto"/>
              </w:rPr>
              <w:t>Hoyoung Huh, M.D.</w:t>
            </w:r>
            <w:r>
              <w:rPr>
                <w:rFonts w:ascii="Arial" w:cs="Arial" w:eastAsia="Arial" w:hAnsi="Arial"/>
                <w:sz w:val="15"/>
                <w:szCs w:val="15"/>
                <w:color w:val="auto"/>
              </w:rPr>
              <w:t>(7)</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r>
              <w:rPr>
                <w:rFonts w:ascii="Arial" w:cs="Arial" w:eastAsia="Arial" w:hAnsi="Arial"/>
                <w:sz w:val="15"/>
                <w:szCs w:val="15"/>
                <w:color w:val="auto"/>
              </w:rPr>
              <w:t>(8)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Craig Muir</w:t>
      </w:r>
      <w:r>
        <w:rPr>
          <w:rFonts w:ascii="Arial" w:cs="Arial" w:eastAsia="Arial" w:hAnsi="Arial"/>
          <w:sz w:val="15"/>
          <w:szCs w:val="15"/>
          <w:color w:val="auto"/>
        </w:rPr>
        <w:t>(9)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Kevin Raidy</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029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40" w:right="160" w:hanging="324"/>
        <w:spacing w:after="0" w:line="242" w:lineRule="auto"/>
        <w:tabs>
          <w:tab w:leader="none" w:pos="440" w:val="left"/>
        </w:tabs>
        <w:numPr>
          <w:ilvl w:val="0"/>
          <w:numId w:val="91"/>
        </w:numPr>
        <w:rPr>
          <w:rFonts w:ascii="Arial" w:cs="Arial" w:eastAsia="Arial" w:hAnsi="Arial"/>
          <w:sz w:val="11"/>
          <w:szCs w:val="11"/>
          <w:color w:val="auto"/>
        </w:rPr>
      </w:pPr>
      <w:r>
        <w:rPr>
          <w:rFonts w:ascii="Arial" w:cs="Arial" w:eastAsia="Arial" w:hAnsi="Arial"/>
          <w:sz w:val="13"/>
          <w:szCs w:val="13"/>
          <w:color w:val="auto"/>
        </w:rPr>
        <w:t>The amounts reported represent the aggregate grant date fair value of the restricted stock awards granted to the non-employee directors in the fiscal year ended December 31, 2018, calculated in accordance with FASB ASC Topic 718. Such grant date fair values do not take into account any estimated forfeitures. The assumptions used in calculating the grant date fair value of the restricted stock awards reported in this column are set forth in note 11 to our consolidated financial statements included elsewhere in this prospectus. The amounts reported in this column reflect the accounting cost for these restricted stock awards and do not correspond to the actual economic value that may be received by the non-employee directors upon the vesting of the restricted stock awards or any sale of the underlying shares of common stock.</w:t>
      </w:r>
    </w:p>
    <w:p>
      <w:pPr>
        <w:ind w:left="44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As of December 31, 2018, Dr. Bruhn held 209,350 shares of restricted stock.</w:t>
      </w:r>
    </w:p>
    <w:p>
      <w:pPr>
        <w:ind w:left="44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As of December 31, 2018, Dr. Curnutte held 209,350 shares of restricted stock.</w:t>
      </w:r>
    </w:p>
    <w:p>
      <w:pPr>
        <w:ind w:left="44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As of December 31, 2018, Mr. Exter did not hold any outstanding equity awards.</w:t>
      </w:r>
    </w:p>
    <w:p>
      <w:pPr>
        <w:ind w:left="44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As of December 31, 2018, Dr. Homcy held 500,000 shares of restricted stock.</w:t>
      </w:r>
    </w:p>
    <w:p>
      <w:pPr>
        <w:ind w:left="44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Dr. Homcy provided us with technical consulting services and received a grant of 125,000 shares of restricted stock for such services.</w:t>
      </w:r>
    </w:p>
    <w:p>
      <w:pPr>
        <w:ind w:left="440" w:right="6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As of December 31, 2018, Dr. Huh held 713,288 share of restricted stock, which he transferred to pH Pharma Co., Ltd. as of such date. For more information, see Certain Relationships and Related Party Transactions.</w:t>
      </w:r>
    </w:p>
    <w:p>
      <w:pPr>
        <w:ind w:left="44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Amount represents consulting fees paid to Healthcare &amp; Humanity Foundation on behalf of Dr. Huh for his advisory services to the Company on its strategy and corporate development relating to its business of developing therapeutics for fibrotic disease. Pursuant to a consulting agreement entered into between the Company and Dr. Huh, effective as of February 15, 2017, for his services, Healthcare &amp; Humanity Foundation was paid $5,000 per month on behalf of Dr. Huh and Dr. Huh was granted 45,000 shares of restricted stock that vests 25% for each quarter of continuous service. Dr. Huh’s consulting relationship with the Company terminated in January 2018. For more information, see “Certain Relationships and Related Party Transactions.”</w:t>
      </w:r>
    </w:p>
    <w:p>
      <w:pPr>
        <w:spacing w:after="0" w:line="1" w:lineRule="exact"/>
        <w:rPr>
          <w:rFonts w:ascii="Arial" w:cs="Arial" w:eastAsia="Arial" w:hAnsi="Arial"/>
          <w:sz w:val="12"/>
          <w:szCs w:val="12"/>
          <w:color w:val="auto"/>
        </w:rPr>
      </w:pPr>
    </w:p>
    <w:p>
      <w:pPr>
        <w:ind w:left="440" w:hanging="324"/>
        <w:spacing w:after="0" w:line="221" w:lineRule="auto"/>
        <w:tabs>
          <w:tab w:leader="none" w:pos="440" w:val="left"/>
        </w:tabs>
        <w:numPr>
          <w:ilvl w:val="0"/>
          <w:numId w:val="91"/>
        </w:numPr>
        <w:rPr>
          <w:rFonts w:ascii="Arial" w:cs="Arial" w:eastAsia="Arial" w:hAnsi="Arial"/>
          <w:sz w:val="12"/>
          <w:szCs w:val="12"/>
          <w:color w:val="auto"/>
        </w:rPr>
      </w:pPr>
      <w:r>
        <w:rPr>
          <w:rFonts w:ascii="Arial" w:cs="Arial" w:eastAsia="Arial" w:hAnsi="Arial"/>
          <w:sz w:val="14"/>
          <w:szCs w:val="14"/>
          <w:color w:val="auto"/>
        </w:rPr>
        <w:t>Mr. Muir’s service as a member of our board of directors ended in July 2018. As of December 31, 2018, Mr. Muir did not hold any outstanding equity awards.</w:t>
      </w:r>
    </w:p>
    <w:p>
      <w:pPr>
        <w:ind w:left="460" w:hanging="344"/>
        <w:spacing w:after="0"/>
        <w:tabs>
          <w:tab w:leader="none" w:pos="460" w:val="left"/>
        </w:tabs>
        <w:numPr>
          <w:ilvl w:val="0"/>
          <w:numId w:val="91"/>
        </w:numPr>
        <w:rPr>
          <w:rFonts w:ascii="Arial" w:cs="Arial" w:eastAsia="Arial" w:hAnsi="Arial"/>
          <w:sz w:val="12"/>
          <w:szCs w:val="12"/>
          <w:color w:val="auto"/>
        </w:rPr>
      </w:pPr>
      <w:r>
        <w:rPr>
          <w:rFonts w:ascii="Arial" w:cs="Arial" w:eastAsia="Arial" w:hAnsi="Arial"/>
          <w:sz w:val="14"/>
          <w:szCs w:val="14"/>
          <w:color w:val="auto"/>
        </w:rPr>
        <w:t>Mr. Raidy was appointed a member of our board of directors in July 2018. As of December 31, 2018, Mr. Raidy did not hold any outstanding equity awards.</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with our directors and executive officers, including those discussed in the sections entitled “Management” and “Executive and Director Compensation,” and the registration rights described in the section entitled “Description of Capital Stock—Registration Rights,” the following is a description of each transaction since January 1, 2016 and each currently proposed transaction in which:</w:t>
      </w:r>
    </w:p>
    <w:p>
      <w:pPr>
        <w:spacing w:after="0" w:line="92" w:lineRule="exact"/>
        <w:rPr>
          <w:sz w:val="20"/>
          <w:szCs w:val="20"/>
          <w:color w:val="auto"/>
        </w:rPr>
      </w:pPr>
    </w:p>
    <w:p>
      <w:pPr>
        <w:ind w:left="760" w:hanging="212"/>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760" w:right="640" w:hanging="212"/>
        <w:spacing w:after="0" w:line="277" w:lineRule="auto"/>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redeemable convertible preferred stock financing</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From August 2015 through March 2018, we sold an aggregate of 56,000,000 shares of our Series A redeemable convertible preferred stock at a purchase price of $1.00 per share, for an aggregate purchase price of $56.0 million.</w:t>
      </w:r>
    </w:p>
    <w:p>
      <w:pPr>
        <w:spacing w:after="0" w:line="170"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All purchasers of our Series A redeemable convertible preferred stock are entitled to specified registration rights. See the section entitled “Description of Capital Stock—Registration Rights” for more information regarding these registration rights.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the Series A redeemable convertible preferred stock purchased by members of our board of directors or their affiliates and holders of more than 5% of our outstanding capital stock.</w:t>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stockholder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Entities affiliated with Third Rock Ventures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 Pharma Co., Ltd.</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029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Series A</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redeemable</w:t>
            </w:r>
          </w:p>
        </w:tc>
        <w:tc>
          <w:tcPr>
            <w:tcW w:w="22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preferred</w:t>
            </w: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w:t>
            </w:r>
          </w:p>
        </w:tc>
        <w:tc>
          <w:tcPr>
            <w:tcW w:w="0" w:type="dxa"/>
            <w:vAlign w:val="bottom"/>
          </w:tcPr>
          <w:p>
            <w:pPr>
              <w:spacing w:after="0"/>
              <w:rPr>
                <w:sz w:val="1"/>
                <w:szCs w:val="1"/>
                <w:color w:val="auto"/>
              </w:rPr>
            </w:pPr>
          </w:p>
        </w:tc>
      </w:tr>
      <w:tr>
        <w:trPr>
          <w:trHeight w:val="171"/>
        </w:trPr>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stock</w:t>
            </w: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95"/>
        </w:trPr>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55,000,000</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2">
            <w:col w:w="7880" w:space="720"/>
            <w:col w:w="2460"/>
          </w:cols>
          <w:pgMar w:left="320" w:top="459" w:right="519" w:bottom="1440" w:gutter="0" w:footer="0" w:header="0"/>
          <w:type w:val="continuous"/>
        </w:sectPr>
      </w:pPr>
    </w:p>
    <w:p>
      <w:pPr>
        <w:ind w:left="440" w:hanging="324"/>
        <w:spacing w:after="0"/>
        <w:tabs>
          <w:tab w:leader="none" w:pos="440" w:val="left"/>
        </w:tabs>
        <w:numPr>
          <w:ilvl w:val="0"/>
          <w:numId w:val="93"/>
        </w:numPr>
        <w:rPr>
          <w:rFonts w:ascii="Arial" w:cs="Arial" w:eastAsia="Arial" w:hAnsi="Arial"/>
          <w:sz w:val="12"/>
          <w:szCs w:val="12"/>
          <w:color w:val="auto"/>
        </w:rPr>
      </w:pPr>
      <w:r>
        <w:rPr>
          <w:rFonts w:ascii="Arial" w:cs="Arial" w:eastAsia="Arial" w:hAnsi="Arial"/>
          <w:sz w:val="14"/>
          <w:szCs w:val="14"/>
          <w:color w:val="auto"/>
        </w:rPr>
        <w:t>Consists of 39,750,000 shares held by Third Rock Ventures III, L.P., or TRV III, and 15,250,000 shares held by Third Rock Ventures IV, L.P., or TRV IV.</w:t>
      </w:r>
    </w:p>
    <w:p>
      <w:pPr>
        <w:ind w:left="440" w:hanging="324"/>
        <w:spacing w:after="0"/>
        <w:tabs>
          <w:tab w:leader="none" w:pos="440" w:val="left"/>
        </w:tabs>
        <w:numPr>
          <w:ilvl w:val="0"/>
          <w:numId w:val="93"/>
        </w:numPr>
        <w:rPr>
          <w:rFonts w:ascii="Arial" w:cs="Arial" w:eastAsia="Arial" w:hAnsi="Arial"/>
          <w:sz w:val="12"/>
          <w:szCs w:val="12"/>
          <w:color w:val="auto"/>
        </w:rPr>
      </w:pPr>
      <w:r>
        <w:rPr>
          <w:rFonts w:ascii="Arial" w:cs="Arial" w:eastAsia="Arial" w:hAnsi="Arial"/>
          <w:sz w:val="14"/>
          <w:szCs w:val="14"/>
          <w:color w:val="auto"/>
        </w:rPr>
        <w:t>Hoyoung Huh, M.D., Ph.D., our lead director, has a majority ownership in pH Pharma Co. Ltd., or pH Pharma, and has voting power over the shares.</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redeemable convertible preferred stock financing</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From July 2018 through November 2018, we sold an aggregate of 49,501,221 shares of our Series B redeemable convertible preferred stock at a purchase price of $1.3767 per share, for an aggregate purchase price of approximately $68.1 million.</w:t>
      </w:r>
    </w:p>
    <w:p>
      <w:pPr>
        <w:spacing w:after="0" w:line="170"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All purchasers of our Series B redeemable convertible preferred stock are entitled to specified registration rights. See the section entitled “Description of Capital Stock—Registration Rights” for more information regarding these registration rights.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summarizes the Series B redeemable convertible preferred stock purchased by members of our board of directors or their affiliates and holders of more than 5% of our outstanding capital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60"/>
          </w:cols>
          <w:pgMar w:left="320" w:top="459" w:right="51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stockholder</w:t>
            </w:r>
          </w:p>
        </w:tc>
        <w:tc>
          <w:tcPr>
            <w:tcW w:w="7400" w:type="dxa"/>
            <w:vAlign w:val="bottom"/>
            <w:vMerge w:val="restart"/>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preferred</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purchase</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7400" w:type="dxa"/>
            <w:vAlign w:val="bottom"/>
            <w:vMerge w:val="continue"/>
          </w:tcPr>
          <w:p>
            <w:pPr>
              <w:spacing w:after="0"/>
              <w:rPr>
                <w:sz w:val="15"/>
                <w:szCs w:val="15"/>
                <w:color w:val="auto"/>
              </w:rPr>
            </w:pPr>
          </w:p>
        </w:tc>
        <w:tc>
          <w:tcPr>
            <w:tcW w:w="13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7"/>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Cowen Healthcare Investments</w:t>
            </w:r>
            <w:r>
              <w:rPr>
                <w:rFonts w:ascii="Arial" w:cs="Arial" w:eastAsia="Arial" w:hAnsi="Arial"/>
                <w:sz w:val="15"/>
                <w:szCs w:val="15"/>
                <w:color w:val="auto"/>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10,895,619</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14,999,999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Entities affiliated with Eventide Asset Management LLC</w:t>
            </w:r>
            <w:r>
              <w:rPr>
                <w:rFonts w:ascii="Arial" w:cs="Arial" w:eastAsia="Arial" w:hAnsi="Arial"/>
                <w:sz w:val="15"/>
                <w:szCs w:val="15"/>
                <w:color w:val="auto"/>
              </w:rPr>
              <w:t>(2)</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10,895,619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14,999,999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Bernard Coulie and Barbara Leyman, as Trustees of The Coulie/Leyman Family Trust</w:t>
            </w:r>
            <w:r>
              <w:rPr>
                <w:rFonts w:ascii="Arial" w:cs="Arial" w:eastAsia="Arial" w:hAnsi="Arial"/>
                <w:sz w:val="15"/>
                <w:szCs w:val="15"/>
                <w:color w:val="auto"/>
              </w:rPr>
              <w:t>(3)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Hans Hull</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36,319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029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6" w:lineRule="exact"/>
        <w:rPr>
          <w:sz w:val="20"/>
          <w:szCs w:val="20"/>
          <w:color w:val="auto"/>
        </w:rPr>
      </w:pPr>
    </w:p>
    <w:p>
      <w:pPr>
        <w:ind w:left="440" w:right="440" w:hanging="324"/>
        <w:spacing w:after="0" w:line="230" w:lineRule="auto"/>
        <w:tabs>
          <w:tab w:leader="none" w:pos="440" w:val="left"/>
        </w:tabs>
        <w:numPr>
          <w:ilvl w:val="0"/>
          <w:numId w:val="94"/>
        </w:numPr>
        <w:rPr>
          <w:rFonts w:ascii="Arial" w:cs="Arial" w:eastAsia="Arial" w:hAnsi="Arial"/>
          <w:sz w:val="12"/>
          <w:szCs w:val="12"/>
          <w:color w:val="auto"/>
        </w:rPr>
      </w:pPr>
      <w:r>
        <w:rPr>
          <w:rFonts w:ascii="Arial" w:cs="Arial" w:eastAsia="Arial" w:hAnsi="Arial"/>
          <w:sz w:val="14"/>
          <w:szCs w:val="14"/>
          <w:color w:val="auto"/>
        </w:rPr>
        <w:t>Consists of (a) 10,154,302 shares of Series B convertible preferred stock held by Cowen Healthcare Investments II LP, or Cowen II and (b) 741,317 shares of Series B convertible preferred stock held by CHI EF II LP, or CHI EF II. Cowen Healthcare Investments II GP LLC is the sole general partner of Cowen II and CHI EF II.</w:t>
      </w:r>
    </w:p>
    <w:p>
      <w:pPr>
        <w:ind w:left="440" w:right="100" w:hanging="324"/>
        <w:spacing w:after="0" w:line="221" w:lineRule="auto"/>
        <w:tabs>
          <w:tab w:leader="none" w:pos="440" w:val="left"/>
        </w:tabs>
        <w:numPr>
          <w:ilvl w:val="0"/>
          <w:numId w:val="94"/>
        </w:numPr>
        <w:rPr>
          <w:rFonts w:ascii="Arial" w:cs="Arial" w:eastAsia="Arial" w:hAnsi="Arial"/>
          <w:sz w:val="12"/>
          <w:szCs w:val="12"/>
          <w:color w:val="auto"/>
        </w:rPr>
      </w:pPr>
      <w:r>
        <w:rPr>
          <w:rFonts w:ascii="Arial" w:cs="Arial" w:eastAsia="Arial" w:hAnsi="Arial"/>
          <w:sz w:val="14"/>
          <w:szCs w:val="14"/>
          <w:color w:val="auto"/>
        </w:rPr>
        <w:t>Consists of (a) 7,263,746 shares of Series B convertible preferred stock held by Eventide Gilead Fund and (b) 3,631,873 shares of Series B convertible preferred stock held by Eventide Healthcare &amp; Life Science Fund. Eventide Gilead Fund and Eventide Healthcare &amp; Life Sciences Fund are registered investment companies for which Eventide Asset Management, LLC acts as investment advisor. Eventide Asset Management, LLC has voting and investment power with respect to the shares.</w:t>
      </w:r>
    </w:p>
    <w:p>
      <w:pPr>
        <w:ind w:left="440" w:right="320" w:hanging="324"/>
        <w:spacing w:after="0" w:line="237" w:lineRule="auto"/>
        <w:tabs>
          <w:tab w:leader="none" w:pos="440" w:val="left"/>
        </w:tabs>
        <w:numPr>
          <w:ilvl w:val="0"/>
          <w:numId w:val="94"/>
        </w:numPr>
        <w:rPr>
          <w:rFonts w:ascii="Arial" w:cs="Arial" w:eastAsia="Arial" w:hAnsi="Arial"/>
          <w:sz w:val="12"/>
          <w:szCs w:val="12"/>
          <w:color w:val="auto"/>
        </w:rPr>
      </w:pPr>
      <w:r>
        <w:rPr>
          <w:rFonts w:ascii="Arial" w:cs="Arial" w:eastAsia="Arial" w:hAnsi="Arial"/>
          <w:sz w:val="14"/>
          <w:szCs w:val="14"/>
          <w:color w:val="auto"/>
        </w:rPr>
        <w:t>Consists of 181,594 shares of Series B convertible preferred stock held by Bernard Coulie and Barbara Leyman, as Trustees of The Coulie/Leyman Family Trust, or Coulie/Leyman Family Trust, of which Dr. Coulie and his spouse are the sole trustees.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July 10, 2018, we entered into an Amended and Restated Investors’ Rights Agreement, as amended to date, which we refer to as our investors’ rights agreement, with certain holders of our outstanding redeemable convertible preferred stock, including entities with which certain of our directors are affiliated. After the completion of this offering, the holders of shares of our common stock issuable in connection with the automatic conversion of all outstanding shares of our redeemable convertible preferred stock into common stock, are entitled to rights with respect to the registration of their shares following this offering under the Securities Act. See the section entitled “Description of Capital Stock—Registration Rights” for more information regarding these registration rights.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July 10, 2018, we entered into an Amended and Restated Right of First Refusal and Co-Sale Agreement, as amended to date, which we refer to as our right of first refusal and co-sale agreement, which imposes restrictions on the transfer of our capital stock. Upon the completion of this offering, the right of first refusal and co-sale agreement will terminate and the restrictions on the transfer of our capital stock set forth in this agreement will no longer apply.</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July 10, 2018, we entered into an Amended and Restated Voting Agreement, as amended to date, which we refer to as our voting agreement, under which certain holders of our capital stock, including persons who hold more than 5% of our outstanding capital stock and entities with which certain of our directors are affiliated, have agreed to vote their shares on certain matters, including with respect to the election of directors. Upon the completion of this offering, the voting agreement will terminate and none of our stockholders will have any special rights regarding the election or designation of members of our board of directors or the voting of our capital stock of the company.</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Consulting or research agreements with related parties</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Certain employees of Third Rock Ventures, one of our stockholders, provide consulting services to us. Consulting service expenses of $132,000 and $54,000 were recorded for the years ended December 31, 2017 and 2018, respectively. The consulting fees were paid in consideration for certain ordinary course business operations and management consulting services provided to us from time to time by individuals related to Third Rock Ventures. There is no written agreement for the services provided to us by Third Rock Ventures.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Charitable contributions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2018, we made charitable contributions to the University of California, San Francisco Foundation (“UCSF Foundation”), which were directed to support research performed in the laboratories of two of our scientific founders. Charitable contributions made to the UCSF Foundation during the year ended December 31, 2018 were $0.5 million, which were directed to support research performed in the laboratories of two of our scientific founders.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See the sections entitled “Executive Compensation” and “Director Compensation” for information regarding compensation of our executive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than as described above, since January 1, 2016, we have not entered into any transactions, nor are there any currently proposed transactions, between us and a related party where the amount involved exceeds, or would exceed, $120,000, and in which any related person had or will have a direct or indirect material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connection with this offering, we intend to enter into new agreements to indemnify our directors and executive officers. These agreements and our amended and restated certificate of incorporation and amended and restated bylaws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Prior to the completion of this offering, we expect to adopt a written related person transaction policy that sets forth our procedures for the identification, review, consideration and approval or ratification of related person transactions. The policy will become effective immediately upon the execution of the underwriting agreement for this offering.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firstLine="440"/>
        <w:spacing w:after="0" w:line="342" w:lineRule="auto"/>
        <w:rPr>
          <w:sz w:val="20"/>
          <w:szCs w:val="20"/>
          <w:color w:val="auto"/>
        </w:rPr>
      </w:pPr>
      <w:r>
        <w:rPr>
          <w:rFonts w:ascii="Arial" w:cs="Arial" w:eastAsia="Arial" w:hAnsi="Arial"/>
          <w:sz w:val="16"/>
          <w:szCs w:val="16"/>
          <w:color w:val="auto"/>
        </w:rPr>
        <w:t>In addition, under our Code of Conduct, which we intend to adopt in connection with this offering, our employees and directors have an affirmative responsibility to disclose any transaction or relationship that reasonably could be expected to give rise to a conflict of interest.</w:t>
      </w:r>
    </w:p>
    <w:p>
      <w:pPr>
        <w:spacing w:after="0" w:line="12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considering related person transactions, our audit committee, or other independent body of our board of directors, will take into account the relevant available facts and circumstances including, but not limited to:</w:t>
      </w:r>
    </w:p>
    <w:p>
      <w:pPr>
        <w:spacing w:after="0" w:line="76" w:lineRule="exact"/>
        <w:rPr>
          <w:sz w:val="20"/>
          <w:szCs w:val="20"/>
          <w:color w:val="auto"/>
        </w:rPr>
      </w:pPr>
    </w:p>
    <w:p>
      <w:pPr>
        <w:ind w:left="760" w:hanging="212"/>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760" w:right="220" w:hanging="212"/>
        <w:spacing w:after="0" w:line="277" w:lineRule="auto"/>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 All of the transactions described above were entered into prior to the adoption of the written policy, but all were approved by our board of directors considering similar factors to those described above.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information concerning the beneficial ownership of the shares of our common stock as of June 10, 2019 by:</w:t>
      </w:r>
    </w:p>
    <w:p>
      <w:pPr>
        <w:spacing w:after="0" w:line="142" w:lineRule="exact"/>
        <w:rPr>
          <w:sz w:val="20"/>
          <w:szCs w:val="20"/>
          <w:color w:val="auto"/>
        </w:rPr>
      </w:pPr>
    </w:p>
    <w:p>
      <w:pPr>
        <w:ind w:left="760" w:hanging="212"/>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person we know to be the beneficial owner of 5% or more of our outstanding shares of our capital stock;</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We have determined beneficial ownership in accordance with SEC rules. The information does not necessarily indicate beneficial ownership for any other purpose. Under these rules, a person is deemed to be a beneficial owner of our common stock if that person has a right to acquire ownership within 60 days by the exercise of options or the conversion of our redeemable convertible preferred stock. A person is also deemed to be a beneficial owner of our common stock if that person has or shares voting power, which includes the power to vote or direct the voting of our common stock, or investment power, which includes the power to dispose of or to direct the disposition of such capital stock. Except in cases where community property laws apply or as indicated in the footnotes to this table, we believe that each stockholder identified in the table possesses sole voting and investment power over all shares of common stock shown as beneficially owned by the stockholder.</w:t>
      </w:r>
    </w:p>
    <w:p>
      <w:pPr>
        <w:spacing w:after="0" w:line="17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Percentage of beneficial ownership in the table below is based on 120,584,553 shares of common stock deemed to be outstanding as of June 10, 2019, assuming the automatic conversion of all outstanding shares of our redeemable convertible preferred stock into common stock, immediately prior to the completion of this offering. The table below assumes that the underwriters do not exercise their option to purchase additional shares. Shares of common stock subject to options that are currently exercisable or exercisable within 60 days of June 10, 2019 are considered outstanding and beneficially owned by the person holding the options for the purpose of computing the percentage ownership of that person but are not treated as outstanding for the purpose of computing the percentage ownership of any other person. Unless otherwise indicated below, the address of each individual listed below is c/o Pliant Therapeutics, Inc., 260 Littlefield Avenue, South San Francisco, California 94080.</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of shares</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shares</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owned</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address of beneficial owner</w:t>
            </w:r>
          </w:p>
        </w:tc>
        <w:tc>
          <w:tcPr>
            <w:tcW w:w="5220" w:type="dxa"/>
            <w:vAlign w:val="bottom"/>
            <w:vMerge w:val="restart"/>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before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after</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0"/>
              </w:rPr>
              <w:t>owned</w:t>
            </w:r>
          </w:p>
        </w:tc>
        <w:tc>
          <w:tcPr>
            <w:tcW w:w="138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2"/>
              </w:rPr>
              <w:t>offering</w:t>
            </w:r>
          </w:p>
        </w:tc>
        <w:tc>
          <w:tcPr>
            <w:tcW w:w="7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offering</w:t>
            </w:r>
          </w:p>
        </w:tc>
        <w:tc>
          <w:tcPr>
            <w:tcW w:w="0" w:type="dxa"/>
            <w:vAlign w:val="bottom"/>
          </w:tcPr>
          <w:p>
            <w:pPr>
              <w:spacing w:after="0"/>
              <w:rPr>
                <w:sz w:val="1"/>
                <w:szCs w:val="1"/>
                <w:color w:val="auto"/>
              </w:rPr>
            </w:pPr>
          </w:p>
        </w:tc>
      </w:tr>
      <w:tr>
        <w:trPr>
          <w:trHeight w:val="176"/>
        </w:trPr>
        <w:tc>
          <w:tcPr>
            <w:tcW w:w="7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5% or Greater Stockholders:</w:t>
            </w:r>
          </w:p>
        </w:tc>
        <w:tc>
          <w:tcPr>
            <w:tcW w:w="7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Third Rock Ventures</w:t>
            </w:r>
            <w:r>
              <w:rPr>
                <w:rFonts w:ascii="Arial" w:cs="Arial" w:eastAsia="Arial" w:hAnsi="Arial"/>
                <w:sz w:val="23"/>
                <w:szCs w:val="23"/>
                <w:color w:val="auto"/>
                <w:vertAlign w:val="superscript"/>
              </w:rPr>
              <w:t>(1)</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w w:val="94"/>
              </w:rPr>
              <w:t>57,000,000</w:t>
            </w:r>
          </w:p>
        </w:tc>
        <w:tc>
          <w:tcPr>
            <w:tcW w:w="1380" w:type="dxa"/>
            <w:vAlign w:val="bottom"/>
            <w:gridSpan w:val="2"/>
          </w:tcPr>
          <w:p>
            <w:pPr>
              <w:jc w:val="right"/>
              <w:ind w:right="540"/>
              <w:spacing w:after="0"/>
              <w:rPr>
                <w:sz w:val="20"/>
                <w:szCs w:val="20"/>
                <w:color w:val="auto"/>
              </w:rPr>
            </w:pPr>
            <w:r>
              <w:rPr>
                <w:rFonts w:ascii="Arial" w:cs="Arial" w:eastAsia="Arial" w:hAnsi="Arial"/>
                <w:sz w:val="16"/>
                <w:szCs w:val="16"/>
                <w:color w:val="auto"/>
              </w:rPr>
              <w:t>47.3%</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Cowen Healthcare Investments</w:t>
            </w:r>
            <w:r>
              <w:rPr>
                <w:rFonts w:ascii="Arial" w:cs="Arial" w:eastAsia="Arial" w:hAnsi="Arial"/>
                <w:sz w:val="23"/>
                <w:szCs w:val="23"/>
                <w:color w:val="auto"/>
                <w:vertAlign w:val="superscript"/>
              </w:rPr>
              <w:t>(2)</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94"/>
              </w:rPr>
              <w:t>10,895,619</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9.0%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Eventide Asset Management LLC</w:t>
            </w:r>
            <w:r>
              <w:rPr>
                <w:rFonts w:ascii="Arial" w:cs="Arial" w:eastAsia="Arial" w:hAnsi="Arial"/>
                <w:sz w:val="23"/>
                <w:szCs w:val="23"/>
                <w:color w:val="auto"/>
                <w:vertAlign w:val="superscript"/>
              </w:rPr>
              <w:t>(3)</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w w:val="94"/>
              </w:rPr>
              <w:t>10,895,619</w:t>
            </w:r>
          </w:p>
        </w:tc>
        <w:tc>
          <w:tcPr>
            <w:tcW w:w="1380" w:type="dxa"/>
            <w:vAlign w:val="bottom"/>
            <w:gridSpan w:val="2"/>
          </w:tcPr>
          <w:p>
            <w:pPr>
              <w:jc w:val="right"/>
              <w:ind w:right="540"/>
              <w:spacing w:after="0"/>
              <w:rPr>
                <w:sz w:val="20"/>
                <w:szCs w:val="20"/>
                <w:color w:val="auto"/>
              </w:rPr>
            </w:pPr>
            <w:r>
              <w:rPr>
                <w:rFonts w:ascii="Arial" w:cs="Arial" w:eastAsia="Arial" w:hAnsi="Arial"/>
                <w:sz w:val="16"/>
                <w:szCs w:val="16"/>
                <w:color w:val="auto"/>
              </w:rPr>
              <w:t>9.0%</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Bernard Coulie, M.D., Ph.D.</w:t>
            </w:r>
            <w:r>
              <w:rPr>
                <w:rFonts w:ascii="Arial" w:cs="Arial" w:eastAsia="Arial" w:hAnsi="Arial"/>
                <w:sz w:val="23"/>
                <w:szCs w:val="23"/>
                <w:color w:val="auto"/>
                <w:vertAlign w:val="superscript"/>
              </w:rPr>
              <w:t>(4)</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3,741,374</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4"/>
                <w:szCs w:val="14"/>
                <w:color w:val="auto"/>
              </w:rPr>
              <w:t>Hans Hull</w:t>
            </w:r>
            <w:r>
              <w:rPr>
                <w:rFonts w:ascii="Arial" w:cs="Arial" w:eastAsia="Arial" w:hAnsi="Arial"/>
                <w:sz w:val="23"/>
                <w:szCs w:val="23"/>
                <w:color w:val="auto"/>
                <w:vertAlign w:val="superscript"/>
              </w:rPr>
              <w:t>(5)</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1,057,069</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Éric Lefebvre, M.D.</w:t>
            </w:r>
            <w:r>
              <w:rPr>
                <w:rFonts w:ascii="Arial" w:cs="Arial" w:eastAsia="Arial" w:hAnsi="Arial"/>
                <w:sz w:val="23"/>
                <w:szCs w:val="23"/>
                <w:color w:val="auto"/>
                <w:vertAlign w:val="superscript"/>
              </w:rPr>
              <w:t>(6)</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1,304,498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4"/>
                <w:szCs w:val="14"/>
                <w:color w:val="auto"/>
              </w:rPr>
              <w:t>Hoyoung Huh, M.D., Ph.D.</w:t>
            </w:r>
            <w:r>
              <w:rPr>
                <w:rFonts w:ascii="Arial" w:cs="Arial" w:eastAsia="Arial" w:hAnsi="Arial"/>
                <w:sz w:val="23"/>
                <w:szCs w:val="23"/>
                <w:color w:val="auto"/>
                <w:vertAlign w:val="superscript"/>
              </w:rPr>
              <w:t>(7)</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1,713,288</w:t>
            </w:r>
          </w:p>
        </w:tc>
        <w:tc>
          <w:tcPr>
            <w:tcW w:w="1380" w:type="dxa"/>
            <w:vAlign w:val="bottom"/>
            <w:gridSpan w:val="2"/>
          </w:tcPr>
          <w:p>
            <w:pPr>
              <w:jc w:val="right"/>
              <w:ind w:right="540"/>
              <w:spacing w:after="0"/>
              <w:rPr>
                <w:sz w:val="20"/>
                <w:szCs w:val="20"/>
                <w:color w:val="auto"/>
              </w:rPr>
            </w:pPr>
            <w:r>
              <w:rPr>
                <w:rFonts w:ascii="Arial" w:cs="Arial" w:eastAsia="Arial" w:hAnsi="Arial"/>
                <w:sz w:val="16"/>
                <w:szCs w:val="16"/>
                <w:color w:val="auto"/>
              </w:rPr>
              <w:t>1.4%</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Suzanne Bruhn, Ph.D.</w:t>
            </w:r>
            <w:r>
              <w:rPr>
                <w:rFonts w:ascii="Arial" w:cs="Arial" w:eastAsia="Arial" w:hAnsi="Arial"/>
                <w:sz w:val="23"/>
                <w:szCs w:val="23"/>
                <w:color w:val="auto"/>
                <w:vertAlign w:val="superscript"/>
              </w:rPr>
              <w:t>(8)</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238,350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4"/>
                <w:szCs w:val="14"/>
                <w:color w:val="auto"/>
              </w:rPr>
              <w:t>John Curnutte, M.D.</w:t>
            </w:r>
            <w:r>
              <w:rPr>
                <w:rFonts w:ascii="Arial" w:cs="Arial" w:eastAsia="Arial" w:hAnsi="Arial"/>
                <w:sz w:val="23"/>
                <w:szCs w:val="23"/>
                <w:color w:val="auto"/>
                <w:vertAlign w:val="superscript"/>
              </w:rPr>
              <w:t>(9)</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209,350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Neil Exter</w:t>
            </w:r>
            <w:r>
              <w:rPr>
                <w:rFonts w:ascii="Arial" w:cs="Arial" w:eastAsia="Arial" w:hAnsi="Arial"/>
                <w:sz w:val="23"/>
                <w:szCs w:val="23"/>
                <w:color w:val="auto"/>
                <w:vertAlign w:val="superscript"/>
              </w:rPr>
              <w:t>(10)</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4"/>
                <w:szCs w:val="14"/>
                <w:color w:val="auto"/>
              </w:rPr>
              <w:t>Charles Homcy, M.D.</w:t>
            </w:r>
            <w:r>
              <w:rPr>
                <w:rFonts w:ascii="Arial" w:cs="Arial" w:eastAsia="Arial" w:hAnsi="Arial"/>
                <w:sz w:val="23"/>
                <w:szCs w:val="23"/>
                <w:color w:val="auto"/>
                <w:vertAlign w:val="superscript"/>
              </w:rPr>
              <w:t>(11)</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500,000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Kevin Raidy</w:t>
            </w:r>
            <w:r>
              <w:rPr>
                <w:rFonts w:ascii="Arial" w:cs="Arial" w:eastAsia="Arial" w:hAnsi="Arial"/>
                <w:sz w:val="23"/>
                <w:szCs w:val="23"/>
                <w:color w:val="auto"/>
                <w:vertAlign w:val="superscript"/>
              </w:rPr>
              <w:t>(2)</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94"/>
              </w:rPr>
              <w:t>10,895,619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4"/>
                <w:szCs w:val="14"/>
                <w:color w:val="auto"/>
              </w:rPr>
              <w:t>Smital Shah</w:t>
            </w:r>
            <w:r>
              <w:rPr>
                <w:rFonts w:ascii="Arial" w:cs="Arial" w:eastAsia="Arial" w:hAnsi="Arial"/>
                <w:sz w:val="23"/>
                <w:szCs w:val="23"/>
                <w:color w:val="auto"/>
                <w:vertAlign w:val="superscript"/>
              </w:rPr>
              <w:t>(12)</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22,500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All executive officers and directors as a group (12 persons)</w:t>
            </w:r>
            <w:r>
              <w:rPr>
                <w:rFonts w:ascii="Arial" w:cs="Arial" w:eastAsia="Arial" w:hAnsi="Arial"/>
                <w:sz w:val="23"/>
                <w:szCs w:val="23"/>
                <w:color w:val="auto"/>
                <w:vertAlign w:val="superscript"/>
              </w:rPr>
              <w:t>(13)</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94"/>
              </w:rPr>
              <w:t>19,832,048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16.4%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029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60" w:hanging="544"/>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w:t>
      </w:r>
    </w:p>
    <w:p>
      <w:pPr>
        <w:spacing w:after="0" w:line="22" w:lineRule="exact"/>
        <w:rPr>
          <w:sz w:val="20"/>
          <w:szCs w:val="20"/>
          <w:color w:val="auto"/>
        </w:rPr>
      </w:pPr>
    </w:p>
    <w:p>
      <w:pPr>
        <w:ind w:left="660" w:right="140" w:hanging="544"/>
        <w:spacing w:after="0" w:line="281" w:lineRule="auto"/>
        <w:tabs>
          <w:tab w:leader="none" w:pos="66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Consists of (a) 2,000,000 shares of common stock held by TRV III, (b) 39,750,000 shares of common stock issuable upon conversion of Series A redeemable convertible preferred stock held by TRV III, (c) 15,250,000 shares of common stock issuable upon conversion of Series A redeemable convertible preferred stock held by TRV IV. The general partner of TRV III is Third Rock Ventures GP III, L.P., or TRV GP III LP. The general partner of TRV GP III LP is TRV GP III, LLC, or TRV GP III LLC. Mark Levin, Kevin Starr and Robert Tepper, M.D. are the managing members of TRV GP III LLC who collectively make voting and investment decisions with respect to shares held by TRV III. Each of TRV GP III LP, TRV GP III LLC, Mr. Levin, Mr. Starr and Dr. Tepper disclaims beneficial ownership of the shares held by TRV III, except to the extent of its or his proportionate pecuniary interest therein, if any. The general partner of TRV IV is Third Rock Ventures GP IV, L.P., or TRV GP IV LP. The general partner of TRV GP IV LP is TRV GP IV, LLC, or TRV GP IV LLC. Abbie Celniker, Ph.D., Dr. Tepper, Alexis Borisy, Craig Muir and Cary Pfeffer, M.D. are the managing members of TRV GP IV LLC who collectively make voting and investment decisions with respect to shares held by TRV IV. Each of TRV GP IV LP, TRV GP IV LLC, Dr. Celniker, Dr. Tepper, Mr. Borisy, Mr. Muir and</w:t>
      </w:r>
    </w:p>
    <w:p>
      <w:pPr>
        <w:spacing w:after="0" w:line="4" w:lineRule="exact"/>
        <w:rPr>
          <w:rFonts w:ascii="Arial" w:cs="Arial" w:eastAsia="Arial" w:hAnsi="Arial"/>
          <w:sz w:val="23"/>
          <w:szCs w:val="23"/>
          <w:color w:val="auto"/>
          <w:vertAlign w:val="superscript"/>
        </w:rPr>
      </w:pPr>
    </w:p>
    <w:p>
      <w:pPr>
        <w:ind w:left="660" w:right="40"/>
        <w:spacing w:after="0" w:line="264" w:lineRule="auto"/>
        <w:rPr>
          <w:rFonts w:ascii="Arial" w:cs="Arial" w:eastAsia="Arial" w:hAnsi="Arial"/>
          <w:sz w:val="23"/>
          <w:szCs w:val="23"/>
          <w:color w:val="auto"/>
          <w:vertAlign w:val="superscript"/>
        </w:rPr>
      </w:pPr>
      <w:r>
        <w:rPr>
          <w:rFonts w:ascii="Arial" w:cs="Arial" w:eastAsia="Arial" w:hAnsi="Arial"/>
          <w:sz w:val="16"/>
          <w:szCs w:val="16"/>
          <w:color w:val="auto"/>
        </w:rPr>
        <w:t>Dr. Pfeffer disclaims beneficial ownership of the shares held by TRV IV, except to the extent of its, his or her proportionate pecuniary interest therein, if any. The address for TRV III and TRV IV is 29 Newbury Street, Suite 401, Boston, Massachusetts 02116.</w:t>
      </w:r>
    </w:p>
    <w:p>
      <w:pPr>
        <w:ind w:left="660" w:hanging="544"/>
        <w:spacing w:after="0" w:line="267" w:lineRule="auto"/>
        <w:tabs>
          <w:tab w:leader="none" w:pos="66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Consists of (a) 10,154,302 shares of common stock issuable upon conversion of Series B redeemable convertible preferred stock held by Cowen II and (b) 741,317 shares of common stock issuable upon conversion of Series B redeemable convertible preferred stock held by CHI EF II. Cowen Healthcare Investments II GP LLC is the sole general partner of Cowen II and CHI EF II. As managing partner of Cowen II and CHI EF II, Kevin J. Raidy exercises sole voting and investment power of the securities held by Cowen II and CHI EF II. Mr. Raidy disclaims beneficial ownership of the shares held by Cowen II and CHI EF II, except to the extent of any actual pecuniary interest. The address for Cowen II and CHI EF II is 599 Lexington Avenue, New York, New York 10022.</w:t>
      </w:r>
    </w:p>
    <w:p>
      <w:pPr>
        <w:spacing w:after="0" w:line="1" w:lineRule="exact"/>
        <w:rPr>
          <w:rFonts w:ascii="Arial" w:cs="Arial" w:eastAsia="Arial" w:hAnsi="Arial"/>
          <w:sz w:val="23"/>
          <w:szCs w:val="23"/>
          <w:color w:val="auto"/>
          <w:vertAlign w:val="superscript"/>
        </w:rPr>
      </w:pPr>
    </w:p>
    <w:p>
      <w:pPr>
        <w:ind w:left="660" w:right="240" w:hanging="544"/>
        <w:spacing w:after="0" w:line="267" w:lineRule="auto"/>
        <w:tabs>
          <w:tab w:leader="none" w:pos="66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Consists of (a) 7,263,746 shares of common stock issuable upon conversion of Series B redeemable convertible preferred stock held by Eventide Gilead Fund and (b) 3,631,873 shares of common stock issuable upon conversion of Series B redeemable convertible preferred stock held by Eventide Healthcare &amp; Life Science Fund. Eventide Gilead Fund and Eventide Healthcare &amp; Life Sciences Fund are registered investment companies for which Eventide Asset Management, LLC acts as investment advisor. Eventide Asset Management, LLC has voting and investment power with respect to the shares. The principal business address of each of Eventide Gilead Fund and Eventide Healthcare &amp; Life Science Fund is One International Place, Suite #3510, Boston, MA 02110.</w:t>
      </w:r>
    </w:p>
    <w:p>
      <w:pPr>
        <w:spacing w:after="0" w:line="1" w:lineRule="exact"/>
        <w:rPr>
          <w:rFonts w:ascii="Arial" w:cs="Arial" w:eastAsia="Arial" w:hAnsi="Arial"/>
          <w:sz w:val="23"/>
          <w:szCs w:val="23"/>
          <w:color w:val="auto"/>
          <w:vertAlign w:val="superscript"/>
        </w:rPr>
      </w:pPr>
    </w:p>
    <w:p>
      <w:pPr>
        <w:ind w:left="660" w:right="240" w:hanging="544"/>
        <w:spacing w:after="0" w:line="222" w:lineRule="auto"/>
        <w:tabs>
          <w:tab w:leader="none" w:pos="660" w:val="left"/>
        </w:tabs>
        <w:numPr>
          <w:ilvl w:val="0"/>
          <w:numId w:val="98"/>
        </w:numPr>
        <w:rPr>
          <w:rFonts w:ascii="Arial" w:cs="Arial" w:eastAsia="Arial" w:hAnsi="Arial"/>
          <w:sz w:val="28"/>
          <w:szCs w:val="28"/>
          <w:color w:val="auto"/>
          <w:vertAlign w:val="superscript"/>
        </w:rPr>
      </w:pPr>
      <w:r>
        <w:rPr>
          <w:rFonts w:ascii="Arial" w:cs="Arial" w:eastAsia="Arial" w:hAnsi="Arial"/>
          <w:sz w:val="16"/>
          <w:szCs w:val="16"/>
          <w:color w:val="auto"/>
        </w:rPr>
        <w:t>Consists of (a) 181,594 shares of common stock issuable upon conversion of Series B redeemable convertible preferred stock held by Coulie/Leyman Family Trust, of which Dr. Coulie and his spouse are the sole trustees; (b) 3,209,780 shares of common stock held by Coulie/Leyman Family Trust, of which 539,357 shares are subject to repurchase by us at the original purchase price as of June 10, 2019; and (c) 350,000 shares of common stock underlying options held by Dr. Coulie exercisable within 60 days of June 10, 2019.</w:t>
      </w:r>
    </w:p>
    <w:p>
      <w:pPr>
        <w:spacing w:after="0" w:line="1" w:lineRule="exact"/>
        <w:rPr>
          <w:rFonts w:ascii="Arial" w:cs="Arial" w:eastAsia="Arial" w:hAnsi="Arial"/>
          <w:sz w:val="28"/>
          <w:szCs w:val="28"/>
          <w:color w:val="auto"/>
          <w:vertAlign w:val="superscript"/>
        </w:rPr>
      </w:pPr>
    </w:p>
    <w:p>
      <w:pPr>
        <w:jc w:val="both"/>
        <w:ind w:left="660" w:right="340" w:hanging="544"/>
        <w:spacing w:after="0" w:line="211" w:lineRule="auto"/>
        <w:tabs>
          <w:tab w:leader="none" w:pos="660" w:val="left"/>
        </w:tabs>
        <w:numPr>
          <w:ilvl w:val="0"/>
          <w:numId w:val="98"/>
        </w:numPr>
        <w:rPr>
          <w:rFonts w:ascii="Arial" w:cs="Arial" w:eastAsia="Arial" w:hAnsi="Arial"/>
          <w:sz w:val="28"/>
          <w:szCs w:val="28"/>
          <w:color w:val="auto"/>
          <w:vertAlign w:val="superscript"/>
        </w:rPr>
      </w:pPr>
      <w:r>
        <w:rPr>
          <w:rFonts w:ascii="Arial" w:cs="Arial" w:eastAsia="Arial" w:hAnsi="Arial"/>
          <w:sz w:val="16"/>
          <w:szCs w:val="16"/>
          <w:color w:val="auto"/>
        </w:rPr>
        <w:t>Consists of (a) 36,319 shares of common stock issuable upon conversion of Series B redeemable convertible preferred stock held by Mr. Hull; (b) 1,002,000 shares of common stock held by Mr. Hull, of which 225,376 shares are subject to repurchase by us at the original purchase price as of June 10, 2019 and (c) 18,750 shares of common stock underlying options held by Mr. Hull exercisable within 60 days of June 10, 2019.</w:t>
      </w:r>
    </w:p>
    <w:p>
      <w:pPr>
        <w:ind w:left="660" w:right="60" w:hanging="544"/>
        <w:spacing w:after="0" w:line="211" w:lineRule="auto"/>
        <w:tabs>
          <w:tab w:leader="none" w:pos="660" w:val="left"/>
        </w:tabs>
        <w:numPr>
          <w:ilvl w:val="0"/>
          <w:numId w:val="98"/>
        </w:numPr>
        <w:rPr>
          <w:rFonts w:ascii="Arial" w:cs="Arial" w:eastAsia="Arial" w:hAnsi="Arial"/>
          <w:sz w:val="25"/>
          <w:szCs w:val="25"/>
          <w:color w:val="auto"/>
          <w:vertAlign w:val="superscript"/>
        </w:rPr>
      </w:pPr>
      <w:r>
        <w:rPr>
          <w:rFonts w:ascii="Arial" w:cs="Arial" w:eastAsia="Arial" w:hAnsi="Arial"/>
          <w:sz w:val="15"/>
          <w:szCs w:val="15"/>
          <w:color w:val="auto"/>
        </w:rPr>
        <w:t>Consists of (a) 1,248,248 shares of common stock held by Dr. Lefebvre, of which 958,477 shares are subject to repurchase by us at the original purchase price as of June 10, 2019; and (b) 56,250 shares of common stock underlying options held by Dr. Lefebvre exercisable within 60 days of June 10, 2019.</w:t>
      </w:r>
    </w:p>
    <w:p>
      <w:pPr>
        <w:ind w:left="660" w:right="80" w:hanging="544"/>
        <w:spacing w:after="0" w:line="229" w:lineRule="auto"/>
        <w:tabs>
          <w:tab w:leader="none" w:pos="660" w:val="left"/>
        </w:tabs>
        <w:numPr>
          <w:ilvl w:val="0"/>
          <w:numId w:val="98"/>
        </w:numPr>
        <w:rPr>
          <w:rFonts w:ascii="Arial" w:cs="Arial" w:eastAsia="Arial" w:hAnsi="Arial"/>
          <w:sz w:val="28"/>
          <w:szCs w:val="28"/>
          <w:color w:val="auto"/>
          <w:vertAlign w:val="superscript"/>
        </w:rPr>
      </w:pPr>
      <w:r>
        <w:rPr>
          <w:rFonts w:ascii="Arial" w:cs="Arial" w:eastAsia="Arial" w:hAnsi="Arial"/>
          <w:sz w:val="16"/>
          <w:szCs w:val="16"/>
          <w:color w:val="auto"/>
        </w:rPr>
        <w:t>Consists of (a) 1,000,000 shares of common stock issuable upon conversion of Series A redeemable convertible preferred stock held by pH Pharma Co., Ltd., or pH Pharma and (b) 713,288 shares of common stock held by pH Pharma, of which 417,680 shares are subject to repurchase by us at the original purchase price as of June 10, 2019. Dr. Huh has a majority ownership in pH Pharma and also has voting power over the shares. Dr. Huh disclaims beneficial ownership of the shares held by pH Pharma, except to the extent of his proportionate pecuniary interest therein. The address for pH Pharma is 9th Fl., The-K Twin Towers, Tower A 50 Jongro 1-gil, Jongno-gu, Seoul 03142, Korea.</w:t>
      </w:r>
    </w:p>
    <w:p>
      <w:pPr>
        <w:spacing w:after="0" w:line="3" w:lineRule="exact"/>
        <w:rPr>
          <w:rFonts w:ascii="Arial" w:cs="Arial" w:eastAsia="Arial" w:hAnsi="Arial"/>
          <w:sz w:val="28"/>
          <w:szCs w:val="28"/>
          <w:color w:val="auto"/>
          <w:vertAlign w:val="superscript"/>
        </w:rPr>
      </w:pPr>
    </w:p>
    <w:p>
      <w:pPr>
        <w:ind w:left="660" w:right="260" w:hanging="544"/>
        <w:spacing w:after="0" w:line="211" w:lineRule="auto"/>
        <w:tabs>
          <w:tab w:leader="none" w:pos="660" w:val="left"/>
        </w:tabs>
        <w:numPr>
          <w:ilvl w:val="0"/>
          <w:numId w:val="98"/>
        </w:numPr>
        <w:rPr>
          <w:rFonts w:ascii="Arial" w:cs="Arial" w:eastAsia="Arial" w:hAnsi="Arial"/>
          <w:sz w:val="25"/>
          <w:szCs w:val="25"/>
          <w:color w:val="auto"/>
          <w:vertAlign w:val="superscript"/>
        </w:rPr>
      </w:pPr>
      <w:r>
        <w:rPr>
          <w:rFonts w:ascii="Arial" w:cs="Arial" w:eastAsia="Arial" w:hAnsi="Arial"/>
          <w:sz w:val="15"/>
          <w:szCs w:val="15"/>
          <w:color w:val="auto"/>
        </w:rPr>
        <w:t>Consists of (a) 209,350 shares of common stock held by Dr. Bruhn, of which 56,250 shares are subject to repurchase by us at the original purchase price as of June 10, 2019; and (c) 29,000 shares of common stock underlying options held by Dr. Bruhn exercisable within 60 days of June 10, 2019.</w:t>
      </w:r>
    </w:p>
    <w:p>
      <w:pPr>
        <w:ind w:left="660" w:right="240" w:hanging="544"/>
        <w:spacing w:after="0" w:line="192" w:lineRule="auto"/>
        <w:tabs>
          <w:tab w:leader="none" w:pos="660" w:val="left"/>
        </w:tabs>
        <w:numPr>
          <w:ilvl w:val="0"/>
          <w:numId w:val="98"/>
        </w:numPr>
        <w:rPr>
          <w:rFonts w:ascii="Arial" w:cs="Arial" w:eastAsia="Arial" w:hAnsi="Arial"/>
          <w:sz w:val="28"/>
          <w:szCs w:val="28"/>
          <w:color w:val="auto"/>
          <w:vertAlign w:val="superscript"/>
        </w:rPr>
      </w:pPr>
      <w:r>
        <w:rPr>
          <w:rFonts w:ascii="Arial" w:cs="Arial" w:eastAsia="Arial" w:hAnsi="Arial"/>
          <w:sz w:val="16"/>
          <w:szCs w:val="16"/>
          <w:color w:val="auto"/>
        </w:rPr>
        <w:t>Consists of 209,350 shares of common stock held by Dr. Curnutte, of which 101,250 shares are subject to repurchase by us at the original purchase price as of June 10, 2019.</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right="80" w:hanging="544"/>
        <w:spacing w:after="0" w:line="193" w:lineRule="auto"/>
        <w:tabs>
          <w:tab w:leader="none" w:pos="660" w:val="left"/>
        </w:tabs>
        <w:numPr>
          <w:ilvl w:val="0"/>
          <w:numId w:val="99"/>
        </w:numPr>
        <w:rPr>
          <w:rFonts w:ascii="Arial" w:cs="Arial" w:eastAsia="Arial" w:hAnsi="Arial"/>
          <w:sz w:val="28"/>
          <w:szCs w:val="28"/>
          <w:color w:val="auto"/>
          <w:vertAlign w:val="superscript"/>
        </w:rPr>
      </w:pPr>
      <w:r>
        <w:rPr>
          <w:rFonts w:ascii="Arial" w:cs="Arial" w:eastAsia="Arial" w:hAnsi="Arial"/>
          <w:sz w:val="16"/>
          <w:szCs w:val="16"/>
          <w:color w:val="auto"/>
        </w:rPr>
        <w:t>Mr. Exter is a partner of Third Rock Ventures. Mr. Exter does not have voting or investment power over any of the shares directly held by TRV III and TRV IV referenced in footnote (1) above.</w:t>
      </w:r>
    </w:p>
    <w:p>
      <w:pPr>
        <w:spacing w:after="0" w:line="1" w:lineRule="exact"/>
        <w:rPr>
          <w:rFonts w:ascii="Arial" w:cs="Arial" w:eastAsia="Arial" w:hAnsi="Arial"/>
          <w:sz w:val="28"/>
          <w:szCs w:val="28"/>
          <w:color w:val="auto"/>
          <w:vertAlign w:val="superscript"/>
        </w:rPr>
      </w:pPr>
    </w:p>
    <w:p>
      <w:pPr>
        <w:ind w:left="660" w:hanging="544"/>
        <w:spacing w:after="0" w:line="211" w:lineRule="auto"/>
        <w:tabs>
          <w:tab w:leader="none" w:pos="660" w:val="left"/>
        </w:tabs>
        <w:numPr>
          <w:ilvl w:val="0"/>
          <w:numId w:val="99"/>
        </w:numPr>
        <w:rPr>
          <w:rFonts w:ascii="Arial" w:cs="Arial" w:eastAsia="Arial" w:hAnsi="Arial"/>
          <w:sz w:val="28"/>
          <w:szCs w:val="28"/>
          <w:color w:val="auto"/>
          <w:vertAlign w:val="superscript"/>
        </w:rPr>
      </w:pPr>
      <w:r>
        <w:rPr>
          <w:rFonts w:ascii="Arial" w:cs="Arial" w:eastAsia="Arial" w:hAnsi="Arial"/>
          <w:sz w:val="16"/>
          <w:szCs w:val="16"/>
          <w:color w:val="auto"/>
        </w:rPr>
        <w:t>Consists of 500,000 shares of common stock held by Dr. Homcy, of which 78,125 shares are subject to repurchase by us at the original purchase price as of June 10, 2019. Dr. Homcy is a partner of Third Rock Ventures. Dr. Homcy does not have voting or investment power over any of the shares directly held by TRV III and TRV IV referenced in footnote (1) above.</w:t>
      </w:r>
    </w:p>
    <w:p>
      <w:pPr>
        <w:ind w:left="660" w:hanging="544"/>
        <w:spacing w:after="0" w:line="183" w:lineRule="auto"/>
        <w:tabs>
          <w:tab w:leader="none" w:pos="660" w:val="left"/>
        </w:tabs>
        <w:numPr>
          <w:ilvl w:val="0"/>
          <w:numId w:val="99"/>
        </w:numPr>
        <w:rPr>
          <w:rFonts w:ascii="Arial" w:cs="Arial" w:eastAsia="Arial" w:hAnsi="Arial"/>
          <w:sz w:val="23"/>
          <w:szCs w:val="23"/>
          <w:color w:val="auto"/>
          <w:vertAlign w:val="superscript"/>
        </w:rPr>
      </w:pPr>
      <w:r>
        <w:rPr>
          <w:rFonts w:ascii="Arial" w:cs="Arial" w:eastAsia="Arial" w:hAnsi="Arial"/>
          <w:sz w:val="14"/>
          <w:szCs w:val="14"/>
          <w:color w:val="auto"/>
        </w:rPr>
        <w:t>Consists of 22,500 shares of common stock underlying options held by Ms. Shah exercisable within 60 days of June 10, 2019.</w:t>
      </w:r>
    </w:p>
    <w:p>
      <w:pPr>
        <w:spacing w:after="0" w:line="10" w:lineRule="exact"/>
        <w:rPr>
          <w:rFonts w:ascii="Arial" w:cs="Arial" w:eastAsia="Arial" w:hAnsi="Arial"/>
          <w:sz w:val="23"/>
          <w:szCs w:val="23"/>
          <w:color w:val="auto"/>
          <w:vertAlign w:val="superscript"/>
        </w:rPr>
      </w:pPr>
    </w:p>
    <w:p>
      <w:pPr>
        <w:ind w:left="660" w:hanging="544"/>
        <w:spacing w:after="0" w:line="182" w:lineRule="auto"/>
        <w:tabs>
          <w:tab w:leader="none" w:pos="660" w:val="left"/>
        </w:tabs>
        <w:numPr>
          <w:ilvl w:val="0"/>
          <w:numId w:val="99"/>
        </w:numPr>
        <w:rPr>
          <w:rFonts w:ascii="Arial" w:cs="Arial" w:eastAsia="Arial" w:hAnsi="Arial"/>
          <w:sz w:val="22"/>
          <w:szCs w:val="22"/>
          <w:color w:val="auto"/>
          <w:vertAlign w:val="superscript"/>
        </w:rPr>
      </w:pPr>
      <w:r>
        <w:rPr>
          <w:rFonts w:ascii="Arial" w:cs="Arial" w:eastAsia="Arial" w:hAnsi="Arial"/>
          <w:sz w:val="14"/>
          <w:szCs w:val="14"/>
          <w:color w:val="auto"/>
        </w:rPr>
        <w:t>See notes 4 through 12 above; also includes Keith Cummings and Barbara Howes, who are executive officers but not named executive officers.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60"/>
          </w:cols>
          <w:pgMar w:left="320" w:top="459"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480" w:right="200" w:firstLine="81"/>
        <w:spacing w:after="0" w:line="274" w:lineRule="auto"/>
        <w:rPr>
          <w:sz w:val="20"/>
          <w:szCs w:val="20"/>
          <w:color w:val="auto"/>
        </w:rPr>
      </w:pPr>
      <w:r>
        <w:rPr>
          <w:rFonts w:ascii="Arial" w:cs="Arial" w:eastAsia="Arial" w:hAnsi="Arial"/>
          <w:sz w:val="17"/>
          <w:szCs w:val="17"/>
          <w:color w:val="auto"/>
        </w:rPr>
        <w:t>Upon the completion of this offering, our authorized capital stock will consist of shares of common stock, par value $0.0001 per share, and shares of preferred stock, par value $0.0001 per share, all of which will be undesignated, and there will be shares of common stock</w:t>
      </w:r>
    </w:p>
    <w:p>
      <w:pPr>
        <w:ind w:left="120" w:right="160"/>
        <w:spacing w:after="0" w:line="280" w:lineRule="auto"/>
        <w:rPr>
          <w:sz w:val="20"/>
          <w:szCs w:val="20"/>
          <w:color w:val="auto"/>
        </w:rPr>
      </w:pPr>
      <w:r>
        <w:rPr>
          <w:rFonts w:ascii="Arial" w:cs="Arial" w:eastAsia="Arial" w:hAnsi="Arial"/>
          <w:sz w:val="16"/>
          <w:szCs w:val="16"/>
          <w:color w:val="auto"/>
        </w:rPr>
        <w:t>outstanding and no shares of preferred stock outstanding. As of May 1, 2019, we had approximately 77 record holders of our capital stock. All of our outstanding shares of redeemable convertible preferred stock will convert into shares of our common stock immediately prior to the completion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offering. In addition, upon the completion of this offering, options to purchase shares of our common stock will be outstanding and shares of our common stock will be reserved for future grants under our equity incentive plans.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following description of our capital stock and provisions of our amended and restated certificate of incorporation and bylaws are summaries of material terms and provisions and are qualified by reference to our amended and restated certificate of incorporation and bylaws, copies of which have been filed with the SEC as exhibits to the registration statement of which this prospectus is a part. The descriptions of our common stock and preferred stock reflect amendments to our amended and restated certificate of incorporation and bylaws that will become effective immediately prior to the completion of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Except as described under “Anti-takeover Effects of Delaware Law and Provisions of our Amended and Restated Certificate of Incorporation and Bylaws” below, a majority vote of the holders of common stock is generally required to take action under our amended and restated certificate of incorporation and bylaws.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and no sinking fund provisions are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Immediately prior to completion of this offering, all outstanding shares of our redeemable convertible preferred stock will be converted into shares of our common stock. Upon the completion of this offering, our board of directors will be authorized, without action by the stockholders, to designate</w:t>
      </w:r>
    </w:p>
    <w:p>
      <w:pPr>
        <w:ind w:left="120" w:right="260"/>
        <w:spacing w:after="0" w:line="287" w:lineRule="auto"/>
        <w:rPr>
          <w:sz w:val="20"/>
          <w:szCs w:val="20"/>
          <w:color w:val="auto"/>
        </w:rPr>
      </w:pPr>
      <w:r>
        <w:rPr>
          <w:rFonts w:ascii="Arial" w:cs="Arial" w:eastAsia="Arial" w:hAnsi="Arial"/>
          <w:sz w:val="16"/>
          <w:szCs w:val="16"/>
          <w:color w:val="auto"/>
        </w:rPr>
        <w:t>and issue up to an aggregate of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“—Anti-takeover effects of Delaware Law and provisions of our amended and restated certificate of incorporation and bylaws—Provisions of our amended and restated certificate of incorporation and bylaws—Undesignated preferred stock” below.</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July 17, 2019, we had outstanding options to purchase 9,134,572 shares of our common stock, with a per share weighted-average exercise price of $0.39 under our 2015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tabs>
          <w:tab w:leader="none" w:pos="466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6"/>
          <w:szCs w:val="16"/>
          <w:color w:val="auto"/>
        </w:rPr>
        <w:t>shares of our common stock, including shares issuable upon the automatic conversion of</w:t>
      </w:r>
    </w:p>
    <w:p>
      <w:pPr>
        <w:spacing w:after="0" w:line="23" w:lineRule="exact"/>
        <w:rPr>
          <w:sz w:val="20"/>
          <w:szCs w:val="20"/>
          <w:color w:val="auto"/>
        </w:rPr>
      </w:pPr>
    </w:p>
    <w:p>
      <w:pPr>
        <w:ind w:left="120" w:right="240"/>
        <w:spacing w:after="0" w:line="271" w:lineRule="auto"/>
        <w:rPr>
          <w:sz w:val="20"/>
          <w:szCs w:val="20"/>
          <w:color w:val="auto"/>
        </w:rPr>
      </w:pPr>
      <w:r>
        <w:rPr>
          <w:rFonts w:ascii="Arial" w:cs="Arial" w:eastAsia="Arial" w:hAnsi="Arial"/>
          <w:sz w:val="17"/>
          <w:szCs w:val="17"/>
          <w:color w:val="auto"/>
        </w:rPr>
        <w:t>our redeemable convertible preferred stock, or their permitted transferees, which we refer to as our registrable securities, are entitled to rights with respect to the registration of these securities under the Securities Act. These rights are provided under the terms of the investor rights agreement. The investor rights agreement includes demand registration rights, short-form registration rights and piggyback registration rights. All fees, costs and expenses incurred in connection with registrations under the investor rights agreement will be borne by us, and all selling expenses, including underwriting discounts and selling commissions, will be borne by the holders of the shares being registered.</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Beginning 180 days after the effective date of this registration statement, the holders of our registrable securities are entitled to demand registration rights. Under the terms of our investor rights agreement, we will be required, upon the request of holders of at least a majority of our outstanding registrable securities, to file a registration statement and use commercially reasonable efforts to effect the registration of these shares for public resale. We are required to effect up to two registrations pursuant to this provision of the investor rights agreement.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 form registration rights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Upon the completion of this offering, the holders of our registrable securities are also entitled to short form registration rights. Pursuant to our investor rights agreement, if we are eligible to file a registration statement on Form S-3, upon the request of holders of at least 20% of our outstanding registrable securities to sell registrable securities with an anticipated aggregate offering amount of at least $5.0 million net of certain expenses related to the offering, we will be required to use our commercially reasonable efforts to effect a registration of such shares. We are required to effect up to two registrations in any twelve month period pursuant to this provision of the investor rights agreement.</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holders of our registrable securities are entitled to piggyback registration rights. If we register any of our securities either for our own account or for the account of other security holders, the holders of our outstanding registrable securities are entitled to include their shares in the registration. Subject to certain exceptions contained in the investor rights agreement, we and the underwriters may limit the number of shares included in the underwritten offering if the underwriters determine that marketing factors require a limitation of the number of shares to be underwritten.</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Our investor rights agreement contains customary cross-indemnification provisions, under which we are obligated to indemnify holders of registrable securities in the event of material misstatements or omissions in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registration statement attributable to us, and they are obligated to indemnify us for material misstatements or omissions attributable to them.</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will pay the registration expenses, subject to certain limited exceptions contained in the investor rights agreement, of the holders of the shares registered pursuant to the demand, short form and piggyback registration rights described above, including the expenses of one counsel for the selling holders.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registration rights granted under the investor rights agreement will terminate upon the earlier of (i) a deemed liquidation event, as defined in our amended and restated certificate of incorporation (as in effect prior to the completion of this offering) or certain other events constituting a sale of the company, (ii) at such time after our initial public offering when all registrable securities could be sold under Rule 144 of the Securities Act or a similar exemption without limitation during a three-month period without registration or (iii) the fifth anniversary of our initial public offering.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Provisions of Our Amended and Restated Certificate of Incorporation and Bylaws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provisions of the Delaware General Corporation Law and of our amended and restated certificate of incorporation and bylaws that will become effective immediately prior to the completion of this offering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board of directors or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3" w:lineRule="exact"/>
        <w:rPr>
          <w:sz w:val="20"/>
          <w:szCs w:val="20"/>
          <w:color w:val="auto"/>
        </w:rPr>
      </w:pPr>
    </w:p>
    <w:p>
      <w:pPr>
        <w:ind w:left="760" w:right="120" w:hanging="212"/>
        <w:spacing w:after="0" w:line="277"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760" w:hanging="212"/>
        <w:spacing w:after="0" w:line="259"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160" w:hanging="212"/>
        <w:spacing w:after="0" w:line="263"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760" w:hanging="212"/>
        <w:spacing w:after="0"/>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760" w:right="220" w:hanging="212"/>
        <w:spacing w:after="0" w:line="277" w:lineRule="auto"/>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75" w:lineRule="exact"/>
        <w:rPr>
          <w:rFonts w:ascii="Arial" w:cs="Arial" w:eastAsia="Arial" w:hAnsi="Arial"/>
          <w:sz w:val="18"/>
          <w:szCs w:val="18"/>
          <w:color w:val="auto"/>
        </w:rPr>
      </w:pPr>
    </w:p>
    <w:p>
      <w:pPr>
        <w:ind w:left="760" w:right="120" w:hanging="212"/>
        <w:spacing w:after="0" w:line="277" w:lineRule="auto"/>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760" w:right="20" w:hanging="212"/>
        <w:spacing w:after="0" w:line="277" w:lineRule="auto"/>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760" w:right="300" w:hanging="212"/>
        <w:spacing w:after="0" w:line="277" w:lineRule="auto"/>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Provisions of our amended and restated certificate of incorporation and bylaws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bylaws to be in effect immediately prior to completion of this offering will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Board composition and filling vacancies</w:t>
      </w:r>
      <w:r>
        <w:rPr>
          <w:rFonts w:ascii="Arial" w:cs="Arial" w:eastAsia="Arial" w:hAnsi="Arial"/>
          <w:sz w:val="16"/>
          <w:szCs w:val="16"/>
          <w:color w:val="auto"/>
        </w:rPr>
        <w:t>. In accordance with our amended and restated certificate of incorporation, our board is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No written consent of stockholders</w:t>
      </w:r>
      <w:r>
        <w:rPr>
          <w:rFonts w:ascii="Arial" w:cs="Arial" w:eastAsia="Arial" w:hAnsi="Arial"/>
          <w:sz w:val="18"/>
          <w:szCs w:val="18"/>
          <w:color w:val="auto"/>
        </w:rPr>
        <w:t>. Our amended and restated certificate of incorporation provides that all stockholder actions are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i w:val="1"/>
          <w:iCs w:val="1"/>
          <w:color w:val="auto"/>
        </w:rPr>
        <w:t>Meetings of stockholders</w:t>
      </w:r>
      <w:r>
        <w:rPr>
          <w:rFonts w:ascii="Arial" w:cs="Arial" w:eastAsia="Arial" w:hAnsi="Arial"/>
          <w:sz w:val="18"/>
          <w:szCs w:val="18"/>
          <w:color w:val="auto"/>
        </w:rPr>
        <w:t>. Our bylaws provide that only a majority of the members of our board of directors then in office may call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Advance notice requirements</w:t>
      </w:r>
      <w:r>
        <w:rPr>
          <w:rFonts w:ascii="Arial" w:cs="Arial" w:eastAsia="Arial" w:hAnsi="Arial"/>
          <w:sz w:val="17"/>
          <w:szCs w:val="17"/>
          <w:color w:val="auto"/>
        </w:rPr>
        <w:t>. Our bylaws establish advance notice procedures with regard to stockholder proposals relating to the nomination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bylaws.</w:t>
      </w:r>
    </w:p>
    <w:p>
      <w:pPr>
        <w:spacing w:after="0" w:line="17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i w:val="1"/>
          <w:iCs w:val="1"/>
          <w:color w:val="auto"/>
        </w:rPr>
        <w:t>Amendment to certificate of incorporation and bylaws</w:t>
      </w:r>
      <w:r>
        <w:rPr>
          <w:rFonts w:ascii="Arial" w:cs="Arial" w:eastAsia="Arial" w:hAnsi="Arial"/>
          <w:sz w:val="16"/>
          <w:szCs w:val="16"/>
          <w:color w:val="auto"/>
        </w:rPr>
        <w:t>. As required by the Delaware General Corporation Law, any amendment of our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6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Undesignated preferred stock</w:t>
      </w:r>
      <w:r>
        <w:rPr>
          <w:rFonts w:ascii="Arial" w:cs="Arial" w:eastAsia="Arial" w:hAnsi="Arial"/>
          <w:sz w:val="17"/>
          <w:szCs w:val="17"/>
          <w:color w:val="auto"/>
        </w:rPr>
        <w:t>. Our amended and restated certificate of incorporation provides for authorized shares of preferred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bylaws provide that the Court of Chancery of the State of Delaware shall be the sole and exclusive forum for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actions or proceedings under Delaware statutory or common law: (i) any derivative action or proceeding brought on behalf of our company,</w:t>
      </w:r>
    </w:p>
    <w:p>
      <w:pPr>
        <w:ind w:left="120" w:hanging="4"/>
        <w:spacing w:after="0" w:line="252" w:lineRule="auto"/>
        <w:tabs>
          <w:tab w:leader="none" w:pos="3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or officers to the company or our stockholders, (iii) any action asserting a claim against our company arising pursuant to any provision of the Delaware General Corporation Law or our certificate of incorporation or bylaws, (iv) any action to interpret, apply, enforce, or determine the validity of our certificate of incorporation or bylaws, or (v) any action asserting a claim against our company governed by the internal affairs doctrine. This exclusive forum provision will not apply to any causes of action arising under the Securities Act or the Exchange Act or any other claim for which the federal courts have exclusive jurisdiction. Although our bylaws contain the choice of forum provision described above, it is possible that a court could rule that such a provision is inapplicable for a particular claim or action or that such provision is unenforceable.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tabs>
          <w:tab w:leader="none" w:pos="4960" w:val="left"/>
          <w:tab w:leader="none" w:pos="858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symbol “PLRX.”</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discussion of liability and indemnification, see the section entitled “Management — Limitation on Liability and Indemnification Matters.”</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940"/>
          </w:cols>
          <w:pgMar w:left="320" w:top="459" w:right="6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left="560"/>
        <w:spacing w:after="0"/>
        <w:tabs>
          <w:tab w:leader="none" w:pos="9160" w:val="left"/>
        </w:tabs>
        <w:rPr>
          <w:sz w:val="20"/>
          <w:szCs w:val="20"/>
          <w:color w:val="auto"/>
        </w:rPr>
      </w:pPr>
      <w:r>
        <w:rPr>
          <w:rFonts w:ascii="Arial" w:cs="Arial" w:eastAsia="Arial" w:hAnsi="Arial"/>
          <w:sz w:val="18"/>
          <w:szCs w:val="18"/>
          <w:color w:val="auto"/>
        </w:rPr>
        <w:t>Based on the number of shares of common stock outstanding as of May 1, 2019, upon completion of this offering,</w:t>
      </w:r>
      <w:r>
        <w:rPr>
          <w:sz w:val="20"/>
          <w:szCs w:val="20"/>
          <w:color w:val="auto"/>
        </w:rPr>
        <w:tab/>
      </w:r>
      <w:r>
        <w:rPr>
          <w:rFonts w:ascii="Arial" w:cs="Arial" w:eastAsia="Arial" w:hAnsi="Arial"/>
          <w:sz w:val="16"/>
          <w:szCs w:val="16"/>
          <w:color w:val="auto"/>
        </w:rPr>
        <w:t>shares of common stock</w:t>
      </w:r>
    </w:p>
    <w:p>
      <w:pPr>
        <w:spacing w:after="0" w:line="23"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will be outstanding, assuming no exercise by the underwriters of their option to purchase additional shares and no exercise of options. All of the shares sold in this offering will be freely tradable. The remaining shares of common stock outstanding after this offering will be restricted as a result of securities laws or lock-up agreements as described below. Following the expiration of the lock-up period, all shares will be eligible for resale in compliance with Rule 144 or Rule 701 under the Securities Act. “Restricted securities” as defined under Rule 144 of the Securities Act were issued and sold by us in reliance on exemptions from the registration requirements of the Securities Act. These shares may be sold in the public market only if registered or qualified for an exemption from registration, such as under Rule 144 or Rule 701 under the Securities Act.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w:t>
      </w:r>
    </w:p>
    <w:p>
      <w:pPr>
        <w:spacing w:after="0" w:line="35" w:lineRule="exact"/>
        <w:rPr>
          <w:sz w:val="20"/>
          <w:szCs w:val="20"/>
          <w:color w:val="auto"/>
        </w:rPr>
      </w:pPr>
    </w:p>
    <w:p>
      <w:pPr>
        <w:ind w:left="120" w:right="40" w:hanging="4"/>
        <w:spacing w:after="0" w:line="253"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6" w:lineRule="exact"/>
        <w:rPr>
          <w:sz w:val="20"/>
          <w:szCs w:val="20"/>
          <w:color w:val="auto"/>
        </w:rPr>
      </w:pPr>
    </w:p>
    <w:p>
      <w:pPr>
        <w:ind w:left="760" w:right="320" w:hanging="219"/>
        <w:spacing w:after="0" w:line="308" w:lineRule="auto"/>
        <w:tabs>
          <w:tab w:leader="none" w:pos="740" w:val="left"/>
        </w:tabs>
        <w:rPr>
          <w:sz w:val="20"/>
          <w:szCs w:val="20"/>
          <w:color w:val="auto"/>
        </w:rPr>
      </w:pPr>
      <w:r>
        <w:rPr>
          <w:rFonts w:ascii="Arial" w:cs="Arial" w:eastAsia="Arial" w:hAnsi="Arial"/>
          <w:sz w:val="17"/>
          <w:szCs w:val="17"/>
          <w:color w:val="auto"/>
        </w:rPr>
        <w:t>•</w:t>
        <w:tab/>
        <w:t>1% of the number of shares then outstanding, which will equal approximately shares immediately after this offering assuming no exercise of the underwriters’ option to purchase additional shares, based on the number of shares outstanding as of May 1, 2019; or</w:t>
      </w:r>
    </w:p>
    <w:p>
      <w:pPr>
        <w:spacing w:after="0" w:line="52" w:lineRule="exact"/>
        <w:rPr>
          <w:sz w:val="20"/>
          <w:szCs w:val="20"/>
          <w:color w:val="auto"/>
        </w:rPr>
      </w:pPr>
    </w:p>
    <w:p>
      <w:pPr>
        <w:ind w:left="760" w:right="60" w:hanging="212"/>
        <w:spacing w:after="0" w:line="277" w:lineRule="auto"/>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Rule 701 under the Securities Act, or Rule 701,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this offering, we, each of our directors and executive officers, and holders of substantially all of our securities have agreed with the underwriters that for a period of 180 days following the date of this prospectus, subject to certain exceptions, we and they will not offer, sell, assign, transfer, pledge, contract to sell or otherwise dispose of or hedge any shares of our common stock or any securities convertible into or exchangeable for shares of our common stock. The representatives of the underwriters may, in their sole discretion, at any time, release all or any portion of the shares from the restrictions in this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Trading Plans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tabs>
          <w:tab w:leader="none" w:pos="6760" w:val="left"/>
        </w:tabs>
        <w:rPr>
          <w:sz w:val="20"/>
          <w:szCs w:val="20"/>
          <w:color w:val="auto"/>
        </w:rPr>
      </w:pPr>
      <w:r>
        <w:rPr>
          <w:rFonts w:ascii="Arial" w:cs="Arial" w:eastAsia="Arial" w:hAnsi="Arial"/>
          <w:sz w:val="18"/>
          <w:szCs w:val="18"/>
          <w:color w:val="auto"/>
        </w:rPr>
        <w:t>We are party to an investor rights agreement which provides that holders holding</w:t>
      </w:r>
      <w:r>
        <w:rPr>
          <w:sz w:val="20"/>
          <w:szCs w:val="20"/>
          <w:color w:val="auto"/>
        </w:rPr>
        <w:tab/>
      </w:r>
      <w:r>
        <w:rPr>
          <w:rFonts w:ascii="Arial" w:cs="Arial" w:eastAsia="Arial" w:hAnsi="Arial"/>
          <w:sz w:val="16"/>
          <w:szCs w:val="16"/>
          <w:color w:val="auto"/>
        </w:rPr>
        <w:t>shares of our common stock, including shares issuable upon</w:t>
      </w:r>
    </w:p>
    <w:p>
      <w:pPr>
        <w:spacing w:after="0" w:line="23"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automatic conversion of our redeemable convertible preferred stock, have the right to demand that we file a registration statement or request that their shares of our common stock be covered by a registration statement that we are otherwise filing. See the section entitled “Description of Capital Stock — Registration Rights” in this prospectus. Except for shares purchased by affiliates, registration of their shares under the Securities Act would result in these shares becoming freely tradable without restriction under the Securities Act immediately upon effectiveness of the registration, subject to the expiration of the lock-up period described above and in the section entitled “Underwriting” in this prospectus, and to the extent such shares have been released from any repurchase option that we may hold.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As soon as practicable after the completion of this offering, we intend to file a Form S-8 registration statement under the Securities Act to register shares of our common stock subject to options and other equity awards outstanding or reserved for issuance under our equity incentive plans. This registration statement will become effective immediately upon filing, and shares covered by this registration statement will thereupon be eligible for sale in the public markets, subject to Rule 144 limitations applicable to affiliates and any lock-up agreements. For a more complete discussion of our equity incentive plans, see “Executive and Compensation — Employee Benefits and Equity Compensation Plans.”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 TO NON-U.S. HOLDERS</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71" w:lineRule="exact"/>
        <w:rPr>
          <w:sz w:val="20"/>
          <w:szCs w:val="20"/>
          <w:color w:val="auto"/>
        </w:rPr>
      </w:pPr>
    </w:p>
    <w:p>
      <w:pPr>
        <w:ind w:left="760" w:hanging="212"/>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holding and disposing of our common stock through a partnership or other pass-through entity, as applicable.</w:t>
      </w:r>
    </w:p>
    <w:p>
      <w:pPr>
        <w:spacing w:after="0" w:line="18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7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including the alternative minimum tax, or the Medicare tax on net investment income, the rules regarding qualified small business stock within the meaning of Section 1202 of the Code and any election to apply Section 1400Z-2 of the Code to gains recognized with respect to shares of our common stock. This discussion also does not address any U.S. state, local or non-U.S. taxes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83" w:lineRule="exact"/>
        <w:rPr>
          <w:sz w:val="20"/>
          <w:szCs w:val="20"/>
          <w:color w:val="auto"/>
        </w:rPr>
      </w:pPr>
    </w:p>
    <w:p>
      <w:pPr>
        <w:ind w:left="760" w:hanging="21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760" w:right="300" w:hanging="212"/>
        <w:spacing w:after="0" w:line="277" w:lineRule="auto"/>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30" w:lineRule="exact"/>
        <w:rPr>
          <w:rFonts w:ascii="Arial" w:cs="Arial" w:eastAsia="Arial" w:hAnsi="Arial"/>
          <w:sz w:val="18"/>
          <w:szCs w:val="18"/>
          <w:color w:val="auto"/>
        </w:rPr>
      </w:pPr>
    </w:p>
    <w:p>
      <w:pPr>
        <w:ind w:left="5480" w:right="100" w:hanging="4932"/>
        <w:spacing w:after="0" w:line="449" w:lineRule="auto"/>
        <w:tabs>
          <w:tab w:leader="none" w:pos="7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partners and investors therein); 177</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have a functional currency other than the U.S. dollar;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142" w:lineRule="exact"/>
        <w:rPr>
          <w:rFonts w:ascii="Arial" w:cs="Arial" w:eastAsia="Arial" w:hAnsi="Arial"/>
          <w:sz w:val="17"/>
          <w:szCs w:val="17"/>
          <w:color w:val="auto"/>
        </w:rPr>
      </w:pPr>
    </w:p>
    <w:p>
      <w:pPr>
        <w:ind w:left="760" w:hanging="212"/>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U.S. expatriates; and</w:t>
      </w:r>
    </w:p>
    <w:p>
      <w:pPr>
        <w:spacing w:after="0" w:line="130" w:lineRule="exact"/>
        <w:rPr>
          <w:rFonts w:ascii="Arial" w:cs="Arial" w:eastAsia="Arial" w:hAnsi="Arial"/>
          <w:sz w:val="18"/>
          <w:szCs w:val="18"/>
          <w:color w:val="auto"/>
        </w:rPr>
      </w:pPr>
    </w:p>
    <w:p>
      <w:pPr>
        <w:ind w:left="760" w:right="540" w:hanging="212"/>
        <w:spacing w:after="0" w:line="277" w:lineRule="auto"/>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common stock being taken into account in an applicable financial statement under Section 451(b) of the Code.</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9" w:lineRule="exact"/>
        <w:rPr>
          <w:sz w:val="20"/>
          <w:szCs w:val="20"/>
          <w:color w:val="auto"/>
        </w:rPr>
      </w:pPr>
    </w:p>
    <w:p>
      <w:pPr>
        <w:ind w:left="760" w:right="20" w:hanging="212"/>
        <w:spacing w:after="0" w:line="257" w:lineRule="auto"/>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93" w:lineRule="exact"/>
        <w:rPr>
          <w:rFonts w:ascii="Arial" w:cs="Arial" w:eastAsia="Arial" w:hAnsi="Arial"/>
          <w:sz w:val="18"/>
          <w:szCs w:val="18"/>
          <w:color w:val="auto"/>
        </w:rPr>
      </w:pPr>
    </w:p>
    <w:p>
      <w:pPr>
        <w:ind w:left="760" w:right="40" w:hanging="212"/>
        <w:spacing w:after="0" w:line="255" w:lineRule="auto"/>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7" w:lineRule="exact"/>
        <w:rPr>
          <w:rFonts w:ascii="Arial" w:cs="Arial" w:eastAsia="Arial" w:hAnsi="Arial"/>
          <w:sz w:val="18"/>
          <w:szCs w:val="18"/>
          <w:color w:val="auto"/>
        </w:rPr>
      </w:pPr>
    </w:p>
    <w:p>
      <w:pPr>
        <w:ind w:left="760" w:hanging="212"/>
        <w:spacing w:after="0" w:line="270" w:lineRule="auto"/>
        <w:tabs>
          <w:tab w:leader="none" w:pos="7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and information reporting requirements — FATCA</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Provisions of the Code commonly referred to as the Foreign Account Tax Compliance Act, or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Citigroup Global Markets Inc., Cowen and Company, LLC and Piper Jaffray &amp; Co. are acting as joint book-running managers of this offering and as representatives of the underwriters named below. Subject to the terms and conditions stated in the underwriting agreement dated the date of this prospectus, each underwriter named below has severally agreed to purchase, and we have agreed to sell to that underwriter, the number of shares of common stock set forth opposite the underwriter’s name in the following table.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9980" w:type="dxa"/>
            <w:vAlign w:val="bottom"/>
          </w:tcPr>
          <w:p>
            <w:pPr>
              <w:jc w:val="center"/>
              <w:ind w:left="922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9980" w:type="dxa"/>
            <w:vAlign w:val="bottom"/>
          </w:tcPr>
          <w:p>
            <w:pPr>
              <w:jc w:val="center"/>
              <w:ind w:left="9228"/>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5715</wp:posOffset>
            </wp:positionV>
            <wp:extent cx="5911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2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25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described below) if they purchase any of the shares.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from the initial public offering price not to exceed $ per share. If all the shares are not sold at the initial offering price, the underwriters may change the offering price and the other selling terms. The representatives have advised us that the underwriters do not intend to make sales to discretionary accounts.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the underwriters sell more shares than the total number set forth in the table above, we have granted to the underwriters an option, exercisable for 30 days from the date of this prospectus, to purchase up to additional shares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9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our officers, directors and holders of substantially all of our securities have agreed that, subject to specified limited exceptions, for a period of 180 days from the date of this prospectus, we and they will not, without the prior written consent of the representatives, dispose of or hedge any shares or any securities convertible into or exchangeable for shares of our common stock. The representatives, in their sole discretion, may release any of the securities subject to these lock-up agreements at any time, which, in the case of officers and directors, shall be with notice.</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this offering, there has been no public market for our shares. Consequently, the initial public offering price for the shares will be determined by negotiations between us and the representatives. Among the factors considered in determining the initial public offering price will be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ensure however, that the price at which the shares will sell in the public market after this offering will not be lower than the initial public offering price or that an active trading market in our shares will develop and continue after this offering.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have our shares listed on the Nasdaq Global Market under the symbol “PLRX”.</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underwriting discounts and commissions that we are to pay to the underwriters in connection with this offering.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amounts are shown assuming both no exercise and full exercise of the underwriters’ option to purchase additional shares.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60" w:type="dxa"/>
            <w:vAlign w:val="bottom"/>
            <w:gridSpan w:val="4"/>
          </w:tcPr>
          <w:p>
            <w:pPr>
              <w:ind w:left="240"/>
              <w:spacing w:after="0"/>
              <w:rPr>
                <w:sz w:val="20"/>
                <w:szCs w:val="20"/>
                <w:color w:val="auto"/>
              </w:rPr>
            </w:pPr>
            <w:r>
              <w:rPr>
                <w:rFonts w:ascii="Arial" w:cs="Arial" w:eastAsia="Arial" w:hAnsi="Arial"/>
                <w:sz w:val="14"/>
                <w:szCs w:val="14"/>
                <w:b w:val="1"/>
                <w:bCs w:val="1"/>
                <w:color w:val="auto"/>
              </w:rPr>
              <w:t>Paid by Pliant Therapeutics, Inc.</w:t>
            </w:r>
          </w:p>
        </w:tc>
      </w:tr>
      <w:tr>
        <w:trPr>
          <w:trHeight w:val="142"/>
        </w:trPr>
        <w:tc>
          <w:tcPr>
            <w:tcW w:w="59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No Exercise</w:t>
            </w:r>
          </w:p>
        </w:tc>
        <w:tc>
          <w:tcPr>
            <w:tcW w:w="3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Full Exercise</w:t>
            </w:r>
          </w:p>
        </w:tc>
        <w:tc>
          <w:tcPr>
            <w:tcW w:w="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0"/>
                <w:szCs w:val="20"/>
                <w:color w:val="auto"/>
              </w:rPr>
            </w:pPr>
          </w:p>
        </w:tc>
        <w:tc>
          <w:tcPr>
            <w:tcW w:w="1720" w:type="dxa"/>
            <w:vAlign w:val="bottom"/>
            <w:gridSpan w:val="2"/>
          </w:tcPr>
          <w:p>
            <w:pPr>
              <w:jc w:val="right"/>
              <w:ind w:right="88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403"/>
        </w:trPr>
        <w:tc>
          <w:tcPr>
            <w:tcW w:w="5980" w:type="dxa"/>
            <w:vAlign w:val="bottom"/>
          </w:tcPr>
          <w:p>
            <w:pPr>
              <w:ind w:left="440"/>
              <w:spacing w:after="0"/>
              <w:rPr>
                <w:sz w:val="20"/>
                <w:szCs w:val="20"/>
                <w:color w:val="auto"/>
              </w:rPr>
            </w:pPr>
            <w:r>
              <w:rPr>
                <w:rFonts w:ascii="Arial" w:cs="Arial" w:eastAsia="Arial" w:hAnsi="Arial"/>
                <w:sz w:val="18"/>
                <w:szCs w:val="18"/>
                <w:color w:val="auto"/>
                <w:w w:val="94"/>
              </w:rPr>
              <w:t>We estimate that our portion of the total expenses of this offering will be $</w:t>
            </w:r>
          </w:p>
        </w:tc>
        <w:tc>
          <w:tcPr>
            <w:tcW w:w="5040" w:type="dxa"/>
            <w:vAlign w:val="bottom"/>
            <w:gridSpan w:val="6"/>
          </w:tcPr>
          <w:p>
            <w:pPr>
              <w:ind w:left="180"/>
              <w:spacing w:after="0"/>
              <w:rPr>
                <w:sz w:val="20"/>
                <w:szCs w:val="20"/>
                <w:color w:val="auto"/>
              </w:rPr>
            </w:pPr>
            <w:r>
              <w:rPr>
                <w:rFonts w:ascii="Arial" w:cs="Arial" w:eastAsia="Arial" w:hAnsi="Arial"/>
                <w:sz w:val="18"/>
                <w:szCs w:val="18"/>
                <w:color w:val="auto"/>
                <w:w w:val="95"/>
              </w:rPr>
              <w:t>. We have also agreed to reimburse the underwriters for certain</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w w:val="93"/>
              </w:rPr>
              <w:t>FINRA-related and other expenses incurred by them in connection with this offering in an amount up to $</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option to purchase additional shares, and stabilizing purchases.</w:t>
      </w:r>
    </w:p>
    <w:p>
      <w:pPr>
        <w:spacing w:after="0" w:line="89" w:lineRule="exact"/>
        <w:rPr>
          <w:sz w:val="20"/>
          <w:szCs w:val="20"/>
          <w:color w:val="auto"/>
        </w:rPr>
      </w:pPr>
    </w:p>
    <w:p>
      <w:pPr>
        <w:ind w:left="760" w:hanging="212"/>
        <w:spacing w:after="0"/>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shares than they are required to purchase in the offering.</w:t>
      </w:r>
    </w:p>
    <w:p>
      <w:pPr>
        <w:spacing w:after="0" w:line="153" w:lineRule="exact"/>
        <w:rPr>
          <w:rFonts w:ascii="Arial" w:cs="Arial" w:eastAsia="Arial" w:hAnsi="Arial"/>
          <w:sz w:val="16"/>
          <w:szCs w:val="16"/>
          <w:color w:val="auto"/>
        </w:rPr>
      </w:pPr>
    </w:p>
    <w:p>
      <w:pPr>
        <w:ind w:left="980" w:right="540" w:hanging="216"/>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75" w:lineRule="exact"/>
        <w:rPr>
          <w:rFonts w:ascii="Arial" w:cs="Arial" w:eastAsia="Arial" w:hAnsi="Arial"/>
          <w:sz w:val="18"/>
          <w:szCs w:val="18"/>
          <w:color w:val="auto"/>
        </w:rPr>
      </w:pPr>
    </w:p>
    <w:p>
      <w:pPr>
        <w:ind w:left="980" w:right="200" w:hanging="216"/>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75" w:lineRule="exact"/>
        <w:rPr>
          <w:rFonts w:ascii="Arial" w:cs="Arial" w:eastAsia="Arial" w:hAnsi="Arial"/>
          <w:sz w:val="18"/>
          <w:szCs w:val="18"/>
          <w:color w:val="auto"/>
        </w:rPr>
      </w:pPr>
    </w:p>
    <w:p>
      <w:pPr>
        <w:ind w:left="760" w:right="520" w:hanging="212"/>
        <w:spacing w:after="0" w:line="277" w:lineRule="auto"/>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in order to cover short positions.</w:t>
      </w:r>
    </w:p>
    <w:p>
      <w:pPr>
        <w:spacing w:after="0" w:line="75" w:lineRule="exact"/>
        <w:rPr>
          <w:rFonts w:ascii="Arial" w:cs="Arial" w:eastAsia="Arial" w:hAnsi="Arial"/>
          <w:sz w:val="18"/>
          <w:szCs w:val="18"/>
          <w:color w:val="auto"/>
        </w:rPr>
      </w:pPr>
    </w:p>
    <w:p>
      <w:pPr>
        <w:ind w:left="980" w:right="320" w:hanging="216"/>
        <w:spacing w:after="0" w:line="263"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89" w:lineRule="exact"/>
        <w:rPr>
          <w:rFonts w:ascii="Arial" w:cs="Arial" w:eastAsia="Arial" w:hAnsi="Arial"/>
          <w:sz w:val="18"/>
          <w:szCs w:val="18"/>
          <w:color w:val="auto"/>
        </w:rPr>
      </w:pPr>
    </w:p>
    <w:p>
      <w:pPr>
        <w:ind w:left="980" w:right="60" w:hanging="216"/>
        <w:spacing w:after="0" w:line="259"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shares in the open market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92" w:lineRule="exact"/>
        <w:rPr>
          <w:rFonts w:ascii="Arial" w:cs="Arial" w:eastAsia="Arial" w:hAnsi="Arial"/>
          <w:sz w:val="18"/>
          <w:szCs w:val="18"/>
          <w:color w:val="auto"/>
        </w:rPr>
      </w:pPr>
    </w:p>
    <w:p>
      <w:pPr>
        <w:ind w:left="760" w:hanging="212"/>
        <w:spacing w:after="0"/>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225"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investment, hedging, financing and brokerage activities.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 credit default swaps) for their own account and for the accounts of their customers and may at any time hold long and short positions in such securities and instruments. Such investments and securities activities may involve securities and instruments of ours or our affiliates. The underwriters and their affiliates may also make investment recommendations and publish or express independent research views in respect of such securities or financial instruments and may hold, or recommend to clients that they acquire, long and short positions in such securities and instruments.</w:t>
      </w:r>
    </w:p>
    <w:p>
      <w:pPr>
        <w:spacing w:after="0" w:line="165"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Affiliates of Cowen and Company, LLC purchased 10,895,619 shares of our Series B redeemable convertible preferred stock in our July 2018 Series B redeemable convertible preferred stock financing. Those shares of Series B redeemable convertible preferred stock will automatically convert</w:t>
      </w:r>
    </w:p>
    <w:p>
      <w:pPr>
        <w:ind w:left="120"/>
        <w:spacing w:after="0"/>
        <w:tabs>
          <w:tab w:leader="none" w:pos="1360" w:val="left"/>
        </w:tabs>
        <w:rPr>
          <w:sz w:val="20"/>
          <w:szCs w:val="20"/>
          <w:color w:val="auto"/>
        </w:rPr>
      </w:pPr>
      <w:r>
        <w:rPr>
          <w:rFonts w:ascii="Arial" w:cs="Arial" w:eastAsia="Arial" w:hAnsi="Arial"/>
          <w:sz w:val="18"/>
          <w:szCs w:val="18"/>
          <w:color w:val="auto"/>
        </w:rPr>
        <w:t>into</w:t>
      </w:r>
      <w:r>
        <w:rPr>
          <w:sz w:val="20"/>
          <w:szCs w:val="20"/>
          <w:color w:val="auto"/>
        </w:rPr>
        <w:tab/>
      </w:r>
      <w:r>
        <w:rPr>
          <w:rFonts w:ascii="Arial" w:cs="Arial" w:eastAsia="Arial" w:hAnsi="Arial"/>
          <w:sz w:val="18"/>
          <w:szCs w:val="18"/>
          <w:color w:val="auto"/>
        </w:rPr>
        <w:t>shares of common stock immediately prior to and in connection with the completion of this offering.</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76" w:lineRule="exact"/>
        <w:rPr>
          <w:sz w:val="20"/>
          <w:szCs w:val="20"/>
          <w:color w:val="auto"/>
        </w:rPr>
      </w:pPr>
    </w:p>
    <w:p>
      <w:pPr>
        <w:ind w:left="980" w:hanging="432"/>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80" w:right="340" w:hanging="432"/>
        <w:spacing w:after="0" w:line="277" w:lineRule="auto"/>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provided that no such offer of shares referred to in (i) to (iii) above shall result in a requirement for the company or any representative to publish a prospectus pursuant to Article 3 of the Prospectus Directive, or supplement a prospectus pursuant to Article 16 of the Prospectus Directive.</w:t>
      </w:r>
    </w:p>
    <w:p>
      <w:pPr>
        <w:spacing w:after="0" w:line="124"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65"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This prospectus has been prepared on the basis that any offer of shares in any Member State will be made pursuant to an exemption under the Prospectus Directive from the requirement to publish a prospectus for offers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of shares. Accordingly any person making or intending to make an offer in that Member State of shares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shares in circumstances in which an obligation arises for the company or the representatives to publish a prospectus for such offer. 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7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Neither this prospectus nor any other offering material relating to the shares described in this prospectus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shares have not been offered or sold and will not be offered or sold, directly or indirectly, to the public in France. Neither this prospectus nor any other offering material relating to the shares has been or will be:</w:t>
      </w:r>
    </w:p>
    <w:p>
      <w:pPr>
        <w:spacing w:after="0" w:line="77" w:lineRule="exact"/>
        <w:rPr>
          <w:sz w:val="20"/>
          <w:szCs w:val="20"/>
          <w:color w:val="auto"/>
        </w:rPr>
      </w:pPr>
    </w:p>
    <w:p>
      <w:pPr>
        <w:ind w:left="760" w:hanging="212"/>
        <w:spacing w:after="0"/>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760" w:right="60" w:hanging="212"/>
        <w:spacing w:after="0" w:line="263" w:lineRule="auto"/>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760" w:hanging="212"/>
        <w:spacing w:after="0" w:line="342" w:lineRule="auto"/>
        <w:tabs>
          <w:tab w:leader="none" w:pos="7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760" w:right="120" w:hanging="212"/>
        <w:spacing w:after="0" w:line="308" w:lineRule="auto"/>
        <w:tabs>
          <w:tab w:leader="none" w:pos="7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760" w:right="80" w:hanging="212"/>
        <w:spacing w:after="0" w:line="263"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described) in that trust shall not be transferred within six months after that corporation or that trust has acquired the shares pursuant to an offer made under Section 275 of the SFA except:</w:t>
      </w:r>
    </w:p>
    <w:p>
      <w:pPr>
        <w:spacing w:after="0" w:line="76" w:lineRule="exact"/>
        <w:rPr>
          <w:sz w:val="20"/>
          <w:szCs w:val="20"/>
          <w:color w:val="auto"/>
        </w:rPr>
      </w:pPr>
    </w:p>
    <w:p>
      <w:pPr>
        <w:ind w:left="980" w:right="40" w:hanging="216"/>
        <w:spacing w:after="0" w:line="277"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80" w:hanging="216"/>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80" w:hanging="216"/>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80" w:hanging="216"/>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80" w:hanging="216"/>
        <w:spacing w:after="0"/>
        <w:tabs>
          <w:tab w:leader="none" w:pos="9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confirm and warrant that you are either:</w:t>
      </w:r>
    </w:p>
    <w:p>
      <w:pPr>
        <w:spacing w:after="0" w:line="131" w:lineRule="exact"/>
        <w:rPr>
          <w:sz w:val="20"/>
          <w:szCs w:val="20"/>
          <w:color w:val="auto"/>
        </w:rPr>
      </w:pPr>
    </w:p>
    <w:p>
      <w:pPr>
        <w:ind w:left="760" w:hanging="212"/>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jc w:val="both"/>
        <w:ind w:left="760" w:right="80" w:hanging="212"/>
        <w:spacing w:after="0" w:line="263" w:lineRule="auto"/>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40"/>
          </w:cols>
          <w:pgMar w:left="320" w:top="459" w:right="5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920"/>
          </w:cols>
          <w:pgMar w:left="320" w:top="459" w:right="6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validity of the common stock offered hereby will be passed upon for us by Goodwin Procter LLP, Redwood City, California. Certain legal matters in connection with our patents and intellectual property interests will be passed upon for us by Morrison Foerster LLP, San Francisco, California. Legal matters in connection with the offering will be passed upon for the underwriters by Cooley LLP, San Francisco, California.</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financial statements as of and for the years ended December 31, 2018 and 2017,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Company’s ability to continue as a going concern as described in Note 2). Such financial statements have been so included in reliance upon the report of such firm given upon their authority as experts in accounting and auditing.</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which constitutes a part of the registration statement. This prospectus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Upon completion of this offering, we will be subject to the information reporting requirements of the Exchange Act, and we will file reports, proxy statements and other information with the SEC. These reports, proxy statements and other information will be available via the SEC’s website at www.sec.gov. We also maintain a website at www.plianttrx.com, at which you may access these materials free of charge as soon as reasonably practicable after they are electronically filed with, or furnished to, the SEC. 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1"/>
              </w:rPr>
              <w:t>Pliant Therapeutics, Inc.</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12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0"/>
              </w:rPr>
              <w:t>Index to Financial Statements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Audited Financial Statements as of and for the years ended December 31, 2017 and 2018</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96"/>
        </w:trPr>
        <w:tc>
          <w:tcPr>
            <w:tcW w:w="101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Report of Independent Registered Public Accounting Firm</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Statements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Statements of Redeemable Convertible Preferred Stock and Stockholders’ Deficit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Statements of Cash Flows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Notes to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F-7–F-30</w:t>
            </w:r>
          </w:p>
        </w:tc>
        <w:tc>
          <w:tcPr>
            <w:tcW w:w="0" w:type="dxa"/>
            <w:vAlign w:val="bottom"/>
          </w:tcPr>
          <w:p>
            <w:pPr>
              <w:spacing w:after="0"/>
              <w:rPr>
                <w:sz w:val="1"/>
                <w:szCs w:val="1"/>
                <w:color w:val="auto"/>
              </w:rPr>
            </w:pPr>
          </w:p>
        </w:tc>
      </w:tr>
      <w:tr>
        <w:trPr>
          <w:trHeight w:val="391"/>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Unaudited Condensed Financial Statements as of and for the three months ended March 31, 2018 and 2019</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96"/>
        </w:trPr>
        <w:tc>
          <w:tcPr>
            <w:tcW w:w="10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Condensed 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Condensed Statements of Operations and Comprehensive Loss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F-32</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Condensed Statements of Redeemable Convertible Preferred Stock and Stockholders’ Deficit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F-33</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Condensed Statements of Cash Flows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Notes to Condensed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w w:val="95"/>
              </w:rPr>
              <w:t>F-35–F-55</w:t>
            </w:r>
          </w:p>
        </w:tc>
        <w:tc>
          <w:tcPr>
            <w:tcW w:w="0" w:type="dxa"/>
            <w:vAlign w:val="bottom"/>
          </w:tcPr>
          <w:p>
            <w:pPr>
              <w:spacing w:after="0"/>
              <w:rPr>
                <w:sz w:val="1"/>
                <w:szCs w:val="1"/>
                <w:color w:val="auto"/>
              </w:rPr>
            </w:pPr>
          </w:p>
        </w:tc>
      </w:tr>
      <w:tr>
        <w:trPr>
          <w:trHeight w:val="364"/>
        </w:trPr>
        <w:tc>
          <w:tcPr>
            <w:tcW w:w="10120" w:type="dxa"/>
            <w:vAlign w:val="bottom"/>
            <w:gridSpan w:val="2"/>
          </w:tcPr>
          <w:p>
            <w:pPr>
              <w:jc w:val="center"/>
              <w:ind w:left="790"/>
              <w:spacing w:after="0"/>
              <w:rPr>
                <w:sz w:val="20"/>
                <w:szCs w:val="20"/>
                <w:color w:val="auto"/>
              </w:rPr>
            </w:pPr>
            <w:r>
              <w:rPr>
                <w:rFonts w:ascii="Arial" w:cs="Arial" w:eastAsia="Arial" w:hAnsi="Arial"/>
                <w:sz w:val="18"/>
                <w:szCs w:val="18"/>
                <w:color w:val="auto"/>
                <w:w w:val="88"/>
              </w:rPr>
              <w:t>F-1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Pliant Therapeutics, Inc.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audited the accompanying balance sheets of Pliant Therapeutics, Inc. (the “Company”) as of December 31, 2017 and 2018, the related statements of operations, redeemable convertible preferred stock and stockholders’ deficit,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2017 and 2018, and the results of its operations and its cash flows for each of the two years in the period ended December 31, 2018,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2 to the financial statements, the Company has suffered recurring losses from operations and has forecasted cash needs in excess of current liquidity that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10, 2019</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63"/>
        </w:trPr>
        <w:tc>
          <w:tcPr>
            <w:tcW w:w="8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vMerge w:val="restart"/>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vMerge w:val="restart"/>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60,949</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Tax credit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884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66,529</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30"/>
        </w:trPr>
        <w:tc>
          <w:tcPr>
            <w:tcW w:w="88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 term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884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4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A redeemable convertible preferred stock, $0.0001 par value; 62,500,000 and 56,000,000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540"/>
              <w:spacing w:after="0"/>
              <w:rPr>
                <w:sz w:val="20"/>
                <w:szCs w:val="20"/>
                <w:color w:val="auto"/>
              </w:rPr>
            </w:pPr>
            <w:r>
              <w:rPr>
                <w:rFonts w:ascii="Arial" w:cs="Arial" w:eastAsia="Arial" w:hAnsi="Arial"/>
                <w:sz w:val="18"/>
                <w:szCs w:val="18"/>
                <w:color w:val="auto"/>
                <w:w w:val="95"/>
              </w:rPr>
              <w:t>at December 31, 2017 and 2018, respectively; 36,500,000 and 56,000,000 shares issued and outstanding, at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540"/>
              <w:spacing w:after="0"/>
              <w:rPr>
                <w:sz w:val="20"/>
                <w:szCs w:val="20"/>
                <w:color w:val="auto"/>
              </w:rPr>
            </w:pPr>
            <w:r>
              <w:rPr>
                <w:rFonts w:ascii="Arial" w:cs="Arial" w:eastAsia="Arial" w:hAnsi="Arial"/>
                <w:sz w:val="18"/>
                <w:szCs w:val="18"/>
                <w:color w:val="auto"/>
              </w:rPr>
              <w:t>December 31, 2017 and 2018, respectively; aggregate liquidation preference of $39,910 and $61,516 at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540"/>
              <w:spacing w:after="0"/>
              <w:rPr>
                <w:sz w:val="20"/>
                <w:szCs w:val="20"/>
                <w:color w:val="auto"/>
              </w:rPr>
            </w:pPr>
            <w:r>
              <w:rPr>
                <w:rFonts w:ascii="Arial" w:cs="Arial" w:eastAsia="Arial" w:hAnsi="Arial"/>
                <w:sz w:val="18"/>
                <w:szCs w:val="18"/>
                <w:color w:val="auto"/>
              </w:rPr>
              <w:t>December 31, 2017 and 2018,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39,910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61,516</w:t>
            </w: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Series B redeemable convertible preferred stock, $0.0001 par value; no shares and 58,109,973 shares authorized at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December 31, 2017 and 2018, respectively; no shares and 49,501,221 shares issued and outstanding at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December 31, 2017 and 2018, respectively; aggregate liquidation preference of $0 and $70,587 at December 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2017 and December 31, 2018,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70,587</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Stockholders’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$0.0001 par value; 80,500,000 and 147,682,655 shares authorized at December 31, 2017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2018; and 7,171,605 and 9,745,453 shares issued and outstanding at December 31, 2017 and 2018,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(36,566)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(71,470)</w:t>
            </w:r>
          </w:p>
        </w:tc>
        <w:tc>
          <w:tcPr>
            <w:tcW w:w="0" w:type="dxa"/>
            <w:vAlign w:val="bottom"/>
          </w:tcPr>
          <w:p>
            <w:pPr>
              <w:spacing w:after="0"/>
              <w:rPr>
                <w:sz w:val="1"/>
                <w:szCs w:val="1"/>
                <w:color w:val="auto"/>
              </w:rPr>
            </w:pPr>
          </w:p>
        </w:tc>
      </w:tr>
      <w:tr>
        <w:trPr>
          <w:trHeight w:val="223"/>
        </w:trPr>
        <w:tc>
          <w:tcPr>
            <w:tcW w:w="8840" w:type="dxa"/>
            <w:vAlign w:val="bottom"/>
          </w:tcPr>
          <w:p>
            <w:pPr>
              <w:ind w:left="1080"/>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(36,565)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(71,469)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convertible preferred stock and stockholders’ deficit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66,529</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Operations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4"/>
                <w:szCs w:val="14"/>
                <w:color w:val="auto"/>
              </w:rPr>
            </w:pPr>
          </w:p>
        </w:tc>
        <w:tc>
          <w:tcPr>
            <w:tcW w:w="228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63"/>
        </w:trPr>
        <w:tc>
          <w:tcPr>
            <w:tcW w:w="8640" w:type="dxa"/>
            <w:vAlign w:val="bottom"/>
            <w:vMerge w:val="continue"/>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vMerge w:val="restart"/>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vMerge w:val="restart"/>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6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1"/>
              <w:spacing w:after="0"/>
              <w:rPr>
                <w:sz w:val="20"/>
                <w:szCs w:val="20"/>
                <w:color w:val="auto"/>
              </w:rPr>
            </w:pPr>
            <w:r>
              <w:rPr>
                <w:rFonts w:ascii="Arial" w:cs="Arial" w:eastAsia="Arial" w:hAnsi="Arial"/>
                <w:sz w:val="18"/>
                <w:szCs w:val="18"/>
                <w:color w:val="auto"/>
              </w:rPr>
              <w:t>14,526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24,415</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(30,915)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60" w:type="dxa"/>
            <w:vAlign w:val="bottom"/>
            <w:gridSpan w:val="2"/>
          </w:tcPr>
          <w:p>
            <w:pPr>
              <w:jc w:val="right"/>
              <w:ind w:right="261"/>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(18,333</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and cumulative dividends on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5,745,000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8,333,000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 (unaudited)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w w:val="98"/>
              </w:rPr>
              <w:t>Shares used in computing pro forma net loss per share attributable to common stockholders, basic and diluted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32"/>
        </w:trPr>
        <w:tc>
          <w:tcPr>
            <w:tcW w:w="2840" w:type="dxa"/>
            <w:vAlign w:val="bottom"/>
          </w:tcPr>
          <w:p>
            <w:pPr>
              <w:spacing w:after="0"/>
              <w:rPr>
                <w:sz w:val="2"/>
                <w:szCs w:val="2"/>
                <w:color w:val="auto"/>
              </w:rPr>
            </w:pPr>
          </w:p>
        </w:tc>
        <w:tc>
          <w:tcPr>
            <w:tcW w:w="3500" w:type="dxa"/>
            <w:vAlign w:val="bottom"/>
            <w:gridSpan w:val="10"/>
            <w:vMerge w:val="restart"/>
          </w:tcPr>
          <w:p>
            <w:pPr>
              <w:ind w:left="440"/>
              <w:spacing w:after="0"/>
              <w:rPr>
                <w:sz w:val="20"/>
                <w:szCs w:val="20"/>
                <w:color w:val="auto"/>
              </w:rPr>
            </w:pPr>
            <w:r>
              <w:rPr>
                <w:rFonts w:ascii="Arial" w:cs="Arial" w:eastAsia="Arial" w:hAnsi="Arial"/>
                <w:sz w:val="14"/>
                <w:szCs w:val="14"/>
                <w:b w:val="1"/>
                <w:bCs w:val="1"/>
                <w:color w:val="auto"/>
              </w:rPr>
              <w:t>Redeemable Convertible Preferred Stock</w:t>
            </w: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2840" w:type="dxa"/>
            <w:vAlign w:val="bottom"/>
          </w:tcPr>
          <w:p>
            <w:pPr>
              <w:spacing w:after="0"/>
              <w:rPr>
                <w:sz w:val="12"/>
                <w:szCs w:val="12"/>
                <w:color w:val="auto"/>
              </w:rPr>
            </w:pPr>
          </w:p>
        </w:tc>
        <w:tc>
          <w:tcPr>
            <w:tcW w:w="3500" w:type="dxa"/>
            <w:vAlign w:val="bottom"/>
            <w:gridSpan w:val="10"/>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 thousands, except share amounts)</w:t>
            </w:r>
          </w:p>
        </w:tc>
        <w:tc>
          <w:tcPr>
            <w:tcW w:w="1640" w:type="dxa"/>
            <w:vAlign w:val="bottom"/>
            <w:tcBorders>
              <w:top w:val="single" w:sz="8" w:color="auto"/>
              <w:bottom w:val="single" w:sz="8" w:color="auto"/>
            </w:tcBorders>
            <w:gridSpan w:val="4"/>
          </w:tcPr>
          <w:p>
            <w:pPr>
              <w:jc w:val="right"/>
              <w:ind w:right="491"/>
              <w:spacing w:after="0" w:line="142" w:lineRule="exact"/>
              <w:rPr>
                <w:sz w:val="20"/>
                <w:szCs w:val="20"/>
                <w:color w:val="auto"/>
              </w:rPr>
            </w:pPr>
            <w:r>
              <w:rPr>
                <w:rFonts w:ascii="Arial" w:cs="Arial" w:eastAsia="Arial" w:hAnsi="Arial"/>
                <w:sz w:val="14"/>
                <w:szCs w:val="14"/>
                <w:b w:val="1"/>
                <w:bCs w:val="1"/>
                <w:color w:val="auto"/>
              </w:rPr>
              <w:t>Series A</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w w:val="92"/>
              </w:rPr>
              <w:t>Series B</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840" w:type="dxa"/>
            <w:vAlign w:val="bottom"/>
            <w:vMerge w:val="continue"/>
          </w:tcPr>
          <w:p>
            <w:pPr>
              <w:spacing w:after="0"/>
              <w:rPr>
                <w:sz w:val="5"/>
                <w:szCs w:val="5"/>
                <w:color w:val="auto"/>
              </w:rPr>
            </w:pPr>
          </w:p>
        </w:tc>
        <w:tc>
          <w:tcPr>
            <w:tcW w:w="1040" w:type="dxa"/>
            <w:vAlign w:val="bottom"/>
            <w:gridSpan w:val="3"/>
            <w:vMerge w:val="restart"/>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jc w:val="right"/>
              <w:ind w:right="12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560" w:type="dxa"/>
            <w:vAlign w:val="bottom"/>
            <w:gridSpan w:val="3"/>
            <w:vMerge w:val="restart"/>
          </w:tcPr>
          <w:p>
            <w:pPr>
              <w:jc w:val="right"/>
              <w:ind w:right="60"/>
              <w:spacing w:after="0" w:line="142"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5"/>
                <w:szCs w:val="5"/>
                <w:color w:val="auto"/>
              </w:rPr>
            </w:pPr>
          </w:p>
        </w:tc>
        <w:tc>
          <w:tcPr>
            <w:tcW w:w="820" w:type="dxa"/>
            <w:vAlign w:val="bottom"/>
            <w:gridSpan w:val="2"/>
            <w:vMerge w:val="restart"/>
          </w:tcPr>
          <w:p>
            <w:pPr>
              <w:jc w:val="right"/>
              <w:ind w:right="261"/>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restart"/>
          </w:tcPr>
          <w:p>
            <w:pPr>
              <w:jc w:val="right"/>
              <w:ind w:right="31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80"/>
        </w:trPr>
        <w:tc>
          <w:tcPr>
            <w:tcW w:w="284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16,500,000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$17,621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4,512,336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(15,998)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Issuance of Series A redeemable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20,000,000</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founders’ common stock</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restricted stock awards</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2,659,269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Accretion to redemption value and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cumulative dividends 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w w:val="99"/>
              </w:rPr>
              <w:t>redeemable convertible preferred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40" w:type="dxa"/>
            <w:vAlign w:val="bottom"/>
          </w:tcPr>
          <w:p>
            <w:pPr>
              <w:ind w:left="180"/>
              <w:spacing w:after="0"/>
              <w:rPr>
                <w:sz w:val="20"/>
                <w:szCs w:val="20"/>
                <w:color w:val="auto"/>
              </w:rPr>
            </w:pPr>
            <w:r>
              <w:rPr>
                <w:rFonts w:ascii="Arial" w:cs="Arial" w:eastAsia="Arial" w:hAnsi="Arial"/>
                <w:sz w:val="18"/>
                <w:szCs w:val="18"/>
                <w:color w:val="auto"/>
              </w:rPr>
              <w:t>stock</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2,289</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Stock-based compensation expense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(18,333)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(18,333)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36,500,000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7,171,605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(36,566)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(36,565)</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Issuance of Series A redeemable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preferred stock, net of issuance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costs of $16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19,500,000</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19,484</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B redeemable</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net of issuance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$315</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49,501,221</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67,833</w:t>
            </w:r>
          </w:p>
        </w:tc>
        <w:tc>
          <w:tcPr>
            <w:tcW w:w="20" w:type="dxa"/>
            <w:vAlign w:val="bottom"/>
            <w:shd w:val="clear" w:color="auto" w:fill="000000"/>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Vesting of founders’ common stock</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and restricted stock awards</w:t>
            </w: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2,573,848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to redemption value and</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dividends on</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redeemable convertible preferred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2,122</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2,754</w:t>
            </w:r>
          </w:p>
        </w:tc>
        <w:tc>
          <w:tcPr>
            <w:tcW w:w="20" w:type="dxa"/>
            <w:vAlign w:val="bottom"/>
            <w:shd w:val="clear" w:color="auto" w:fill="000000"/>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7"/>
              </w:rPr>
              <w:t>Stock-based compensation expense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(30,276)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(30,276)</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56,000,000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61,516</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49,501,221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70,587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9,745,453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(71,470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(71,469</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63"/>
        </w:trPr>
        <w:tc>
          <w:tcPr>
            <w:tcW w:w="7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80" w:type="dxa"/>
            <w:vAlign w:val="bottom"/>
            <w:tcBorders>
              <w:top w:val="single" w:sz="8" w:color="auto"/>
            </w:tcBorders>
            <w:vMerge w:val="restart"/>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80" w:type="dxa"/>
            <w:vAlign w:val="bottom"/>
            <w:tcBorders>
              <w:top w:val="single" w:sz="8" w:color="auto"/>
            </w:tcBorders>
            <w:vMerge w:val="restart"/>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820" w:type="dxa"/>
            <w:vAlign w:val="bottom"/>
            <w:tcBorders>
              <w:bottom w:val="single" w:sz="8" w:color="CCEEFF"/>
            </w:tcBorders>
          </w:tcPr>
          <w:p>
            <w:pPr>
              <w:spacing w:after="0"/>
              <w:rPr>
                <w:sz w:val="6"/>
                <w:szCs w:val="6"/>
                <w:color w:val="auto"/>
              </w:rPr>
            </w:pPr>
          </w:p>
        </w:tc>
        <w:tc>
          <w:tcPr>
            <w:tcW w:w="6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(18,333)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(30,276)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Depreciation expense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Tax credit receivable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82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78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782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(16,924)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(28,328)</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30"/>
        </w:trPr>
        <w:tc>
          <w:tcPr>
            <w:tcW w:w="782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issuance of Series A preferred stock, net of issuance costs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19,484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B preferred stock, net of issuance costs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67,833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the issuance of restricted common stock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unvested common stock</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20,006</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2,574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60,949</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Reclassification of restricted stock awards from liabilities to common stock upon vesting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9"/>
              </w:rPr>
              <w:t>Accretion to redemption value and cumulative dividends on redeemable convertible preferred stock</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2,289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Tenant improvement paid for by the landlord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 accounts payable and accrued liabilities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Pliant Therapeutics, Inc. (the “Company”)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Going Concern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has devoted substantially all its efforts to organizing and staffing, business planning, raising capital and developing its technology and preclinical assets since its inception. The Company has funded its operations primarily with the net proceeds from the issuance of redeemable convertible preferred stock. The Company expects to continue to incur significant losses and require significant additional capital to advance its clinical and preclinical development programs, support its operations and business development efforts.</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Company has incurred net losses and negative cash flows from operations since inception and had an accumulated deficit of $71.5 million as of December 31, 2018 and cash used in operations of $28.3 million during the year ended December 31, 2018. As of December 31, 2018, the Company had cash and cash equivalents of $60.9 million. Based on its current forecast the Company does not have sufficient cash and cash equivalents for at least the next year following the date that the financial statements are issued. These conditions raise substantial doubt about the Company’s ability to continue as a going concern within one year after the date that the financial statements are issued.</w:t>
      </w:r>
    </w:p>
    <w:p>
      <w:pPr>
        <w:spacing w:after="0" w:line="176"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Management plans to raise additional capital through a combination of preferred stock equity financing, public equity offerings and strategic transactions, however, there can be no assurance that the Company will be able to complete financing or equity offerings on acceptable terms, or in amounts required to support its operations, if at all, or identify and enter into any strategic transactions that will bring the capital that it will require.</w:t>
      </w:r>
    </w:p>
    <w:p>
      <w:pPr>
        <w:spacing w:after="0" w:line="14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accompanying financial statements have been prepared on a going concern basis, which contemplates the realization of assets and satisfaction of liabilities in the normal course of business, and do not include any adjustments relating to recoverability and classification of recorded assets amounts or the amounts and classification of liabilities that might be necessary should the Company be unable to continue as a going concern.</w:t>
      </w:r>
    </w:p>
    <w:p>
      <w:pPr>
        <w:spacing w:after="0" w:line="253" w:lineRule="exact"/>
        <w:rPr>
          <w:sz w:val="20"/>
          <w:szCs w:val="20"/>
          <w:color w:val="auto"/>
        </w:rPr>
      </w:pPr>
    </w:p>
    <w:p>
      <w:pPr>
        <w:ind w:left="340" w:right="7460" w:hanging="224"/>
        <w:spacing w:after="0" w:line="378" w:lineRule="auto"/>
        <w:tabs>
          <w:tab w:leader="none" w:pos="3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120" w:right="240" w:firstLine="440"/>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400"/>
        <w:spacing w:after="0" w:line="257" w:lineRule="auto"/>
        <w:rPr>
          <w:sz w:val="20"/>
          <w:szCs w:val="20"/>
          <w:color w:val="auto"/>
        </w:rPr>
      </w:pPr>
      <w:r>
        <w:rPr>
          <w:rFonts w:ascii="Arial" w:cs="Arial" w:eastAsia="Arial" w:hAnsi="Arial"/>
          <w:sz w:val="18"/>
          <w:szCs w:val="18"/>
          <w:color w:val="auto"/>
        </w:rPr>
        <w:t>estimates and assumptions on historical experience when available and on various factors that it believes to be reasonable under the circumstances. Significant estimates and assumptions reflected in these financial statements include, but are not limited to, useful lives assigned to property and equipment, the fair values of common and redeemable convertible preferred stock, stock-based compensation expense, accruals for research and development costs, income taxes and uncertain tax positions. The Company assesses estimates on an ongoing basis; however, actual results could materially differ from those estimates.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Fair value accounting is applied for all financial assets and liabilities and non-financial assets and liabilities that are recognized or disclosed at fair value in the financial statements on a recurring basis (at least annually). The carrying amount of the Company’s financial instruments, including cash equivalents, prepaid expenses and other current assets, accounts payable and accrued liabilities approximate fair value due to their short-term maturities.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and cash equivalents and short-term investments. The Company invests in money market funds, treasury bill and notes and government notes. The Company limits its credit risk associated with its cash and cash equivalents by placing them with banks and institutions it believes are highly credit worthy and in highly rated investments.</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spacing w:after="0" w:line="17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and commercializing novel therapies for fibrotic diseases.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amounts invested in treasury and government securities (collectively “money market funds”) and are stated at fair value.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Laboratory equipment</w:t>
            </w:r>
          </w:p>
        </w:tc>
        <w:tc>
          <w:tcPr>
            <w:tcW w:w="626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26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60" w:type="dxa"/>
            <w:vAlign w:val="bottom"/>
          </w:tcPr>
          <w:p>
            <w:pPr>
              <w:jc w:val="right"/>
              <w:spacing w:after="0"/>
              <w:rPr>
                <w:sz w:val="20"/>
                <w:szCs w:val="20"/>
                <w:color w:val="auto"/>
              </w:rPr>
            </w:pPr>
            <w:r>
              <w:rPr>
                <w:rFonts w:ascii="Arial" w:cs="Arial" w:eastAsia="Arial" w:hAnsi="Arial"/>
                <w:sz w:val="18"/>
                <w:szCs w:val="18"/>
                <w:color w:val="auto"/>
              </w:rPr>
              <w:t>Shorter of remaining lease term or estimated useful life</w:t>
            </w:r>
          </w:p>
        </w:tc>
      </w:tr>
    </w:tbl>
    <w:p>
      <w:pPr>
        <w:spacing w:after="0" w:line="202"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Upon retirement or sale of the assets, the cost and related accumulated depreciation and amortization are removed from the balance sheets and the resulting gain or loss is recorded to the statements of operations. Repairs and maintenance are expensed as incurred.</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years ended December 31, 2017 and 2018.</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Company classifies redeemable convertible preferred stock outside of stockholders’ deficit because, upon the occurrence of certain change in control events that are outside the Company’s control, including liquidation, sale or transfer of the Company’s assets, holders of the redeemable convertible preferred stock can cause redemption for cash. At any time on or after July 10, 2023, the holders of a majority of the outstanding redeemable convertible preferred stock can also require the Company to redeem the redeemable convertible preferred stock by providing the Company a written notice requesting such redemption. The Company recognizes changes in the redemption value immediately as they occur, for example changes in fair value of preferred stock, and adjusts the carrying amount of the redeemable convertible preferred stock to equal the redemption value at the end of each reporting period. In the absence of retained earnings these accretion charges are recorded against additional paid in capital, if any, and then to accumulated deficit. The Company analyzed all embedded derivatives and beneficial conversion features for its issued redeemable convertible preferred stock and concluded that none requires bifurcation.</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primarily of personnel costs for the Company’s research and product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facilities related costs.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estimates preclinical and clinical studies and research expenses based on the services performed, pursuant to contracts with research institutions that conduct and manage preclinical and clinical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studies and research services on its behalf. The Company estimates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and are expensed over the time when services are rendered.</w:t>
      </w:r>
    </w:p>
    <w:p>
      <w:pPr>
        <w:spacing w:after="0" w:line="188"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Credit Receivable</w:t>
      </w:r>
    </w:p>
    <w:p>
      <w:pPr>
        <w:spacing w:after="0" w:line="103"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is eligible for federal and California research and development credits for its research and development activities performed within the United States and California, respectively. The credits are generally available to offset federal and California income tax liabilities. The Company has applied $250,000 of federal research and development credits to offset its federal payroll tax expenses for the years ended December 31, 2017 and 2018 due to its small business status.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stock-based equity awards include restricted stock awards and stock options that are granted to employees and consultants and accounted at fair value on the award grant date. Stock-based compensation expense is recognized over the awards’ vesting period on a straight-line basis and recorded as either research and development or general and administrative expenses in the statements of operations based on the function to which the related services are provided. Forfeitures are accounted for as they occur.</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Company adopted the Accounting Standards Update (“ASU”) No. 2018-07,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as discussed below under “Recently Adopted Accounting Pronouncements,”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2017. The measurement date for non-employee awards was generally the date when the services were completed, resulting in financial reporting period adjustments to stock-based compensation expense during the vesting term for changes in the fair value of the awards. After the adoption of ASU No. 2018-07, the measurement date for non-employee awards is the later of the adoption date of ASU No. 2018-07 or the grant date, without changes in the fair value of the award.</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Black-Scholes option-pricing model, used to estimate fair value of stock-based awards, requires the use of the following assumptions:</w:t>
      </w:r>
    </w:p>
    <w:p>
      <w:pPr>
        <w:spacing w:after="0" w:line="131" w:lineRule="exact"/>
        <w:rPr>
          <w:sz w:val="20"/>
          <w:szCs w:val="20"/>
          <w:color w:val="auto"/>
        </w:rPr>
      </w:pPr>
    </w:p>
    <w:p>
      <w:pPr>
        <w:ind w:left="760" w:right="40" w:hanging="212"/>
        <w:spacing w:after="0" w:line="263" w:lineRule="auto"/>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expected term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options was calculated based on the weighted-average vesting term of the awards and the contract period, or simplified method.</w:t>
      </w:r>
    </w:p>
    <w:p>
      <w:pPr>
        <w:spacing w:after="0" w:line="89" w:lineRule="exact"/>
        <w:rPr>
          <w:rFonts w:ascii="Arial" w:cs="Arial" w:eastAsia="Arial" w:hAnsi="Arial"/>
          <w:sz w:val="18"/>
          <w:szCs w:val="18"/>
          <w:color w:val="auto"/>
        </w:rPr>
      </w:pPr>
    </w:p>
    <w:p>
      <w:pPr>
        <w:ind w:left="760" w:right="80" w:hanging="212"/>
        <w:spacing w:after="0" w:line="257" w:lineRule="auto"/>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not yet a public company and does not have any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The Company will continue to apply this process until enough historical information regarding the volatility of its stock price becomes available.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760" w:right="620" w:hanging="212"/>
        <w:spacing w:after="0" w:line="277" w:lineRule="auto"/>
        <w:tabs>
          <w:tab w:leader="none" w:pos="7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75" w:lineRule="exact"/>
        <w:rPr>
          <w:rFonts w:ascii="Arial" w:cs="Arial" w:eastAsia="Arial" w:hAnsi="Arial"/>
          <w:sz w:val="18"/>
          <w:szCs w:val="18"/>
          <w:color w:val="auto"/>
        </w:rPr>
      </w:pPr>
    </w:p>
    <w:p>
      <w:pPr>
        <w:ind w:left="760" w:right="200" w:hanging="212"/>
        <w:spacing w:after="0" w:line="277" w:lineRule="auto"/>
        <w:tabs>
          <w:tab w:leader="none" w:pos="7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the common stock and have no plans to pay dividends on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Company used an expected dividend yield of zero.</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The fair value of the common stock has been determined using independent third-party valuations based on relevant valuation methodologies as outlined in the American Institute of Certified Public Accountants (AICPA) Practice Aid,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The Company also considered the amount of time between the independent third-party valuation dates and the grant dates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interpolation of the fair value between the two valuation dates to estimate common stock fair value at each grant date. This determination included an evaluation of whether the subsequent valuation indicated that any significant change in valuation had occurred between the previous valuation and the grant date.</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Deferred offering costs, consisting of direct legal, accounting, filing and other fees directly related to the Company’s proposed initial public offering (“IPO”) are capitalized. The deferred offering costs will be reclassified to additional paid in capital upon completion of the IPO. No amounts were deferred as of December 31, 2017. The Company deferred $0.2 million as of December 31, 2018, which is recorded as other non-concurrent assets in the balance sheets. In the event the IPO is aborted, including postponement of 90 days or greater, all capitalized deferred offering costs will be expensed.</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 and Rent Expense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records rent expense on a straight-line basis over the life of the lease. In cases where there is a free rent period or future fixed rent escalations, the Company records a deferred rent liability. Additionally, the receipt of any lease incentives is recorded as a deferred rent liability which is amortized over the lease term as a reduction of rent expense. Building improvements made with the lease incentives or tenant allowances are capitalized as leasehold improvements and included in property and equipment in the balance sheets.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16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accounts for uncertain tax positions in accordance with ASC No. 740-10</w:t>
      </w:r>
      <w:r>
        <w:rPr>
          <w:rFonts w:ascii="Arial" w:cs="Arial" w:eastAsia="Arial" w:hAnsi="Arial"/>
          <w:sz w:val="18"/>
          <w:szCs w:val="18"/>
          <w:i w:val="1"/>
          <w:iCs w:val="1"/>
          <w:color w:val="auto"/>
        </w:rPr>
        <w:t>, Accounting for Uncertainty in Income Taxes</w:t>
      </w:r>
      <w:r>
        <w:rPr>
          <w:rFonts w:ascii="Arial" w:cs="Arial" w:eastAsia="Arial" w:hAnsi="Arial"/>
          <w:sz w:val="18"/>
          <w:szCs w:val="18"/>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includes any penalties and interest expense related to income taxes as a component of income tax expense, as necessary.</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For the years ended December 31, 2017 and 2018 there was no difference between net loss and comprehensive loss in the accompanying financial statements.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Net loss per share attributable to common stockholders is calculated using the two-class method, which is based on an earnings allocation formula that determines net loss per share for the Company’s common stockholders and holders of participating securities. The Company’s redeemable convertible preferred stock contains participation rights in any dividend paid by the Company and is deemed to be a participating security. Net loss attributable to common stockholders and participating preferred shares are allocated to each share on an as-converted basis as if all the earnings for the period had been distributed. The participating securities do not include a contractual obligation to share in losses of the Company and are not included in the calculation of net loss per share in the periods in which a net loss is recorded.</w:t>
      </w:r>
    </w:p>
    <w:p>
      <w:pPr>
        <w:spacing w:after="0" w:line="18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Diluted net loss per share is computed using the more dilutive of (a) the two-class method or (b) the as-converted method. The Company allocates earnings first to redeemable convertible preferred shares stockholders based on dividend rights and then to common and preferred stockholders based on ownership interests. The weighted-average number of shares of common stock included in the computation of diluted net loss gives effect to all potentially dilutive common equivalent shares, including outstanding stock options and preferred stock.</w:t>
      </w:r>
    </w:p>
    <w:p>
      <w:pPr>
        <w:spacing w:after="0" w:line="17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for the years ended December 31, 2017 and 2018.</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Immediately prior to the completion of the Company’s IPO resulting in net proceeds of at least $45.0 million to the Company all outstanding shares of redeemable convertible preferred stock will automatically convert into common stock. The shares of common stock issuable and the proceeds expected to be received in the IPO are excluded from such pro forma financial information.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unaudited pro forma net loss per share for the year ended December 31, 2018 was computed using the weighted-average number of shares of common stock outstanding, including the pro forma effect of the conversion of all outstanding shares of redeemable convertible preferred stock, as if such conversion had occurred at the beginning of the period, or their issuance dates, if later. The unaudited pro forma net loss per share does not include the shares expected to be sold and related proceeds to be received from the IPO. Net loss attributable to common stockholders used in the unaudited pro forma net loss per share calculation was adjusted for the accretion of redeemable convertible preferred stock, as preferred stock is not considered outstanding prior to the closing of the IPO.</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 with certain exceptions that follow; and as a result of this election, its financial statements may not be comparable to companies that comply with public company effective dates.</w:t>
      </w:r>
    </w:p>
    <w:p>
      <w:pPr>
        <w:spacing w:after="0" w:line="19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May 2014, the Financial Accounting Standards Board (“FASB”), issued ASU No. 2014-09</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xml:space="preserve">. In August 2015, the FASB issued ASU No. 2015-14, </w:t>
      </w:r>
      <w:r>
        <w:rPr>
          <w:rFonts w:ascii="Arial" w:cs="Arial" w:eastAsia="Arial" w:hAnsi="Arial"/>
          <w:sz w:val="16"/>
          <w:szCs w:val="16"/>
          <w:i w:val="1"/>
          <w:iCs w:val="1"/>
          <w:color w:val="auto"/>
        </w:rPr>
        <w:t>Revenue from Contracts with Customers: Deferral of the Effective date</w:t>
      </w:r>
      <w:r>
        <w:rPr>
          <w:rFonts w:ascii="Arial" w:cs="Arial" w:eastAsia="Arial" w:hAnsi="Arial"/>
          <w:sz w:val="16"/>
          <w:szCs w:val="16"/>
          <w:color w:val="auto"/>
        </w:rPr>
        <w:t>, which delayed the effective date of ASU No. 2014-09 by one year. The objective of this update is to provide a single, comprehensive revenue recognition model for all contracts with customers to improve comparability within industries, across industries, and across capital markets. This standard update contains principles that the Company will apply to determine the measurement of revenue and timing of when it is recognized. ASU No. 2014-09, as amended, is effective for annual periods beginning after December 15, 2018 for public entities. Early adoption was permitted based on ASU No. 2014-09 original adoption date. The Company adopted ASU No. 2014-09 as amended on of January 1, 2017. As the Company does not generate any revenues and does not have other agreements with customers, the new standard adoption did not have any impact on the Company’s financial statements.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simplifies share-based payment accounting through a variety of amendments. The Company elected to record forfeitures as they occur for all periods presented. Adoption of ASU No. 2016-09 did not have a material impact on the Company’s financial statements.</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changes the definition of a business to assist entities with evaluating when a set of transferred assets and activities is deemed to be a business. Determining whether a transferred set of assets and activities constitutes a business is important because the accounting for a business combination differs from that of an asset acquisition. The definition of a business also affects the accounting for dispositions. Under the new standard, when substantially all the fair value of assets acquired is concentrated in a single asset, or a group of similar assets, the assets acquired would not represent a business and business combination accounting would not be required. The new standard may result in more transactions being accounted for as asset acquisitions rather than business combinations. The standard is effective for public entities for interim and annual periods beginning after December 15, 2017 and shall be applied prospectively. Early adoption is permitted. The Company elected to early adopt ASU No. 2017-01 on January 1, 2017 and will apply the new guidance to applicable future transactions.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June 2018, the FASB issued ASU No. 2018-07, which amends and expands the scope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currently only includes accounting guidance for share-based awards granted to employees) to include share-based awards issued to nonemployees for goods or services. Consequently, the accounting for share-based awards to nonemployees and employees will be substantially aligned. The ASU supersedes Subtopic 505-50, </w:t>
      </w:r>
      <w:r>
        <w:rPr>
          <w:rFonts w:ascii="Arial" w:cs="Arial" w:eastAsia="Arial" w:hAnsi="Arial"/>
          <w:sz w:val="18"/>
          <w:szCs w:val="18"/>
          <w:i w:val="1"/>
          <w:iCs w:val="1"/>
          <w:color w:val="auto"/>
        </w:rPr>
        <w:t>Equity—Equity-Based Payments to Non-Employees</w:t>
      </w:r>
      <w:r>
        <w:rPr>
          <w:rFonts w:ascii="Arial" w:cs="Arial" w:eastAsia="Arial" w:hAnsi="Arial"/>
          <w:sz w:val="18"/>
          <w:szCs w:val="18"/>
          <w:color w:val="auto"/>
        </w:rPr>
        <w:t>. This standard is effective for public companies for annual periods beginning after December 15, 2018, including interim periods within those fiscal years, with early adoption permitted if ASU No. 2014-09 has been adopted by an entity. The Company early adopted ASU No. 2018-07 as of January 1, 2017, which did not have a material impact on the Company’s financial statements.</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an entity to recognize assets and liabilities arising from a lease for both financing and operating leases. For public entities, ASU No. 2016-02 is effective for fiscal years beginning after December 15, 2018. The ASU will also require new qualitative and quantitative disclosures to help investors and other financial statement users better understand the amount, timing, and uncertainty of cash flows arising from leases. As a result of the Company having elected the extended transition period for complying with new or revised accounting standards pursuant to Section 107(b) of the JOBS Act, ASU No. 2016-02 is effective for the Company in the fiscal years beginning after December 15, 2019, with early adoption permitted. The Company is currently in the process of evaluating the impact of the adoption of ASU No. 2016-02 on the Company’s financial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Assets and liabilities recorded at fair value on a recurring basis in the balance sheets, as well as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71" w:lineRule="exact"/>
        <w:rPr>
          <w:sz w:val="20"/>
          <w:szCs w:val="20"/>
          <w:color w:val="auto"/>
        </w:rPr>
      </w:pPr>
    </w:p>
    <w:p>
      <w:pPr>
        <w:ind w:left="760" w:hanging="212"/>
        <w:spacing w:after="0"/>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30" w:lineRule="exact"/>
        <w:rPr>
          <w:rFonts w:ascii="Arial" w:cs="Arial" w:eastAsia="Arial" w:hAnsi="Arial"/>
          <w:sz w:val="18"/>
          <w:szCs w:val="18"/>
          <w:color w:val="auto"/>
        </w:rPr>
      </w:pPr>
    </w:p>
    <w:p>
      <w:pPr>
        <w:jc w:val="both"/>
        <w:ind w:left="760" w:hanging="212"/>
        <w:spacing w:after="0" w:line="263" w:lineRule="auto"/>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assets or liabilities in markets that are not active, or other inputs that are observable or can be corroborated by observable market data for substantially the full term of the related assets or liabilities; and</w:t>
      </w:r>
    </w:p>
    <w:p>
      <w:pPr>
        <w:spacing w:after="0" w:line="89" w:lineRule="exact"/>
        <w:rPr>
          <w:rFonts w:ascii="Arial" w:cs="Arial" w:eastAsia="Arial" w:hAnsi="Arial"/>
          <w:sz w:val="18"/>
          <w:szCs w:val="18"/>
          <w:color w:val="auto"/>
        </w:rPr>
      </w:pPr>
    </w:p>
    <w:p>
      <w:pPr>
        <w:ind w:left="760" w:right="200" w:hanging="212"/>
        <w:spacing w:after="0" w:line="277" w:lineRule="auto"/>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w:t>
      </w:r>
      <w:r>
        <w:rPr>
          <w:rFonts w:ascii="Arial" w:cs="Arial" w:eastAsia="Arial" w:hAnsi="Arial"/>
          <w:sz w:val="18"/>
          <w:szCs w:val="18"/>
          <w:i w:val="1"/>
          <w:iCs w:val="1"/>
          <w:color w:val="auto"/>
        </w:rPr>
        <w:t xml:space="preserve"> </w:t>
      </w:r>
      <w:r>
        <w:rPr>
          <w:rFonts w:ascii="Arial" w:cs="Arial" w:eastAsia="Arial" w:hAnsi="Arial"/>
          <w:sz w:val="18"/>
          <w:szCs w:val="18"/>
          <w:color w:val="auto"/>
        </w:rPr>
        <w:t>no market data.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cash equivalent money market funds are classified as Level 1 because they are valued using quoted market prices.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w w:val="95"/>
              </w:rPr>
              <w:t>As of December 31, 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$ 3,263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rPr>
              <w:t>$ —</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$ 3,263</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$ 3,263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$ 3,263</w:t>
            </w:r>
          </w:p>
        </w:tc>
      </w:tr>
      <w:tr>
        <w:trPr>
          <w:trHeight w:val="20"/>
        </w:trPr>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As of December 31, 2018</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660" w:type="dxa"/>
            <w:vAlign w:val="bottom"/>
          </w:tcPr>
          <w:p>
            <w:pPr>
              <w:spacing w:after="0"/>
              <w:rPr>
                <w:sz w:val="12"/>
                <w:szCs w:val="12"/>
                <w:color w:val="auto"/>
              </w:rPr>
            </w:pPr>
          </w:p>
        </w:tc>
        <w:tc>
          <w:tcPr>
            <w:tcW w:w="80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7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1"/>
              </w:rPr>
              <w:t>$ 59,911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ind w:left="2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Arial" w:cs="Arial" w:eastAsia="Arial" w:hAnsi="Arial"/>
                <w:sz w:val="18"/>
                <w:szCs w:val="18"/>
                <w:color w:val="auto"/>
              </w:rPr>
              <w:t>$ —</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$ 59,911</w:t>
            </w:r>
          </w:p>
        </w:tc>
      </w:tr>
      <w:tr>
        <w:trPr>
          <w:trHeight w:val="27"/>
        </w:trPr>
        <w:tc>
          <w:tcPr>
            <w:tcW w:w="7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$ 59,911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9"/>
              </w:rPr>
              <w:t>$ 59,911</w:t>
            </w:r>
          </w:p>
        </w:tc>
      </w:tr>
      <w:tr>
        <w:trPr>
          <w:trHeight w:val="20"/>
        </w:trPr>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There were no liabilities measured at fair value on a recurring basis as of December 31, 2017 and 2018. There have been no transfers between fair value measurement levels during the years ended December 31, 2017 and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records interest income and accretion income earned on money market funds to interest income in its statement of operations.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As of December 31,</w:t>
            </w:r>
          </w:p>
        </w:tc>
      </w:tr>
      <w:tr>
        <w:trPr>
          <w:trHeight w:val="142"/>
        </w:trPr>
        <w:tc>
          <w:tcPr>
            <w:tcW w:w="9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Laboratory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2,235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4,708</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Total property and equipment, gross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5,335</w:t>
            </w: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(1,075)</w:t>
            </w: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1,846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4,260</w:t>
            </w:r>
          </w:p>
        </w:tc>
        <w:tc>
          <w:tcPr>
            <w:tcW w:w="1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for the years ended December 31, 2017 and 2018 was $0.3 million and $0.7 million, respectively.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9"/>
        </w:trPr>
        <w:tc>
          <w:tcPr>
            <w:tcW w:w="9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$ 1,470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633</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r>
      <w:tr>
        <w:trPr>
          <w:trHeight w:val="223"/>
        </w:trPr>
        <w:tc>
          <w:tcPr>
            <w:tcW w:w="9540" w:type="dxa"/>
            <w:vAlign w:val="bottom"/>
          </w:tcPr>
          <w:p>
            <w:pPr>
              <w:ind w:left="36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$ 2,508</w:t>
            </w:r>
          </w:p>
        </w:tc>
        <w:tc>
          <w:tcPr>
            <w:tcW w:w="6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compensation and benefits consist primarily of accrued bonuses and accrued vacation.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License Agreement</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 xml:space="preserve">In August 2015, the Company entered into an exclusive, worldwide license agreement (the “UC Agreement”) with the Regents of the University of California (the “UC Regents”) relating to the use of certain patents and technology relating to </w:t>
      </w:r>
      <w:r>
        <w:rPr>
          <w:rFonts w:ascii="Arial" w:cs="Arial" w:eastAsia="Arial" w:hAnsi="Arial"/>
          <w:sz w:val="17"/>
          <w:szCs w:val="17"/>
          <w:color w:val="auto"/>
        </w:rPr>
        <w:t>a</w:t>
      </w:r>
      <w:r>
        <w:rPr>
          <w:rFonts w:ascii="Arial" w:cs="Arial" w:eastAsia="Arial" w:hAnsi="Arial"/>
          <w:sz w:val="16"/>
          <w:szCs w:val="16"/>
          <w:color w:val="auto"/>
        </w:rPr>
        <w:t>vb1 compound in fibrosis indications. Pursuant to the UC Agreement, the Company is obligated to (i) make a non-refundable upfront license fee payment of $0.4 million and annual license maintenance fee payments of $10,000 per year beginning on the first anniversary of the UC Agreement escalating to $25,000 per year thereafter (ii) make royalty payments to the UC Regents of 3% of net sales of a therapeutic licensed product or 1% of net sales of a method of use licensed product, subject to an annual minimum of $1.0 million, (iii) make milestone payments up to an aggregate of $18.2 million to the UC Regents upon the occurrence of certain events, (iv) make a milestone payment based on the number of outstanding shares and a price per share as defined in the UC Agreement within 30 days of the closing of an IPO or change of control, and (v) reimburse the UC Regents for prosecution and maintenance expenses of the licensed patents without limitation. The Company will expense any payments for milestones to research and development expenses prior to receiving Federal Drug and Administration (“FDA”) approval for any of its product candidates. These costs will be capitalized when FDA approval is obtained for any products being selected for commercialization and amortized over the remaining life of the patent. If the Company sublicenses its rights under the UC Agreement, it is obligated to pay the UC Regents a percentage of the total gross proceeds received in consideration of the grant of the sublicense, which total amount would be first reduced by the aggregate amount of certain research and development related expense incurred by the Company. The UC Regents have the right to purchase an amount equal to a low single-digit percent of any securities offered by the Company to investors other than to Third Rock Ventures III, L.P. (“TRV”) or an affiliate of TRV. This participation right expires immediately before the completion of the IPO.</w:t>
      </w:r>
    </w:p>
    <w:p>
      <w:pPr>
        <w:spacing w:after="0" w:line="16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UC Agreement can be terminated at any time upon the material breach of contract terms by either party to the agreement. The Company has the right to terminate the agreement at any time upon providing written notice to the UC Regents. Unless terminated early, the UC Agreement will remain in effect from the effective date until the later of (i) the expiration or abandonment of the patent rights licensed under the UC Agreement, or (ii) ten years from the date of the first commercial sale of the first licensed product under the agreement.</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recorded $10,000 as research and development expenses related to the annual license maintenance fee for each of the years ended December 31, 2017 and 2018,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Research Agreement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Adimab Development and Option Agreement</w:t>
      </w:r>
    </w:p>
    <w:p>
      <w:pPr>
        <w:spacing w:after="0" w:line="117"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In October 2018, the Company and Adimab LLC (“Adimab”) entered into a development and option agreement (the “Adimab Agreement”) for the discovery and optimization of proprietary antibodies as potential therapeutic product candidates. Under the Adimab Agreement, the Company will select biological targets against which Adimab will use its proprietary platform technology to research and develop antibody proteins using a mutually agreed upon research plan.</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Upon the Company’s selection of a target, the Company and Adimab will initiate a research plan and the discovery term begins. During the discovery term, Adimab will grant the Company a non-exclusive, non-sublicensable license under its technology with respect to the target, to research, design and preclinically develop and use antibodies that were modified or derived using Adimab technology, solely to evaluate such antibodies, perform the Company’s responsibilities under the research plan and use such antibodies for certain diagnostic purposes. The Company will also grant to Adimab a non-exclusive, non-sublicensable and non-transferable license with respect to the target under the Company’s technology that covers or relates to such target, solely to perform its responsibilities under the research plan during the discovery period. The Company is required to pay Adimab at an agreed upon rate for its full-time employees during the discovery period while Adimab performs research on each target under the applicable research plan.</w:t>
      </w:r>
    </w:p>
    <w:p>
      <w:pPr>
        <w:spacing w:after="0" w:line="166"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Adimab granted the Company an exclusive option to obtain a worldwide, royalty-bearing, sublicensable license under Adimab platform patents and other Adimab technology to research, develop and commercialize up to twenty four antibodies selected by the Company (the “Program Antibodies”) against specific biological targets (the “Commercialization Option”). Upon the exercise of a Commercialization Option, and payment of the applicable option fee to Adimab, Adimab will assign the patents that cover the Program Antibodies to Company. The Company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Pursuant to the Adimab Agreement, the Company is obligated to (i) make a nonrefundable upfront license fee payment for access to Adimab’s technology; (ii) pay Adimab at an agreed upon rate for each full-time employee (“FTE”) during the research period; (iii) make additional payments upon the Company making other research related elections; (iv) pay up to a dollar amount in the low double digit millions for the achievement of certain research and development milestones for each research target program which can vary by target type; (v) make royalty payments to Adimab on Company net sales of its products covered under the Adimab Agreement, subject to varying royalty payments on certain product types. Currently, no product types have been selected by the Company.</w:t>
      </w:r>
    </w:p>
    <w:p>
      <w:pPr>
        <w:spacing w:after="0" w:line="192"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During the year ended December 31, 2018, the Company recognized research and development expense under the Adimab Agreement of $0.1 million related to the upfront license fee and FTE costs.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terms of each series. The following is a summary of the Company’s redeemable convertible preferred stock (in thousands except share amounts):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stock consisted of the following as of December 31, 2017:</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4"/>
                <w:szCs w:val="14"/>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Value/</w:t>
            </w:r>
          </w:p>
        </w:tc>
        <w:tc>
          <w:tcPr>
            <w:tcW w:w="160" w:type="dxa"/>
            <w:vAlign w:val="bottom"/>
          </w:tcPr>
          <w:p>
            <w:pPr>
              <w:spacing w:after="0"/>
              <w:rPr>
                <w:sz w:val="12"/>
                <w:szCs w:val="12"/>
                <w:color w:val="auto"/>
              </w:rPr>
            </w:pPr>
          </w:p>
        </w:tc>
        <w:tc>
          <w:tcPr>
            <w:tcW w:w="6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Issued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Authorized</w:t>
            </w:r>
          </w:p>
        </w:tc>
        <w:tc>
          <w:tcPr>
            <w:tcW w:w="1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62,500,000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36,500,000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39,910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62,500,000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36,500,000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39,910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Preferred stock consisted of the following as of December 31, 2018:</w:t>
            </w: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24"/>
                <w:szCs w:val="2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4"/>
                <w:szCs w:val="24"/>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Redemption</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Value/</w:t>
            </w:r>
          </w:p>
        </w:tc>
        <w:tc>
          <w:tcPr>
            <w:tcW w:w="8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Issued and</w:t>
            </w:r>
          </w:p>
        </w:tc>
        <w:tc>
          <w:tcPr>
            <w:tcW w:w="140" w:type="dxa"/>
            <w:vAlign w:val="bottom"/>
          </w:tcPr>
          <w:p>
            <w:pPr>
              <w:spacing w:after="0"/>
              <w:rPr>
                <w:sz w:val="12"/>
                <w:szCs w:val="12"/>
                <w:color w:val="auto"/>
              </w:rPr>
            </w:pPr>
          </w:p>
        </w:tc>
        <w:tc>
          <w:tcPr>
            <w:tcW w:w="10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Liquidation</w:t>
            </w: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Authorized</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4"/>
                <w:szCs w:val="14"/>
                <w:color w:val="auto"/>
              </w:rPr>
            </w:pPr>
          </w:p>
        </w:tc>
        <w:tc>
          <w:tcPr>
            <w:tcW w:w="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56,000,000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61,516</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61,516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Series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58,109,973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49,501,221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70,587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70,587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114,109,973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105,501,221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132,103</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$ 132,103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Preferred</w:t>
      </w:r>
    </w:p>
    <w:p>
      <w:pPr>
        <w:spacing w:after="0" w:line="117"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 August 2015, the Company entered into a Series A Preferred Stock Purchase Agreement (the “Series A Purchase Agreement”) pursuant to which it agreed to sell, and the purchasers agreed to purchase up to $45.0 million of Series A Redeemable Convertible Preferred Stock (“Series A Preferred”) in three anticipated tranches based on the achievement of defined performance milestones. The Series A Preferred stockholders may not assign the rights to purchase shares of Series A Preferred at any future milestone closing tranches separately without a transfer of already purchased shares. The Company determined that these future tranche obligations did not meet the definition of a freestanding financial instrument because, while separately exercisable, they were not legally detachable. Further, the Company determined that the embedded future tranche obligation did not require bifurcation for accounting purposes as it was clearly and closely related to the economic characteristics and risks of the Series A Preferred and would not meet the definition of a derivative on a standalone basis.</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Under the Series A Purchase Agreement, as part of the initial closing, the Company issued 6.5 million shares of Series A Preferred at $1.00 per share in exchange for cash proceeds of $6.4 million and the conversion of convertible promissory notes in the amount of $0.1 million representing outstanding principal and accrued interest.</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April 2016, the Company issued 5.0 million shares of Series A Preferred at $1.00 per share in exchange for cash proceeds of $5.0 million in an additional closing of the first tranche. The final closing of the first tranche occurred in September of 2016, when the Company issued 5.0 million additional shares of Series A Preferred at $1.00 per share in exchange for cash proceeds of $5.0 million.</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February 2017, the Company issued 8.0 million shares of Series A Preferred at $1.00 per share in exchange for cash proceeds of $8.0 million in a closing of the second tranche.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July 2017, the Company issued 12.0 million shares of Series A Preferred at $1.00 per share in exchange for cash proceeds of $12.0 million in an initial closing of the third tranche.</w:t>
      </w:r>
    </w:p>
    <w:p>
      <w:pPr>
        <w:spacing w:after="0" w:line="6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January 2018, the Company issued 8.5 million shares of Series A Preferred at $1.00 per share in exchange for cash proceeds of $8.5 million in an additional closing of the third tranche.</w:t>
      </w:r>
    </w:p>
    <w:p>
      <w:pPr>
        <w:spacing w:after="0" w:line="170"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In March 2018, based on the amendment to the Series A Purchase Agreement, the Company issued 11.0 million additional shares of Series A Preferred at $1.00 per share in exchange for cash proceeds of $11.0 million in the final closing of the third tranche.</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Preferred</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July 2018, the Company entered into a Series B Preferred Stock Purchase Agreement (the “Series B Purchase Agreement”) in which it agreed to sell, and the purchasers agreed to purchase, up to $70.0 million of Series B Redeemable Convertible Preferred Stock (“Series B Preferred”). Under the Series B Purchase Agreement, the Company initially issued 45.1 million shares of Series B Preferred at $1.3767 per share in exchange for cash proceeds of approximately $62.1 million.</w:t>
      </w:r>
    </w:p>
    <w:p>
      <w:pPr>
        <w:spacing w:after="0" w:line="7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November 2018, the Company issued 4.4 million additional shares of Series B Preferred at $1.3767 per share in exchange for cash proceeds of approximately $6.0 million.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Series A Preferred and Series B Preferred (collectively, the “Preferred Stock”) have the following rights and privileges: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Each holder of shares of Series A Preferred and Series B Preferred is entitled to the number of votes equal to the number of shares of common stock into which such shares could be converted and has voting rights and powers equal to the voting rights and powers of the common stock, and except as provided by law or by other provisions of the Company’s Certificate of Incorporation, as amended, shall vote together with the common stock as a single class on an as-converted basis on all matters as to which holders of common stock have the right to vote.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holders of Series A Preferred, voting separately as a single class, are entitled to elect two members of the Company’s board of directors. At any time when at least 12.5 million shares of Series B Preferred are outstanding, the holders of Series B Preferred are entitled to elect one member of the Company’s board of directors. The holders of shares of common stock, voting separately as a single class, are entitled to elect one member of the Company’s board of directors. All remaining members of the Company’s board of directors are elected by the holders of the common stock and Preferred Stock voting together as a single class.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Shares of the Preferred Stock are convertible at any time at the option of the holder into such number of shares as is determined by dividing the original issuance price by the conversion price in effect at the time. The original conversion price is the original issuance price for each series of Preferred Stock, or $1.00 for Series A Preferred and $1.3767 for Series B Preferred, subject to certain adjustments. As of December 31, 2018, the Preferred Stock was convertible into shares of the Company’s common stock on a one-for-one basis.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All outstanding shares of Preferred Stock will automatically convert upon the completion of an IPO resulting in net proceeds to the Company of at least $45.0 million or the vote or written consent of a requisite majority of holders of the then outstanding shares of Preferred Stock on an as-converted to common stock basis.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holders of Series A Preferred were originally entitled to receive cumulative dividends from their respective dates of issuance at the rate of 8.0% on their original issue price. In July 2018, in conjunction with the execution of the Series B Purchase Agreement, the Series A Preferred accreted dividends were cancelled.</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the Series B Purchase Agreement, the holders of both shares of Series A and Series B Preferred are entitled to receive cumulative dividends commencing on July 10, 2018, the issuance date of Series B Preferred, at an annual rate of 8.0% on their original issuance price. The Series A Preferred and Series B Preferred dividends accrue from day-to-day, whether declared or not, and are payable only when and if declared by the Company’s board of directors. Since inception, the Company has never declared or paid any dividends.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Upon liquidation, dissolution, or winding up of the Company or a deemed liquidation event as defined in the Company’s Certificate of Incorporation, the holders of shares of Preferred Stock will receive, in preference to any distribution to the holders of common stock, an amount per share equal to the greater of (i) the original issue price per share of the respective series of Preferred Stock, plus all dividends declared but unpaid on such shares, or (ii) the amount the holders would receive on an as-converted into common stock basis. Series B Preferred holders are entitled to receive their liquidation preference before any distributions are made to Series A Preferred holders and common stockholders. Series A Preferred holders are entitled to receive their liquidation preference before any distributions are made to common stock holders. After payments of the full liquidation preferences of the Series A and B Preferred described above, any remaining assets of the Company shall be distributed to the holders of the common stock in proportion to the number of shares of common stock that they hold.</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Series A Preferred were redeemable at any time on or after five years from August 19, 2015, the original issuance date of the 6.5 million shares of Series A Preferred, upon receipt of a written notice from the holders of a majority of the shares of Series A Preferred. The initial redemption price was the greater of (i) the Series A Preferred original issuance price per share, plus any accrued and unpaid dividends, whether or not declared by the board of directors, and (ii) the fair market value of Series A Preferred as mutually agreed upon by the Company and the holders of a majority of the shares of Series A Preferred then outstanding.</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July 2018, in conjunction with the execution of the Series B Preferred Purchase Agreement, the Series A Preferred redemption provision was amended as follows: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outstanding shares of Preferred Stock shall be redeemed by the Company at a price equal to the original issuance price per share, plus any accrued and unpaid dividends, whether or not declared, together with any other dividends declared but unpaid in three annual installments commencing not more than sixty (60) days after receipt by the Company at any time on or after five years from the Series B Preferred original issuance date, July 10, 2018, a written notice from the holders of a majority of the shares of Preferred Stock.</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 accounted for the changes in Series A Preferred redemption provision as a modification as there was no significant difference in Series A Preferred fair value before and after the modification.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powers, and preferences of the holders of the Preferred Stock. As of December 31, 2018,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Company had 147,682,655 authorized shares of common stock at a par value of $0.0001 per share. The common stock has the following rights and privileges: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After payment of the respective liquidation preferences to the holders of shares of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105,501,221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Exercises of outstanding stock option awards</w:t>
            </w:r>
          </w:p>
        </w:tc>
        <w:tc>
          <w:tcPr>
            <w:tcW w:w="12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809,200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available for future grants under the 2015 Equity Incentive Plan, as amended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3,119,766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7,029,718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shares reserved for future issuance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39,619,766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113,340,139</w:t>
            </w: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b w:val="1"/>
          <w:bCs w:val="1"/>
          <w:i w:val="1"/>
          <w:iCs w:val="1"/>
          <w:color w:val="auto"/>
        </w:rPr>
        <w:t>Founders’ Common Stock Awards</w:t>
      </w:r>
    </w:p>
    <w:p>
      <w:pPr>
        <w:spacing w:after="0" w:line="11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2015, the Company’s board of directors granted common stock awards to the Company’s founders in exchange for services provided to the Company. The purchase price of the common stock awards was the estimated fair value at the issuance date. The shares vest from one to four years and vesting could be accelerated upon a change in control. The vesting of certain performance-based restricted stock awards were contingent upon the filing of an Investigational New Drug Application by the Company with the FDA.</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the holder of founders’ common stock award terminates their relationship with the Company during the vesting period, the Company may repurchase any unvested restricted common stock held by these individuals at their original purchase price. During the vesting term, holders of founders’ common stock awards are deemed to be common stockholders and have dividend and voting rights. The Company issued 5,328,500 shares of founders’ common stock during 2015. No founders’ common stock awards were granted in subsequent years. Total compensation expense was $25,000 for these founders’ common stock awards, which are recorded to operating expenses in the statements of operations over their respective vesting period. As of December 31, 2018, 333,729 shares of founders’ common stock awards were not vested and are expected to vest in 2019.</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2015 Equity Incentive Plan and Stock-Based Compensation</w:t>
      </w:r>
    </w:p>
    <w:p>
      <w:pPr>
        <w:spacing w:after="0" w:line="27"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In August 2015, the board of directors adopted the 2015 Equity Incentive Plan, as amended (the “Plan”), which provides for the grant of incentive stock options, nonqualified stock options or other awards including stock appreciation rights and restricted stock awards to the Company’s employees, officers, directors, advisors, and consultants for the purchase of up to 11.0 million shares of the Company’s common stock. In July 2018, the Plan was amended to increase the number of shares reserved thereunder by 7.2 million shares. As of December 31, 2018, 7.0 million shares remained available for issuance under the Plan.</w:t>
      </w:r>
    </w:p>
    <w:p>
      <w:pPr>
        <w:spacing w:after="0" w:line="19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Options under the Plan may be granted for periods of up to 10 years and at prices no less than 100.0% of the estimated fair value of the shares on the date of grant as determined by the board of directors,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Company granted restricted stock awards under the Plan. The purchase price of the restricted common stock awards was the estimated fair value as determined by the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a common stockholders and have dividends and voting rights.</w:t>
      </w:r>
    </w:p>
    <w:p>
      <w:pPr>
        <w:spacing w:after="0" w:line="16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December 31, 2017, and 2018, the Company recorded a liability included in accrued expenses and other liabilities of $42,000 and $52,000, respectively.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related to restricted stock awards with the following assumptions for the years ended December 31, 2017 and 2018: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5160" w:type="dxa"/>
            <w:vAlign w:val="bottom"/>
            <w:gridSpan w:val="3"/>
          </w:tcPr>
          <w:p>
            <w:pPr>
              <w:jc w:val="right"/>
              <w:ind w:right="59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66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2018</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- 80.90%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- 76.20%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60" w:type="dxa"/>
            <w:vAlign w:val="bottom"/>
          </w:tcPr>
          <w:p>
            <w:pPr>
              <w:ind w:left="20"/>
              <w:spacing w:after="0"/>
              <w:rPr>
                <w:sz w:val="20"/>
                <w:szCs w:val="20"/>
                <w:color w:val="auto"/>
              </w:rPr>
            </w:pPr>
            <w:r>
              <w:rPr>
                <w:rFonts w:ascii="Arial" w:cs="Arial" w:eastAsia="Arial" w:hAnsi="Arial"/>
                <w:sz w:val="18"/>
                <w:szCs w:val="18"/>
                <w:color w:val="auto"/>
              </w:rPr>
              <w:t>- 1.79%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880" w:type="dxa"/>
            <w:vAlign w:val="bottom"/>
          </w:tcPr>
          <w:p>
            <w:pPr>
              <w:ind w:left="20"/>
              <w:spacing w:after="0"/>
              <w:rPr>
                <w:sz w:val="20"/>
                <w:szCs w:val="20"/>
                <w:color w:val="auto"/>
              </w:rPr>
            </w:pPr>
            <w:r>
              <w:rPr>
                <w:rFonts w:ascii="Arial" w:cs="Arial" w:eastAsia="Arial" w:hAnsi="Arial"/>
                <w:sz w:val="18"/>
                <w:szCs w:val="18"/>
                <w:color w:val="auto"/>
              </w:rPr>
              <w:t>- 2.48%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35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rPr>
              <w:t>— %</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860" w:type="dxa"/>
            <w:vAlign w:val="bottom"/>
          </w:tcPr>
          <w:p>
            <w:pPr>
              <w:ind w:left="20"/>
              <w:spacing w:after="0"/>
              <w:rPr>
                <w:sz w:val="20"/>
                <w:szCs w:val="20"/>
                <w:color w:val="auto"/>
              </w:rPr>
            </w:pPr>
            <w:r>
              <w:rPr>
                <w:rFonts w:ascii="Arial" w:cs="Arial" w:eastAsia="Arial" w:hAnsi="Arial"/>
                <w:sz w:val="18"/>
                <w:szCs w:val="18"/>
                <w:color w:val="auto"/>
              </w:rPr>
              <w:t>- 2.15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0.92</w:t>
            </w:r>
          </w:p>
        </w:tc>
        <w:tc>
          <w:tcPr>
            <w:tcW w:w="880" w:type="dxa"/>
            <w:vAlign w:val="bottom"/>
          </w:tcPr>
          <w:p>
            <w:pPr>
              <w:ind w:left="20"/>
              <w:spacing w:after="0"/>
              <w:rPr>
                <w:sz w:val="20"/>
                <w:szCs w:val="20"/>
                <w:color w:val="auto"/>
              </w:rPr>
            </w:pPr>
            <w:r>
              <w:rPr>
                <w:rFonts w:ascii="Arial" w:cs="Arial" w:eastAsia="Arial" w:hAnsi="Arial"/>
                <w:sz w:val="18"/>
                <w:szCs w:val="18"/>
                <w:color w:val="auto"/>
              </w:rPr>
              <w:t>- 2.16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Underlying common stock fair value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$0.33</w:t>
            </w:r>
          </w:p>
        </w:tc>
      </w:tr>
      <w:tr>
        <w:trPr>
          <w:trHeight w:val="365"/>
        </w:trPr>
        <w:tc>
          <w:tcPr>
            <w:tcW w:w="3980" w:type="dxa"/>
            <w:vAlign w:val="bottom"/>
          </w:tcPr>
          <w:p>
            <w:pPr>
              <w:spacing w:after="0"/>
              <w:rPr>
                <w:sz w:val="24"/>
                <w:szCs w:val="24"/>
                <w:color w:val="auto"/>
              </w:rPr>
            </w:pPr>
          </w:p>
        </w:tc>
        <w:tc>
          <w:tcPr>
            <w:tcW w:w="4300" w:type="dxa"/>
            <w:vAlign w:val="bottom"/>
            <w:gridSpan w:val="2"/>
          </w:tcPr>
          <w:p>
            <w:pPr>
              <w:jc w:val="right"/>
              <w:ind w:right="2510"/>
              <w:spacing w:after="0"/>
              <w:rPr>
                <w:sz w:val="20"/>
                <w:szCs w:val="20"/>
                <w:color w:val="auto"/>
              </w:rPr>
            </w:pPr>
            <w:r>
              <w:rPr>
                <w:rFonts w:ascii="Arial" w:cs="Arial" w:eastAsia="Arial" w:hAnsi="Arial"/>
                <w:sz w:val="18"/>
                <w:szCs w:val="18"/>
                <w:color w:val="auto"/>
              </w:rPr>
              <w:t>F-22</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restricted stock activity during the years ended December 31, 2017 and 2018:</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900" w:type="dxa"/>
            <w:vAlign w:val="bottom"/>
          </w:tcPr>
          <w:p>
            <w:pPr>
              <w:spacing w:after="0"/>
              <w:rPr>
                <w:sz w:val="12"/>
                <w:szCs w:val="12"/>
                <w:color w:val="auto"/>
              </w:rPr>
            </w:pPr>
          </w:p>
        </w:tc>
        <w:tc>
          <w:tcPr>
            <w:tcW w:w="13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9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2016</w:t>
            </w:r>
          </w:p>
        </w:tc>
        <w:tc>
          <w:tcPr>
            <w:tcW w:w="82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9"/>
              </w:rPr>
              <w:t>6,285,967</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Issued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1,624,288</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1"/>
              </w:rPr>
              <w:t>(2,089,144)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Repurchased</w:t>
            </w: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(1,217,834)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2017</w:t>
            </w:r>
          </w:p>
        </w:tc>
        <w:tc>
          <w:tcPr>
            <w:tcW w:w="82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9"/>
              </w:rPr>
              <w:t>4,603,277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Issued</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2,428,248</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1"/>
              </w:rPr>
              <w:t>(2,003,725)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Outstanding and unvested, as of December 31, 2018</w:t>
            </w:r>
          </w:p>
        </w:tc>
        <w:tc>
          <w:tcPr>
            <w:tcW w:w="820" w:type="dxa"/>
            <w:vAlign w:val="bottom"/>
            <w:tcBorders>
              <w:top w:val="single" w:sz="8" w:color="auto"/>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5,027,800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Restricted stock awards of 32,600 shares with a weighted-average grant date fair value of $0.03 per share, were not purchased by the award holders as of December 31, 2018. As these shares of the restricted common stock awards were not issued, they are not included in the table above.</w:t>
      </w:r>
    </w:p>
    <w:p>
      <w:pPr>
        <w:spacing w:after="0" w:line="124"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aggregate fair value of restricted stock awards vested during the years ended December 31, 2017 and 2018 was $22,000 and $0.1 million, respectively. Total intrinsic value of outstanding unvested restricted stock awards was $3.6 million as of December 31, 2018.</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Options and Nonqualified Stock Options</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Stock options issued under the Plan generally vest over a four-year period and expire ten years from the date of grant. Certain options provide for accelerated vesting if there is a change in control, as defined in the Plan. There were no stock options granted prior to 2018.</w:t>
      </w:r>
    </w:p>
    <w:p>
      <w:pPr>
        <w:spacing w:after="0" w:line="14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for stock option awards with the following assumptions for the year ended December 31, 2018: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704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2018</w:t>
            </w: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- 82.50%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840" w:type="dxa"/>
            <w:vAlign w:val="bottom"/>
          </w:tcPr>
          <w:p>
            <w:pPr>
              <w:ind w:left="20"/>
              <w:spacing w:after="0"/>
              <w:rPr>
                <w:sz w:val="20"/>
                <w:szCs w:val="20"/>
                <w:color w:val="auto"/>
              </w:rPr>
            </w:pPr>
            <w:r>
              <w:rPr>
                <w:rFonts w:ascii="Arial" w:cs="Arial" w:eastAsia="Arial" w:hAnsi="Arial"/>
                <w:sz w:val="18"/>
                <w:szCs w:val="18"/>
                <w:color w:val="auto"/>
              </w:rPr>
              <w:t>- 3.07%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5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2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840" w:type="dxa"/>
            <w:vAlign w:val="bottom"/>
          </w:tcPr>
          <w:p>
            <w:pPr>
              <w:ind w:left="20"/>
              <w:spacing w:after="0"/>
              <w:rPr>
                <w:sz w:val="20"/>
                <w:szCs w:val="20"/>
                <w:color w:val="auto"/>
              </w:rPr>
            </w:pPr>
            <w:r>
              <w:rPr>
                <w:rFonts w:ascii="Arial" w:cs="Arial" w:eastAsia="Arial" w:hAnsi="Arial"/>
                <w:sz w:val="18"/>
                <w:szCs w:val="18"/>
                <w:color w:val="auto"/>
              </w:rPr>
              <w:t>- 6.06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Underlying common stock fair value</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$0.72</w:t>
            </w:r>
          </w:p>
        </w:tc>
      </w:tr>
      <w:tr>
        <w:trPr>
          <w:trHeight w:val="365"/>
        </w:trPr>
        <w:tc>
          <w:tcPr>
            <w:tcW w:w="3980" w:type="dxa"/>
            <w:vAlign w:val="bottom"/>
          </w:tcPr>
          <w:p>
            <w:pPr>
              <w:spacing w:after="0"/>
              <w:rPr>
                <w:sz w:val="24"/>
                <w:szCs w:val="24"/>
                <w:color w:val="auto"/>
              </w:rPr>
            </w:pPr>
          </w:p>
        </w:tc>
        <w:tc>
          <w:tcPr>
            <w:tcW w:w="6200" w:type="dxa"/>
            <w:vAlign w:val="bottom"/>
            <w:gridSpan w:val="2"/>
          </w:tcPr>
          <w:p>
            <w:pPr>
              <w:jc w:val="right"/>
              <w:ind w:right="4410"/>
              <w:spacing w:after="0"/>
              <w:rPr>
                <w:sz w:val="20"/>
                <w:szCs w:val="20"/>
                <w:color w:val="auto"/>
              </w:rPr>
            </w:pPr>
            <w:r>
              <w:rPr>
                <w:rFonts w:ascii="Arial" w:cs="Arial" w:eastAsia="Arial" w:hAnsi="Arial"/>
                <w:sz w:val="18"/>
                <w:szCs w:val="18"/>
                <w:color w:val="auto"/>
              </w:rPr>
              <w:t>F-23</w:t>
            </w:r>
          </w:p>
        </w:tc>
        <w:tc>
          <w:tcPr>
            <w:tcW w:w="8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option activity under the Plan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4"/>
              </w:rPr>
              <w:t>Weighted-</w:t>
            </w: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4"/>
                <w:szCs w:val="14"/>
                <w:color w:val="auto"/>
              </w:rPr>
            </w:pP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Price per Share</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Term (in Years)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50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809,200</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0.29</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809,200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0.29</w:t>
            </w:r>
          </w:p>
        </w:tc>
        <w:tc>
          <w:tcPr>
            <w:tcW w:w="1300" w:type="dxa"/>
            <w:vAlign w:val="bottom"/>
            <w:gridSpan w:val="2"/>
            <w:shd w:val="clear" w:color="auto" w:fill="CCEEFF"/>
          </w:tcPr>
          <w:p>
            <w:pPr>
              <w:jc w:val="center"/>
              <w:ind w:left="220"/>
              <w:spacing w:after="0"/>
              <w:rPr>
                <w:sz w:val="20"/>
                <w:szCs w:val="20"/>
                <w:color w:val="auto"/>
              </w:rPr>
            </w:pPr>
            <w:r>
              <w:rPr>
                <w:rFonts w:ascii="Arial" w:cs="Arial" w:eastAsia="Arial" w:hAnsi="Arial"/>
                <w:sz w:val="18"/>
                <w:szCs w:val="18"/>
                <w:color w:val="auto"/>
                <w:w w:val="91"/>
              </w:rPr>
              <w:t>9.77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5"/>
              </w:rPr>
              <w:t>0.29</w:t>
            </w:r>
          </w:p>
        </w:tc>
        <w:tc>
          <w:tcPr>
            <w:tcW w:w="1300" w:type="dxa"/>
            <w:vAlign w:val="bottom"/>
            <w:gridSpan w:val="2"/>
            <w:vMerge w:val="restart"/>
          </w:tcPr>
          <w:p>
            <w:pPr>
              <w:jc w:val="center"/>
              <w:ind w:left="220"/>
              <w:spacing w:after="0"/>
              <w:rPr>
                <w:sz w:val="20"/>
                <w:szCs w:val="20"/>
                <w:color w:val="auto"/>
              </w:rPr>
            </w:pPr>
            <w:r>
              <w:rPr>
                <w:rFonts w:ascii="Arial" w:cs="Arial" w:eastAsia="Arial" w:hAnsi="Arial"/>
                <w:sz w:val="18"/>
                <w:szCs w:val="18"/>
                <w:color w:val="auto"/>
                <w:w w:val="91"/>
              </w:rPr>
              <w:t>9.66</w:t>
            </w:r>
          </w:p>
        </w:tc>
        <w:tc>
          <w:tcPr>
            <w:tcW w:w="460" w:type="dxa"/>
            <w:vAlign w:val="bottom"/>
            <w:gridSpan w:val="2"/>
            <w:vMerge w:val="restart"/>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3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2018</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809,200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0.29</w:t>
            </w:r>
          </w:p>
        </w:tc>
        <w:tc>
          <w:tcPr>
            <w:tcW w:w="1300" w:type="dxa"/>
            <w:vAlign w:val="bottom"/>
            <w:gridSpan w:val="2"/>
            <w:shd w:val="clear" w:color="auto" w:fill="CCEEFF"/>
          </w:tcPr>
          <w:p>
            <w:pPr>
              <w:jc w:val="center"/>
              <w:ind w:left="220"/>
              <w:spacing w:after="0"/>
              <w:rPr>
                <w:sz w:val="20"/>
                <w:szCs w:val="20"/>
                <w:color w:val="auto"/>
              </w:rPr>
            </w:pPr>
            <w:r>
              <w:rPr>
                <w:rFonts w:ascii="Arial" w:cs="Arial" w:eastAsia="Arial" w:hAnsi="Arial"/>
                <w:sz w:val="18"/>
                <w:szCs w:val="18"/>
                <w:color w:val="auto"/>
                <w:w w:val="91"/>
              </w:rPr>
              <w:t>9.77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Aggregate intrinsic value represents the difference between the fair value of the underlying common stock and the exercise price as of December 31, 2018. There were no option exercises in 2018. The weighted-average grant date fair value of options granted during the year ended December 31, 2018 was $0.48 per share.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Company’s stock-based awards for the years ended December 31, 2017 and 2018 (in thousands):</w:t>
      </w:r>
    </w:p>
    <w:p>
      <w:pPr>
        <w:spacing w:after="0" w:line="189"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Year Ended</w:t>
      </w:r>
    </w:p>
    <w:p>
      <w:pPr>
        <w:jc w:val="center"/>
        <w:ind w:left="97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8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awards and founders’ common stock awards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Stock options</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$ 228</w:t>
            </w: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As of December 31, 2018, there was $0.7 million and $0.4 million of unrecognized compensation costs that is expected to be recognized over the weighted-average periods of 2.2 years and 3.7 years related to restricted stock awards and stock options,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 provision for income taxes was recorded for the years ended December 31, 2017 and December 31, 2018. The Company has incurred net operating losses only in the United States since its inception. The Company has not reflected any benefit of such net operating loss carryforwards in the financial statements.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Year Ended</w:t>
      </w:r>
    </w:p>
    <w:p>
      <w:pPr>
        <w:jc w:val="center"/>
        <w:ind w:left="9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3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computed at federal statutory rate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credit—federal</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6"/>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Impact of federal rate change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5"/>
          </w:tcPr>
          <w:p>
            <w:pPr>
              <w:jc w:val="right"/>
              <w:ind w:right="90"/>
              <w:spacing w:after="0"/>
              <w:rPr>
                <w:sz w:val="20"/>
                <w:szCs w:val="20"/>
                <w:color w:val="auto"/>
              </w:rPr>
            </w:pPr>
            <w:r>
              <w:rPr>
                <w:rFonts w:ascii="Arial" w:cs="Arial" w:eastAsia="Arial" w:hAnsi="Arial"/>
                <w:sz w:val="18"/>
                <w:szCs w:val="18"/>
                <w:color w:val="auto"/>
                <w:w w:val="98"/>
              </w:rPr>
              <w:t>(22.2%)</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(32.5%)</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Net deferred tax assets and liabilities consisted of the following (in thousands):</w:t>
            </w: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9"/>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4"/>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Asset basis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392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8,437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16,684</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Research and development credits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6"/>
          </w:tcPr>
          <w:p>
            <w:pPr>
              <w:jc w:val="right"/>
              <w:ind w:right="200"/>
              <w:spacing w:after="0"/>
              <w:rPr>
                <w:sz w:val="20"/>
                <w:szCs w:val="20"/>
                <w:color w:val="auto"/>
              </w:rPr>
            </w:pPr>
            <w:r>
              <w:rPr>
                <w:rFonts w:ascii="Arial" w:cs="Arial" w:eastAsia="Arial" w:hAnsi="Arial"/>
                <w:sz w:val="18"/>
                <w:szCs w:val="18"/>
                <w:color w:val="auto"/>
              </w:rPr>
              <w:t>1,346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248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10,426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20,304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73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1"/>
              </w:rPr>
              <w:t>(18)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(10,408)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(20,240)</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Net deferred taxes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Net operating losses and tax credit carryforwards were as follows (in thousands):</w:t>
            </w: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95"/>
              </w:rPr>
              <w:t>Expiration Year</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federal (starting from January 1, 2018)</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center"/>
              <w:ind w:right="20"/>
              <w:spacing w:after="0"/>
              <w:rPr>
                <w:sz w:val="20"/>
                <w:szCs w:val="20"/>
                <w:color w:val="auto"/>
              </w:rPr>
            </w:pPr>
            <w:r>
              <w:rPr>
                <w:rFonts w:ascii="Arial" w:cs="Arial" w:eastAsia="Arial" w:hAnsi="Arial"/>
                <w:sz w:val="18"/>
                <w:szCs w:val="18"/>
                <w:color w:val="auto"/>
                <w:w w:val="90"/>
              </w:rPr>
              <w:t>Does not expire</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operating losses, federal (before January 1, 2018)</w:t>
            </w: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29,901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center"/>
              <w:ind w:right="12"/>
              <w:spacing w:after="0"/>
              <w:rPr>
                <w:sz w:val="20"/>
                <w:szCs w:val="20"/>
                <w:color w:val="auto"/>
              </w:rPr>
            </w:pPr>
            <w:r>
              <w:rPr>
                <w:rFonts w:ascii="Arial" w:cs="Arial" w:eastAsia="Arial" w:hAnsi="Arial"/>
                <w:sz w:val="18"/>
                <w:szCs w:val="18"/>
                <w:color w:val="auto"/>
                <w:w w:val="90"/>
              </w:rPr>
              <w:t>2035-2037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state</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59,571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2"/>
              <w:spacing w:after="0"/>
              <w:rPr>
                <w:sz w:val="20"/>
                <w:szCs w:val="20"/>
                <w:color w:val="auto"/>
              </w:rPr>
            </w:pPr>
            <w:r>
              <w:rPr>
                <w:rFonts w:ascii="Arial" w:cs="Arial" w:eastAsia="Arial" w:hAnsi="Arial"/>
                <w:sz w:val="18"/>
                <w:szCs w:val="18"/>
                <w:color w:val="auto"/>
                <w:w w:val="90"/>
              </w:rPr>
              <w:t>2035-2038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Tax credits, federal</w:t>
            </w: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2,288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center"/>
              <w:ind w:right="12"/>
              <w:spacing w:after="0"/>
              <w:rPr>
                <w:sz w:val="20"/>
                <w:szCs w:val="20"/>
                <w:color w:val="auto"/>
              </w:rPr>
            </w:pPr>
            <w:r>
              <w:rPr>
                <w:rFonts w:ascii="Arial" w:cs="Arial" w:eastAsia="Arial" w:hAnsi="Arial"/>
                <w:sz w:val="18"/>
                <w:szCs w:val="18"/>
                <w:color w:val="auto"/>
                <w:w w:val="90"/>
              </w:rPr>
              <w:t>2036-2038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Tax credits, state</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center"/>
              <w:ind w:right="20"/>
              <w:spacing w:after="0"/>
              <w:rPr>
                <w:sz w:val="20"/>
                <w:szCs w:val="20"/>
                <w:color w:val="auto"/>
              </w:rPr>
            </w:pPr>
            <w:r>
              <w:rPr>
                <w:rFonts w:ascii="Arial" w:cs="Arial" w:eastAsia="Arial" w:hAnsi="Arial"/>
                <w:sz w:val="18"/>
                <w:szCs w:val="18"/>
                <w:color w:val="auto"/>
                <w:w w:val="90"/>
              </w:rPr>
              <w:t>Does not expire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Utilization of the net operating loss carryforwards and research credit carryforwards may be subject to an annual limitation due to the ownership percentage change limitations provided by the Internal Revenue Code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similar state provisions. Annual limitations may result in the expiration of the net operating losses and tax credit carryforwards before they are utilized. The Company does not expect any previous ownership changes to result in a limitation that will reduce the total amount of net operating loss and tax credit carryforwards disclosed that can be utilized. Subsequent ownership changes may affect the limitation in future years.</w:t>
      </w:r>
    </w:p>
    <w:p>
      <w:pPr>
        <w:spacing w:after="0" w:line="16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During the years ended December 31, 2017 and 2018, the Company recorded a full valuation allowance on federal and state deferred balances since management does not forecast the Company to be in a profitable position in the near future. Changes in the valuation allowance for deferred tax assets during the years ended December 31, 2017 and 2018 related primarily to the increases in net operating loss carryforwards and research and development tax credit carryforwards and were as follows (in thousands):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the beginning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6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Increases recorded to income tax provision</w:t>
            </w: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4,073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9,832</w:t>
            </w: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the end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20,240</w:t>
            </w: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40" w:firstLine="440"/>
        <w:spacing w:after="0" w:line="301" w:lineRule="auto"/>
        <w:rPr>
          <w:sz w:val="20"/>
          <w:szCs w:val="20"/>
          <w:color w:val="auto"/>
        </w:rPr>
      </w:pPr>
      <w:r>
        <w:rPr>
          <w:rFonts w:ascii="Arial" w:cs="Arial" w:eastAsia="Arial" w:hAnsi="Arial"/>
          <w:sz w:val="16"/>
          <w:szCs w:val="16"/>
          <w:color w:val="auto"/>
        </w:rPr>
        <w:t>The Company’s U.S. federal and state income tax returns are generally subject to tax examinations for the tax years ended December 31, 2015 through December 31, 2018.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 The Company’s policy is to record interest and penalties related to income taxes as part of its income tax provision.</w:t>
      </w:r>
    </w:p>
    <w:p>
      <w:pPr>
        <w:spacing w:after="0" w:line="15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December 22, 2017, the U.S. government enacted comprehensive tax legislation through the Tax Cuts and Jobs Act (the “Tax Act”). The Tax Act significantly revises the future ongoing U.S. corporate income tax by, among other things, lowering the U.S. corporate income tax rates and implementing a modified territorial tax system. The corporate tax rate was reduced from 34.0% to 21.0% for tax years beginning after December 31, 2017. Changes in tax law are accounted for in the period of enactment. As such, the Company’s financial statements as of December 31, 2017 reflect the impact of the Tax Act, which consisted of remeasuring the Company’s deferred tax assets, deferred tax liabilities and valuation allowance using the newly enacted U.S. corporate tax rate. This rate change resulted in a $3.7 million reduction in the Company’s net deferred tax assets with a corresponding offset to the valuation allowance. Under the Tax Act, net operating losses arising after December 31, 2017 do not expire and cannot be carried back. However, the Tax Act limits the amount of net operating losses that can be used annually to 80.0% of taxable income for periods beginning after December 31, 2017. Existing net operating losses arising in years ending on or before December 31, 2017 are not affected by these provisions.</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2017 and 2018,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cancelable on 30 days’ notice and the obligations under these contracts are largely based on services performed.</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Potential payments related to the Company’s license and research agreements, including milestone and royalty payments, are detailed in Notes 7</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8.</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2017 and 2018, the Company leased approximately 18,000 square feet of corporate offices and research facilities in Redwood City, California.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Rent expense, including common area maintenance expense, was approximately $0.1 million per month. This lease expired on June 28, 2018.</w:t>
      </w:r>
    </w:p>
    <w:p>
      <w:pPr>
        <w:spacing w:after="0" w:line="22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long term assets in the balance sheet at December 31, 2018.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78"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During the years ended December 31, 2017 and 2018, rent expense, including common area maintenance expense, was $1.3 million and $1.8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under the Lease as of December 31, 2018 were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ending December 31:</w:t>
            </w:r>
          </w:p>
        </w:tc>
        <w:tc>
          <w:tcPr>
            <w:tcW w:w="83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6"/>
              </w:rPr>
              <w:t>Operating Lease</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8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1,959</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2,027</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2,098</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 and beyond</w:t>
            </w:r>
          </w:p>
        </w:tc>
        <w:tc>
          <w:tcPr>
            <w:tcW w:w="8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5,562</w:t>
            </w: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Total</w:t>
            </w:r>
          </w:p>
        </w:tc>
        <w:tc>
          <w:tcPr>
            <w:tcW w:w="8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620" w:type="dxa"/>
            <w:vAlign w:val="bottom"/>
          </w:tcPr>
          <w:p>
            <w:pPr>
              <w:spacing w:after="0"/>
              <w:rPr>
                <w:sz w:val="24"/>
                <w:szCs w:val="24"/>
                <w:color w:val="auto"/>
              </w:rPr>
            </w:pPr>
          </w:p>
        </w:tc>
        <w:tc>
          <w:tcPr>
            <w:tcW w:w="8620" w:type="dxa"/>
            <w:vAlign w:val="bottom"/>
            <w:gridSpan w:val="2"/>
          </w:tcPr>
          <w:p>
            <w:pPr>
              <w:ind w:left="3720"/>
              <w:spacing w:after="0"/>
              <w:rPr>
                <w:sz w:val="20"/>
                <w:szCs w:val="20"/>
                <w:color w:val="auto"/>
              </w:rPr>
            </w:pPr>
            <w:r>
              <w:rPr>
                <w:rFonts w:ascii="Arial" w:cs="Arial" w:eastAsia="Arial" w:hAnsi="Arial"/>
                <w:sz w:val="18"/>
                <w:szCs w:val="18"/>
                <w:color w:val="auto"/>
              </w:rPr>
              <w:t>F-27</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2017 and 2018, and, to the best of its knowledge, no material legal proceedings are currently pending or threatened.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Certain employees of Third Rock Ventures, a stockholder of the Company, provided consulting services to the Company. Consulting service expenses of $132,000 and $54,000 were recorded for the years ended December 31, 2017 and 2018, respectively.</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2018, the Company made charitable contributions to the University of California, San Francisco Foundation (the “UCSF Foundation”), which were directed to support research performed in the laboratories of two of the Company’s scientific founders. Charitable contributions made to the UCSF Foundation during the year ended December 31, 2018 was $0.5 million.</w:t>
      </w:r>
    </w:p>
    <w:p>
      <w:pPr>
        <w:spacing w:after="0" w:line="184" w:lineRule="exact"/>
        <w:rPr>
          <w:sz w:val="20"/>
          <w:szCs w:val="20"/>
          <w:color w:val="auto"/>
        </w:rPr>
      </w:pPr>
    </w:p>
    <w:p>
      <w:pPr>
        <w:ind w:left="120" w:right="400" w:firstLine="440"/>
        <w:spacing w:after="0" w:line="293" w:lineRule="auto"/>
        <w:rPr>
          <w:sz w:val="20"/>
          <w:szCs w:val="20"/>
          <w:color w:val="auto"/>
        </w:rPr>
      </w:pPr>
      <w:r>
        <w:rPr>
          <w:rFonts w:ascii="Arial" w:cs="Arial" w:eastAsia="Arial" w:hAnsi="Arial"/>
          <w:sz w:val="16"/>
          <w:szCs w:val="16"/>
          <w:color w:val="auto"/>
        </w:rPr>
        <w:t>In February 2017, the Company entered into a consulting agreement with the founder of Healthcare &amp; Humanity Foundation (the “Director”) pursuant to which the Director provided consulting services to the Company at a rate of $5,000 per month in 2017 and 2018 years. In addition, the Company granted the Director 45,000 shares of restricted stock at a purchase price of $0.01 per share with quarterly vesting over a one-year period contingent upon the Director providing consulting services during the vesting period. The Director became a director of the Company in December 2017. In February 2018, the agreement with the Director terminated pursuant to its terms. General and administrative services provided while the Director was a director of the Company amounted to $5,000 during the year ended December 31, 2018.</w:t>
      </w:r>
    </w:p>
    <w:p>
      <w:pPr>
        <w:spacing w:after="0" w:line="16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March 2018, the Company sold 1.0 million shares of Series A Preferred to pH Pharma Co. Ltd. (“pH Pharma”), an entity in which the Director has a majority ownership, for $1.0 million. These shares of Series A Preferred represent 1.0% of the Company’s outstanding equity on a fully diluted basis as of December 31, 2018. In May 2018, the Company entered into a research services agreement with pH Pharma. In the year ended December 31, 2018, the Company was reimbursed $51,000 for services performed in connection with the research services agreement, which were recorded as a credit to research and development expenses in the statements of operations. As of December 31, 2018, all services were completed under this agreement.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$0.1 million and $0.2 million for the years ended December 31, 2017 and 2018,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Net Loss Per Share Attributable to Common Stockholders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(on an as-converted basis)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105,501,221</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809,200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granted and not purchased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32,600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4,603,275</w:t>
            </w:r>
          </w:p>
        </w:tc>
        <w:tc>
          <w:tcPr>
            <w:tcW w:w="3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5,027,800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of founders’ common stock</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1,403,855</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333,729</w:t>
            </w: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42,537,130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111,704,548</w:t>
            </w: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22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 (18,333)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(30,276)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Add: accretion to redemption value and cumulative dividends on redeemable convertible preferred stock</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(2,289)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 (20,622)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(35,152)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i w:val="1"/>
                <w:iCs w:val="1"/>
                <w:color w:val="auto"/>
              </w:rPr>
              <w:t>Denominator</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used to calculate net loss per share attributable to common</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5,745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(3.59)</w:t>
            </w:r>
          </w:p>
        </w:tc>
        <w:tc>
          <w:tcPr>
            <w:tcW w:w="5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5340"/>
              <w:spacing w:after="0"/>
              <w:rPr>
                <w:sz w:val="20"/>
                <w:szCs w:val="20"/>
                <w:color w:val="auto"/>
              </w:rPr>
            </w:pPr>
            <w:r>
              <w:rPr>
                <w:rFonts w:ascii="Arial" w:cs="Arial" w:eastAsia="Arial" w:hAnsi="Arial"/>
                <w:sz w:val="18"/>
                <w:szCs w:val="18"/>
                <w:color w:val="auto"/>
              </w:rPr>
              <w:t>F-29</w:t>
            </w: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2017 and 2018</w:t>
      </w:r>
    </w:p>
    <w:p>
      <w:pPr>
        <w:spacing w:after="0" w:line="23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following table sets forth the computation of the Company’s unaudited pro forma basic and diluted net loss per share attributable to common stockholders (in thousands, except share and per share data) assuming the automatic conversion of the redeemable convertible preferred stock based on</w:t>
      </w:r>
    </w:p>
    <w:p>
      <w:pPr>
        <w:ind w:left="120" w:right="200"/>
        <w:spacing w:after="0" w:line="260" w:lineRule="auto"/>
        <w:rPr>
          <w:sz w:val="20"/>
          <w:szCs w:val="20"/>
          <w:color w:val="auto"/>
        </w:rPr>
      </w:pPr>
      <w:r>
        <w:rPr>
          <w:rFonts w:ascii="Arial" w:cs="Arial" w:eastAsia="Arial" w:hAnsi="Arial"/>
          <w:sz w:val="18"/>
          <w:szCs w:val="18"/>
          <w:color w:val="auto"/>
        </w:rPr>
        <w:t>the mid-point of the IPO price range of $ , upon consummation of an IPO as if such event had occurred as of the beginning of the respective period:</w:t>
      </w:r>
    </w:p>
    <w:p>
      <w:pPr>
        <w:spacing w:after="0" w:line="204" w:lineRule="exact"/>
        <w:rPr>
          <w:sz w:val="20"/>
          <w:szCs w:val="20"/>
          <w:color w:val="auto"/>
        </w:rPr>
      </w:pPr>
    </w:p>
    <w:p>
      <w:pPr>
        <w:jc w:val="center"/>
        <w:ind w:left="100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10060"/>
        <w:spacing w:after="0"/>
        <w:rPr>
          <w:sz w:val="20"/>
          <w:szCs w:val="20"/>
          <w:color w:val="auto"/>
        </w:rPr>
      </w:pPr>
      <w:r>
        <w:rPr>
          <w:rFonts w:ascii="Arial" w:cs="Arial" w:eastAsia="Arial" w:hAnsi="Arial"/>
          <w:sz w:val="12"/>
          <w:szCs w:val="12"/>
          <w:b w:val="1"/>
          <w:bCs w:val="1"/>
          <w:u w:val="single" w:color="auto"/>
          <w:color w:val="auto"/>
        </w:rPr>
        <w:t>December 31,</w:t>
      </w:r>
    </w:p>
    <w:p>
      <w:pPr>
        <w:spacing w:after="0" w:line="24" w:lineRule="exact"/>
        <w:rPr>
          <w:sz w:val="20"/>
          <w:szCs w:val="20"/>
          <w:color w:val="auto"/>
        </w:rPr>
      </w:pPr>
    </w:p>
    <w:p>
      <w:pPr>
        <w:jc w:val="center"/>
        <w:ind w:left="1006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-3175</wp:posOffset>
            </wp:positionV>
            <wp:extent cx="5314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center"/>
        <w:ind w:left="10060"/>
        <w:spacing w:after="0" w:line="235" w:lineRule="auto"/>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7" w:lineRule="exact"/>
        <w:rPr>
          <w:sz w:val="20"/>
          <w:szCs w:val="20"/>
          <w:color w:val="auto"/>
        </w:rPr>
      </w:pPr>
    </w:p>
    <w:p>
      <w:pPr>
        <w:ind w:left="120" w:right="740"/>
        <w:spacing w:after="0" w:line="257" w:lineRule="auto"/>
        <w:rPr>
          <w:sz w:val="20"/>
          <w:szCs w:val="20"/>
          <w:color w:val="auto"/>
        </w:rPr>
      </w:pPr>
      <w:r>
        <w:rPr>
          <w:rFonts w:ascii="Arial" w:cs="Arial" w:eastAsia="Arial" w:hAnsi="Arial"/>
          <w:sz w:val="18"/>
          <w:szCs w:val="18"/>
          <w:color w:val="auto"/>
        </w:rPr>
        <w:t>Net loss $ Pro forma adjustment to accretion to redemption value and cumulative dividends on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45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 forma net loss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14605</wp:posOffset>
            </wp:positionV>
            <wp:extent cx="5314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31750</wp:posOffset>
            </wp:positionV>
            <wp:extent cx="5314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43" w:lineRule="exact"/>
        <w:rPr>
          <w:sz w:val="20"/>
          <w:szCs w:val="20"/>
          <w:color w:val="auto"/>
        </w:rPr>
      </w:pPr>
    </w:p>
    <w:p>
      <w:pPr>
        <w:ind w:left="120" w:right="2640"/>
        <w:spacing w:after="0" w:line="281" w:lineRule="auto"/>
        <w:rPr>
          <w:sz w:val="20"/>
          <w:szCs w:val="20"/>
          <w:color w:val="auto"/>
        </w:rPr>
      </w:pPr>
      <w:r>
        <w:rPr>
          <w:rFonts w:ascii="Arial" w:cs="Arial" w:eastAsia="Arial" w:hAnsi="Arial"/>
          <w:sz w:val="17"/>
          <w:szCs w:val="17"/>
          <w:color w:val="auto"/>
        </w:rPr>
        <w:t>Weighted-average shares used to calculate net loss per share attributable to common stockholders, basic and diluted Pro forma adjustment to reflect assumed conversion of all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-6350</wp:posOffset>
            </wp:positionV>
            <wp:extent cx="5314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Weighted-average shares used to calculate 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31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43" w:lineRule="exact"/>
        <w:rPr>
          <w:sz w:val="20"/>
          <w:szCs w:val="20"/>
          <w:color w:val="auto"/>
        </w:rPr>
      </w:pPr>
    </w:p>
    <w:p>
      <w:pPr>
        <w:ind w:left="120"/>
        <w:spacing w:after="0"/>
        <w:tabs>
          <w:tab w:leader="none" w:pos="10220" w:val="left"/>
        </w:tabs>
        <w:rPr>
          <w:sz w:val="20"/>
          <w:szCs w:val="20"/>
          <w:color w:val="auto"/>
        </w:rPr>
      </w:pPr>
      <w:r>
        <w:rPr>
          <w:rFonts w:ascii="Arial" w:cs="Arial" w:eastAsia="Arial" w:hAnsi="Arial"/>
          <w:sz w:val="18"/>
          <w:szCs w:val="18"/>
          <w:color w:val="auto"/>
        </w:rPr>
        <w:t>Pro forma net loss per share attributable to common stockholders, basic and 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14605</wp:posOffset>
            </wp:positionV>
            <wp:extent cx="5314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31750</wp:posOffset>
            </wp:positionV>
            <wp:extent cx="5314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January 2019, the Company’s board of directors and shareholders voted to increase the number of shares reserved for issuance under the 2015 Equity Incentive Plan by 3.0 million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January 2019 and March 2019, the Company granted stock options to purchase an aggregate of 6.7 million shares of common stock.</w:t>
      </w:r>
    </w:p>
    <w:p>
      <w:pPr>
        <w:spacing w:after="0" w:line="23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 has evaluated subsequent events for financial statement purposes occurring through May 10, 2019, the date these financial statements were issued, and determined that no additional subsequent events had occurred that would require recognition in these financial statements and that all subsequent events that required disclosure have been disclosed.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As of</w:t>
            </w:r>
          </w:p>
        </w:tc>
        <w:tc>
          <w:tcPr>
            <w:tcW w:w="26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Pro Forma as of</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260" w:type="dxa"/>
            <w:vAlign w:val="bottom"/>
            <w:gridSpan w:val="2"/>
          </w:tcPr>
          <w:p>
            <w:pPr>
              <w:jc w:val="center"/>
              <w:ind w:left="164"/>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360" w:type="dxa"/>
            <w:vAlign w:val="bottom"/>
            <w:tcBorders>
              <w:top w:val="single" w:sz="8" w:color="CCEEFF"/>
            </w:tcBorders>
            <w:shd w:val="clear" w:color="auto" w:fill="CCEEFF"/>
          </w:tcPr>
          <w:p>
            <w:pPr>
              <w:spacing w:after="0"/>
              <w:rPr>
                <w:sz w:val="15"/>
                <w:szCs w:val="15"/>
                <w:color w:val="auto"/>
              </w:rPr>
            </w:pPr>
          </w:p>
        </w:tc>
        <w:tc>
          <w:tcPr>
            <w:tcW w:w="3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Current assets</w:t>
            </w: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60,949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22,558</w:t>
            </w:r>
          </w:p>
        </w:tc>
        <w:tc>
          <w:tcPr>
            <w:tcW w:w="126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27,162</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credit receivable</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563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current assets</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61,733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50,804</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4,260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4,423</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960"/>
              <w:spacing w:after="0"/>
              <w:rPr>
                <w:sz w:val="20"/>
                <w:szCs w:val="20"/>
                <w:color w:val="auto"/>
              </w:rPr>
            </w:pPr>
            <w:r>
              <w:rPr>
                <w:rFonts w:ascii="Arial" w:cs="Arial" w:eastAsia="Arial" w:hAnsi="Arial"/>
                <w:sz w:val="16"/>
                <w:szCs w:val="16"/>
                <w:color w:val="auto"/>
              </w:rPr>
              <w:t>Total assets</w:t>
            </w: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66,529</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55,978</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(Deficit)/Equity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Current liabilities</w:t>
            </w: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2,576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4,474</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5,084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8,200</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320"/>
              <w:spacing w:after="0"/>
              <w:rPr>
                <w:sz w:val="20"/>
                <w:szCs w:val="20"/>
                <w:color w:val="auto"/>
              </w:rPr>
            </w:pPr>
            <w:r>
              <w:rPr>
                <w:rFonts w:ascii="Arial" w:cs="Arial" w:eastAsia="Arial" w:hAnsi="Arial"/>
                <w:sz w:val="16"/>
                <w:szCs w:val="16"/>
                <w:color w:val="auto"/>
              </w:rPr>
              <w:t>Other long term liabilities</w:t>
            </w:r>
          </w:p>
        </w:tc>
        <w:tc>
          <w:tcPr>
            <w:tcW w:w="1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liabilities</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5,895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9,044</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w w:val="94"/>
              </w:rPr>
              <w:t>Commitments and Contingencies (Note 13)</w:t>
            </w: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Series A redeemable convertible preferred stock, $0.0001 par value; 56,000,000 and 56,000,000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shares authorized at December 31, 2018 and March 31, 2019, respectively; 56,000,000 and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56,000,000 shares issued and outstanding, at December 31, 2018 and March 31, 2019,</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w w:val="99"/>
              </w:rPr>
              <w:t>respectively; aggregate liquidation preference of $61,516 and $61,516 at December 31, 2018 and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March 31, 2019, respectively;</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issued and outstanding pro forma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61,516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61,516</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00" w:type="dxa"/>
            <w:vAlign w:val="bottom"/>
            <w:gridSpan w:val="3"/>
          </w:tcPr>
          <w:p>
            <w:pPr>
              <w:ind w:left="320"/>
              <w:spacing w:after="0"/>
              <w:rPr>
                <w:sz w:val="20"/>
                <w:szCs w:val="20"/>
                <w:color w:val="auto"/>
              </w:rPr>
            </w:pPr>
            <w:r>
              <w:rPr>
                <w:rFonts w:ascii="Arial" w:cs="Arial" w:eastAsia="Arial" w:hAnsi="Arial"/>
                <w:sz w:val="16"/>
                <w:szCs w:val="16"/>
                <w:color w:val="auto"/>
              </w:rPr>
              <w:t>Series B redeemable convertible preferred stock, $0.0001 par value; 58,109,973 shares and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0" w:type="dxa"/>
            <w:vAlign w:val="bottom"/>
            <w:gridSpan w:val="3"/>
          </w:tcPr>
          <w:p>
            <w:pPr>
              <w:ind w:left="480"/>
              <w:spacing w:after="0"/>
              <w:rPr>
                <w:sz w:val="20"/>
                <w:szCs w:val="20"/>
                <w:color w:val="auto"/>
              </w:rPr>
            </w:pPr>
            <w:r>
              <w:rPr>
                <w:rFonts w:ascii="Arial" w:cs="Arial" w:eastAsia="Arial" w:hAnsi="Arial"/>
                <w:sz w:val="16"/>
                <w:szCs w:val="16"/>
                <w:color w:val="auto"/>
                <w:w w:val="98"/>
              </w:rPr>
              <w:t>58,109,973 shares authorized at December 31, 2018 and March 31, 2019, respectively; 49,501,221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3"/>
          </w:tcPr>
          <w:p>
            <w:pPr>
              <w:ind w:left="480"/>
              <w:spacing w:after="0"/>
              <w:rPr>
                <w:sz w:val="20"/>
                <w:szCs w:val="20"/>
                <w:color w:val="auto"/>
              </w:rPr>
            </w:pPr>
            <w:r>
              <w:rPr>
                <w:rFonts w:ascii="Arial" w:cs="Arial" w:eastAsia="Arial" w:hAnsi="Arial"/>
                <w:sz w:val="16"/>
                <w:szCs w:val="16"/>
                <w:color w:val="auto"/>
                <w:w w:val="98"/>
              </w:rPr>
              <w:t>shares and 49,501,221 shares issued and outstanding at December 31, 2018 and March 31, 2019,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3"/>
          </w:tcPr>
          <w:p>
            <w:pPr>
              <w:ind w:left="480"/>
              <w:spacing w:after="0"/>
              <w:rPr>
                <w:sz w:val="20"/>
                <w:szCs w:val="20"/>
                <w:color w:val="auto"/>
              </w:rPr>
            </w:pPr>
            <w:r>
              <w:rPr>
                <w:rFonts w:ascii="Arial" w:cs="Arial" w:eastAsia="Arial" w:hAnsi="Arial"/>
                <w:sz w:val="16"/>
                <w:szCs w:val="16"/>
                <w:color w:val="auto"/>
                <w:w w:val="99"/>
              </w:rPr>
              <w:t>respectively; aggregate liquidation preference of $70,587 and $71,931 at December 31, 2018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March 31, 2019, respectively;</w:t>
            </w: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shares issued and outstanding pro forma</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70,587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71,931</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(deficit)/equity</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00" w:type="dxa"/>
            <w:vAlign w:val="bottom"/>
            <w:gridSpan w:val="3"/>
          </w:tcPr>
          <w:p>
            <w:pPr>
              <w:ind w:left="320"/>
              <w:spacing w:after="0"/>
              <w:rPr>
                <w:sz w:val="20"/>
                <w:szCs w:val="20"/>
                <w:color w:val="auto"/>
              </w:rPr>
            </w:pPr>
            <w:r>
              <w:rPr>
                <w:rFonts w:ascii="Arial" w:cs="Arial" w:eastAsia="Arial" w:hAnsi="Arial"/>
                <w:sz w:val="16"/>
                <w:szCs w:val="16"/>
                <w:color w:val="auto"/>
                <w:w w:val="97"/>
              </w:rPr>
              <w:t>Common stock, $0.0001 par value; 147,682,655 and 147,682,655 shares authorized at December 31,</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0" w:type="dxa"/>
            <w:vAlign w:val="bottom"/>
            <w:gridSpan w:val="3"/>
          </w:tcPr>
          <w:p>
            <w:pPr>
              <w:ind w:left="480"/>
              <w:spacing w:after="0"/>
              <w:rPr>
                <w:sz w:val="20"/>
                <w:szCs w:val="20"/>
                <w:color w:val="auto"/>
              </w:rPr>
            </w:pPr>
            <w:r>
              <w:rPr>
                <w:rFonts w:ascii="Arial" w:cs="Arial" w:eastAsia="Arial" w:hAnsi="Arial"/>
                <w:sz w:val="16"/>
                <w:szCs w:val="16"/>
                <w:color w:val="auto"/>
              </w:rPr>
              <w:t>2018 and March 31, 2019; and 9,745,453 and 10,646,759 shares issued and outstanding at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480"/>
              <w:spacing w:after="0"/>
              <w:rPr>
                <w:sz w:val="20"/>
                <w:szCs w:val="20"/>
                <w:color w:val="auto"/>
              </w:rPr>
            </w:pPr>
            <w:r>
              <w:rPr>
                <w:rFonts w:ascii="Arial" w:cs="Arial" w:eastAsia="Arial" w:hAnsi="Arial"/>
                <w:sz w:val="16"/>
                <w:szCs w:val="16"/>
                <w:color w:val="auto"/>
                <w:w w:val="98"/>
              </w:rPr>
              <w:t>December 31, 2018 and March 31, 2019, respectively;</w:t>
            </w:r>
          </w:p>
        </w:tc>
        <w:tc>
          <w:tcPr>
            <w:tcW w:w="3120" w:type="dxa"/>
            <w:vAlign w:val="bottom"/>
          </w:tcPr>
          <w:p>
            <w:pPr>
              <w:ind w:left="260"/>
              <w:spacing w:after="0"/>
              <w:rPr>
                <w:sz w:val="20"/>
                <w:szCs w:val="20"/>
                <w:color w:val="auto"/>
              </w:rPr>
            </w:pPr>
            <w:r>
              <w:rPr>
                <w:rFonts w:ascii="Arial" w:cs="Arial" w:eastAsia="Arial" w:hAnsi="Arial"/>
                <w:sz w:val="16"/>
                <w:szCs w:val="16"/>
                <w:color w:val="auto"/>
              </w:rPr>
              <w:t>shares issued and outstanding, pro</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forma</w:t>
            </w:r>
          </w:p>
        </w:tc>
        <w:tc>
          <w:tcPr>
            <w:tcW w:w="1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320"/>
              <w:spacing w:after="0"/>
              <w:rPr>
                <w:sz w:val="20"/>
                <w:szCs w:val="20"/>
                <w:color w:val="auto"/>
              </w:rPr>
            </w:pPr>
            <w:r>
              <w:rPr>
                <w:rFonts w:ascii="Arial" w:cs="Arial" w:eastAsia="Arial" w:hAnsi="Arial"/>
                <w:sz w:val="16"/>
                <w:szCs w:val="16"/>
                <w:color w:val="auto"/>
              </w:rPr>
              <w:t>Accumulated (deficit)/equity</w:t>
            </w:r>
          </w:p>
        </w:tc>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(71,470)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(86,517)</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1"/>
              </w:rPr>
              <w:t>Accumulated other comprehensive gain</w:t>
            </w:r>
          </w:p>
        </w:tc>
        <w:tc>
          <w:tcPr>
            <w:tcW w:w="1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ind w:left="960"/>
              <w:spacing w:after="0"/>
              <w:rPr>
                <w:sz w:val="20"/>
                <w:szCs w:val="20"/>
                <w:color w:val="auto"/>
              </w:rPr>
            </w:pPr>
            <w:r>
              <w:rPr>
                <w:rFonts w:ascii="Arial" w:cs="Arial" w:eastAsia="Arial" w:hAnsi="Arial"/>
                <w:sz w:val="16"/>
                <w:szCs w:val="16"/>
                <w:color w:val="auto"/>
              </w:rPr>
              <w:t>Total stockholders’ (deficit)/equity</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(71,469)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(86,513)</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liabilities, redeemable convertible preferred stock and stockholders’ (deficit)/equity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66,529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55,978</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2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4"/>
              <w:spacing w:after="0"/>
              <w:rPr>
                <w:sz w:val="20"/>
                <w:szCs w:val="20"/>
                <w:color w:val="auto"/>
              </w:rPr>
            </w:pPr>
            <w:r>
              <w:rPr>
                <w:rFonts w:ascii="Arial" w:cs="Arial" w:eastAsia="Arial" w:hAnsi="Arial"/>
                <w:sz w:val="18"/>
                <w:szCs w:val="18"/>
                <w:color w:val="auto"/>
              </w:rPr>
              <w:t>5,018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1,210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82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(6,228)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4"/>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220" w:type="dxa"/>
            <w:vAlign w:val="bottom"/>
          </w:tcPr>
          <w:p>
            <w:pPr>
              <w:ind w:left="720"/>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(6,222</w:t>
            </w:r>
          </w:p>
        </w:tc>
        <w:tc>
          <w:tcPr>
            <w:tcW w:w="320" w:type="dxa"/>
            <w:vAlign w:val="bottom"/>
          </w:tcPr>
          <w:p>
            <w:pPr>
              <w:jc w:val="right"/>
              <w:ind w:right="184"/>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and cumulative dividends on redeemable convertible preferred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w:t>
            </w:r>
          </w:p>
        </w:tc>
        <w:tc>
          <w:tcPr>
            <w:tcW w:w="320" w:type="dxa"/>
            <w:vAlign w:val="bottom"/>
          </w:tcPr>
          <w:p>
            <w:pPr>
              <w:jc w:val="right"/>
              <w:ind w:right="184"/>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(0.96)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 per share attributable to common stockholders, basic and diluted</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7,387,889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10,079,336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w w:val="93"/>
              </w:rPr>
              <w:t>Shares used in computing pro forma net loss per share attributable to common stockholders, basic and diluted</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4"/>
              <w:spacing w:after="0"/>
              <w:rPr>
                <w:sz w:val="20"/>
                <w:szCs w:val="20"/>
                <w:color w:val="auto"/>
              </w:rPr>
            </w:pPr>
            <w:r>
              <w:rPr>
                <w:rFonts w:ascii="Arial" w:cs="Arial" w:eastAsia="Arial" w:hAnsi="Arial"/>
                <w:sz w:val="18"/>
                <w:szCs w:val="18"/>
                <w:color w:val="auto"/>
              </w:rPr>
              <w:t>(6,222)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unrealized gains on short-term investments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Total other comprehensive gain</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(6,222)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Condensed Statements of Redeemable Convertible Preferred Stock and Stockholders’ Deficit</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8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Redeemable Convertible Preferred Stock</w:t>
            </w:r>
          </w:p>
        </w:tc>
        <w:tc>
          <w:tcPr>
            <w:tcW w:w="0" w:type="dxa"/>
            <w:vAlign w:val="bottom"/>
          </w:tcPr>
          <w:p>
            <w:pPr>
              <w:spacing w:after="0"/>
              <w:rPr>
                <w:sz w:val="1"/>
                <w:szCs w:val="1"/>
                <w:color w:val="auto"/>
              </w:rPr>
            </w:pPr>
          </w:p>
        </w:tc>
      </w:tr>
      <w:tr>
        <w:trPr>
          <w:trHeight w:val="183"/>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w:t>
            </w:r>
          </w:p>
        </w:tc>
        <w:tc>
          <w:tcPr>
            <w:tcW w:w="16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Series A</w:t>
            </w:r>
          </w:p>
        </w:tc>
        <w:tc>
          <w:tcPr>
            <w:tcW w:w="160" w:type="dxa"/>
            <w:vAlign w:val="bottom"/>
          </w:tcPr>
          <w:p>
            <w:pPr>
              <w:spacing w:after="0"/>
              <w:rPr>
                <w:sz w:val="15"/>
                <w:szCs w:val="15"/>
                <w:color w:val="auto"/>
              </w:rPr>
            </w:pPr>
          </w:p>
        </w:tc>
        <w:tc>
          <w:tcPr>
            <w:tcW w:w="7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85"/>
              </w:rPr>
              <w:t>Series B</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280" w:type="dxa"/>
            <w:vAlign w:val="bottom"/>
            <w:vMerge w:val="continue"/>
          </w:tcPr>
          <w:p>
            <w:pPr>
              <w:spacing w:after="0"/>
              <w:rPr>
                <w:sz w:val="2"/>
                <w:szCs w:val="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2"/>
                <w:szCs w:val="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line="20" w:lineRule="exact"/>
              <w:rPr>
                <w:sz w:val="1"/>
                <w:szCs w:val="1"/>
                <w:color w:val="auto"/>
              </w:rPr>
            </w:pPr>
          </w:p>
        </w:tc>
      </w:tr>
      <w:tr>
        <w:trPr>
          <w:trHeight w:val="171"/>
        </w:trPr>
        <w:tc>
          <w:tcPr>
            <w:tcW w:w="228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at December 31,</w:t>
            </w: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36,500,000</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$39,910</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Issuance of Series A</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redeemable preferred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w w:val="94"/>
              </w:rPr>
              <w:t>stock, net of issuance costs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of $16</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19,500,000</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19,484</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w w:val="96"/>
              </w:rPr>
              <w:t>Vesting of founders’ common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stock and restricted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awards</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Accretion to redemption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value and cumulative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dividends on redeemable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w w:val="98"/>
              </w:rPr>
              <w:t>convertible preferred stock</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882</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expense</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at March 31, 2018</w:t>
            </w: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56,000,000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60,276</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00" w:type="dxa"/>
            <w:vAlign w:val="bottom"/>
            <w:tcBorders>
              <w:bottom w:val="single" w:sz="8" w:color="auto"/>
            </w:tcBorders>
            <w:gridSpan w:val="4"/>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9"/>
                <w:szCs w:val="9"/>
                <w:color w:val="auto"/>
              </w:rPr>
            </w:pPr>
          </w:p>
        </w:tc>
        <w:tc>
          <w:tcPr>
            <w:tcW w:w="9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5"/>
        </w:trPr>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2"/>
            <w:vMerge w:val="restart"/>
          </w:tcPr>
          <w:p>
            <w:pPr>
              <w:spacing w:after="0"/>
              <w:rPr>
                <w:sz w:val="2"/>
                <w:szCs w:val="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7,171,605</w:t>
            </w:r>
          </w:p>
        </w:tc>
        <w:tc>
          <w:tcPr>
            <w:tcW w:w="1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(36,566)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(36,565)</w:t>
            </w:r>
          </w:p>
        </w:tc>
        <w:tc>
          <w:tcPr>
            <w:tcW w:w="0" w:type="dxa"/>
            <w:vAlign w:val="bottom"/>
          </w:tcPr>
          <w:p>
            <w:pPr>
              <w:spacing w:after="0"/>
              <w:rPr>
                <w:sz w:val="1"/>
                <w:szCs w:val="1"/>
                <w:color w:val="auto"/>
              </w:rPr>
            </w:pPr>
          </w:p>
        </w:tc>
      </w:tr>
      <w:tr>
        <w:trPr>
          <w:trHeight w:val="864"/>
        </w:trPr>
        <w:tc>
          <w:tcPr>
            <w:tcW w:w="9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578,536</w:t>
            </w:r>
          </w:p>
        </w:tc>
        <w:tc>
          <w:tcPr>
            <w:tcW w:w="14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864"/>
        </w:trPr>
        <w:tc>
          <w:tcPr>
            <w:tcW w:w="9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418"/>
        </w:trPr>
        <w:tc>
          <w:tcPr>
            <w:tcW w:w="9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23"/>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7,750,141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(43,639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(43,638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-2750820</wp:posOffset>
            </wp:positionV>
            <wp:extent cx="6995160" cy="27603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27603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200"/>
            <w:col w:w="5700"/>
          </w:cols>
          <w:pgMar w:left="320" w:top="459" w:right="439" w:bottom="1440" w:gutter="0" w:footer="0" w:header="0"/>
          <w:type w:val="continuous"/>
        </w:sectPr>
      </w:pP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1880" w:type="dxa"/>
            <w:vAlign w:val="bottom"/>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80" w:type="dxa"/>
            <w:vAlign w:val="bottom"/>
          </w:tcPr>
          <w:p>
            <w:pPr>
              <w:spacing w:after="0"/>
              <w:rPr>
                <w:sz w:val="12"/>
                <w:szCs w:val="12"/>
                <w:color w:val="auto"/>
              </w:rPr>
            </w:pPr>
          </w:p>
        </w:tc>
        <w:tc>
          <w:tcPr>
            <w:tcW w:w="3420" w:type="dxa"/>
            <w:vAlign w:val="bottom"/>
            <w:tcBorders>
              <w:right w:val="single" w:sz="8" w:color="auto"/>
            </w:tcBorders>
            <w:gridSpan w:val="8"/>
          </w:tcPr>
          <w:p>
            <w:pPr>
              <w:ind w:left="400"/>
              <w:spacing w:after="0" w:line="149" w:lineRule="exact"/>
              <w:rPr>
                <w:sz w:val="20"/>
                <w:szCs w:val="20"/>
                <w:color w:val="auto"/>
              </w:rPr>
            </w:pPr>
            <w:r>
              <w:rPr>
                <w:rFonts w:ascii="Arial" w:cs="Arial" w:eastAsia="Arial" w:hAnsi="Arial"/>
                <w:sz w:val="14"/>
                <w:szCs w:val="14"/>
                <w:b w:val="1"/>
                <w:bCs w:val="1"/>
                <w:color w:val="auto"/>
              </w:rPr>
              <w:t>Redeemable Convertible Preferred Stock</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spacing w:after="0" w:line="126"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line="12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9"/>
        </w:trPr>
        <w:tc>
          <w:tcPr>
            <w:tcW w:w="1880" w:type="dxa"/>
            <w:vAlign w:val="bottom"/>
          </w:tcPr>
          <w:p>
            <w:pPr>
              <w:spacing w:after="0"/>
              <w:rPr>
                <w:sz w:val="6"/>
                <w:szCs w:val="6"/>
                <w:color w:val="auto"/>
              </w:rPr>
            </w:pPr>
          </w:p>
        </w:tc>
        <w:tc>
          <w:tcPr>
            <w:tcW w:w="16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Series A</w:t>
            </w:r>
          </w:p>
        </w:tc>
        <w:tc>
          <w:tcPr>
            <w:tcW w:w="140" w:type="dxa"/>
            <w:vAlign w:val="bottom"/>
            <w:vMerge w:val="restart"/>
          </w:tcPr>
          <w:p>
            <w:pPr>
              <w:spacing w:after="0"/>
              <w:rPr>
                <w:sz w:val="6"/>
                <w:szCs w:val="6"/>
                <w:color w:val="auto"/>
              </w:rPr>
            </w:pPr>
          </w:p>
        </w:tc>
        <w:tc>
          <w:tcPr>
            <w:tcW w:w="15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Series B</w:t>
            </w:r>
          </w:p>
        </w:tc>
        <w:tc>
          <w:tcPr>
            <w:tcW w:w="100" w:type="dxa"/>
            <w:vAlign w:val="bottom"/>
            <w:tcBorders>
              <w:right w:val="single" w:sz="8" w:color="auto"/>
            </w:tcBorders>
            <w:vMerge w:val="restart"/>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9"/>
              </w:rPr>
              <w:t>Common Stock</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8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(In thousands, except share</w:t>
            </w:r>
          </w:p>
        </w:tc>
        <w:tc>
          <w:tcPr>
            <w:tcW w:w="1600" w:type="dxa"/>
            <w:vAlign w:val="bottom"/>
            <w:tcBorders>
              <w:bottom w:val="single" w:sz="8" w:color="auto"/>
            </w:tcBorders>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9"/>
                <w:szCs w:val="9"/>
                <w:color w:val="auto"/>
              </w:rPr>
            </w:pPr>
          </w:p>
        </w:tc>
        <w:tc>
          <w:tcPr>
            <w:tcW w:w="104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9"/>
                <w:szCs w:val="9"/>
                <w:color w:val="auto"/>
              </w:rPr>
            </w:pPr>
          </w:p>
        </w:tc>
        <w:tc>
          <w:tcPr>
            <w:tcW w:w="9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1880" w:type="dxa"/>
            <w:vAlign w:val="bottom"/>
            <w:vMerge w:val="continue"/>
          </w:tcPr>
          <w:p>
            <w:pPr>
              <w:spacing w:after="0"/>
              <w:rPr>
                <w:sz w:val="2"/>
                <w:szCs w:val="2"/>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2"/>
                <w:szCs w:val="2"/>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88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10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8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w:t>
            </w: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56,000,000</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$61,516</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49,501,221</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$70,587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9,745,453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(71,470)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(71,469)</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Vesting of founders’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common stock and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180"/>
              <w:spacing w:after="0"/>
              <w:rPr>
                <w:sz w:val="20"/>
                <w:szCs w:val="20"/>
                <w:color w:val="auto"/>
              </w:rPr>
            </w:pPr>
            <w:r>
              <w:rPr>
                <w:rFonts w:ascii="Arial" w:cs="Arial" w:eastAsia="Arial" w:hAnsi="Arial"/>
                <w:sz w:val="18"/>
                <w:szCs w:val="18"/>
                <w:color w:val="auto"/>
              </w:rPr>
              <w:t>awards</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901,306</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Accretion to redemption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value and cumulative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on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180"/>
              <w:spacing w:after="0"/>
              <w:rPr>
                <w:sz w:val="20"/>
                <w:szCs w:val="20"/>
                <w:color w:val="auto"/>
              </w:rPr>
            </w:pPr>
            <w:r>
              <w:rPr>
                <w:rFonts w:ascii="Arial" w:cs="Arial" w:eastAsia="Arial" w:hAnsi="Arial"/>
                <w:sz w:val="18"/>
                <w:szCs w:val="18"/>
                <w:color w:val="auto"/>
              </w:rPr>
              <w:t>expense</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gains 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March 31,</w:t>
            </w: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56,000,000</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61,516</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49,501,221</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71,931</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10,646,759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(86,517)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(86,513)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63"/>
        </w:trPr>
        <w:tc>
          <w:tcPr>
            <w:tcW w:w="8200" w:type="dxa"/>
            <w:vAlign w:val="bottom"/>
            <w:vMerge w:val="continue"/>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vMerge w:val="restart"/>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vMerge w:val="restart"/>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2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(6,222)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Tax credit receivable</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20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820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(7,587)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(27,159)</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(27,417)</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stock, net of issuance costs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19,484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19,484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3"/>
              </w:rPr>
              <w:t>11,007</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60,949</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3"/>
              </w:rPr>
              <w:t>15,258</w:t>
            </w:r>
          </w:p>
        </w:tc>
        <w:tc>
          <w:tcPr>
            <w:tcW w:w="8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2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restricted stock awards from liabilities to common stock upon vesting</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Accretion to redemption value and cumulative dividends on redeemable convertible preferred stock</w:t>
            </w:r>
          </w:p>
        </w:tc>
        <w:tc>
          <w:tcPr>
            <w:tcW w:w="2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Pliant Therapeutics, Inc. (the “Company”)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Going Concern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has devoted substantially all its efforts to organizing and staffing, business planning, raising capital and developing its technology and preclinical assets since its inception. The Company has funded its operations primarily with the net proceeds from the issuance of redeemable convertible preferred stock. The Company expects to continue to incur significant losses and require significant additional capital to advance its clinical and preclinical development programs, support its operations and business development efforts.</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Company has incurred net losses and negative cash flows from operations since inception and had an accumulated deficit of $86.5 million as of March 31, 2019 and cash used in operations of $10.8 million during the three months ended March 31, 2019. As of March 31, 2019, the Company had cash and cash equivalents of $22.6 million and short-term investments of $27.2 million. Based on its current forecast the Company does not have sufficient cash and cash equivalents for at least the next year following the date that the financial statements are issued. These conditions raise substantial doubt about the Company’s ability to continue as a going concern within one year after the date that the financial statements are issued.</w:t>
      </w:r>
    </w:p>
    <w:p>
      <w:pPr>
        <w:spacing w:after="0" w:line="161"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Management plans to raise additional capital through a combination of preferred stock equity financing, public equity offerings and strategic transactions, however, there can be no assurance that the Company will be able to complete financing or equity offerings on acceptable terms, or in amounts required to support its operations, if at all, or identify and enter into any strategic transactions that will bring the capital that it will require.</w:t>
      </w:r>
    </w:p>
    <w:p>
      <w:pPr>
        <w:spacing w:after="0" w:line="14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accompanying financial statements have been prepared on a going concern basis, which contemplates the realization of assets and satisfaction of liabilities in the normal course of business, and do not include any adjustments relating to recoverability and classification of recorded assets amounts or the amounts and classification of liabilities that might be necessary should the Company be unable to continue as a going concern.</w:t>
      </w:r>
    </w:p>
    <w:p>
      <w:pPr>
        <w:spacing w:after="0" w:line="253" w:lineRule="exact"/>
        <w:rPr>
          <w:sz w:val="20"/>
          <w:szCs w:val="20"/>
          <w:color w:val="auto"/>
        </w:rPr>
      </w:pPr>
    </w:p>
    <w:p>
      <w:pPr>
        <w:ind w:left="340" w:right="7440" w:hanging="224"/>
        <w:spacing w:after="0" w:line="378" w:lineRule="auto"/>
        <w:tabs>
          <w:tab w:leader="none" w:pos="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right="220" w:firstLine="440"/>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accompanying condensed balance sheet as of March 31, 2019, condensed statements of operations and comprehensive loss, condensed statements of cash flows, and the condensed statements of convertible preferred shares and shareholders’ deficit for the three months ended March 31, 2018 and 2019, are unaudited. The condensed balance sheet as of December 31, 2018 was derived from audited financial statements as of and for the year ended December 31, 2018. The unaudited interim condensed financial statements have been prepared on the same basis as the audited annual financial statements as of and for the year ended December 31, 2018, and, in the opinion of management, reflect all adjustments, which include only normal recurring adjustments, necessary for the fair statement of the Company’s financial position as of March 31, 2019, and the results of its operations and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its cash flows for the three months ended March 31, 2018 and 2019. The financial data and other information disclosed in these notes related to the three months ended March 31, 2018 and 2019, are also unaudited.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useful lives assigned to property and equipment, the fair values of common and redeemable convertible preferred stock, stock-based compensation expense, accruals for research and development costs, income taxes and uncertain tax positions. The Company assesses estimates on an ongoing basis; however, actual results could materially differ from those estimates.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and at least annually. The carrying amount of the Company’s financial instruments, including cash equivalents, prepaid expenses and other current assets, accounts payable and accrued liabilities approximate fair value due to their short-term maturities.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and cash equivalents and short-term investments. The Company invests in money market funds, treasury bill and notes and government notes. The Company limits its credit risk associated with its cash and cash equivalents by placing them with banks and institutions it believes are highly credit worthy and in highly rated investments.</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spacing w:after="0" w:line="17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and commercializing novel therapies for fibrotic diseases.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amounts invested in treasury and government securities (collectively “money market funds”) and are stated at fair value.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Company’s short-term investments consist of United States (“U.S.”) Treasury securities and U.S. government agency securities with remaining maturities beyond three months at the date of purchase and one year or less from the balance sheet date. As of March 31, 2019, all of the Company’s short-term investments were classified as available-for-sale and were carried at fair market value. The unrealized gains on the Company’s available-for-sale securities are recorded in “accumulated other comprehensive income” (“OCI”) in the statements of operations and comprehensive loss. See Note 4 for further details.</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 Once a decline in fair value is determined to be other-than-temporary, an impairment charge will be recorded to other expense, net, in the statement of operations and comprehensive loss and a new cost basis in the short-term investment will be established.</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Laboratory equipment</w:t>
            </w:r>
          </w:p>
        </w:tc>
        <w:tc>
          <w:tcPr>
            <w:tcW w:w="626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26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60" w:type="dxa"/>
            <w:vAlign w:val="bottom"/>
          </w:tcPr>
          <w:p>
            <w:pPr>
              <w:jc w:val="right"/>
              <w:spacing w:after="0"/>
              <w:rPr>
                <w:sz w:val="20"/>
                <w:szCs w:val="20"/>
                <w:color w:val="auto"/>
              </w:rPr>
            </w:pPr>
            <w:r>
              <w:rPr>
                <w:rFonts w:ascii="Arial" w:cs="Arial" w:eastAsia="Arial" w:hAnsi="Arial"/>
                <w:sz w:val="18"/>
                <w:szCs w:val="18"/>
                <w:color w:val="auto"/>
              </w:rPr>
              <w:t>Shorter of remaining lease term or estimated useful life</w:t>
            </w:r>
          </w:p>
        </w:tc>
      </w:tr>
    </w:tbl>
    <w:p>
      <w:pPr>
        <w:spacing w:after="0" w:line="202"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Upon retirement or sale of the assets, the cost and related accumulated depreciation and amortization are removed from the balance sheets and the resulting gain or loss is recorded to the statements of operations and comprehensive loss. Repairs and maintenance are expensed as incurred.</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three months ended March 31, 2018 and 2019.</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Company classifies redeemable convertible preferred stock outside of stockholders’ deficit because, upon the occurrence of certain change in control events that are outside the Company’s control, including liquidation, sale or transfer of the Company’s assets, holders of the redeemable convertible preferred stock can cause redemption for cash. At any time on or after July 10, 2023, the holders of a majority of the outstanding redeemable convertible preferred stock can also require the Company to redeem the redeemable convertible preferred stock by providing the Company a written notice requesting such redemption. The Company recognizes changes in the redemption value immediately as they occur, for example changes in fair value of preferred stock, and adjusts the carrying amount of the redeemable convertible preferred stock to equal the redemption value at the end of each reporting period. In the absence of retained earnings these accretion charges are recorded against additional paid in capital, if any, and then to accumulated deficit. The Company analyzed all embedded derivatives and beneficial conversion features for its redeemable convertible preferred stock and concluded that none requires bifurcation.</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primarily of personnel costs for the Company’s research and product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facilities related costs.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estimates preclinical and clinical studies and research expenses based on the services performed, pursuant to contracts with research institutions that conduct and manage preclinical and clinical studies and research services on its behalf. The Company estimates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and are expensed over the time when services are rendered.</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Credit Receivable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is eligible for federal and California research and development credits for its research and development activities performed within the United States and California, respectively. The credits are generally available to offset federal and California income tax liabilities. The Company has applied $62,500 of federal research and development credits to offset its federal payroll tax expenses for the three months ended March 31, 2018 and 2019 due to its small business status.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Company’s stock-based equity awards include restricted stock awards and stock options that are granted to employees and consultants and accounted at fair value on the award grant date. Stock-based compensation expense is recognized over the awards’ vesting period on a straight-line basis and recorded as either research and development or general and administrative expenses in the statements of operations and comprehensive loss based on the function to which the related services are provided. Forfeitures are accounted for as they occur.</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Black-Scholes option-pricing model, used to estimate fair value of stock-based awards, requires the use of the following assumptions:</w:t>
      </w:r>
    </w:p>
    <w:p>
      <w:pPr>
        <w:spacing w:after="0" w:line="131" w:lineRule="exact"/>
        <w:rPr>
          <w:sz w:val="20"/>
          <w:szCs w:val="20"/>
          <w:color w:val="auto"/>
        </w:rPr>
      </w:pPr>
    </w:p>
    <w:p>
      <w:pPr>
        <w:ind w:left="760" w:right="40" w:hanging="212"/>
        <w:spacing w:after="0" w:line="263" w:lineRule="auto"/>
        <w:tabs>
          <w:tab w:leader="none" w:pos="76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expected term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options was calculated based on the weighted-average vesting term of the awards and the contract period, or simplified method.</w:t>
      </w:r>
    </w:p>
    <w:p>
      <w:pPr>
        <w:spacing w:after="0" w:line="89" w:lineRule="exact"/>
        <w:rPr>
          <w:rFonts w:ascii="Arial" w:cs="Arial" w:eastAsia="Arial" w:hAnsi="Arial"/>
          <w:sz w:val="18"/>
          <w:szCs w:val="18"/>
          <w:color w:val="auto"/>
        </w:rPr>
      </w:pPr>
    </w:p>
    <w:p>
      <w:pPr>
        <w:ind w:left="760" w:right="80" w:hanging="212"/>
        <w:spacing w:after="0" w:line="257" w:lineRule="auto"/>
        <w:tabs>
          <w:tab w:leader="none" w:pos="76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not yet a public company and does not have any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The Company will continue to apply this process until enough historical information regarding the volatility of its stock price becomes available.</w:t>
      </w:r>
    </w:p>
    <w:p>
      <w:pPr>
        <w:spacing w:after="0" w:line="93" w:lineRule="exact"/>
        <w:rPr>
          <w:rFonts w:ascii="Arial" w:cs="Arial" w:eastAsia="Arial" w:hAnsi="Arial"/>
          <w:sz w:val="18"/>
          <w:szCs w:val="18"/>
          <w:color w:val="auto"/>
        </w:rPr>
      </w:pPr>
    </w:p>
    <w:p>
      <w:pPr>
        <w:ind w:left="760" w:right="620" w:hanging="212"/>
        <w:spacing w:after="0" w:line="277" w:lineRule="auto"/>
        <w:tabs>
          <w:tab w:leader="none" w:pos="76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75" w:lineRule="exact"/>
        <w:rPr>
          <w:rFonts w:ascii="Arial" w:cs="Arial" w:eastAsia="Arial" w:hAnsi="Arial"/>
          <w:sz w:val="18"/>
          <w:szCs w:val="18"/>
          <w:color w:val="auto"/>
        </w:rPr>
      </w:pPr>
    </w:p>
    <w:p>
      <w:pPr>
        <w:ind w:left="760" w:right="200" w:hanging="212"/>
        <w:spacing w:after="0" w:line="277" w:lineRule="auto"/>
        <w:tabs>
          <w:tab w:leader="none" w:pos="76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the common stock and have no plans to pay dividends on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Company used an expected dividend yield of zero.</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The fair value of the common stock has been determined using independent third-party valuations based on relevant valuation methodologies as outlined in the American Institute of Certified Public Accountants (AICPA) Practice Aid,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The Company also considered the amount of time between the independent third-party valuation dates and the grant dates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interpolation of the fair value between the two valuation dates to estimate common stock fair value at each grant date. This determination included an evaluation of whether the subsequent valuation indicated that any significant change in valuation had occurred between the previous valuation and the grant date.</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Deferred offering costs, consisting of direct legal, accounting, filing and other fees directly related to the Company’s proposed initial public offering (“IPO”) are capitalized. The deferred offering costs will be reclassified to additional paid in capital upon completion of the IPO. The Company deferred $0.2 million and $0.3 million as of December 31, 2018 and March 31, 2019, respectively, which is recorded as other non-concurrent assets in the balance sheets. In the event the IPO is aborted, including postponement of 90 days or greater, all capitalized deferred offering costs will be expensed.</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 and Rent Expense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records rent expense on a straight-line basis over the life of the lease. In cases where there is a free rent period or future fixed rent escalations, the Company records a deferred rent liability. Additionally,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receipt of any lease incentives is recorded as a deferred rent liability which is amortized over the lease term as a reduction of rent expense. Building improvements made with the lease incentives or tenant allowances are capitalized as leasehold improvements and included in property and equipment in the balance sheets.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16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Company accounts for uncertain tax positions in accordance with ASC No. 740-10</w:t>
      </w:r>
      <w:r>
        <w:rPr>
          <w:rFonts w:ascii="Arial" w:cs="Arial" w:eastAsia="Arial" w:hAnsi="Arial"/>
          <w:sz w:val="18"/>
          <w:szCs w:val="18"/>
          <w:i w:val="1"/>
          <w:iCs w:val="1"/>
          <w:color w:val="auto"/>
        </w:rPr>
        <w:t>, Accounting for Uncertainty in Income Taxes</w:t>
      </w:r>
      <w:r>
        <w:rPr>
          <w:rFonts w:ascii="Arial" w:cs="Arial" w:eastAsia="Arial" w:hAnsi="Arial"/>
          <w:sz w:val="18"/>
          <w:szCs w:val="18"/>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includes any penalties and interest expense related to income taxes as a component of income tax expense, as necessary.</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Comprehensive loss includes net loss as well as other changes in stockholders’ deficit that result from transactions and economic events other than those with stockholders. For the three months ended March 31, 2019, the Company had a $3,000 unrealized gain on short-term investments.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Net loss per share attributable to common stockholders is calculated using the two-class method, which is based on an earnings allocation formula that determines net loss per share for the Company’s common stockholders and holders of participating securities. The Company’s redeemable convertible preferred stock contains participation rights in any dividend paid by the Company and is deemed to be a participating security. Net loss attributable to common stockholders and participating preferred shares are allocated to each share on an as-converted basis as if all the earnings for the period had been distributed. The participating securities do not include a contractual obligation to share in losses of the Company and are not included in the calculation of net loss per share in the periods in which a net loss is recorded.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Diluted net loss per share is computed using the more dilutive of (a) the two-class method or (b) the as-converted method. The Company allocates earnings first to redeemable convertible preferred shares stockholders based on dividend rights and then to common and preferred stockholders based on ownership interests. The weighted-average number of shares of common stock included in the computation of diluted net loss gives effect to all potentially dilutive common equivalent shares, including outstanding stock options and preferred stock.</w:t>
      </w:r>
    </w:p>
    <w:p>
      <w:pPr>
        <w:spacing w:after="0" w:line="17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for the three months ended March 31, 2018 and 2019.</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Immediately prior to the completion of the Company’s IPO resulting in net proceeds of at least $45.0 million to the Company all outstanding shares of redeemable convertible preferred stock will automatically convert into common stock. Unaudited pro forma balance sheet information as of March 31, 2019, assumes the conversion of all outstanding redeemable convertible preferred stock into shares of common stock. The shares of common stock issuable and the proceeds expected to be received in the IPO are excluded from such pro forma financial information.</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unaudited pro forma net loss per share for the three months ended March 31, 2019, was computed using the weighted-average number of shares of common stock outstanding, including the pro forma effect of the conversion of all outstanding shares of redeemable convertible preferred stock, as if such conversion had occurred at the beginning of the period, or their issuance dates, if later. The unaudited pro forma net loss per share does not include the shares expected to be sold and related proceeds to be received from the IPO. Net loss attributable to common stockholders used in the unaudited pro forma net loss per share calculation was adjusted for the accretion of redeemable convertible preferred stock, as preferred stock is not considered outstanding prior to the closing of the IPO.</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requires an entity to recognize assets and liabilities arising from a lease for both financing and operating leases. For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ASU No. 2016-02 is effective for fiscal years beginning after December 15, 2018. The ASU will also require new qualitative and quantitative disclosures to help investors and other financial statement users better understand the amount, timing, and uncertainty of cash flows arising from leases. As a result of the Company having elected the extended transition period for complying with new or revised accounting standards pursuant to Section 107(b) of the JOBS Act, ASU No. 2016-02 is effective for the Company in the fiscal years beginning after December 15, 2019, with early adoption permitted. The Company is currently in the process of evaluating the impact of the adoption of ASU No. 2016-02 on the Company’s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Company’s short-term investments in U.S. Treasury and U.S. government agency securities have been classified and accounted for as available-for-sale. The Company classifies its U.S. Treasury and U.S. government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agency securities as short-term based on each instrument’s underlying contractual maturity date. Unrealized gains and losses on U.S. Treasury and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government agency securities classified as available-for-sale are recognized in other comprehensive income (loss).</w:t>
      </w:r>
    </w:p>
    <w:p>
      <w:pPr>
        <w:spacing w:after="0" w:line="21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84" w:lineRule="exact"/>
        <w:rPr>
          <w:sz w:val="20"/>
          <w:szCs w:val="20"/>
          <w:color w:val="auto"/>
        </w:rPr>
      </w:pPr>
    </w:p>
    <w:p>
      <w:pPr>
        <w:ind w:left="760" w:hanging="212"/>
        <w:spacing w:after="0"/>
        <w:tabs>
          <w:tab w:leader="none" w:pos="76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30" w:lineRule="exact"/>
        <w:rPr>
          <w:rFonts w:ascii="Arial" w:cs="Arial" w:eastAsia="Arial" w:hAnsi="Arial"/>
          <w:sz w:val="18"/>
          <w:szCs w:val="18"/>
          <w:color w:val="auto"/>
        </w:rPr>
      </w:pPr>
    </w:p>
    <w:p>
      <w:pPr>
        <w:jc w:val="both"/>
        <w:ind w:left="760" w:right="20" w:hanging="212"/>
        <w:spacing w:after="0" w:line="263" w:lineRule="auto"/>
        <w:tabs>
          <w:tab w:leader="none" w:pos="76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assets or liabilities in markets that are not active, or other inputs that are observable or can be corroborated by observable market data for substantially the full term of the related assets or liabilities; and</w:t>
      </w:r>
    </w:p>
    <w:p>
      <w:pPr>
        <w:spacing w:after="0" w:line="89" w:lineRule="exact"/>
        <w:rPr>
          <w:rFonts w:ascii="Arial" w:cs="Arial" w:eastAsia="Arial" w:hAnsi="Arial"/>
          <w:sz w:val="18"/>
          <w:szCs w:val="18"/>
          <w:color w:val="auto"/>
        </w:rPr>
      </w:pPr>
    </w:p>
    <w:p>
      <w:pPr>
        <w:ind w:left="760" w:right="220" w:hanging="212"/>
        <w:spacing w:after="0" w:line="277" w:lineRule="auto"/>
        <w:tabs>
          <w:tab w:leader="none" w:pos="76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w:t>
      </w:r>
      <w:r>
        <w:rPr>
          <w:rFonts w:ascii="Arial" w:cs="Arial" w:eastAsia="Arial" w:hAnsi="Arial"/>
          <w:sz w:val="18"/>
          <w:szCs w:val="18"/>
          <w:i w:val="1"/>
          <w:iCs w:val="1"/>
          <w:color w:val="auto"/>
        </w:rPr>
        <w:t xml:space="preserve"> </w:t>
      </w:r>
      <w:r>
        <w:rPr>
          <w:rFonts w:ascii="Arial" w:cs="Arial" w:eastAsia="Arial" w:hAnsi="Arial"/>
          <w:sz w:val="18"/>
          <w:szCs w:val="18"/>
          <w:color w:val="auto"/>
        </w:rPr>
        <w:t>no market data.</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Company’s cash equivalent money market funds are classified as Level 1 because they are valued using quoted market prices. The fair value of the Company’s short-term investments are classified as Level 2 because they are valued using observable inputs to quoted market prices, benchmark yields, reported trades, broker/dealer quotes or alternative pricing sources with reasonable levels of price transparency and include U.S. government agency securities and U.S. Treasury securities.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show the Company’s cash, money market funds and short-term investments by significant investment category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March 31, 2019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December 31, 2018</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Adjusted</w:t>
            </w: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Unrealized</w:t>
            </w:r>
          </w:p>
        </w:tc>
        <w:tc>
          <w:tcPr>
            <w:tcW w:w="5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5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1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w w:val="97"/>
              </w:rPr>
              <w:t>Money market funds included in cash and cash equivalents</w:t>
            </w:r>
          </w:p>
        </w:tc>
        <w:tc>
          <w:tcPr>
            <w:tcW w:w="1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59,911</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59,911</w:t>
            </w:r>
          </w:p>
        </w:tc>
        <w:tc>
          <w:tcPr>
            <w:tcW w:w="6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8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59,911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59,911</w:t>
            </w:r>
          </w:p>
        </w:tc>
        <w:tc>
          <w:tcPr>
            <w:tcW w:w="6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2980" w:type="dxa"/>
            <w:vAlign w:val="bottom"/>
            <w:gridSpan w:val="3"/>
          </w:tcPr>
          <w:p>
            <w:pPr>
              <w:ind w:left="380"/>
              <w:spacing w:after="0"/>
              <w:rPr>
                <w:sz w:val="20"/>
                <w:szCs w:val="20"/>
                <w:color w:val="auto"/>
              </w:rPr>
            </w:pPr>
            <w:r>
              <w:rPr>
                <w:rFonts w:ascii="Arial" w:cs="Arial" w:eastAsia="Arial" w:hAnsi="Arial"/>
                <w:sz w:val="18"/>
                <w:szCs w:val="18"/>
                <w:color w:val="auto"/>
              </w:rPr>
              <w:t>F-42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March 31, 2019</w:t>
            </w: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Adjusted</w:t>
            </w:r>
          </w:p>
        </w:tc>
        <w:tc>
          <w:tcPr>
            <w:tcW w:w="120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Unrealized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5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2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Money market funds included in cash and cash equivalents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12,969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12,969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8,979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8,979</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securities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26,175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26,178</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48,123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48,126</w:t>
            </w:r>
          </w:p>
        </w:tc>
        <w:tc>
          <w:tcPr>
            <w:tcW w:w="6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Company may sell certain of its short-term securities prior to their stated maturities for reasons including, but not limited to, managing liquidity, credit risk, duration and asset allocation.</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There were no liabilities measured at fair value on a recurring basis as of December 31, 2018 and March 31, 2019. There have been no transfers between fair value measurement levels during the three months ended March 31, 2018 and 2019.</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records interest income and accretion income earned on money market funds and U.S. Treasury and U.S. government agency securities to interest income in its statement of operations and comprehensive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8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Laboratory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5,127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Total property and equipment, gross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(1,331)</w:t>
            </w: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for the three months ended March 31, 2018 and 2019 was $0.1 million and $0.3 million,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r>
      <w:tr>
        <w:trPr>
          <w:trHeight w:val="148"/>
        </w:trPr>
        <w:tc>
          <w:tcPr>
            <w:tcW w:w="882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8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8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2,410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compensation and benefits consist primarily of accrued bonuses and accrued vacation.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License Agreement</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August 2015, the Company entered into an exclusive, worldwide license agreement (the “UC Agreement”) with the Regents of the University of California (the “UC Regents”) relating to the use of certain patents and technology relating to avß1 compound in fibrosis indications. Pursuant to the UC Agreement, the Company is obligated to (i) make a non-refundable upfront license fee payment of $0.4 million and annual license maintenance fee payments of $10,000 per year beginning on the first anniversary of the UC Agreement escalating to $25,000 per year thereafter (ii) make royalty payments to the UC Regents of 3% of net sales of a therapeutic licensed product or 1% of net sales of a method of use licensed product, subject to an annual minimum of $1.0 million, (iii) make milestone payments up to an aggregate of $18.2 million to the UC Regents upon the occurrence of certain events, (iv) make a milestone payment based on the number of outstanding shares and a price per share as defined in the UC Agreement within 30 days of the closing of an IPO or change of control, and (v) reimburse the UC Regents for prosecution and maintenance expenses of the licensed patents without limitation. The Company will expense any payments for milestones to research and development expenses prior to receiving Federal Drug and Administration (“FDA”) approval for any of its product candidates. These costs will be capitalized when FDA approval is obtained for any products being selected for commercialization and amortized over the remaining life of the patent. If the Company sublicenses its rights under the UC Agreement, it is obligated to pay the UC Regents a percentage of the total gross proceeds received in consideration of the grant of the sublicense, which total amount would be first reduced by the aggregate amount of certain research and development related expense incurred by the Company. The UC Regents have the right to purchase an amount equal to a low single-digit percent of any securities offered by the Company to investors other than to Third Rock Ventures III, L.P. (“TRV”) or an affiliate of TRV. This participation right expires immediately before the completion of the IPO.</w:t>
      </w:r>
    </w:p>
    <w:p>
      <w:pPr>
        <w:spacing w:after="0" w:line="16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UC Agreement can be terminated at any time upon the material breach of contract terms by either party to the agreement. The Company has the right to terminate the agreement at any time upon providing written notice to the UC Regents. Unless terminated early, the UC Agreement will remain in effect from the effective date until the later of (i) the expiration or abandonment of the patent rights licensed under the UC Agreement, or (ii) ten years from the date of the first commercial sale of the first licensed product under the agreement.</w:t>
      </w:r>
    </w:p>
    <w:p>
      <w:pPr>
        <w:spacing w:after="0" w:line="171"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The Company recorded $3,000 as research and development expenses related to the annual license maintenance fee for each of the three months ended March 31, 2018 and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Research Agreement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Adimab Development and Option Agreement</w:t>
      </w:r>
    </w:p>
    <w:p>
      <w:pPr>
        <w:spacing w:after="0" w:line="117"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In October 2018, the Company and Adimab LLC (“Adimab”) entered into a development and option agreement (the “Adimab Agreement”) for the discovery and optimization of proprietary antibodies as potential therapeutic product candidates. Under the Adimab Agreement, the Company will select biological targets against which Adimab will use its proprietary platform technology to research and develop antibody proteins using a mutually agreed upon research plan.</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Upon the Company’s selection of a target, the Company and Adimab will initiate a research plan and the discovery term begins. During the discovery term, Adimab will grant the Company a non-exclusive, non-sublicensable license under its technology with respect to the target, to research, design and preclinically develop and use antibodies that were modified or derived using Adimab technology, solely to evaluate such antibodies, perform the Company’s responsibilities under the research plan and use such antibodies for certain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diagnostic purposes. The Company will also grant to Adimab a non-exclusive, non-sublicensable and non-transferable license with respect to the target under the Company’s technology that covers or relates to such target, solely to perform its responsibilities under the research plan during the discovery period. The Company is required to pay Adimab at an agreed upon rate for its full-time employees during the discovery period while Adimab performs research on each target under the applicable research plan.</w:t>
      </w:r>
    </w:p>
    <w:p>
      <w:pPr>
        <w:spacing w:after="0" w:line="18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Adimab granted the Company an exclusive option to obtain a worldwide, royalty-bearing, sublicensable license under Adimab platform patents and other Adimab technology to research, develop and commercialize up to twenty four antibodies selected by the Company (the “Program Antibodies”) against specific biological targets (the “Commercialization Option”). Upon the exercise of a Commercialization Option, and payment of the applicable option fee to Adimab, Adimab will assign the patents that cover the Program Antibodies to Company. The Company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Pursuant to the Adimab Agreement, the Company is obligated to (i) make a nonrefundable upfront license fee payment for access to Adimab’s technology; (ii) pay Adimab at an agreed upon rate for each full-time employee (“FTE”) during the research period; (iii) make additional payments upon the Company making other research related elections; (iv) pay up to a dollar amount in the low double digit millions for the achievement of certain research and development milestones for each research target program which can vary by target type; (v) make royalty payments to Adimab on Company net sales of its products covered under the Adimab Agreement, subject to varying royalty payments on certain product types. Currently, no product types have been selected by the Company.</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During the three months ended March 31, 2019, the Company recognized research and development expense under the Adimab Agreement of $0.1 million related to the FTE costs.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 following is a summary of the Company’s redeemable convertible preferred stock (in thousands except share amounts):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Preferred stock consisted of the following as of March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Preferred</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Redemption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Value/</w:t>
            </w: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Liquidation</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SeriesA</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Series B</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58,109,973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49,501,221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71,931</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71,931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114,109,973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105,501,221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133,447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133,447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Preferred</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August 2015, the Company entered into a Series A Preferred Stock Purchase Agreement (the “Series A Purchase Agreement”) pursuant to which it agreed to sell, and the purchasers agreed to purchase up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$45.0 million of Series A Redeemable Convertible Preferred Stock (“Series A Preferred”) in three anticipated tranches based on the achievement of defined performance milestones. The Series A Preferred stockholders may not assign the rights to purchase shares of Series A Preferred at any future milestone closing tranches separately without a transfer of already purchased shares. The Company determined that these future tranche obligations did not meet the definition of a freestanding financial instrument because, while separately exercisable, they were not legally detachable. Further, the Company determined that the embedded future tranche obligation did not require bifurcation for accounting purposes as it was clearly and closely related to the economic characteristics and risks of the Series A Preferred and would not meet the definition of a derivative on a standalone basis.</w:t>
      </w:r>
    </w:p>
    <w:p>
      <w:pPr>
        <w:spacing w:after="0" w:line="16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Under the Series A Purchase Agreement, as part of the initial closing, the Company issued 6.5 million shares of Series A Preferred at $1.00 per share in exchange for cash proceeds of $6.4 million and the conversion of convertible promissory notes in the amount of $0.1 million representing outstanding principal and accrued interest.</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April 2016, the Company issued 5.0 million shares of Series A Preferred at $1.00 per share in exchange for cash proceeds of $5.0 million in an additional closing of the first tranche. The final closing of the first tranche occurred in September of 2016, when the Company issued 5.0 million additional shares of Series A Preferred at $1.00 per share in exchange for cash proceeds of $5.0 million.</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February 2017, the Company issued 8.0 million shares of Series A Preferred at $1.00 per share in exchange for cash proceeds of $8.0 million in a closing of the second tranche.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July 2017, the Company issued 12.0 million shares of Series A Preferred at $1.00 per share in exchange for cash proceeds of $12.0 million in an initial closing of the third tranche.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January 2018, the Company issued 8.5 million shares of Series A Preferred at $1.00 per share in exchange for cash proceeds of $8.5 million in an additional closing of the third tranche.</w:t>
      </w:r>
    </w:p>
    <w:p>
      <w:pPr>
        <w:spacing w:after="0" w:line="170"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In March 2018, based on the amendment to the Series A Purchase Agreement, the Company issued 11.0 million additional shares of Series A Preferred at $1.00 per share in exchange for cash proceeds of $11.0 million in the final closing of the third tranche.</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Preferred</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July 2018, the Company entered into a Series B Preferred Stock Purchase Agreement (the “Series B Purchase Agreement”) in which it agreed to sell, and the purchasers agreed to purchase, up to $70.0 million of Series B Redeemable Convertible Preferred Stock (“Series B Preferred”). Under the Series B Purchase Agreement, the Company initially issued 45.1 million shares of Series B Preferred at $1.3767 per share in exchange for cash proceeds of approximately $62.1 million.</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November 2018, the Company issued 4.4 million additional shares of Series B Preferred at $1.3767 per share in exchange for cash proceeds of approximately $6.0 million.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Series A Preferred and Series B Preferred (collectively, the “Preferred Stock”) have the following rights and privileges: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Each holder of shares of Series A Preferred and Series B Preferred is entitled to the number of votes equal to the number of shares of common stock into which such shares could be converted and has voting rights and powers equal to the voting rights and powers of the common stock, and except as provided by law or by other provisions of the Company’s Certificate of Incorporation, as amended, shall vote together with the common stock as a single class on an as-converted basis on all matters as to which holders of common stock have the right to vote.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holders of Series A Preferred, voting separately as a single class, are entitled to elect two members of the Company’s board of directors. At any time when at least 12.5 million shares of Series B Preferred are outstanding, the holders of Series B Preferred are entitled to elect one member of the Company’s board of directors. The holders of shares of common stock, voting separately as a single class, are entitled to elect one member of the Company’s board of directors. All remaining members of the Company’s board of directors are elected by the holders of the common stock and Preferred Stock voting together as a single class.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Shares of the Preferred Stock are convertible at any time at the option of the holder into such number of shares as is determined by dividing the original issuance price by the conversion price in effect at the time. The original conversion price is the original issuance price for each series of Preferred Stock, or $1.00 for Series A Preferred and $1.3767 for Series B Preferred, subject to certain adjustments. As of March 31, 2019, the Preferred Stock was convertible into shares of the Company’s common stock on a one-for-one basis.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All outstanding shares of Preferred Stock will automatically convert upon the completion of an IPO resulting in net proceeds to the Company of at least $45.0 million or the vote or written consent of a requisite majority of holders of the then outstanding shares of Preferred Stock on an as-converted to common stock basis.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holders of Series A Preferred were originally entitled to receive cumulative dividends from their respective dates of issuance at the rate of 8.0% on their original issue price. In July 2018, in conjunction with the execution of the Series B Purchase Agreement, the Series A Preferred accreted dividends were cancelled.</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Series B Purchase Agreement, the holders of both shares of Series A and Series B Preferred are entitled to receive cumulative dividends commencing on July 10, 2018, the issuance date of Series B Preferred, at an annual rate of 8.0% on their original issuance price. The Series A Preferred and Series B Preferred dividends accrue from day-to-day, whether declared or not, and are payable only when and if declared by the Company’s board of directors. Since inception, the Company has never declared or paid any dividends.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Upon liquidation, dissolution, or winding up of the Company or a deemed liquidation event as defined in the Company’s Certificate of Incorporation, the holders of shares of Preferred Stock will receive, in preference to any distribution to the holders of common stock, an amount per share equal to the greater of (i) the original issue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price per share of the respective series of Preferred Stock, plus all dividends declared but unpaid on such shares, or (ii) the amount the holders would receive on an as-converted into common stock basis. Series B Preferred holders are entitled to receive their liquidation preference before any distributions are made to Series A Preferred holders and common stockholders. Series A Preferred holders are entitled to receive their liquidation preference before any distributions are made to common stock holders. After payments of the full liquidation preferences of the Series A and B Preferred described above, any remaining assets of the Company shall be distributed to the holders of the common stock in proportion to the number of shares of common stock that they hold.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Series A Preferred were redeemable at any time on or after five years from August 19, 2015, the original issuance date of the 6.5 million shares of Series A Preferred, upon receipt of a written notice from the holders of a majority of the shares of Series A Preferred. The initial redemption price was the greater of (i) the Series A Preferred original issuance price per share, plus any accrued and unpaid dividends, whether or not declared by the board of directors, and (ii) the fair market value of Series A Preferred as mutually agreed upon by the Company and the holders of a majority of the shares of Series A Preferred then outstanding.</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July 2018, in conjunction with the execution of the Series B Preferred Purchase Agreement, the Series A Preferred redemption provision was amended as follows: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outstanding shares of Preferred Stock shall be redeemed by the Company at a price equal to the original issuance price per share, plus any accrued and unpaid dividends, whether or not declared, together with any other dividends declared but unpaid in three annual installments commencing not more than sixty (60) days after receipt by the Company at any time on or after five years from the Series B Preferred original issuance date, July 10, 2018, a written notice from the holders of a majority of the shares of Preferred Stock.</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 accounted for the changes in Series A Preferred redemption provision as a modification as there was no significant difference in Series A Preferred fair value before and after the modification.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powers, and preferences of the holders of the Preferred Stock. As of March 31, 2019, the Company had 147,682,655 authorized shares of common stock at a par value of $0.0001 per share. The common stock has the following rights and privileges: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After payment of the respective liquidation preferences to the holders of shares of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85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85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4"/>
                <w:szCs w:val="14"/>
                <w:color w:val="auto"/>
              </w:rPr>
            </w:pPr>
          </w:p>
        </w:tc>
      </w:tr>
      <w:tr>
        <w:trPr>
          <w:trHeight w:val="209"/>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105,501,221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105,501,221</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Exercises of outstanding stock option awards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809,200</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7,527,947</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available for future grants under the 2015 Equity Incentive Plan, as amended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7,029,718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3,310,971</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shares reserved for future issuance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113,340,139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116,340,139</w:t>
            </w: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Founders’ Common Stock Awards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2015, the Company’s board of directors granted common stock awards to the Company’s founders in exchange for services provided to the Company. The purchase price of the common stock awards was the estimated fair value at the issuance date. The shares vest from one to four years and vesting could be accelerated upon a change in control. The vesting of certain performance-based grants of restricted stock awards were contingent upon the filing of an Investigational New Drug Application by the Company with the FDA.</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holder of founders’ common stock award terminates their relationship with the Company during the vesting period, the Company may repurchase any unvested restricted common stock held by these individuals at their original purchase price. During the vesting term, holders of founders’ common stock awards are deemed to be common stockholders and have dividend and voting rights. The Company issued 5,328,500 shares of founders’ common stock during 2015. No founders’ common stock awards were granted in subsequent years. Total compensation expense was $25,000 for these founders’ common stock awards, which are recorded to operating expenses in the statements of operations over their respective vesting period. In January 2019, the Company’s board of directors and shareholders voted to increase the number of shares reserved for issuance under the 2015 Equity Incentive Plan by 3.0 million shares. As of March 31, 2019, 191,200 shares of founders’ common stock awards were not vested and are expected to vest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2015 Equity Incentive Plan and Stock-Based Compensation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August 2015, the board of directors adopted the 2015 Equity Incentive Plan, as amended (the “Plan”), which provides for the grant of incentive stock options, nonqualified stock options or other awards including stock appreciation rights and restricted stock awards to the Company’s employees, officers, directors, advisors, and consultants for the purchase of up to 11.0 million shares of the Company’s common stock. In July 2018, the Plan was amended to increase the number of shares reserved thereunder by 7.2 million shares. As of March 31, 2019, 3.3 million shares remained available for issuance under the Plan.</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Options under the Plan may be granted for periods of up to 10 years and at prices no less than 100.0% of the estimated fair value of the shares on the date of grant as determined by the board of directors, provided, however,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Company granted restricted stock awards under the Plan. The purchase price of the restricted common stock awards was the estimated fair value as determined by the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a common stock shareholder and have dividends and voting rights.</w:t>
      </w:r>
    </w:p>
    <w:p>
      <w:pPr>
        <w:spacing w:after="0" w:line="16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December 31, 2018, and March 31, 2019, the Company recorded a liability included in accrued expenses and other liabilities of $52,000 and $43,000, respectively.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related to restricted stock awards with the following assumptions for the three months ended March 31, 2018: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60" w:type="dxa"/>
            <w:vAlign w:val="bottom"/>
            <w:gridSpan w:val="5"/>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76.08% -</w:t>
            </w: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76.20%</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1.80% -</w:t>
            </w:r>
          </w:p>
        </w:tc>
        <w:tc>
          <w:tcPr>
            <w:tcW w:w="700" w:type="dxa"/>
            <w:vAlign w:val="bottom"/>
            <w:gridSpan w:val="2"/>
          </w:tcPr>
          <w:p>
            <w:pPr>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2.06 -</w:t>
            </w:r>
          </w:p>
        </w:tc>
        <w:tc>
          <w:tcPr>
            <w:tcW w:w="340" w:type="dxa"/>
            <w:vAlign w:val="bottom"/>
          </w:tcPr>
          <w:p>
            <w:pPr>
              <w:spacing w:after="0"/>
              <w:rPr>
                <w:sz w:val="20"/>
                <w:szCs w:val="20"/>
                <w:color w:val="auto"/>
              </w:rPr>
            </w:pPr>
            <w:r>
              <w:rPr>
                <w:rFonts w:ascii="Arial" w:cs="Arial" w:eastAsia="Arial" w:hAnsi="Arial"/>
                <w:sz w:val="18"/>
                <w:szCs w:val="18"/>
                <w:color w:val="auto"/>
                <w:w w:val="91"/>
              </w:rPr>
              <w:t>2.16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Underlying common stock fair value</w:t>
            </w:r>
          </w:p>
        </w:tc>
        <w:tc>
          <w:tcPr>
            <w:tcW w:w="1660" w:type="dxa"/>
            <w:vAlign w:val="bottom"/>
            <w:gridSpan w:val="5"/>
            <w:shd w:val="clear" w:color="auto" w:fill="CCEEFF"/>
          </w:tcPr>
          <w:p>
            <w:pPr>
              <w:jc w:val="right"/>
              <w:ind w:right="137"/>
              <w:spacing w:after="0"/>
              <w:rPr>
                <w:sz w:val="20"/>
                <w:szCs w:val="20"/>
                <w:color w:val="auto"/>
              </w:rPr>
            </w:pPr>
            <w:r>
              <w:rPr>
                <w:rFonts w:ascii="Arial" w:cs="Arial" w:eastAsia="Arial" w:hAnsi="Arial"/>
                <w:sz w:val="18"/>
                <w:szCs w:val="18"/>
                <w:color w:val="auto"/>
              </w:rPr>
              <w:t>$0.26</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tcPr>
          <w:p>
            <w:pPr>
              <w:ind w:left="440"/>
              <w:spacing w:after="0"/>
              <w:rPr>
                <w:sz w:val="20"/>
                <w:szCs w:val="20"/>
                <w:color w:val="auto"/>
              </w:rPr>
            </w:pPr>
            <w:r>
              <w:rPr>
                <w:rFonts w:ascii="Arial" w:cs="Arial" w:eastAsia="Arial" w:hAnsi="Arial"/>
                <w:sz w:val="18"/>
                <w:szCs w:val="18"/>
                <w:color w:val="auto"/>
              </w:rPr>
              <w:t>The following table summarizes restricted stock activity during the three months ended March 31, 2019:</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940" w:type="dxa"/>
            <w:vAlign w:val="bottom"/>
          </w:tcPr>
          <w:p>
            <w:pPr>
              <w:spacing w:after="0"/>
              <w:rPr>
                <w:sz w:val="12"/>
                <w:szCs w:val="12"/>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94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8940" w:type="dxa"/>
            <w:vAlign w:val="bottom"/>
          </w:tcPr>
          <w:p>
            <w:pPr>
              <w:spacing w:after="0"/>
              <w:rPr>
                <w:sz w:val="14"/>
                <w:szCs w:val="14"/>
                <w:color w:val="auto"/>
              </w:rPr>
            </w:pPr>
          </w:p>
        </w:tc>
        <w:tc>
          <w:tcPr>
            <w:tcW w:w="132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2018</w:t>
            </w:r>
          </w:p>
        </w:tc>
        <w:tc>
          <w:tcPr>
            <w:tcW w:w="7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7"/>
              </w:rPr>
              <w:t>5,027,800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Issued</w:t>
            </w:r>
          </w:p>
        </w:tc>
        <w:tc>
          <w:tcPr>
            <w:tcW w:w="420" w:type="dxa"/>
            <w:vAlign w:val="bottom"/>
          </w:tcPr>
          <w:p>
            <w:pPr>
              <w:spacing w:after="0"/>
              <w:rPr>
                <w:sz w:val="18"/>
                <w:szCs w:val="18"/>
                <w:color w:val="auto"/>
              </w:rPr>
            </w:pPr>
          </w:p>
        </w:tc>
        <w:tc>
          <w:tcPr>
            <w:tcW w:w="900" w:type="dxa"/>
            <w:vAlign w:val="bottom"/>
            <w:gridSpan w:val="3"/>
          </w:tcPr>
          <w:p>
            <w:pPr>
              <w:jc w:val="right"/>
              <w:ind w:right="5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2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(758,774)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0.13</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Outstanding and unvested, as of March 31, 2019</w:t>
            </w:r>
          </w:p>
        </w:tc>
        <w:tc>
          <w:tcPr>
            <w:tcW w:w="7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87"/>
              </w:rPr>
              <w:t>4,269,026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0.17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Restricted stock awards of 32,600 shares with a weighted-average grant date fair value of $0.03 per share, were not purchased by the award holders as of March 31, 2019. As these shares of the restricted common stock awards were not issued, they are not included in the table above.</w:t>
      </w:r>
    </w:p>
    <w:p>
      <w:pPr>
        <w:spacing w:after="0" w:line="124"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The aggregate fair value of restricted stock awards vested during the three months ended March 31, 2018 and 2019 was $12,000 and $96,000, respectively. Total intrinsic value of outstanding unvested restricted stock awards was $3.7 million as of March 31, 2019.</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Options and Nonqualified Stock Options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Stock options issued under the Plan generally vest over a four-year period and expire ten years from the date of grant. Certain options provide for accelerated vesting if there is a change in control, as defined in the Plan.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for stock option awards with the following assumptions for the three months ended March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1"/>
              </w:rPr>
              <w:t>78.50% - 82.55%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right="174"/>
              <w:spacing w:after="0"/>
              <w:rPr>
                <w:sz w:val="20"/>
                <w:szCs w:val="20"/>
                <w:color w:val="auto"/>
              </w:rPr>
            </w:pPr>
            <w:r>
              <w:rPr>
                <w:rFonts w:ascii="Arial" w:cs="Arial" w:eastAsia="Arial" w:hAnsi="Arial"/>
                <w:sz w:val="18"/>
                <w:szCs w:val="18"/>
                <w:color w:val="auto"/>
                <w:w w:val="91"/>
              </w:rPr>
              <w:t>2.44% -2.59%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right="154"/>
              <w:spacing w:after="0"/>
              <w:rPr>
                <w:sz w:val="20"/>
                <w:szCs w:val="20"/>
                <w:color w:val="auto"/>
              </w:rPr>
            </w:pPr>
            <w:r>
              <w:rPr>
                <w:rFonts w:ascii="Arial" w:cs="Arial" w:eastAsia="Arial" w:hAnsi="Arial"/>
                <w:sz w:val="18"/>
                <w:szCs w:val="18"/>
                <w:color w:val="auto"/>
                <w:w w:val="90"/>
              </w:rPr>
              <w:t>5.00 - 6.05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Underlying common stock fair value</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174"/>
              <w:spacing w:after="0"/>
              <w:rPr>
                <w:sz w:val="20"/>
                <w:szCs w:val="20"/>
                <w:color w:val="auto"/>
              </w:rPr>
            </w:pPr>
            <w:r>
              <w:rPr>
                <w:rFonts w:ascii="Arial" w:cs="Arial" w:eastAsia="Arial" w:hAnsi="Arial"/>
                <w:sz w:val="18"/>
                <w:szCs w:val="18"/>
                <w:color w:val="auto"/>
                <w:w w:val="90"/>
              </w:rPr>
              <w:t>$0.72 -$0.87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40" w:type="dxa"/>
            <w:vAlign w:val="bottom"/>
            <w:gridSpan w:val="5"/>
          </w:tcPr>
          <w:p>
            <w:pPr>
              <w:ind w:left="440"/>
              <w:spacing w:after="0"/>
              <w:rPr>
                <w:sz w:val="20"/>
                <w:szCs w:val="20"/>
                <w:color w:val="auto"/>
              </w:rPr>
            </w:pPr>
            <w:r>
              <w:rPr>
                <w:rFonts w:ascii="Arial" w:cs="Arial" w:eastAsia="Arial" w:hAnsi="Arial"/>
                <w:sz w:val="18"/>
                <w:szCs w:val="18"/>
                <w:color w:val="auto"/>
                <w:w w:val="93"/>
              </w:rPr>
              <w:t>The Company did not grant any stock options during the three months ended March 31, 2018.</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ind w:left="440"/>
              <w:spacing w:after="0"/>
              <w:rPr>
                <w:sz w:val="20"/>
                <w:szCs w:val="20"/>
                <w:color w:val="auto"/>
              </w:rPr>
            </w:pPr>
            <w:r>
              <w:rPr>
                <w:rFonts w:ascii="Arial" w:cs="Arial" w:eastAsia="Arial" w:hAnsi="Arial"/>
                <w:sz w:val="18"/>
                <w:szCs w:val="18"/>
                <w:color w:val="auto"/>
              </w:rPr>
              <w:t>A summary of option activity under the Plan is as follows: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174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6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6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4"/>
                <w:szCs w:val="14"/>
                <w:color w:val="auto"/>
              </w:rPr>
            </w:pPr>
          </w:p>
        </w:tc>
        <w:tc>
          <w:tcPr>
            <w:tcW w:w="17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Price per Share</w:t>
            </w: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809,200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w w:val="79"/>
              </w:rPr>
              <w:t>9.77</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6,718,747</w:t>
            </w:r>
          </w:p>
        </w:tc>
        <w:tc>
          <w:tcPr>
            <w:tcW w:w="34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0.29</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7,527,947</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0.29</w:t>
            </w: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85"/>
              </w:rPr>
              <w:t>9.79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Exercisable as of March 31, 2019</w:t>
            </w:r>
          </w:p>
        </w:tc>
        <w:tc>
          <w:tcPr>
            <w:tcW w:w="1120" w:type="dxa"/>
            <w:vAlign w:val="bottom"/>
            <w:gridSpan w:val="2"/>
          </w:tcPr>
          <w:p>
            <w:pPr>
              <w:spacing w:after="0" w:line="20" w:lineRule="exact"/>
              <w:rPr>
                <w:sz w:val="1"/>
                <w:szCs w:val="1"/>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0.29</w:t>
            </w:r>
          </w:p>
        </w:tc>
        <w:tc>
          <w:tcPr>
            <w:tcW w:w="980" w:type="dxa"/>
            <w:vAlign w:val="bottom"/>
            <w:gridSpan w:val="3"/>
            <w:vMerge w:val="restart"/>
          </w:tcPr>
          <w:p>
            <w:pPr>
              <w:ind w:left="660"/>
              <w:spacing w:after="0"/>
              <w:rPr>
                <w:sz w:val="20"/>
                <w:szCs w:val="20"/>
                <w:color w:val="auto"/>
              </w:rPr>
            </w:pPr>
            <w:r>
              <w:rPr>
                <w:rFonts w:ascii="Arial" w:cs="Arial" w:eastAsia="Arial" w:hAnsi="Arial"/>
                <w:sz w:val="18"/>
                <w:szCs w:val="18"/>
                <w:color w:val="auto"/>
                <w:w w:val="85"/>
              </w:rPr>
              <w:t>9.83</w:t>
            </w:r>
          </w:p>
        </w:tc>
        <w:tc>
          <w:tcPr>
            <w:tcW w:w="780" w:type="dxa"/>
            <w:vAlign w:val="bottom"/>
            <w:gridSpan w:val="2"/>
            <w:vMerge w:val="restart"/>
          </w:tcPr>
          <w:p>
            <w:pPr>
              <w:ind w:left="660"/>
              <w:spacing w:after="0"/>
              <w:rPr>
                <w:sz w:val="20"/>
                <w:szCs w:val="20"/>
                <w:color w:val="auto"/>
              </w:rPr>
            </w:pPr>
            <w:r>
              <w:rPr>
                <w:rFonts w:ascii="Arial" w:cs="Arial" w:eastAsia="Arial" w:hAnsi="Arial"/>
                <w:sz w:val="18"/>
                <w:szCs w:val="18"/>
                <w:color w:val="auto"/>
                <w:w w:val="9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229,093</w:t>
            </w:r>
          </w:p>
        </w:tc>
        <w:tc>
          <w:tcPr>
            <w:tcW w:w="3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March 31, 2019</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7,527,947</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0.29</w:t>
            </w: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85"/>
              </w:rPr>
              <w:t>9.79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Aggregate intrinsic value represents the difference between the fair value of the underlying common stock and the exercise price as of March 31, 2019. The weighted-average grant date fair value of options granted during the three months ended March 31, 2019, was $0.60 per share.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Company’s stock-based awards for the three months ended March 31, 2018 and 2019 (in thousands):</w:t>
      </w:r>
    </w:p>
    <w:p>
      <w:pPr>
        <w:spacing w:after="0" w:line="18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Three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486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8"/>
              </w:rPr>
              <w:t>Restricted stock awards and founders’ common stock awards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Stock options</w:t>
            </w:r>
          </w:p>
        </w:tc>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364"/>
        </w:trPr>
        <w:tc>
          <w:tcPr>
            <w:tcW w:w="4860" w:type="dxa"/>
            <w:vAlign w:val="bottom"/>
          </w:tcPr>
          <w:p>
            <w:pPr>
              <w:spacing w:after="0"/>
              <w:rPr>
                <w:sz w:val="24"/>
                <w:szCs w:val="24"/>
                <w:color w:val="auto"/>
              </w:rPr>
            </w:pPr>
          </w:p>
        </w:tc>
        <w:tc>
          <w:tcPr>
            <w:tcW w:w="4400" w:type="dxa"/>
            <w:vAlign w:val="bottom"/>
            <w:gridSpan w:val="2"/>
          </w:tcPr>
          <w:p>
            <w:pPr>
              <w:jc w:val="right"/>
              <w:ind w:right="3507"/>
              <w:spacing w:after="0"/>
              <w:rPr>
                <w:sz w:val="20"/>
                <w:szCs w:val="20"/>
                <w:color w:val="auto"/>
              </w:rPr>
            </w:pPr>
            <w:r>
              <w:rPr>
                <w:rFonts w:ascii="Arial" w:cs="Arial" w:eastAsia="Arial" w:hAnsi="Arial"/>
                <w:sz w:val="18"/>
                <w:szCs w:val="18"/>
                <w:color w:val="auto"/>
              </w:rPr>
              <w:t>F-51</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As of March 31, 2019, there was $0.6 million of unrecognized compensation costs that is expected to be recognized over the weighted-average periods of 2.17 years related to restricted stock awards. As of March 31, 2019, there was $4.2 million of unrecognized compensation costs that is expected to be recognized over the weighted-average periods of 3.67 years related to stock options.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the three months ended March 31, 2018 and 2019, the Company did not record an income tax provision. All losses before income taxes arose in the U. S. The Company has provided a valuation allowance against its U.S. net operating losses and U.S. net deferred tax assets due to uncertainties regarding the Company’s ability to realize these assets.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cancelable on 30 days’ notice and the obligations under these contracts are largely based on services performed.</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Potential payments related to the Company’s license and research agreements, including milestone and royalty payments, are detailed in Notes 7</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8.</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2017 and 2018, the Company leased approximately 18,000 square feet of corporate offices and research facilities in Redwood City, California.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Rent expense, including common area maintenance expense, was approximately $0.1 million per month. This lease expired on June 28, 2018.</w:t>
      </w:r>
    </w:p>
    <w:p>
      <w:pPr>
        <w:spacing w:after="0" w:line="22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long term assets in the balance sheet at December 31, 2018.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7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During the three months ended March 31, 2018 and 2019, rent expense, including common area maintenance expense, was $0.3 million and $0.6 million,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20"/>
          </w:cols>
          <w:pgMar w:left="320" w:top="459" w:right="5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832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Pliant Therapeutics, Inc.</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832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Notes to Condensed Financial Statements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p>
        </w:tc>
        <w:tc>
          <w:tcPr>
            <w:tcW w:w="83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9940" w:type="dxa"/>
            <w:vAlign w:val="bottom"/>
            <w:gridSpan w:val="2"/>
          </w:tcPr>
          <w:p>
            <w:pPr>
              <w:ind w:left="440"/>
              <w:spacing w:after="0"/>
              <w:rPr>
                <w:sz w:val="20"/>
                <w:szCs w:val="20"/>
                <w:color w:val="auto"/>
              </w:rPr>
            </w:pPr>
            <w:r>
              <w:rPr>
                <w:rFonts w:ascii="Arial" w:cs="Arial" w:eastAsia="Arial" w:hAnsi="Arial"/>
                <w:sz w:val="18"/>
                <w:szCs w:val="18"/>
                <w:color w:val="auto"/>
              </w:rPr>
              <w:t>Future minimum lease payments under the Lease as of March 31, 2019 were as follows (in thousands):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w w:val="96"/>
              </w:rPr>
              <w:t>Operating Lease</w:t>
            </w: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8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1,959</w:t>
            </w:r>
          </w:p>
        </w:tc>
        <w:tc>
          <w:tcPr>
            <w:tcW w:w="4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2,098</w:t>
            </w:r>
          </w:p>
        </w:tc>
        <w:tc>
          <w:tcPr>
            <w:tcW w:w="40" w:type="dxa"/>
            <w:vAlign w:val="bottom"/>
          </w:tcPr>
          <w:p>
            <w:pPr>
              <w:spacing w:after="0"/>
              <w:rPr>
                <w:sz w:val="18"/>
                <w:szCs w:val="18"/>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beyond</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5,562</w:t>
            </w:r>
          </w:p>
        </w:tc>
        <w:tc>
          <w:tcPr>
            <w:tcW w:w="40" w:type="dxa"/>
            <w:vAlign w:val="bottom"/>
            <w:shd w:val="clear" w:color="auto" w:fill="CCEEFF"/>
          </w:tcPr>
          <w:p>
            <w:pPr>
              <w:spacing w:after="0"/>
              <w:rPr>
                <w:sz w:val="18"/>
                <w:szCs w:val="18"/>
                <w:color w:val="auto"/>
              </w:rPr>
            </w:pPr>
          </w:p>
        </w:tc>
      </w:tr>
      <w:tr>
        <w:trPr>
          <w:trHeight w:val="223"/>
        </w:trPr>
        <w:tc>
          <w:tcPr>
            <w:tcW w:w="9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2018 and 2019, and, to the best of its knowledge, no material legal proceedings are currently pending or threatened.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Certain employees of Third Rock Ventures, a stockholder of the Company, provided consulting services to the Company. Consulting service expenses of $15,000 and $12,000 were recorded for the three months ended March 31, 2018 and 2019, respectively.</w:t>
      </w:r>
    </w:p>
    <w:p>
      <w:pPr>
        <w:spacing w:after="0" w:line="146"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In 2019, the Company made charitable contributions to the University of California, San Francisco Foundation (the “UCSF Foundation”), which were directed to support research performed in the laboratories of two of the Company’s scientific founders. A charitable contribution was made to the UCSF Foundation during the three months ended March 31, 2019 of $0.4 million. The Company did not make a charitable contribution to UCSF in the three months ended March 31, 2018.</w:t>
      </w:r>
    </w:p>
    <w:p>
      <w:pPr>
        <w:spacing w:after="0" w:line="187" w:lineRule="exact"/>
        <w:rPr>
          <w:sz w:val="20"/>
          <w:szCs w:val="20"/>
          <w:color w:val="auto"/>
        </w:rPr>
      </w:pPr>
    </w:p>
    <w:p>
      <w:pPr>
        <w:jc w:val="both"/>
        <w:ind w:left="120" w:right="420" w:firstLine="440"/>
        <w:spacing w:after="0" w:line="275" w:lineRule="auto"/>
        <w:rPr>
          <w:sz w:val="20"/>
          <w:szCs w:val="20"/>
          <w:color w:val="auto"/>
        </w:rPr>
      </w:pPr>
      <w:r>
        <w:rPr>
          <w:rFonts w:ascii="Arial" w:cs="Arial" w:eastAsia="Arial" w:hAnsi="Arial"/>
          <w:sz w:val="17"/>
          <w:szCs w:val="17"/>
          <w:color w:val="auto"/>
        </w:rPr>
        <w:t>In February 2017, the Company entered into a consulting agreement with the founder of Healthcare &amp; Humanity Foundation (the “Director”) pursuant to which the Director provided consulting services to the Company at a rate of $5,000 per month in 2017 and 2018 years. In addition, the Company granted the Director 45,000 shares of restricted stock at a purchase price of $0.01 per share with quarterly vesting over a one-year period contingent upon the Director providing consulting services during the vesting period. The Director became a director of the Company in December 2017. In February 2018, the agreement with the Director terminated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pursuant to its terms. General and administrative services provided while the Director was a director of the Company amounted to $5,000 and $0, respectively during the three months ended March 31, 2018 and 2019.</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March 2018, the Company sold 1.0 million shares of Series A Preferred to pH Pharma Co. Ltd. (“pH Pharma”), an entity in which the Director has a majority ownership, for $1.0 million. These shares of Series A Preferred represent 1.0% of the Company’s outstanding equity on a fully diluted basis as of March 31, 2019. In May 2018, the Company entered into a research services agreement with pH Pharma. During the three months ended March 31, 2018 and 2019, no research services were performed by the Company in connection with this agreement. As of December 31, 2018, all services were completed under this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$0.1 million and $0.1 million for the three months ended March 31, 2018 and 2019,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Net Loss Per Share Attributable to Common Stockholders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5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(on an as-converted basis)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105,501,221</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7,527,947</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granted and not purchased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1,573,288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32,600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4,987,270</w:t>
            </w:r>
          </w:p>
        </w:tc>
        <w:tc>
          <w:tcPr>
            <w:tcW w:w="3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4,269,026</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of founders’ common stock</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761,324</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191,200</w:t>
            </w: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63,321,882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117,521,994</w:t>
            </w: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w w:val="95"/>
              </w:rPr>
              <w:t>Add: accretion to redemption value and cumulative dividends on redeemable convertible preferred stock</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i w:val="1"/>
                <w:iCs w:val="1"/>
                <w:color w:val="auto"/>
              </w:rPr>
              <w:t>Denominator</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used to calculate net loss per share attributable to</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 diluted</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9"/>
              </w:rPr>
              <w:t>7,387,889</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10,079,336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(0.96)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340"/>
              <w:spacing w:after="0"/>
              <w:rPr>
                <w:sz w:val="20"/>
                <w:szCs w:val="20"/>
                <w:color w:val="auto"/>
              </w:rPr>
            </w:pPr>
            <w:r>
              <w:rPr>
                <w:rFonts w:ascii="Arial" w:cs="Arial" w:eastAsia="Arial" w:hAnsi="Arial"/>
                <w:sz w:val="18"/>
                <w:szCs w:val="18"/>
                <w:color w:val="auto"/>
              </w:rPr>
              <w:t>F-54</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 sets forth the computation of the Company’s unaudited pro forma basic and diluted net loss per share attributable to common stockholders (in thousands, except share and per share data) assuming the automatic conversion of the redeemable convertible preferred stock based on</w:t>
      </w:r>
    </w:p>
    <w:p>
      <w:pPr>
        <w:ind w:left="120" w:right="340"/>
        <w:spacing w:after="0" w:line="260" w:lineRule="auto"/>
        <w:rPr>
          <w:sz w:val="20"/>
          <w:szCs w:val="20"/>
          <w:color w:val="auto"/>
        </w:rPr>
      </w:pPr>
      <w:r>
        <w:rPr>
          <w:rFonts w:ascii="Arial" w:cs="Arial" w:eastAsia="Arial" w:hAnsi="Arial"/>
          <w:sz w:val="18"/>
          <w:szCs w:val="18"/>
          <w:color w:val="auto"/>
        </w:rPr>
        <w:t>the mid-point of the IPO price range of $ , upon consummation of an IPO as if such event had occurred as of the beginning of the respective period:</w:t>
      </w:r>
    </w:p>
    <w:p>
      <w:pPr>
        <w:spacing w:after="0" w:line="204" w:lineRule="exact"/>
        <w:rPr>
          <w:sz w:val="20"/>
          <w:szCs w:val="20"/>
          <w:color w:val="auto"/>
        </w:rPr>
      </w:pPr>
    </w:p>
    <w:p>
      <w:pPr>
        <w:jc w:val="center"/>
        <w:ind w:left="950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-3175</wp:posOffset>
            </wp:positionV>
            <wp:extent cx="8743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jc w:val="center"/>
        <w:ind w:left="950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-3175</wp:posOffset>
            </wp:positionV>
            <wp:extent cx="8743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jc w:val="center"/>
        <w:ind w:left="9500"/>
        <w:spacing w:after="0" w:line="235" w:lineRule="auto"/>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7" w:lineRule="exact"/>
        <w:rPr>
          <w:sz w:val="20"/>
          <w:szCs w:val="20"/>
          <w:color w:val="auto"/>
        </w:rPr>
      </w:pPr>
    </w:p>
    <w:p>
      <w:pPr>
        <w:ind w:left="120" w:right="1260"/>
        <w:spacing w:after="0" w:line="257" w:lineRule="auto"/>
        <w:rPr>
          <w:sz w:val="20"/>
          <w:szCs w:val="20"/>
          <w:color w:val="auto"/>
        </w:rPr>
      </w:pPr>
      <w:r>
        <w:rPr>
          <w:rFonts w:ascii="Arial" w:cs="Arial" w:eastAsia="Arial" w:hAnsi="Arial"/>
          <w:sz w:val="18"/>
          <w:szCs w:val="18"/>
          <w:color w:val="auto"/>
        </w:rPr>
        <w:t>Net loss $ Pro forma adjustment to accretion to redemption value and cumulative dividends on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 forma net loss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14605</wp:posOffset>
            </wp:positionV>
            <wp:extent cx="8743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31750</wp:posOffset>
            </wp:positionV>
            <wp:extent cx="8743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3" w:lineRule="exact"/>
        <w:rPr>
          <w:sz w:val="20"/>
          <w:szCs w:val="20"/>
          <w:color w:val="auto"/>
        </w:rPr>
      </w:pPr>
    </w:p>
    <w:p>
      <w:pPr>
        <w:ind w:left="120" w:right="2600"/>
        <w:spacing w:after="0" w:line="281" w:lineRule="auto"/>
        <w:rPr>
          <w:sz w:val="20"/>
          <w:szCs w:val="20"/>
          <w:color w:val="auto"/>
        </w:rPr>
      </w:pPr>
      <w:r>
        <w:rPr>
          <w:rFonts w:ascii="Arial" w:cs="Arial" w:eastAsia="Arial" w:hAnsi="Arial"/>
          <w:sz w:val="17"/>
          <w:szCs w:val="17"/>
          <w:color w:val="auto"/>
        </w:rPr>
        <w:t>Weighted-average shares used to calculate net loss per share attributable to common stockholders, basic and diluted Pro forma adjustment to reflect assumed conversion of all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-6350</wp:posOffset>
            </wp:positionV>
            <wp:extent cx="8743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ind w:left="300" w:right="2380" w:hanging="179"/>
        <w:spacing w:after="0" w:line="277" w:lineRule="auto"/>
        <w:rPr>
          <w:sz w:val="20"/>
          <w:szCs w:val="20"/>
          <w:color w:val="auto"/>
        </w:rPr>
      </w:pPr>
      <w:r>
        <w:rPr>
          <w:rFonts w:ascii="Arial" w:cs="Arial" w:eastAsia="Arial" w:hAnsi="Arial"/>
          <w:sz w:val="18"/>
          <w:szCs w:val="18"/>
          <w:color w:val="auto"/>
        </w:rPr>
        <w:t>Weighted-average shares used to calculate 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-293370</wp:posOffset>
            </wp:positionV>
            <wp:extent cx="6995160" cy="3003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ind w:left="120"/>
        <w:spacing w:after="0"/>
        <w:tabs>
          <w:tab w:leader="none" w:pos="9660" w:val="left"/>
        </w:tabs>
        <w:rPr>
          <w:sz w:val="20"/>
          <w:szCs w:val="20"/>
          <w:color w:val="auto"/>
        </w:rPr>
      </w:pPr>
      <w:r>
        <w:rPr>
          <w:rFonts w:ascii="Arial" w:cs="Arial" w:eastAsia="Arial" w:hAnsi="Arial"/>
          <w:sz w:val="18"/>
          <w:szCs w:val="18"/>
          <w:color w:val="auto"/>
        </w:rPr>
        <w:t>Pro forma net loss per share attributable to common stockholders, basic and 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14605</wp:posOffset>
            </wp:positionV>
            <wp:extent cx="8743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31750</wp:posOffset>
            </wp:positionV>
            <wp:extent cx="8743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May 2019 and June 2019, the Company granted stock options to purchase an aggregate of 1.6 million shares of common stock.</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has evaluated subsequent events for financial statement purposes occurring through June 20, 2019, the date these financial statements were issued, and determined that no additional subsequent events had occurred that would require recognition in these financial statements and that all subsequent events that required disclosure have been disclosed.</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320" w:top="459" w:right="5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Arial" w:cs="Arial" w:eastAsia="Arial" w:hAnsi="Arial"/>
          <w:sz w:val="32"/>
          <w:szCs w:val="32"/>
          <w:b w:val="1"/>
          <w:bCs w:val="1"/>
          <w:color w:val="auto"/>
        </w:rPr>
        <w:t>Shares</w:t>
      </w: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54"/>
          <w:szCs w:val="54"/>
          <w:b w:val="1"/>
          <w:bCs w:val="1"/>
          <w:color w:val="auto"/>
        </w:rPr>
        <w:t>Pliant Therapeutics, Inc.</w:t>
      </w:r>
    </w:p>
    <w:p>
      <w:pPr>
        <w:spacing w:after="0" w:line="200" w:lineRule="exact"/>
        <w:rPr>
          <w:sz w:val="20"/>
          <w:szCs w:val="20"/>
          <w:color w:val="auto"/>
        </w:rPr>
      </w:pPr>
    </w:p>
    <w:p>
      <w:pPr>
        <w:spacing w:after="0" w:line="248" w:lineRule="exact"/>
        <w:rPr>
          <w:sz w:val="20"/>
          <w:szCs w:val="20"/>
          <w:color w:val="auto"/>
        </w:rPr>
      </w:pPr>
    </w:p>
    <w:p>
      <w:pPr>
        <w:jc w:val="center"/>
        <w:ind w:right="-41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2150110</wp:posOffset>
            </wp:positionV>
            <wp:extent cx="7029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340995</wp:posOffset>
            </wp:positionV>
            <wp:extent cx="2417445" cy="12687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1744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PRELIMINARY PROSPECTUS</w:t>
      </w:r>
    </w:p>
    <w:p>
      <w:pPr>
        <w:spacing w:after="0" w:line="33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274320</wp:posOffset>
            </wp:positionV>
            <wp:extent cx="70294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22"/>
          <w:szCs w:val="22"/>
          <w:i w:val="1"/>
          <w:iCs w:val="1"/>
          <w:color w:val="auto"/>
        </w:rPr>
        <w:t>Joint Book-Running Managers</w:t>
      </w:r>
    </w:p>
    <w:p>
      <w:pPr>
        <w:spacing w:after="0" w:line="303" w:lineRule="exact"/>
        <w:rPr>
          <w:sz w:val="20"/>
          <w:szCs w:val="20"/>
          <w:color w:val="auto"/>
        </w:rPr>
      </w:pPr>
    </w:p>
    <w:p>
      <w:pPr>
        <w:jc w:val="center"/>
        <w:ind w:right="-419"/>
        <w:spacing w:after="0"/>
        <w:rPr>
          <w:sz w:val="20"/>
          <w:szCs w:val="20"/>
          <w:color w:val="auto"/>
        </w:rPr>
      </w:pPr>
      <w:r>
        <w:rPr>
          <w:rFonts w:ascii="Arial" w:cs="Arial" w:eastAsia="Arial" w:hAnsi="Arial"/>
          <w:sz w:val="29"/>
          <w:szCs w:val="29"/>
          <w:b w:val="1"/>
          <w:bCs w:val="1"/>
          <w:color w:val="auto"/>
        </w:rPr>
        <w:t>Citigroup</w:t>
      </w:r>
    </w:p>
    <w:p>
      <w:pPr>
        <w:spacing w:after="0" w:line="36" w:lineRule="exact"/>
        <w:rPr>
          <w:sz w:val="20"/>
          <w:szCs w:val="20"/>
          <w:color w:val="auto"/>
        </w:rPr>
      </w:pPr>
    </w:p>
    <w:p>
      <w:pPr>
        <w:jc w:val="center"/>
        <w:ind w:right="-419"/>
        <w:spacing w:after="0"/>
        <w:rPr>
          <w:sz w:val="20"/>
          <w:szCs w:val="20"/>
          <w:color w:val="auto"/>
        </w:rPr>
      </w:pPr>
      <w:r>
        <w:rPr>
          <w:rFonts w:ascii="Arial" w:cs="Arial" w:eastAsia="Arial" w:hAnsi="Arial"/>
          <w:sz w:val="29"/>
          <w:szCs w:val="29"/>
          <w:b w:val="1"/>
          <w:bCs w:val="1"/>
          <w:color w:val="auto"/>
        </w:rPr>
        <w:t>Cowen</w:t>
      </w:r>
    </w:p>
    <w:p>
      <w:pPr>
        <w:spacing w:after="0" w:line="4" w:lineRule="exact"/>
        <w:rPr>
          <w:sz w:val="20"/>
          <w:szCs w:val="20"/>
          <w:color w:val="auto"/>
        </w:rPr>
      </w:pPr>
    </w:p>
    <w:p>
      <w:pPr>
        <w:jc w:val="center"/>
        <w:ind w:right="-419"/>
        <w:spacing w:after="0"/>
        <w:rPr>
          <w:sz w:val="20"/>
          <w:szCs w:val="20"/>
          <w:color w:val="auto"/>
        </w:rPr>
      </w:pPr>
      <w:r>
        <w:rPr>
          <w:rFonts w:ascii="Arial" w:cs="Arial" w:eastAsia="Arial" w:hAnsi="Arial"/>
          <w:sz w:val="29"/>
          <w:szCs w:val="29"/>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302895</wp:posOffset>
            </wp:positionV>
            <wp:extent cx="7029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19"/>
        <w:spacing w:after="0"/>
        <w:rPr>
          <w:sz w:val="20"/>
          <w:szCs w:val="20"/>
          <w:color w:val="auto"/>
        </w:rPr>
      </w:pPr>
      <w:r>
        <w:rPr>
          <w:rFonts w:ascii="Arial" w:cs="Arial" w:eastAsia="Arial" w:hAnsi="Arial"/>
          <w:sz w:val="22"/>
          <w:szCs w:val="22"/>
          <w:i w:val="1"/>
          <w:iCs w:val="1"/>
          <w:color w:val="auto"/>
        </w:rPr>
        <w:t>Lead Manager</w:t>
      </w:r>
    </w:p>
    <w:p>
      <w:pPr>
        <w:spacing w:after="0" w:line="313" w:lineRule="exact"/>
        <w:rPr>
          <w:sz w:val="20"/>
          <w:szCs w:val="20"/>
          <w:color w:val="auto"/>
        </w:rPr>
      </w:pPr>
    </w:p>
    <w:p>
      <w:pPr>
        <w:jc w:val="center"/>
        <w:ind w:right="-419"/>
        <w:spacing w:after="0"/>
        <w:rPr>
          <w:sz w:val="20"/>
          <w:szCs w:val="20"/>
          <w:color w:val="auto"/>
        </w:rPr>
      </w:pPr>
      <w:r>
        <w:rPr>
          <w:rFonts w:ascii="Arial" w:cs="Arial" w:eastAsia="Arial" w:hAnsi="Arial"/>
          <w:sz w:val="25"/>
          <w:szCs w:val="25"/>
          <w:b w:val="1"/>
          <w:bCs w:val="1"/>
          <w:color w:val="auto"/>
        </w:rPr>
        <w:t>Needham &amp; Company</w:t>
      </w:r>
    </w:p>
    <w:p>
      <w:pPr>
        <w:spacing w:after="0" w:line="200" w:lineRule="exact"/>
        <w:rPr>
          <w:sz w:val="20"/>
          <w:szCs w:val="20"/>
          <w:color w:val="auto"/>
        </w:rPr>
      </w:pPr>
    </w:p>
    <w:p>
      <w:pPr>
        <w:spacing w:after="0" w:line="246" w:lineRule="exact"/>
        <w:rPr>
          <w:sz w:val="20"/>
          <w:szCs w:val="20"/>
          <w:color w:val="auto"/>
        </w:rPr>
      </w:pPr>
    </w:p>
    <w:p>
      <w:pPr>
        <w:ind w:left="560"/>
        <w:spacing w:after="0"/>
        <w:tabs>
          <w:tab w:leader="none" w:pos="304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2019 (25 days after the date of this prospectus), all dealers that effect transactions in these securities,</w:t>
      </w:r>
    </w:p>
    <w:p>
      <w:pPr>
        <w:spacing w:after="0" w:line="27"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820"/>
          </w:cols>
          <w:pgMar w:left="320" w:top="459" w:right="7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 the FINRA filing fee and the Nasdaq Global Market listing fee.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Amount Paid</w:t>
            </w:r>
          </w:p>
        </w:tc>
      </w:tr>
      <w:tr>
        <w:trPr>
          <w:trHeight w:val="149"/>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or to</w:t>
            </w:r>
          </w:p>
        </w:tc>
      </w:tr>
      <w:tr>
        <w:trPr>
          <w:trHeight w:val="171"/>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Be Paid</w:t>
            </w:r>
          </w:p>
        </w:tc>
      </w:tr>
      <w:tr>
        <w:trPr>
          <w:trHeight w:val="209"/>
        </w:trPr>
        <w:tc>
          <w:tcPr>
            <w:tcW w:w="67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3"/>
          </w:tcPr>
          <w:p>
            <w:pPr>
              <w:spacing w:after="0"/>
              <w:rPr>
                <w:sz w:val="20"/>
                <w:szCs w:val="20"/>
                <w:color w:val="auto"/>
              </w:rPr>
            </w:pPr>
            <w:r>
              <w:rPr>
                <w:rFonts w:ascii="Arial" w:cs="Arial" w:eastAsia="Arial" w:hAnsi="Arial"/>
                <w:sz w:val="18"/>
                <w:szCs w:val="18"/>
                <w:color w:val="auto"/>
              </w:rPr>
              <w:t>Printing and mailing</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3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100"/>
              <w:spacing w:after="0"/>
              <w:rPr>
                <w:sz w:val="20"/>
                <w:szCs w:val="20"/>
                <w:color w:val="auto"/>
              </w:rPr>
            </w:pPr>
            <w:r>
              <w:rPr>
                <w:rFonts w:ascii="Arial" w:cs="Arial" w:eastAsia="Arial" w:hAnsi="Arial"/>
                <w:sz w:val="18"/>
                <w:szCs w:val="18"/>
                <w:color w:val="auto"/>
              </w:rPr>
              <w:t>To be completed by amendment.</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adopted provisions in our amended and restated certificate of incorporation and amended and restated bylaws to be in effect immediately prior to the completion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92" w:lineRule="exact"/>
        <w:rPr>
          <w:sz w:val="20"/>
          <w:szCs w:val="20"/>
          <w:color w:val="auto"/>
        </w:rPr>
      </w:pPr>
    </w:p>
    <w:p>
      <w:pPr>
        <w:ind w:left="760" w:right="480" w:hanging="212"/>
        <w:spacing w:after="0" w:line="286" w:lineRule="auto"/>
        <w:tabs>
          <w:tab w:leader="none" w:pos="7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 any act or omission not in good faith or that involves intentional misconduct or a knowing violation of law; any unlawful payments related to dividends or unlawful stock purchases, redemptions or other distributions; or any transaction from which the director derived an improper personal benefit.</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760" w:right="60" w:hanging="212"/>
        <w:spacing w:after="0" w:line="277" w:lineRule="auto"/>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140" w:hanging="212"/>
        <w:spacing w:after="0" w:line="342" w:lineRule="auto"/>
        <w:tabs>
          <w:tab w:leader="none" w:pos="7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These agreements will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will agree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85" w:lineRule="exact"/>
        <w:rPr>
          <w:sz w:val="20"/>
          <w:szCs w:val="20"/>
          <w:color w:val="auto"/>
        </w:rPr>
      </w:pPr>
    </w:p>
    <w:p>
      <w:pPr>
        <w:jc w:val="both"/>
        <w:ind w:left="120" w:right="380" w:firstLine="440"/>
        <w:spacing w:after="0" w:line="342" w:lineRule="auto"/>
        <w:rPr>
          <w:sz w:val="20"/>
          <w:szCs w:val="20"/>
          <w:color w:val="auto"/>
        </w:rPr>
      </w:pPr>
      <w:r>
        <w:rPr>
          <w:rFonts w:ascii="Arial" w:cs="Arial" w:eastAsia="Arial" w:hAnsi="Arial"/>
          <w:sz w:val="16"/>
          <w:szCs w:val="16"/>
          <w:color w:val="auto"/>
        </w:rPr>
        <w:t>We will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In the three years preceding the filing of this registration statement, we have issued the following securities that were not registered under the Securities Act.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April 2016, we sold an aggregate of 5,000,000 shares of our Series A redeemable convertible preferred stock at a purchase price of $1.00 per share for an aggregate purchase price of approximately $5.0 million.</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September 2016, we sold an aggregate of 5,000,000 shares of our Series A redeemable convertible preferred stock at a purchase price of $1.00 per share for an aggregate purchase price of approximately $5.0 million.</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February 2017, we sold an aggregate of 8,000,000 shares of our Series A redeemable convertible preferred stock at a purchase price of $1.00 per share for an aggregate purchase price of approximately $8.0 million.</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July 2017, we sold an aggregate of 12,000,000 shares of our Series A redeemable convertible preferred stock at a purchase price of $1.00 per share for an aggregate purchase price of approximately $12.0 million.</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January 2018, we sold an aggregate of 8,500,000 shares of our Series A redeemable convertible preferred stock at a purchase price of $1.00 per share for an aggregate purchase price of approximately $8.5 million.</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March 2018, we sold an aggregate of 11,000,000 shares of our Series A redeemable convertible preferred stock at a purchase price of $1.00 per share for an aggregate purchase price of approximately $11.0 million.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July 2018, we sold an aggregate of 45,142,960 shares of our Series B redeemable convertible preferred stock at a purchase price of $1.3767 per share for an aggregate purchase price of approximately $62 million.</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November 2018, we sold an aggregate of 4,358,261 shares of our Series B redeemable convertible preferred stock at a purchase price of $1.3767 per share for an aggregate purchase price of approximately $6 million.</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offers and sales of the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Since January 1, 2016, we granted stock options to purchase 9,148,947 shares of our common stock to our employees, directors and consultants at a weighted average exercise price of $0.39 per share under the 2015 Plan. We also granted the right to purchase an aggregate of 11,653,916 shares of restricted stock to our employees, directors and consultants at a purchase price of $0.01 per share under the 2015 Plan.</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and contracts relating to compensation as provided under Rule 701. The recipients of such securities were the registrant’s employees, consultants or directors and received the securities under the registrant’s 2015 Equity Incentive Plan. The shares of common stock issued upon the exercise of options are deemed to be restricted securities for purposes of the Securities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Exhibit</w:t>
            </w:r>
          </w:p>
        </w:tc>
        <w:tc>
          <w:tcPr>
            <w:tcW w:w="49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Amended and Restated Certificate of Incorporation, as amended, of the Registrant, as currently in effect.</w:t>
            </w:r>
          </w:p>
        </w:tc>
        <w:tc>
          <w:tcPr>
            <w:tcW w:w="0" w:type="dxa"/>
            <w:vAlign w:val="bottom"/>
          </w:tcPr>
          <w:p>
            <w:pPr>
              <w:spacing w:after="0"/>
              <w:rPr>
                <w:sz w:val="1"/>
                <w:szCs w:val="1"/>
                <w:color w:val="auto"/>
              </w:rPr>
            </w:pPr>
          </w:p>
        </w:tc>
      </w:tr>
      <w:tr>
        <w:trPr>
          <w:trHeight w:val="310"/>
        </w:trPr>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w w:val="93"/>
              </w:rPr>
              <w:t>Form of Amended and Restated Certificate of Incorporation of the Registrant, to be in effect immediately prior to completion of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Bylaws of the Registrant and the amendments thereto, as currently in effect.</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w w:val="98"/>
              </w:rPr>
              <w:t>Form of Amended and Restated Bylaws of the Registrant, to be in effect immediately prior to the completion of the offering.</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0000" w:type="dxa"/>
            <w:vAlign w:val="bottom"/>
            <w:gridSpan w:val="3"/>
          </w:tcPr>
          <w:p>
            <w:pPr>
              <w:ind w:left="340"/>
              <w:spacing w:after="0"/>
              <w:rPr>
                <w:sz w:val="20"/>
                <w:szCs w:val="20"/>
                <w:color w:val="auto"/>
              </w:rPr>
            </w:pPr>
            <w:r>
              <w:rPr>
                <w:rFonts w:ascii="Arial" w:cs="Arial" w:eastAsia="Arial" w:hAnsi="Arial"/>
                <w:sz w:val="18"/>
                <w:szCs w:val="18"/>
                <w:color w:val="auto"/>
                <w:w w:val="89"/>
              </w:rPr>
              <w:t>Amended and Restated Investors’ Rights Agreement by and among the Registrant and certain of its stockholders, dated July 10, 2018.</w:t>
            </w: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gridSpan w:val="3"/>
          </w:tcPr>
          <w:p>
            <w:pPr>
              <w:ind w:left="456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gridSpan w:val="2"/>
          </w:tcPr>
          <w:p>
            <w:pPr>
              <w:jc w:val="right"/>
              <w:ind w:right="48"/>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2"/>
              </w:rPr>
              <w:t>10.1#</w:t>
            </w:r>
            <w:r>
              <w:rPr>
                <w:rFonts w:ascii="Arial" w:cs="Arial" w:eastAsia="Arial" w:hAnsi="Arial"/>
                <w:sz w:val="15"/>
                <w:szCs w:val="15"/>
                <w:color w:val="auto"/>
                <w:w w:val="92"/>
              </w:rPr>
              <w:t>+</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2015 Equity Incentive Plan and forms of award agreements thereunder.</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10.2*#</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2019 Stock Option and Incentive Plan and forms of award agreements thereunder.</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10.3*#</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2019 Employee Stock Purchase Plan.</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10.4*#</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Senior Executive Cash Incentive Bonus Plan.</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2"/>
              </w:rPr>
              <w:t>10.5#</w:t>
            </w:r>
            <w:r>
              <w:rPr>
                <w:rFonts w:ascii="Arial" w:cs="Arial" w:eastAsia="Arial" w:hAnsi="Arial"/>
                <w:sz w:val="15"/>
                <w:szCs w:val="15"/>
                <w:color w:val="auto"/>
                <w:w w:val="92"/>
              </w:rPr>
              <w:t>+</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Non-Employee Director Compensation Policy.</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10.6*#</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Executive Severance Plan.</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2"/>
              </w:rPr>
              <w:t>10.7#</w:t>
            </w:r>
            <w:r>
              <w:rPr>
                <w:rFonts w:ascii="Arial" w:cs="Arial" w:eastAsia="Arial" w:hAnsi="Arial"/>
                <w:sz w:val="15"/>
                <w:szCs w:val="15"/>
                <w:color w:val="auto"/>
                <w:w w:val="92"/>
              </w:rPr>
              <w:t>+</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Offer Letter, by and between the Registrant and Bernard Coulie, M.D., Ph.D., dated October 12, 2015.</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2"/>
              </w:rPr>
              <w:t>10.8#</w:t>
            </w:r>
            <w:r>
              <w:rPr>
                <w:rFonts w:ascii="Arial" w:cs="Arial" w:eastAsia="Arial" w:hAnsi="Arial"/>
                <w:sz w:val="15"/>
                <w:szCs w:val="15"/>
                <w:color w:val="auto"/>
                <w:w w:val="92"/>
              </w:rPr>
              <w:t>+</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Offer Letter, by and between the Registrant and Hans Hull, dated February 10, 2016.</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2"/>
              </w:rPr>
              <w:t>10.9#</w:t>
            </w:r>
            <w:r>
              <w:rPr>
                <w:rFonts w:ascii="Arial" w:cs="Arial" w:eastAsia="Arial" w:hAnsi="Arial"/>
                <w:sz w:val="15"/>
                <w:szCs w:val="15"/>
                <w:color w:val="auto"/>
                <w:w w:val="92"/>
              </w:rPr>
              <w:t>+</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Offer Letter, by and between the Registrant and Keith Cummings, M.D., MBA, dated November 29, 2018.</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Offer Letter, by and between the Registrant and Éric Lefebvre, M.D., dated February 28, 2018.</w:t>
            </w: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Offer Letter, by and between the Registrant and Barbara Howes, dated May 1, 2019.</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10.12*</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Form of Indemnification Agreement, by and between the Registrant and each of its directors and officers.</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2"/>
              </w:rPr>
              <w:t>10.13</w:t>
            </w:r>
            <w:r>
              <w:rPr>
                <w:rFonts w:ascii="Arial" w:cs="Arial" w:eastAsia="Arial" w:hAnsi="Arial"/>
                <w:sz w:val="15"/>
                <w:szCs w:val="15"/>
                <w:color w:val="auto"/>
                <w:w w:val="92"/>
              </w:rPr>
              <w:t>+</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w w:val="90"/>
              </w:rPr>
              <w:t>Office Lease, by and between the Registrant and 260 Littlefield Avenue South San Francisco, California 94080, dated February 6, 2018.</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660" w:hanging="544"/>
        <w:spacing w:after="0"/>
        <w:tabs>
          <w:tab w:leader="none" w:pos="66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660" w:hanging="544"/>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Represents management compensation plan, contract or arrangement.</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9" w:right="5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20" w:right="520" w:firstLine="436"/>
        <w:spacing w:after="0" w:line="308" w:lineRule="auto"/>
        <w:tabs>
          <w:tab w:leader="none" w:pos="8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undersigned Registrant will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rFonts w:ascii="Arial" w:cs="Arial" w:eastAsia="Arial" w:hAnsi="Arial"/>
          <w:sz w:val="17"/>
          <w:szCs w:val="17"/>
          <w:color w:val="auto"/>
        </w:rPr>
      </w:pPr>
    </w:p>
    <w:p>
      <w:pPr>
        <w:ind w:left="120" w:right="200" w:firstLine="436"/>
        <w:spacing w:after="0" w:line="286" w:lineRule="auto"/>
        <w:tabs>
          <w:tab w:leader="none" w:pos="8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120" w:firstLine="436"/>
        <w:spacing w:after="0" w:line="263" w:lineRule="auto"/>
        <w:tabs>
          <w:tab w:leader="none" w:pos="8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320" w:top="459" w:right="5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w:t>
      </w:r>
    </w:p>
    <w:p>
      <w:pPr>
        <w:spacing w:after="0" w:line="46" w:lineRule="exact"/>
        <w:rPr>
          <w:sz w:val="20"/>
          <w:szCs w:val="20"/>
          <w:color w:val="auto"/>
        </w:rPr>
      </w:pPr>
    </w:p>
    <w:p>
      <w:pPr>
        <w:ind w:left="120"/>
        <w:spacing w:after="0"/>
        <w:tabs>
          <w:tab w:leader="none" w:pos="8800" w:val="left"/>
          <w:tab w:leader="none" w:pos="9980" w:val="left"/>
        </w:tabs>
        <w:rPr>
          <w:sz w:val="20"/>
          <w:szCs w:val="20"/>
          <w:color w:val="auto"/>
        </w:rPr>
      </w:pPr>
      <w:r>
        <w:rPr>
          <w:rFonts w:ascii="Arial" w:cs="Arial" w:eastAsia="Arial" w:hAnsi="Arial"/>
          <w:sz w:val="17"/>
          <w:szCs w:val="17"/>
          <w:color w:val="auto"/>
        </w:rPr>
        <w:t>be signed on its behalf by the undersigned, thereunto duly authorized, in the City of San Francisco, California,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2019.</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PLIANT THERAPEUTICS,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Chief Executive Officer and Director</w:t>
      </w: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Each person whose individual signature appears below hereby authorizes and appoints Bernard Coulie and Keith Cummings and each of them, with full power of substitution and resubstitution and full power to act without the other, as his or her true and lawful attorney in fact and agent to act in his or her name, place and stead and to execute in the name and on behalf of each person, individually and in each capacity stated below, and to file any and all amendments to this Registration Statement, including any and all post effective amendments and amendments thereto, and any registration statement relating to the same offering as this Registration Statement that is to be effective upon filing pursuant to Rule 462(b) under the Securities Act of 1933, as amended, and to file the same, with all exhibits thereto, and other documents in connection therewith, with the Securities and Exchange Commission, granting unto said attorneys in fact and agents, and each of them, full power and authority to do and perform each and every act and thing, ratifying and confirming all that said attorneys in fact and agents or any of them or their or his substitute or substitutes may lawfully do or cause to be done by virtue thereof.</w:t>
      </w:r>
    </w:p>
    <w:p>
      <w:pPr>
        <w:spacing w:after="0" w:line="18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220" w:type="dxa"/>
            <w:vAlign w:val="bottom"/>
          </w:tcPr>
          <w:p>
            <w:pPr>
              <w:spacing w:after="0"/>
              <w:rPr>
                <w:sz w:val="14"/>
                <w:szCs w:val="14"/>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3"/>
              </w:rPr>
              <w:t>Bernard Coulie, M.D., Ph.D.</w:t>
            </w:r>
          </w:p>
        </w:tc>
        <w:tc>
          <w:tcPr>
            <w:tcW w:w="4620" w:type="dxa"/>
            <w:vAlign w:val="bottom"/>
            <w:gridSpan w:val="3"/>
          </w:tcPr>
          <w:p>
            <w:pPr>
              <w:ind w:left="460"/>
              <w:spacing w:after="0"/>
              <w:rPr>
                <w:sz w:val="20"/>
                <w:szCs w:val="20"/>
                <w:color w:val="auto"/>
              </w:rPr>
            </w:pPr>
            <w:r>
              <w:rPr>
                <w:rFonts w:ascii="Arial" w:cs="Arial" w:eastAsia="Arial" w:hAnsi="Arial"/>
                <w:sz w:val="18"/>
                <w:szCs w:val="18"/>
                <w:color w:val="auto"/>
              </w:rPr>
              <w:t>(Principal Executive 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 (Principal Financial and</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6"/>
              </w:rPr>
              <w:t>Keith Cummings, M.D., MBA</w:t>
            </w:r>
          </w:p>
        </w:tc>
        <w:tc>
          <w:tcPr>
            <w:tcW w:w="462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gridSpan w:val="3"/>
          </w:tcPr>
          <w:p>
            <w:pPr>
              <w:ind w:left="280"/>
              <w:spacing w:after="0"/>
              <w:rPr>
                <w:sz w:val="20"/>
                <w:szCs w:val="20"/>
                <w:color w:val="auto"/>
              </w:rPr>
            </w:pPr>
            <w:r>
              <w:rPr>
                <w:rFonts w:ascii="Arial" w:cs="Arial" w:eastAsia="Arial" w:hAnsi="Arial"/>
                <w:sz w:val="18"/>
                <w:szCs w:val="18"/>
                <w:color w:val="auto"/>
              </w:rPr>
              <w:t>Lead Director</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3"/>
              </w:rPr>
              <w:t>Hoyoung Huh, M.D., Ph.D.</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9"/>
              </w:rPr>
              <w:t>Suzanne Bruhn, Ph.D.</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1"/>
              </w:rPr>
              <w:t>John Curnutte, M.D.</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42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Neil Exter</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24"/>
        </w:trPr>
        <w:tc>
          <w:tcPr>
            <w:tcW w:w="42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Charles Homcy, M.D.</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80"/>
          </w:cols>
          <w:pgMar w:left="320" w:top="459"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39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388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Date</w:t>
            </w:r>
          </w:p>
        </w:tc>
      </w:tr>
      <w:tr>
        <w:trPr>
          <w:trHeight w:val="426"/>
        </w:trPr>
        <w:tc>
          <w:tcPr>
            <w:tcW w:w="620" w:type="dxa"/>
            <w:vAlign w:val="bottom"/>
            <w:tcBorders>
              <w:top w:val="single" w:sz="8" w:color="auto"/>
            </w:tcBorders>
          </w:tcPr>
          <w:p>
            <w:pPr>
              <w:spacing w:after="0"/>
              <w:rPr>
                <w:sz w:val="24"/>
                <w:szCs w:val="24"/>
                <w:color w:val="auto"/>
              </w:rPr>
            </w:pPr>
          </w:p>
        </w:tc>
        <w:tc>
          <w:tcPr>
            <w:tcW w:w="3900" w:type="dxa"/>
            <w:vAlign w:val="bottom"/>
          </w:tcPr>
          <w:p>
            <w:pPr>
              <w:ind w:left="1960"/>
              <w:spacing w:after="0"/>
              <w:rPr>
                <w:sz w:val="20"/>
                <w:szCs w:val="20"/>
                <w:color w:val="auto"/>
              </w:rPr>
            </w:pPr>
            <w:r>
              <w:rPr>
                <w:rFonts w:ascii="Arial" w:cs="Arial" w:eastAsia="Arial" w:hAnsi="Arial"/>
                <w:sz w:val="18"/>
                <w:szCs w:val="18"/>
                <w:color w:val="auto"/>
              </w:rPr>
              <w:t>Director</w:t>
            </w:r>
          </w:p>
        </w:tc>
        <w:tc>
          <w:tcPr>
            <w:tcW w:w="30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27343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Kevin Raidy</w:t>
      </w:r>
    </w:p>
    <w:p>
      <w:pPr>
        <w:spacing w:after="0" w:line="238"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Director</w:t>
            </w:r>
          </w:p>
        </w:tc>
        <w:tc>
          <w:tcPr>
            <w:tcW w:w="300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273431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Smital Shah</w:t>
      </w:r>
    </w:p>
    <w:p>
      <w:pPr>
        <w:spacing w:after="0" w:line="1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II-7</w:t>
      </w:r>
    </w:p>
    <w:sectPr>
      <w:pgSz w:w="11900" w:h="16838" w:orient="portrait"/>
      <w:cols w:equalWidth="0" w:num="1">
        <w:col w:w="10660"/>
      </w:cols>
      <w:pgMar w:left="32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1)"/>
      <w:numFmt w:val="decimal"/>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1)"/>
      <w:numFmt w:val="decimal"/>
      <w:start w:val="1"/>
    </w:lvl>
  </w:abstractNum>
  <w:abstractNum w:abstractNumId="14">
    <w:nsid w:val="168E121F"/>
    <w:multiLevelType w:val="hybridMultilevel"/>
    <w:lvl w:ilvl="0">
      <w:lvlJc w:val="left"/>
      <w:lvlText w:val="(%1)"/>
      <w:numFmt w:val="decimal"/>
      <w:start w:val="1"/>
    </w:lvl>
  </w:abstractNum>
  <w:abstractNum w:abstractNumId="15">
    <w:nsid w:val="1EBA5D23"/>
    <w:multiLevelType w:val="hybridMultilevel"/>
    <w:lvl w:ilvl="0">
      <w:lvlJc w:val="left"/>
      <w:lvlText w:val="(%1)"/>
      <w:numFmt w:val="decimal"/>
      <w:start w:val="3"/>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1)"/>
      <w:numFmt w:val="lowerRoman"/>
      <w:start w:val="1"/>
    </w:lvl>
  </w:abstractNum>
  <w:abstractNum w:abstractNumId="37">
    <w:nsid w:val="100F59DC"/>
    <w:multiLevelType w:val="hybridMultilevel"/>
    <w:lvl w:ilvl="0">
      <w:lvlJc w:val="left"/>
      <w:lvlText w:val="(%1)"/>
      <w:numFmt w:val="lowerRoman"/>
      <w:start w:val="4"/>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1)"/>
      <w:numFmt w:val="decimal"/>
      <w:start w:val="1"/>
    </w:lvl>
  </w:abstractNum>
  <w:abstractNum w:abstractNumId="54">
    <w:nsid w:val="57FC4FBB"/>
    <w:multiLevelType w:val="hybridMultilevel"/>
    <w:lvl w:ilvl="0">
      <w:lvlJc w:val="left"/>
      <w:lvlText w:val="(%1)"/>
      <w:numFmt w:val="decimal"/>
      <w:start w:val="2"/>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1)"/>
      <w:numFmt w:val="decimal"/>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1)"/>
      <w:numFmt w:val="lowerRoman"/>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1)"/>
      <w:numFmt w:val="decimal"/>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1)"/>
      <w:numFmt w:val="lowerRoman"/>
      <w:start w:val="1"/>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1)"/>
      <w:numFmt w:val="decimal"/>
      <w:start w:val="4"/>
    </w:lvl>
  </w:abstractNum>
  <w:abstractNum w:abstractNumId="89">
    <w:nsid w:val="51088277"/>
    <w:multiLevelType w:val="hybridMultilevel"/>
    <w:lvl w:ilvl="0">
      <w:lvlJc w:val="left"/>
      <w:lvlText w:val="(%1)"/>
      <w:numFmt w:val="upperLetter"/>
      <w:start w:val="5"/>
    </w:lvl>
  </w:abstractNum>
  <w:abstractNum w:abstractNumId="90">
    <w:nsid w:val="1CA0C5FA"/>
    <w:multiLevelType w:val="hybridMultilevel"/>
    <w:lvl w:ilvl="0">
      <w:lvlJc w:val="left"/>
      <w:lvlText w:val="(%1)"/>
      <w:numFmt w:val="decimal"/>
      <w:start w:val="1"/>
    </w:lvl>
  </w:abstractNum>
  <w:abstractNum w:abstractNumId="91">
    <w:nsid w:val="53584BCB"/>
    <w:multiLevelType w:val="hybridMultilevel"/>
    <w:lvl w:ilvl="0">
      <w:lvlJc w:val="left"/>
      <w:lvlText w:val="•"/>
      <w:numFmt w:val="bullet"/>
      <w:start w:val="1"/>
    </w:lvl>
  </w:abstractNum>
  <w:abstractNum w:abstractNumId="92">
    <w:nsid w:val="415E286C"/>
    <w:multiLevelType w:val="hybridMultilevel"/>
    <w:lvl w:ilvl="0">
      <w:lvlJc w:val="left"/>
      <w:lvlText w:val="(%1)"/>
      <w:numFmt w:val="decimal"/>
      <w:start w:val="1"/>
    </w:lvl>
  </w:abstractNum>
  <w:abstractNum w:abstractNumId="93">
    <w:nsid w:val="7C58FD05"/>
    <w:multiLevelType w:val="hybridMultilevel"/>
    <w:lvl w:ilvl="0">
      <w:lvlJc w:val="left"/>
      <w:lvlText w:val="(%1)"/>
      <w:numFmt w:val="decimal"/>
      <w:start w:val="1"/>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
      <w:numFmt w:val="bullet"/>
      <w:start w:val="1"/>
    </w:lvl>
  </w:abstractNum>
  <w:abstractNum w:abstractNumId="97">
    <w:nsid w:val="E7FFA2B"/>
    <w:multiLevelType w:val="hybridMultilevel"/>
    <w:lvl w:ilvl="0">
      <w:lvlJc w:val="left"/>
      <w:lvlText w:val="(%1)"/>
      <w:numFmt w:val="decimal"/>
      <w:start w:val="1"/>
    </w:lvl>
  </w:abstractNum>
  <w:abstractNum w:abstractNumId="98">
    <w:nsid w:val="3C5991AA"/>
    <w:multiLevelType w:val="hybridMultilevel"/>
    <w:lvl w:ilvl="0">
      <w:lvlJc w:val="left"/>
      <w:lvlText w:val="(%1)"/>
      <w:numFmt w:val="decimal"/>
      <w:start w:val="10"/>
    </w:lvl>
  </w:abstractNum>
  <w:abstractNum w:abstractNumId="99">
    <w:nsid w:val="4BD8591A"/>
    <w:multiLevelType w:val="hybridMultilevel"/>
    <w:lvl w:ilvl="0">
      <w:lvlJc w:val="left"/>
      <w:lvlText w:val="•"/>
      <w:numFmt w:val="bullet"/>
      <w:start w:val="1"/>
    </w:lvl>
  </w:abstractNum>
  <w:abstractNum w:abstractNumId="100">
    <w:nsid w:val="78DF6A55"/>
    <w:multiLevelType w:val="hybridMultilevel"/>
    <w:lvl w:ilvl="0">
      <w:lvlJc w:val="left"/>
      <w:lvlText w:val="•"/>
      <w:numFmt w:val="bullet"/>
      <w:start w:val="1"/>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1)"/>
      <w:numFmt w:val="lowerRoman"/>
      <w:start w:val="2"/>
    </w:lvl>
  </w:abstractNum>
  <w:abstractNum w:abstractNumId="103">
    <w:nsid w:val="6C80EC70"/>
    <w:multiLevelType w:val="hybridMultilevel"/>
    <w:lvl w:ilvl="0">
      <w:lvlJc w:val="left"/>
      <w:lvlText w:val="(%1)"/>
      <w:numFmt w:val="lowerRoman"/>
      <w:start w:val="1"/>
    </w:lvl>
  </w:abstractNum>
  <w:abstractNum w:abstractNumId="104">
    <w:nsid w:val="379E21B5"/>
    <w:multiLevelType w:val="hybridMultilevel"/>
    <w:lvl w:ilvl="0">
      <w:lvlJc w:val="left"/>
      <w:lvlText w:val="•"/>
      <w:numFmt w:val="bullet"/>
      <w:start w:val="1"/>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
      <w:numFmt w:val="bullet"/>
      <w:start w:val="1"/>
    </w:lvl>
    <w:lvl w:ilvl="1">
      <w:lvlJc w:val="left"/>
      <w:lvlText w:val="•"/>
      <w:numFmt w:val="bullet"/>
      <w:start w:val="1"/>
    </w:lvl>
  </w:abstractNum>
  <w:abstractNum w:abstractNumId="110">
    <w:nsid w:val="5675FF36"/>
    <w:multiLevelType w:val="hybridMultilevel"/>
    <w:lvl w:ilvl="0">
      <w:lvlJc w:val="left"/>
      <w:lvlText w:val="%1)"/>
      <w:numFmt w:val="lowerRoman"/>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
      <w:numFmt w:val="bullet"/>
      <w:start w:val="1"/>
    </w:lvl>
  </w:abstractNum>
  <w:abstractNum w:abstractNumId="113">
    <w:nsid w:val="2708C9AF"/>
    <w:multiLevelType w:val="hybridMultilevel"/>
    <w:lvl w:ilvl="0">
      <w:lvlJc w:val="left"/>
      <w:lvlText w:val="•"/>
      <w:numFmt w:val="bullet"/>
      <w:start w:val="1"/>
    </w:lvl>
  </w:abstractNum>
  <w:abstractNum w:abstractNumId="114">
    <w:nsid w:val="5B25ACE2"/>
    <w:multiLevelType w:val="hybridMultilevel"/>
    <w:lvl w:ilvl="0">
      <w:lvlJc w:val="left"/>
      <w:lvlText w:val="•"/>
      <w:numFmt w:val="bullet"/>
      <w:start w:val="1"/>
    </w:lvl>
  </w:abstractNum>
  <w:abstractNum w:abstractNumId="115">
    <w:nsid w:val="175DFCF0"/>
    <w:multiLevelType w:val="hybridMultilevel"/>
    <w:lvl w:ilvl="0">
      <w:lvlJc w:val="left"/>
      <w:lvlText w:val="•"/>
      <w:numFmt w:val="bullet"/>
      <w:start w:val="1"/>
    </w:lvl>
  </w:abstractNum>
  <w:abstractNum w:abstractNumId="116">
    <w:nsid w:val="4F97E3E4"/>
    <w:multiLevelType w:val="hybridMultilevel"/>
    <w:lvl w:ilvl="0">
      <w:lvlJc w:val="left"/>
      <w:lvlText w:val="%1."/>
      <w:numFmt w:val="decimal"/>
      <w:start w:val="3"/>
    </w:lvl>
  </w:abstractNum>
  <w:abstractNum w:abstractNumId="117">
    <w:nsid w:val="53B0A9E"/>
    <w:multiLevelType w:val="hybridMultilevel"/>
    <w:lvl w:ilvl="0">
      <w:lvlJc w:val="left"/>
      <w:lvlText w:val="•"/>
      <w:numFmt w:val="bullet"/>
      <w:start w:val="1"/>
    </w:lvl>
  </w:abstractNum>
  <w:abstractNum w:abstractNumId="118">
    <w:nsid w:val="34FD6B4F"/>
    <w:multiLevelType w:val="hybridMultilevel"/>
    <w:lvl w:ilvl="0">
      <w:lvlJc w:val="left"/>
      <w:lvlText w:val="•"/>
      <w:numFmt w:val="bullet"/>
      <w:start w:val="1"/>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1."/>
      <w:numFmt w:val="decimal"/>
      <w:start w:val="3"/>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
      <w:numFmt w:val="bullet"/>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2020-05-25T22:35:10Z</dcterms:created>
  <dcterms:modified xsi:type="dcterms:W3CDTF">2020-05-25T22:35:10Z</dcterms:modified>
</cp:coreProperties>
</file>