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204470</wp:posOffset>
            </wp:positionH>
            <wp:positionV relativeFrom="page">
              <wp:posOffset>768350</wp:posOffset>
            </wp:positionV>
            <wp:extent cx="70675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7550"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792480</wp:posOffset>
            </wp:positionV>
            <wp:extent cx="70675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755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380" w:lineRule="exact"/>
        <w:rPr>
          <w:sz w:val="24"/>
          <w:szCs w:val="24"/>
          <w:color w:val="auto"/>
        </w:rPr>
      </w:pPr>
    </w:p>
    <w:p>
      <w:pPr>
        <w:ind w:left="820" w:hanging="801"/>
        <w:spacing w:after="0"/>
        <w:tabs>
          <w:tab w:leader="none" w:pos="82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March 31, 2022</w:t>
      </w:r>
    </w:p>
    <w:p>
      <w:pPr>
        <w:spacing w:after="0" w:line="225" w:lineRule="exact"/>
        <w:rPr>
          <w:sz w:val="24"/>
          <w:szCs w:val="24"/>
          <w:color w:val="auto"/>
        </w:rPr>
      </w:pPr>
    </w:p>
    <w:p>
      <w:pPr>
        <w:ind w:left="820" w:hanging="801"/>
        <w:spacing w:after="0"/>
        <w:tabs>
          <w:tab w:leader="none" w:pos="8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99" w:lineRule="exact"/>
        <w:rPr>
          <w:sz w:val="24"/>
          <w:szCs w:val="24"/>
          <w:color w:val="auto"/>
        </w:rPr>
      </w:pPr>
    </w:p>
    <w:p>
      <w:pPr>
        <w:ind w:left="4000"/>
        <w:spacing w:after="0"/>
        <w:tabs>
          <w:tab w:leader="none" w:pos="66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3926840</wp:posOffset>
            </wp:positionH>
            <wp:positionV relativeFrom="paragraph">
              <wp:posOffset>-7620</wp:posOffset>
            </wp:positionV>
            <wp:extent cx="681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001-39303</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PLIANT THERAPEUTICS,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18" w:lineRule="exact"/>
        <w:rPr>
          <w:sz w:val="24"/>
          <w:szCs w:val="24"/>
          <w:color w:val="auto"/>
        </w:rPr>
      </w:pPr>
    </w:p>
    <w:tbl>
      <w:tblPr>
        <w:tblLayout w:type="fixed"/>
        <w:tblInd w:w="1560" w:type="dxa"/>
        <w:tblCellMar>
          <w:top w:w="0" w:type="dxa"/>
          <w:left w:w="0" w:type="dxa"/>
          <w:bottom w:w="0" w:type="dxa"/>
          <w:right w:w="0" w:type="dxa"/>
        </w:tblCellMar>
      </w:tblPr>
      <w:tr>
        <w:trPr>
          <w:trHeight w:val="213"/>
        </w:trPr>
        <w:tc>
          <w:tcPr>
            <w:tcW w:w="4300" w:type="dxa"/>
            <w:vAlign w:val="bottom"/>
          </w:tcPr>
          <w:p>
            <w:pPr>
              <w:jc w:val="center"/>
              <w:ind w:right="1984"/>
              <w:spacing w:after="0"/>
              <w:rPr>
                <w:sz w:val="20"/>
                <w:szCs w:val="20"/>
                <w:color w:val="auto"/>
              </w:rPr>
            </w:pPr>
            <w:r>
              <w:rPr>
                <w:rFonts w:ascii="Arial" w:cs="Arial" w:eastAsia="Arial" w:hAnsi="Arial"/>
                <w:sz w:val="17"/>
                <w:szCs w:val="17"/>
                <w:b w:val="1"/>
                <w:bCs w:val="1"/>
                <w:color w:val="auto"/>
                <w:w w:val="91"/>
              </w:rPr>
              <w:t>Delaware</w:t>
            </w:r>
          </w:p>
        </w:tc>
        <w:tc>
          <w:tcPr>
            <w:tcW w:w="3120" w:type="dxa"/>
            <w:vAlign w:val="bottom"/>
          </w:tcPr>
          <w:p>
            <w:pPr>
              <w:jc w:val="right"/>
              <w:ind w:right="45"/>
              <w:spacing w:after="0"/>
              <w:rPr>
                <w:sz w:val="20"/>
                <w:szCs w:val="20"/>
                <w:color w:val="auto"/>
              </w:rPr>
            </w:pPr>
            <w:r>
              <w:rPr>
                <w:rFonts w:ascii="Arial" w:cs="Arial" w:eastAsia="Arial" w:hAnsi="Arial"/>
                <w:sz w:val="17"/>
                <w:szCs w:val="17"/>
                <w:b w:val="1"/>
                <w:bCs w:val="1"/>
                <w:color w:val="auto"/>
              </w:rPr>
              <w:t>47-4272481</w:t>
            </w:r>
          </w:p>
        </w:tc>
      </w:tr>
      <w:tr>
        <w:trPr>
          <w:trHeight w:val="175"/>
        </w:trPr>
        <w:tc>
          <w:tcPr>
            <w:tcW w:w="4300" w:type="dxa"/>
            <w:vAlign w:val="bottom"/>
          </w:tcPr>
          <w:p>
            <w:pPr>
              <w:jc w:val="center"/>
              <w:ind w:right="1964"/>
              <w:spacing w:after="0"/>
              <w:rPr>
                <w:sz w:val="20"/>
                <w:szCs w:val="20"/>
                <w:color w:val="auto"/>
              </w:rPr>
            </w:pPr>
            <w:r>
              <w:rPr>
                <w:rFonts w:ascii="Arial" w:cs="Arial" w:eastAsia="Arial" w:hAnsi="Arial"/>
                <w:sz w:val="14"/>
                <w:szCs w:val="14"/>
                <w:b w:val="1"/>
                <w:bCs w:val="1"/>
                <w:color w:val="auto"/>
                <w:w w:val="88"/>
              </w:rPr>
              <w:t>(State or other jurisdiction of</w:t>
            </w:r>
          </w:p>
        </w:tc>
        <w:tc>
          <w:tcPr>
            <w:tcW w:w="3120" w:type="dxa"/>
            <w:vAlign w:val="bottom"/>
          </w:tcPr>
          <w:p>
            <w:pPr>
              <w:jc w:val="center"/>
              <w:ind w:left="1985"/>
              <w:spacing w:after="0"/>
              <w:rPr>
                <w:sz w:val="20"/>
                <w:szCs w:val="20"/>
                <w:color w:val="auto"/>
              </w:rPr>
            </w:pPr>
            <w:r>
              <w:rPr>
                <w:rFonts w:ascii="Arial" w:cs="Arial" w:eastAsia="Arial" w:hAnsi="Arial"/>
                <w:sz w:val="14"/>
                <w:szCs w:val="14"/>
                <w:b w:val="1"/>
                <w:bCs w:val="1"/>
                <w:color w:val="auto"/>
                <w:w w:val="91"/>
              </w:rPr>
              <w:t>(I.R.S. Employer</w:t>
            </w:r>
          </w:p>
        </w:tc>
      </w:tr>
      <w:tr>
        <w:trPr>
          <w:trHeight w:val="178"/>
        </w:trPr>
        <w:tc>
          <w:tcPr>
            <w:tcW w:w="4300" w:type="dxa"/>
            <w:vAlign w:val="bottom"/>
          </w:tcPr>
          <w:p>
            <w:pPr>
              <w:jc w:val="center"/>
              <w:ind w:right="1984"/>
              <w:spacing w:after="0"/>
              <w:rPr>
                <w:sz w:val="20"/>
                <w:szCs w:val="20"/>
                <w:color w:val="auto"/>
              </w:rPr>
            </w:pPr>
            <w:r>
              <w:rPr>
                <w:rFonts w:ascii="Arial" w:cs="Arial" w:eastAsia="Arial" w:hAnsi="Arial"/>
                <w:sz w:val="14"/>
                <w:szCs w:val="14"/>
                <w:b w:val="1"/>
                <w:bCs w:val="1"/>
                <w:color w:val="auto"/>
                <w:w w:val="88"/>
              </w:rPr>
              <w:t>incorporation or organization)</w:t>
            </w:r>
          </w:p>
        </w:tc>
        <w:tc>
          <w:tcPr>
            <w:tcW w:w="3120" w:type="dxa"/>
            <w:vAlign w:val="bottom"/>
          </w:tcPr>
          <w:p>
            <w:pPr>
              <w:jc w:val="center"/>
              <w:ind w:left="1985"/>
              <w:spacing w:after="0"/>
              <w:rPr>
                <w:sz w:val="20"/>
                <w:szCs w:val="20"/>
                <w:color w:val="auto"/>
              </w:rPr>
            </w:pPr>
            <w:r>
              <w:rPr>
                <w:rFonts w:ascii="Arial" w:cs="Arial" w:eastAsia="Arial" w:hAnsi="Arial"/>
                <w:sz w:val="14"/>
                <w:szCs w:val="14"/>
                <w:b w:val="1"/>
                <w:bCs w:val="1"/>
                <w:color w:val="auto"/>
                <w:w w:val="89"/>
              </w:rPr>
              <w:t>Identification No.)</w:t>
            </w:r>
          </w:p>
        </w:tc>
      </w:tr>
      <w:tr>
        <w:trPr>
          <w:trHeight w:val="224"/>
        </w:trPr>
        <w:tc>
          <w:tcPr>
            <w:tcW w:w="4300" w:type="dxa"/>
            <w:vAlign w:val="bottom"/>
          </w:tcPr>
          <w:p>
            <w:pPr>
              <w:jc w:val="center"/>
              <w:ind w:right="1984"/>
              <w:spacing w:after="0"/>
              <w:rPr>
                <w:sz w:val="20"/>
                <w:szCs w:val="20"/>
                <w:color w:val="auto"/>
              </w:rPr>
            </w:pPr>
            <w:r>
              <w:rPr>
                <w:rFonts w:ascii="Arial" w:cs="Arial" w:eastAsia="Arial" w:hAnsi="Arial"/>
                <w:sz w:val="17"/>
                <w:szCs w:val="17"/>
                <w:b w:val="1"/>
                <w:bCs w:val="1"/>
                <w:color w:val="auto"/>
                <w:w w:val="91"/>
              </w:rPr>
              <w:t>260 Littlefield Avenue</w:t>
            </w:r>
          </w:p>
        </w:tc>
        <w:tc>
          <w:tcPr>
            <w:tcW w:w="3120" w:type="dxa"/>
            <w:vAlign w:val="bottom"/>
          </w:tcPr>
          <w:p>
            <w:pPr>
              <w:spacing w:after="0"/>
              <w:rPr>
                <w:sz w:val="19"/>
                <w:szCs w:val="19"/>
                <w:color w:val="auto"/>
              </w:rPr>
            </w:pPr>
          </w:p>
        </w:tc>
      </w:tr>
      <w:tr>
        <w:trPr>
          <w:trHeight w:val="213"/>
        </w:trPr>
        <w:tc>
          <w:tcPr>
            <w:tcW w:w="4300" w:type="dxa"/>
            <w:vAlign w:val="bottom"/>
          </w:tcPr>
          <w:p>
            <w:pPr>
              <w:jc w:val="center"/>
              <w:ind w:right="1964"/>
              <w:spacing w:after="0"/>
              <w:rPr>
                <w:sz w:val="20"/>
                <w:szCs w:val="20"/>
                <w:color w:val="auto"/>
              </w:rPr>
            </w:pPr>
            <w:r>
              <w:rPr>
                <w:rFonts w:ascii="Arial" w:cs="Arial" w:eastAsia="Arial" w:hAnsi="Arial"/>
                <w:sz w:val="17"/>
                <w:szCs w:val="17"/>
                <w:b w:val="1"/>
                <w:bCs w:val="1"/>
                <w:color w:val="auto"/>
                <w:w w:val="89"/>
              </w:rPr>
              <w:t>South San Francisco, CA</w:t>
            </w:r>
          </w:p>
        </w:tc>
        <w:tc>
          <w:tcPr>
            <w:tcW w:w="3120" w:type="dxa"/>
            <w:vAlign w:val="bottom"/>
          </w:tcPr>
          <w:p>
            <w:pPr>
              <w:jc w:val="right"/>
              <w:ind w:right="245"/>
              <w:spacing w:after="0"/>
              <w:rPr>
                <w:sz w:val="20"/>
                <w:szCs w:val="20"/>
                <w:color w:val="auto"/>
              </w:rPr>
            </w:pPr>
            <w:r>
              <w:rPr>
                <w:rFonts w:ascii="Arial" w:cs="Arial" w:eastAsia="Arial" w:hAnsi="Arial"/>
                <w:sz w:val="17"/>
                <w:szCs w:val="17"/>
                <w:b w:val="1"/>
                <w:bCs w:val="1"/>
                <w:color w:val="auto"/>
              </w:rPr>
              <w:t>94080</w:t>
            </w:r>
          </w:p>
        </w:tc>
      </w:tr>
      <w:tr>
        <w:trPr>
          <w:trHeight w:val="175"/>
        </w:trPr>
        <w:tc>
          <w:tcPr>
            <w:tcW w:w="4300" w:type="dxa"/>
            <w:vAlign w:val="bottom"/>
          </w:tcPr>
          <w:p>
            <w:pPr>
              <w:jc w:val="center"/>
              <w:ind w:right="19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120" w:type="dxa"/>
            <w:vAlign w:val="bottom"/>
          </w:tcPr>
          <w:p>
            <w:pPr>
              <w:jc w:val="center"/>
              <w:ind w:left="1985"/>
              <w:spacing w:after="0"/>
              <w:rPr>
                <w:sz w:val="20"/>
                <w:szCs w:val="20"/>
                <w:color w:val="auto"/>
              </w:rPr>
            </w:pPr>
            <w:r>
              <w:rPr>
                <w:rFonts w:ascii="Arial" w:cs="Arial" w:eastAsia="Arial" w:hAnsi="Arial"/>
                <w:sz w:val="14"/>
                <w:szCs w:val="14"/>
                <w:b w:val="1"/>
                <w:bCs w:val="1"/>
                <w:color w:val="auto"/>
                <w:w w:val="89"/>
              </w:rPr>
              <w:t>(Zip Code)</w:t>
            </w:r>
          </w:p>
        </w:tc>
      </w:tr>
    </w:tbl>
    <w:p>
      <w:pPr>
        <w:spacing w:after="0" w:line="169"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Registrant’s telephone number, including area code: (650) 481-6770</w:t>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4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Title of Each Class</w:t>
            </w:r>
          </w:p>
        </w:tc>
        <w:tc>
          <w:tcPr>
            <w:tcW w:w="1740" w:type="dxa"/>
            <w:vAlign w:val="bottom"/>
            <w:tcBorders>
              <w:top w:val="single" w:sz="8" w:color="auto"/>
              <w:right w:val="single" w:sz="8" w:color="auto"/>
            </w:tcBorders>
          </w:tcPr>
          <w:p>
            <w:pPr>
              <w:jc w:val="center"/>
              <w:spacing w:after="0" w:line="178" w:lineRule="exact"/>
              <w:rPr>
                <w:sz w:val="20"/>
                <w:szCs w:val="20"/>
                <w:color w:val="auto"/>
              </w:rPr>
            </w:pPr>
            <w:r>
              <w:rPr>
                <w:rFonts w:ascii="Arial" w:cs="Arial" w:eastAsia="Arial" w:hAnsi="Arial"/>
                <w:sz w:val="17"/>
                <w:szCs w:val="17"/>
                <w:b w:val="1"/>
                <w:bCs w:val="1"/>
                <w:color w:val="auto"/>
                <w:w w:val="96"/>
              </w:rPr>
              <w:t>Trading</w:t>
            </w:r>
          </w:p>
        </w:tc>
        <w:tc>
          <w:tcPr>
            <w:tcW w:w="4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c>
          <w:tcPr>
            <w:tcW w:w="0" w:type="dxa"/>
            <w:vAlign w:val="bottom"/>
          </w:tcPr>
          <w:p>
            <w:pPr>
              <w:spacing w:after="0"/>
              <w:rPr>
                <w:sz w:val="1"/>
                <w:szCs w:val="1"/>
                <w:color w:val="auto"/>
              </w:rPr>
            </w:pPr>
          </w:p>
        </w:tc>
      </w:tr>
      <w:tr>
        <w:trPr>
          <w:trHeight w:val="216"/>
        </w:trPr>
        <w:tc>
          <w:tcPr>
            <w:tcW w:w="47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Symbol</w:t>
            </w:r>
          </w:p>
        </w:tc>
        <w:tc>
          <w:tcPr>
            <w:tcW w:w="47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Common Stock, par value $0.0001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PLRX</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140" w:firstLine="459"/>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31" w:lineRule="exact"/>
        <w:rPr>
          <w:sz w:val="24"/>
          <w:szCs w:val="24"/>
          <w:color w:val="auto"/>
        </w:rPr>
      </w:pPr>
    </w:p>
    <w:p>
      <w:pPr>
        <w:jc w:val="center"/>
        <w:spacing w:after="0" w:line="173" w:lineRule="exact"/>
        <w:rPr>
          <w:sz w:val="20"/>
          <w:szCs w:val="20"/>
          <w:color w:val="auto"/>
        </w:rPr>
      </w:pPr>
      <w:r>
        <w:rPr>
          <w:rFonts w:ascii="Arial" w:cs="Arial" w:eastAsia="Arial" w:hAnsi="Arial"/>
          <w:sz w:val="15"/>
          <w:szCs w:val="15"/>
          <w:color w:val="auto"/>
        </w:rPr>
        <w:t xml:space="preserve">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7"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28" w:lineRule="exact"/>
        <w:rPr>
          <w:sz w:val="24"/>
          <w:szCs w:val="24"/>
          <w:color w:val="auto"/>
        </w:rPr>
      </w:pPr>
    </w:p>
    <w:p>
      <w:pPr>
        <w:ind w:right="320" w:firstLine="459"/>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4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720" w:type="dxa"/>
            <w:vAlign w:val="bottom"/>
            <w:vMerge w:val="restart"/>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ind w:left="1960"/>
              <w:spacing w:after="0"/>
              <w:rPr>
                <w:sz w:val="20"/>
                <w:szCs w:val="20"/>
                <w:color w:val="auto"/>
              </w:rPr>
            </w:pPr>
            <w:r>
              <w:rPr>
                <w:rFonts w:ascii="Arial" w:cs="Arial" w:eastAsia="Arial" w:hAnsi="Arial"/>
                <w:sz w:val="17"/>
                <w:szCs w:val="17"/>
                <w:color w:val="auto"/>
              </w:rPr>
              <w:t>Accelerated filer</w:t>
            </w:r>
          </w:p>
        </w:tc>
        <w:tc>
          <w:tcPr>
            <w:tcW w:w="780" w:type="dxa"/>
            <w:vAlign w:val="bottom"/>
            <w:vMerge w:val="restart"/>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4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480" w:type="dxa"/>
            <w:vAlign w:val="bottom"/>
          </w:tcPr>
          <w:p>
            <w:pPr>
              <w:spacing w:after="0"/>
              <w:rPr>
                <w:sz w:val="20"/>
                <w:szCs w:val="20"/>
                <w:color w:val="auto"/>
              </w:rPr>
            </w:pPr>
            <w:r>
              <w:rPr>
                <w:rFonts w:ascii="Arial" w:cs="Arial" w:eastAsia="Arial" w:hAnsi="Arial"/>
                <w:sz w:val="17"/>
                <w:szCs w:val="17"/>
                <w:color w:val="auto"/>
              </w:rPr>
              <w:t>Non-accelerated filer</w:t>
            </w:r>
          </w:p>
        </w:tc>
        <w:tc>
          <w:tcPr>
            <w:tcW w:w="272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ind w:left="196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720" w:type="dxa"/>
            <w:vAlign w:val="bottom"/>
            <w:vMerge w:val="restart"/>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4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140" w:firstLine="459"/>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9" w:lineRule="exact"/>
        <w:rPr>
          <w:sz w:val="24"/>
          <w:szCs w:val="24"/>
          <w:color w:val="auto"/>
        </w:rPr>
      </w:pPr>
    </w:p>
    <w:p>
      <w:pPr>
        <w:ind w:left="16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2" w:lineRule="exact"/>
        <w:rPr>
          <w:sz w:val="24"/>
          <w:szCs w:val="24"/>
          <w:color w:val="auto"/>
        </w:rPr>
      </w:pPr>
    </w:p>
    <w:p>
      <w:pPr>
        <w:ind w:left="460"/>
        <w:spacing w:after="0"/>
        <w:rPr>
          <w:sz w:val="20"/>
          <w:szCs w:val="20"/>
          <w:color w:val="auto"/>
        </w:rPr>
      </w:pPr>
      <w:r>
        <w:rPr>
          <w:rFonts w:ascii="Arial" w:cs="Arial" w:eastAsia="Arial" w:hAnsi="Arial"/>
          <w:sz w:val="17"/>
          <w:szCs w:val="17"/>
          <w:color w:val="auto"/>
        </w:rPr>
        <w:t>As of May 6, 2022, the registrant had 36,169,468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695960</wp:posOffset>
            </wp:positionV>
            <wp:extent cx="716534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412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102235</wp:posOffset>
            </wp:positionV>
            <wp:extent cx="706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75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126365</wp:posOffset>
            </wp:positionV>
            <wp:extent cx="706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9"/>
        </w:trPr>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0" w:type="dxa"/>
            <w:vAlign w:val="bottom"/>
            <w:gridSpan w:val="8"/>
          </w:tcPr>
          <w:p>
            <w:pPr>
              <w:ind w:left="60"/>
              <w:spacing w:after="0"/>
              <w:rPr>
                <w:sz w:val="20"/>
                <w:szCs w:val="20"/>
                <w:color w:val="auto"/>
              </w:rPr>
            </w:pPr>
            <w:r>
              <w:rPr>
                <w:rFonts w:ascii="Arial" w:cs="Arial" w:eastAsia="Arial" w:hAnsi="Arial"/>
                <w:sz w:val="17"/>
                <w:szCs w:val="17"/>
                <w:b w:val="1"/>
                <w:bCs w:val="1"/>
                <w:color w:val="auto"/>
              </w:rPr>
              <w:t>Table of Contents</w:t>
            </w:r>
          </w:p>
        </w:tc>
        <w:tc>
          <w:tcPr>
            <w:tcW w:w="680" w:type="dxa"/>
            <w:vAlign w:val="bottom"/>
          </w:tcPr>
          <w:p>
            <w:pPr>
              <w:spacing w:after="0"/>
              <w:rPr>
                <w:sz w:val="19"/>
                <w:szCs w:val="19"/>
                <w:color w:val="auto"/>
              </w:rPr>
            </w:pPr>
          </w:p>
        </w:tc>
      </w:tr>
      <w:tr>
        <w:trPr>
          <w:trHeight w:val="294"/>
        </w:trPr>
        <w:tc>
          <w:tcPr>
            <w:tcW w:w="1200" w:type="dxa"/>
            <w:vAlign w:val="bottom"/>
            <w:gridSpan w:val="2"/>
          </w:tcPr>
          <w:p>
            <w:pPr>
              <w:spacing w:after="0"/>
              <w:rPr>
                <w:rFonts w:ascii="Arial" w:cs="Arial" w:eastAsia="Arial" w:hAnsi="Arial"/>
                <w:sz w:val="17"/>
                <w:szCs w:val="17"/>
                <w:b w:val="1"/>
                <w:bCs w:val="1"/>
                <w:color w:val="auto"/>
              </w:rPr>
            </w:pPr>
            <w:hyperlink w:anchor="page6">
              <w:r>
                <w:rPr>
                  <w:rFonts w:ascii="Arial" w:cs="Arial" w:eastAsia="Arial" w:hAnsi="Arial"/>
                  <w:sz w:val="17"/>
                  <w:szCs w:val="17"/>
                  <w:b w:val="1"/>
                  <w:bCs w:val="1"/>
                  <w:color w:val="auto"/>
                </w:rPr>
                <w:t>PART I.</w:t>
              </w:r>
            </w:hyperlink>
          </w:p>
        </w:tc>
        <w:tc>
          <w:tcPr>
            <w:tcW w:w="2140" w:type="dxa"/>
            <w:vAlign w:val="bottom"/>
            <w:tcBorders>
              <w:bottom w:val="single" w:sz="8" w:color="0000FF"/>
            </w:tcBorders>
            <w:gridSpan w:val="8"/>
          </w:tcPr>
          <w:p>
            <w:pPr>
              <w:spacing w:after="0"/>
              <w:rPr>
                <w:rFonts w:ascii="Arial" w:cs="Arial" w:eastAsia="Arial" w:hAnsi="Arial"/>
                <w:sz w:val="17"/>
                <w:szCs w:val="17"/>
                <w:color w:val="0000FF"/>
                <w:w w:val="99"/>
              </w:rPr>
            </w:pPr>
            <w:hyperlink w:anchor="page6">
              <w:r>
                <w:rPr>
                  <w:rFonts w:ascii="Arial" w:cs="Arial" w:eastAsia="Arial" w:hAnsi="Arial"/>
                  <w:sz w:val="17"/>
                  <w:szCs w:val="17"/>
                  <w:color w:val="0000FF"/>
                  <w:w w:val="99"/>
                </w:rPr>
                <w:t>FINANCIAL INFORMATION</w:t>
              </w:r>
            </w:hyperlink>
          </w:p>
        </w:tc>
        <w:tc>
          <w:tcPr>
            <w:tcW w:w="716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7</w:t>
              </w:r>
            </w:hyperlink>
          </w:p>
        </w:tc>
      </w:tr>
      <w:tr>
        <w:trPr>
          <w:trHeight w:val="349"/>
        </w:trPr>
        <w:tc>
          <w:tcPr>
            <w:tcW w:w="1200" w:type="dxa"/>
            <w:vAlign w:val="bottom"/>
            <w:gridSpan w:val="2"/>
          </w:tcPr>
          <w:p>
            <w:pPr>
              <w:spacing w:after="0"/>
              <w:rPr>
                <w:rFonts w:ascii="Arial" w:cs="Arial" w:eastAsia="Arial" w:hAnsi="Arial"/>
                <w:sz w:val="17"/>
                <w:szCs w:val="17"/>
                <w:color w:val="auto"/>
              </w:rPr>
            </w:pPr>
            <w:hyperlink w:anchor="page7">
              <w:r>
                <w:rPr>
                  <w:rFonts w:ascii="Arial" w:cs="Arial" w:eastAsia="Arial" w:hAnsi="Arial"/>
                  <w:sz w:val="17"/>
                  <w:szCs w:val="17"/>
                  <w:color w:val="auto"/>
                </w:rPr>
                <w:t>Item 1.</w:t>
              </w:r>
            </w:hyperlink>
          </w:p>
        </w:tc>
        <w:tc>
          <w:tcPr>
            <w:tcW w:w="9300" w:type="dxa"/>
            <w:vAlign w:val="bottom"/>
            <w:gridSpan w:val="18"/>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Financial Statements</w:t>
              </w:r>
            </w:hyperlink>
          </w:p>
        </w:tc>
        <w:tc>
          <w:tcPr>
            <w:tcW w:w="68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00" w:type="dxa"/>
            <w:vAlign w:val="bottom"/>
            <w:gridSpan w:val="18"/>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Balance Sheets as March 31, 2022 (Unaudited) and December 31, 2021</w:t>
              </w:r>
            </w:hyperlink>
          </w:p>
        </w:tc>
        <w:tc>
          <w:tcPr>
            <w:tcW w:w="68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0" w:type="dxa"/>
            <w:vAlign w:val="bottom"/>
            <w:tcBorders>
              <w:bottom w:val="single" w:sz="8" w:color="0000FF"/>
            </w:tcBorders>
            <w:gridSpan w:val="17"/>
          </w:tcPr>
          <w:p>
            <w:pPr>
              <w:spacing w:after="0"/>
              <w:rPr>
                <w:rFonts w:ascii="Arial" w:cs="Arial" w:eastAsia="Arial" w:hAnsi="Arial"/>
                <w:sz w:val="17"/>
                <w:szCs w:val="17"/>
                <w:color w:val="0000FF"/>
                <w:w w:val="89"/>
              </w:rPr>
            </w:pPr>
            <w:hyperlink w:anchor="page7">
              <w:r>
                <w:rPr>
                  <w:rFonts w:ascii="Arial" w:cs="Arial" w:eastAsia="Arial" w:hAnsi="Arial"/>
                  <w:sz w:val="17"/>
                  <w:szCs w:val="17"/>
                  <w:color w:val="0000FF"/>
                  <w:w w:val="89"/>
                </w:rPr>
                <w:t>Condensed Statements of Operations and Comprehensive Loss for the three months ended March 31, 2022 and 2021 (Unaudited)</w:t>
              </w:r>
            </w:hyperlink>
          </w:p>
        </w:tc>
        <w:tc>
          <w:tcPr>
            <w:tcW w:w="500" w:type="dxa"/>
            <w:vAlign w:val="bottom"/>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8</w:t>
              </w:r>
            </w:hyperlink>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00" w:type="dxa"/>
            <w:vAlign w:val="bottom"/>
            <w:gridSpan w:val="18"/>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Condensed Statements of Stockholders’ Equity for the three months ended March 31, 2022 and 2021 (Unaudited)</w:t>
              </w:r>
            </w:hyperlink>
          </w:p>
        </w:tc>
        <w:tc>
          <w:tcPr>
            <w:tcW w:w="680" w:type="dxa"/>
            <w:vAlign w:val="bottom"/>
          </w:tcPr>
          <w:p>
            <w:pPr>
              <w:jc w:val="right"/>
              <w:spacing w:after="0"/>
              <w:rPr>
                <w:rFonts w:ascii="Arial" w:cs="Arial" w:eastAsia="Arial" w:hAnsi="Arial"/>
                <w:sz w:val="17"/>
                <w:szCs w:val="17"/>
                <w:color w:val="auto"/>
              </w:rPr>
            </w:pPr>
            <w:hyperlink w:anchor="page8">
              <w:r>
                <w:rPr>
                  <w:rFonts w:ascii="Arial" w:cs="Arial" w:eastAsia="Arial" w:hAnsi="Arial"/>
                  <w:sz w:val="17"/>
                  <w:szCs w:val="17"/>
                  <w:color w:val="auto"/>
                </w:rPr>
                <w:t>9</w:t>
              </w:r>
            </w:hyperlink>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720" w:type="dxa"/>
            <w:vAlign w:val="bottom"/>
            <w:tcBorders>
              <w:top w:val="single" w:sz="8" w:color="0000FF"/>
            </w:tcBorders>
            <w:gridSpan w:val="16"/>
          </w:tcPr>
          <w:p>
            <w:pPr>
              <w:spacing w:after="0"/>
              <w:rPr>
                <w:rFonts w:ascii="Arial" w:cs="Arial" w:eastAsia="Arial" w:hAnsi="Arial"/>
                <w:sz w:val="17"/>
                <w:szCs w:val="17"/>
                <w:color w:val="0000FF"/>
                <w:w w:val="97"/>
              </w:rPr>
            </w:pPr>
            <w:hyperlink w:anchor="page10">
              <w:r>
                <w:rPr>
                  <w:rFonts w:ascii="Arial" w:cs="Arial" w:eastAsia="Arial" w:hAnsi="Arial"/>
                  <w:sz w:val="17"/>
                  <w:szCs w:val="17"/>
                  <w:color w:val="0000FF"/>
                  <w:w w:val="97"/>
                </w:rPr>
                <w:t>Condensed Statements of Cash Flows for the three months ended March 31, 2022 and 2021 (Unaudited)</w:t>
              </w:r>
            </w:hyperlink>
          </w:p>
        </w:tc>
        <w:tc>
          <w:tcPr>
            <w:tcW w:w="1580" w:type="dxa"/>
            <w:vAlign w:val="bottom"/>
            <w:gridSpan w:val="2"/>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10">
              <w:r>
                <w:rPr>
                  <w:rFonts w:ascii="Arial" w:cs="Arial" w:eastAsia="Arial" w:hAnsi="Arial"/>
                  <w:sz w:val="17"/>
                  <w:szCs w:val="17"/>
                  <w:color w:val="auto"/>
                </w:rPr>
                <w:t>11</w:t>
              </w:r>
            </w:hyperlink>
          </w:p>
        </w:tc>
      </w:tr>
      <w:tr>
        <w:trPr>
          <w:trHeight w:val="196"/>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10"/>
          </w:tcPr>
          <w:p>
            <w:pPr>
              <w:spacing w:after="0"/>
              <w:rPr>
                <w:rFonts w:ascii="Arial" w:cs="Arial" w:eastAsia="Arial" w:hAnsi="Arial"/>
                <w:sz w:val="17"/>
                <w:szCs w:val="17"/>
                <w:color w:val="0000FF"/>
                <w:w w:val="89"/>
              </w:rPr>
            </w:pPr>
            <w:hyperlink w:anchor="page11">
              <w:r>
                <w:rPr>
                  <w:rFonts w:ascii="Arial" w:cs="Arial" w:eastAsia="Arial" w:hAnsi="Arial"/>
                  <w:sz w:val="17"/>
                  <w:szCs w:val="17"/>
                  <w:color w:val="0000FF"/>
                  <w:w w:val="89"/>
                </w:rPr>
                <w:t>Notes to Condensed Financial Statements (Unaudited)</w:t>
              </w:r>
            </w:hyperlink>
          </w:p>
        </w:tc>
        <w:tc>
          <w:tcPr>
            <w:tcW w:w="3380" w:type="dxa"/>
            <w:vAlign w:val="bottom"/>
            <w:tcBorders>
              <w:top w:val="single" w:sz="8" w:color="0000FF"/>
            </w:tcBorders>
            <w:gridSpan w:val="5"/>
          </w:tcPr>
          <w:p>
            <w:pPr>
              <w:spacing w:after="0"/>
              <w:rPr>
                <w:sz w:val="17"/>
                <w:szCs w:val="17"/>
                <w:color w:val="auto"/>
              </w:rPr>
            </w:pPr>
          </w:p>
        </w:tc>
        <w:tc>
          <w:tcPr>
            <w:tcW w:w="2220" w:type="dxa"/>
            <w:vAlign w:val="bottom"/>
            <w:gridSpan w:val="3"/>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11">
              <w:r>
                <w:rPr>
                  <w:rFonts w:ascii="Arial" w:cs="Arial" w:eastAsia="Arial" w:hAnsi="Arial"/>
                  <w:sz w:val="17"/>
                  <w:szCs w:val="17"/>
                  <w:color w:val="auto"/>
                </w:rPr>
                <w:t>12</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21">
              <w:r>
                <w:rPr>
                  <w:rFonts w:ascii="Arial" w:cs="Arial" w:eastAsia="Arial" w:hAnsi="Arial"/>
                  <w:sz w:val="17"/>
                  <w:szCs w:val="17"/>
                  <w:color w:val="auto"/>
                </w:rPr>
                <w:t>Item 2.</w:t>
              </w:r>
            </w:hyperlink>
          </w:p>
        </w:tc>
        <w:tc>
          <w:tcPr>
            <w:tcW w:w="6100" w:type="dxa"/>
            <w:vAlign w:val="bottom"/>
            <w:tcBorders>
              <w:bottom w:val="single" w:sz="8" w:color="0000FF"/>
            </w:tcBorders>
            <w:gridSpan w:val="14"/>
          </w:tcPr>
          <w:p>
            <w:pPr>
              <w:spacing w:after="0"/>
              <w:rPr>
                <w:rFonts w:ascii="Arial" w:cs="Arial" w:eastAsia="Arial" w:hAnsi="Arial"/>
                <w:sz w:val="17"/>
                <w:szCs w:val="17"/>
                <w:color w:val="0000FF"/>
                <w:w w:val="90"/>
              </w:rPr>
            </w:pPr>
            <w:hyperlink w:anchor="page21">
              <w:r>
                <w:rPr>
                  <w:rFonts w:ascii="Arial" w:cs="Arial" w:eastAsia="Arial" w:hAnsi="Arial"/>
                  <w:sz w:val="17"/>
                  <w:szCs w:val="17"/>
                  <w:color w:val="0000FF"/>
                  <w:w w:val="90"/>
                </w:rPr>
                <w:t>Management’s Discussion and Analysis of Financial Condition and Results of Operations</w:t>
              </w:r>
            </w:hyperlink>
          </w:p>
        </w:tc>
        <w:tc>
          <w:tcPr>
            <w:tcW w:w="3200" w:type="dxa"/>
            <w:vAlign w:val="bottom"/>
            <w:gridSpan w:val="4"/>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21">
              <w:r>
                <w:rPr>
                  <w:rFonts w:ascii="Arial" w:cs="Arial" w:eastAsia="Arial" w:hAnsi="Arial"/>
                  <w:sz w:val="17"/>
                  <w:szCs w:val="17"/>
                  <w:color w:val="auto"/>
                </w:rPr>
                <w:t>22</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28">
              <w:r>
                <w:rPr>
                  <w:rFonts w:ascii="Arial" w:cs="Arial" w:eastAsia="Arial" w:hAnsi="Arial"/>
                  <w:sz w:val="17"/>
                  <w:szCs w:val="17"/>
                  <w:color w:val="auto"/>
                </w:rPr>
                <w:t>Item 3.</w:t>
              </w:r>
            </w:hyperlink>
          </w:p>
        </w:tc>
        <w:tc>
          <w:tcPr>
            <w:tcW w:w="4120" w:type="dxa"/>
            <w:vAlign w:val="bottom"/>
            <w:tcBorders>
              <w:bottom w:val="single" w:sz="8" w:color="0000FF"/>
            </w:tcBorders>
            <w:gridSpan w:val="12"/>
          </w:tcPr>
          <w:p>
            <w:pPr>
              <w:spacing w:after="0"/>
              <w:rPr>
                <w:rFonts w:ascii="Arial" w:cs="Arial" w:eastAsia="Arial" w:hAnsi="Arial"/>
                <w:sz w:val="17"/>
                <w:szCs w:val="17"/>
                <w:color w:val="0000FF"/>
                <w:w w:val="92"/>
              </w:rPr>
            </w:pPr>
            <w:hyperlink w:anchor="page28">
              <w:r>
                <w:rPr>
                  <w:rFonts w:ascii="Arial" w:cs="Arial" w:eastAsia="Arial" w:hAnsi="Arial"/>
                  <w:sz w:val="17"/>
                  <w:szCs w:val="17"/>
                  <w:color w:val="0000FF"/>
                  <w:w w:val="92"/>
                </w:rPr>
                <w:t>Quantitative and Qualitative Disclosures About Market Risk</w:t>
              </w:r>
            </w:hyperlink>
          </w:p>
        </w:tc>
        <w:tc>
          <w:tcPr>
            <w:tcW w:w="5180" w:type="dxa"/>
            <w:vAlign w:val="bottom"/>
            <w:gridSpan w:val="6"/>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28">
              <w:r>
                <w:rPr>
                  <w:rFonts w:ascii="Arial" w:cs="Arial" w:eastAsia="Arial" w:hAnsi="Arial"/>
                  <w:sz w:val="17"/>
                  <w:szCs w:val="17"/>
                  <w:color w:val="auto"/>
                </w:rPr>
                <w:t>28</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28">
              <w:r>
                <w:rPr>
                  <w:rFonts w:ascii="Arial" w:cs="Arial" w:eastAsia="Arial" w:hAnsi="Arial"/>
                  <w:sz w:val="17"/>
                  <w:szCs w:val="17"/>
                  <w:color w:val="auto"/>
                </w:rPr>
                <w:t>Item 4.</w:t>
              </w:r>
            </w:hyperlink>
          </w:p>
        </w:tc>
        <w:tc>
          <w:tcPr>
            <w:tcW w:w="1700" w:type="dxa"/>
            <w:vAlign w:val="bottom"/>
            <w:tcBorders>
              <w:bottom w:val="single" w:sz="8" w:color="0000FF"/>
            </w:tcBorders>
            <w:gridSpan w:val="6"/>
          </w:tcPr>
          <w:p>
            <w:pPr>
              <w:spacing w:after="0"/>
              <w:rPr>
                <w:rFonts w:ascii="Arial" w:cs="Arial" w:eastAsia="Arial" w:hAnsi="Arial"/>
                <w:sz w:val="17"/>
                <w:szCs w:val="17"/>
                <w:color w:val="0000FF"/>
                <w:w w:val="89"/>
              </w:rPr>
            </w:pPr>
            <w:hyperlink w:anchor="page28">
              <w:r>
                <w:rPr>
                  <w:rFonts w:ascii="Arial" w:cs="Arial" w:eastAsia="Arial" w:hAnsi="Arial"/>
                  <w:sz w:val="17"/>
                  <w:szCs w:val="17"/>
                  <w:color w:val="0000FF"/>
                  <w:w w:val="89"/>
                </w:rPr>
                <w:t>Controls and Procedures</w:t>
              </w:r>
            </w:hyperlink>
          </w:p>
        </w:tc>
        <w:tc>
          <w:tcPr>
            <w:tcW w:w="7600" w:type="dxa"/>
            <w:vAlign w:val="bottom"/>
            <w:gridSpan w:val="12"/>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28">
              <w:r>
                <w:rPr>
                  <w:rFonts w:ascii="Arial" w:cs="Arial" w:eastAsia="Arial" w:hAnsi="Arial"/>
                  <w:sz w:val="17"/>
                  <w:szCs w:val="17"/>
                  <w:color w:val="auto"/>
                </w:rPr>
                <w:t>28</w:t>
              </w:r>
            </w:hyperlink>
          </w:p>
        </w:tc>
      </w:tr>
      <w:tr>
        <w:trPr>
          <w:trHeight w:val="349"/>
        </w:trPr>
        <w:tc>
          <w:tcPr>
            <w:tcW w:w="1200" w:type="dxa"/>
            <w:vAlign w:val="bottom"/>
            <w:gridSpan w:val="2"/>
          </w:tcPr>
          <w:p>
            <w:pPr>
              <w:spacing w:after="0"/>
              <w:rPr>
                <w:rFonts w:ascii="Arial" w:cs="Arial" w:eastAsia="Arial" w:hAnsi="Arial"/>
                <w:sz w:val="17"/>
                <w:szCs w:val="17"/>
                <w:b w:val="1"/>
                <w:bCs w:val="1"/>
                <w:color w:val="auto"/>
              </w:rPr>
            </w:pPr>
            <w:hyperlink w:anchor="page29">
              <w:r>
                <w:rPr>
                  <w:rFonts w:ascii="Arial" w:cs="Arial" w:eastAsia="Arial" w:hAnsi="Arial"/>
                  <w:sz w:val="17"/>
                  <w:szCs w:val="17"/>
                  <w:b w:val="1"/>
                  <w:bCs w:val="1"/>
                  <w:color w:val="auto"/>
                </w:rPr>
                <w:t>PART II.</w:t>
              </w:r>
            </w:hyperlink>
          </w:p>
        </w:tc>
        <w:tc>
          <w:tcPr>
            <w:tcW w:w="9300" w:type="dxa"/>
            <w:vAlign w:val="bottom"/>
            <w:gridSpan w:val="18"/>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OTHER INFORMATION</w:t>
              </w:r>
            </w:hyperlink>
          </w:p>
        </w:tc>
        <w:tc>
          <w:tcPr>
            <w:tcW w:w="6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29</w:t>
              </w:r>
            </w:hyperlink>
          </w:p>
        </w:tc>
      </w:tr>
      <w:tr>
        <w:trPr>
          <w:trHeight w:val="413"/>
        </w:trPr>
        <w:tc>
          <w:tcPr>
            <w:tcW w:w="1200" w:type="dxa"/>
            <w:vAlign w:val="bottom"/>
            <w:gridSpan w:val="2"/>
          </w:tcPr>
          <w:p>
            <w:pPr>
              <w:spacing w:after="0"/>
              <w:rPr>
                <w:rFonts w:ascii="Arial" w:cs="Arial" w:eastAsia="Arial" w:hAnsi="Arial"/>
                <w:sz w:val="17"/>
                <w:szCs w:val="17"/>
                <w:color w:val="auto"/>
              </w:rPr>
            </w:pPr>
            <w:hyperlink w:anchor="page29">
              <w:r>
                <w:rPr>
                  <w:rFonts w:ascii="Arial" w:cs="Arial" w:eastAsia="Arial" w:hAnsi="Arial"/>
                  <w:sz w:val="17"/>
                  <w:szCs w:val="17"/>
                  <w:color w:val="auto"/>
                </w:rPr>
                <w:t>Item 1.</w:t>
              </w:r>
            </w:hyperlink>
          </w:p>
        </w:tc>
        <w:tc>
          <w:tcPr>
            <w:tcW w:w="1780" w:type="dxa"/>
            <w:vAlign w:val="bottom"/>
            <w:tcBorders>
              <w:top w:val="single" w:sz="8" w:color="0000FF"/>
            </w:tcBorders>
            <w:gridSpan w:val="7"/>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Legal Proceedings</w:t>
              </w:r>
            </w:hyperlink>
          </w:p>
        </w:tc>
        <w:tc>
          <w:tcPr>
            <w:tcW w:w="752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29</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29">
              <w:r>
                <w:rPr>
                  <w:rFonts w:ascii="Arial" w:cs="Arial" w:eastAsia="Arial" w:hAnsi="Arial"/>
                  <w:sz w:val="17"/>
                  <w:szCs w:val="17"/>
                  <w:color w:val="auto"/>
                </w:rPr>
                <w:t>Item 1A.</w:t>
              </w:r>
            </w:hyperlink>
          </w:p>
        </w:tc>
        <w:tc>
          <w:tcPr>
            <w:tcW w:w="1260" w:type="dxa"/>
            <w:vAlign w:val="bottom"/>
            <w:tcBorders>
              <w:top w:val="single" w:sz="8" w:color="0000FF"/>
            </w:tcBorders>
            <w:gridSpan w:val="4"/>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Risk Factors</w:t>
              </w:r>
            </w:hyperlink>
          </w:p>
        </w:tc>
        <w:tc>
          <w:tcPr>
            <w:tcW w:w="8040" w:type="dxa"/>
            <w:vAlign w:val="bottom"/>
            <w:gridSpan w:val="14"/>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29</w:t>
              </w:r>
            </w:hyperlink>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rPr>
                <w:rFonts w:ascii="Arial" w:cs="Arial" w:eastAsia="Arial" w:hAnsi="Arial"/>
                <w:sz w:val="17"/>
                <w:szCs w:val="17"/>
                <w:color w:val="auto"/>
              </w:rPr>
            </w:pPr>
            <w:hyperlink w:anchor="page77">
              <w:r>
                <w:rPr>
                  <w:rFonts w:ascii="Arial" w:cs="Arial" w:eastAsia="Arial" w:hAnsi="Arial"/>
                  <w:sz w:val="17"/>
                  <w:szCs w:val="17"/>
                  <w:color w:val="auto"/>
                </w:rPr>
                <w:t>Item 2.</w:t>
              </w:r>
            </w:hyperlink>
          </w:p>
        </w:tc>
        <w:tc>
          <w:tcPr>
            <w:tcW w:w="9300" w:type="dxa"/>
            <w:vAlign w:val="bottom"/>
            <w:gridSpan w:val="18"/>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Unregistered Sales of Equity Securities and Use of Proceeds</w:t>
              </w:r>
            </w:hyperlink>
          </w:p>
        </w:tc>
        <w:tc>
          <w:tcPr>
            <w:tcW w:w="680" w:type="dxa"/>
            <w:vAlign w:val="bottom"/>
          </w:tcPr>
          <w:p>
            <w:pPr>
              <w:jc w:val="right"/>
              <w:spacing w:after="0"/>
              <w:rPr>
                <w:rFonts w:ascii="Arial" w:cs="Arial" w:eastAsia="Arial" w:hAnsi="Arial"/>
                <w:sz w:val="17"/>
                <w:szCs w:val="17"/>
                <w:color w:val="auto"/>
              </w:rPr>
            </w:pPr>
            <w:hyperlink w:anchor="page77">
              <w:r>
                <w:rPr>
                  <w:rFonts w:ascii="Arial" w:cs="Arial" w:eastAsia="Arial" w:hAnsi="Arial"/>
                  <w:sz w:val="17"/>
                  <w:szCs w:val="17"/>
                  <w:color w:val="auto"/>
                </w:rPr>
                <w:t>77</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77">
              <w:r>
                <w:rPr>
                  <w:rFonts w:ascii="Arial" w:cs="Arial" w:eastAsia="Arial" w:hAnsi="Arial"/>
                  <w:sz w:val="17"/>
                  <w:szCs w:val="17"/>
                  <w:color w:val="auto"/>
                </w:rPr>
                <w:t>Item 3.</w:t>
              </w:r>
            </w:hyperlink>
          </w:p>
        </w:tc>
        <w:tc>
          <w:tcPr>
            <w:tcW w:w="4100" w:type="dxa"/>
            <w:vAlign w:val="bottom"/>
            <w:tcBorders>
              <w:top w:val="single" w:sz="8" w:color="0000FF"/>
            </w:tcBorders>
            <w:gridSpan w:val="11"/>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Defaults Upon Senior Securities</w:t>
              </w:r>
            </w:hyperlink>
          </w:p>
        </w:tc>
        <w:tc>
          <w:tcPr>
            <w:tcW w:w="5200" w:type="dxa"/>
            <w:vAlign w:val="bottom"/>
            <w:gridSpan w:val="7"/>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77">
              <w:r>
                <w:rPr>
                  <w:rFonts w:ascii="Arial" w:cs="Arial" w:eastAsia="Arial" w:hAnsi="Arial"/>
                  <w:sz w:val="17"/>
                  <w:szCs w:val="17"/>
                  <w:color w:val="auto"/>
                </w:rPr>
                <w:t>77</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77">
              <w:r>
                <w:rPr>
                  <w:rFonts w:ascii="Arial" w:cs="Arial" w:eastAsia="Arial" w:hAnsi="Arial"/>
                  <w:sz w:val="17"/>
                  <w:szCs w:val="17"/>
                  <w:color w:val="auto"/>
                </w:rPr>
                <w:t>Item 4.</w:t>
              </w:r>
            </w:hyperlink>
          </w:p>
        </w:tc>
        <w:tc>
          <w:tcPr>
            <w:tcW w:w="168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1"/>
              </w:rPr>
            </w:pPr>
            <w:hyperlink w:anchor="page77">
              <w:r>
                <w:rPr>
                  <w:rFonts w:ascii="Arial" w:cs="Arial" w:eastAsia="Arial" w:hAnsi="Arial"/>
                  <w:sz w:val="17"/>
                  <w:szCs w:val="17"/>
                  <w:color w:val="0000FF"/>
                  <w:w w:val="91"/>
                </w:rPr>
                <w:t>Mine Safety Disclosures</w:t>
              </w:r>
            </w:hyperlink>
          </w:p>
        </w:tc>
        <w:tc>
          <w:tcPr>
            <w:tcW w:w="540" w:type="dxa"/>
            <w:vAlign w:val="bottom"/>
            <w:tcBorders>
              <w:top w:val="single" w:sz="8" w:color="0000FF"/>
            </w:tcBorders>
            <w:gridSpan w:val="4"/>
          </w:tcPr>
          <w:p>
            <w:pPr>
              <w:spacing w:after="0"/>
              <w:rPr>
                <w:sz w:val="17"/>
                <w:szCs w:val="17"/>
                <w:color w:val="auto"/>
              </w:rPr>
            </w:pPr>
          </w:p>
        </w:tc>
        <w:tc>
          <w:tcPr>
            <w:tcW w:w="7080" w:type="dxa"/>
            <w:vAlign w:val="bottom"/>
            <w:gridSpan w:val="9"/>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77">
              <w:r>
                <w:rPr>
                  <w:rFonts w:ascii="Arial" w:cs="Arial" w:eastAsia="Arial" w:hAnsi="Arial"/>
                  <w:sz w:val="17"/>
                  <w:szCs w:val="17"/>
                  <w:color w:val="auto"/>
                </w:rPr>
                <w:t>77</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77">
              <w:r>
                <w:rPr>
                  <w:rFonts w:ascii="Arial" w:cs="Arial" w:eastAsia="Arial" w:hAnsi="Arial"/>
                  <w:sz w:val="17"/>
                  <w:szCs w:val="17"/>
                  <w:color w:val="auto"/>
                </w:rPr>
                <w:t>Item 5.</w:t>
              </w:r>
            </w:hyperlink>
          </w:p>
        </w:tc>
        <w:tc>
          <w:tcPr>
            <w:tcW w:w="9300" w:type="dxa"/>
            <w:vAlign w:val="bottom"/>
            <w:gridSpan w:val="18"/>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Other Information</w:t>
              </w:r>
            </w:hyperlink>
          </w:p>
        </w:tc>
        <w:tc>
          <w:tcPr>
            <w:tcW w:w="680" w:type="dxa"/>
            <w:vAlign w:val="bottom"/>
          </w:tcPr>
          <w:p>
            <w:pPr>
              <w:jc w:val="right"/>
              <w:spacing w:after="0"/>
              <w:rPr>
                <w:rFonts w:ascii="Arial" w:cs="Arial" w:eastAsia="Arial" w:hAnsi="Arial"/>
                <w:sz w:val="17"/>
                <w:szCs w:val="17"/>
                <w:color w:val="auto"/>
              </w:rPr>
            </w:pPr>
            <w:hyperlink w:anchor="page77">
              <w:r>
                <w:rPr>
                  <w:rFonts w:ascii="Arial" w:cs="Arial" w:eastAsia="Arial" w:hAnsi="Arial"/>
                  <w:sz w:val="17"/>
                  <w:szCs w:val="17"/>
                  <w:color w:val="auto"/>
                </w:rPr>
                <w:t>77</w:t>
              </w:r>
            </w:hyperlink>
          </w:p>
        </w:tc>
      </w:tr>
      <w:tr>
        <w:trPr>
          <w:trHeight w:val="196"/>
        </w:trPr>
        <w:tc>
          <w:tcPr>
            <w:tcW w:w="1200" w:type="dxa"/>
            <w:vAlign w:val="bottom"/>
            <w:gridSpan w:val="2"/>
          </w:tcPr>
          <w:p>
            <w:pPr>
              <w:spacing w:after="0"/>
              <w:rPr>
                <w:rFonts w:ascii="Arial" w:cs="Arial" w:eastAsia="Arial" w:hAnsi="Arial"/>
                <w:sz w:val="17"/>
                <w:szCs w:val="17"/>
                <w:color w:val="auto"/>
              </w:rPr>
            </w:pPr>
            <w:hyperlink w:anchor="page77">
              <w:r>
                <w:rPr>
                  <w:rFonts w:ascii="Arial" w:cs="Arial" w:eastAsia="Arial" w:hAnsi="Arial"/>
                  <w:sz w:val="17"/>
                  <w:szCs w:val="17"/>
                  <w:color w:val="auto"/>
                </w:rPr>
                <w:t>Item 6.</w:t>
              </w:r>
            </w:hyperlink>
          </w:p>
        </w:tc>
        <w:tc>
          <w:tcPr>
            <w:tcW w:w="1240" w:type="dxa"/>
            <w:vAlign w:val="bottom"/>
            <w:tcBorders>
              <w:top w:val="single" w:sz="8" w:color="0000FF"/>
            </w:tcBorders>
            <w:gridSpan w:val="3"/>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Exhibits</w:t>
              </w:r>
            </w:hyperlink>
          </w:p>
        </w:tc>
        <w:tc>
          <w:tcPr>
            <w:tcW w:w="8060" w:type="dxa"/>
            <w:vAlign w:val="bottom"/>
            <w:gridSpan w:val="15"/>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77">
              <w:r>
                <w:rPr>
                  <w:rFonts w:ascii="Arial" w:cs="Arial" w:eastAsia="Arial" w:hAnsi="Arial"/>
                  <w:sz w:val="17"/>
                  <w:szCs w:val="17"/>
                  <w:color w:val="auto"/>
                </w:rPr>
                <w:t>78</w:t>
              </w:r>
            </w:hyperlink>
          </w:p>
        </w:tc>
      </w:tr>
      <w:tr>
        <w:trPr>
          <w:trHeight w:val="196"/>
        </w:trPr>
        <w:tc>
          <w:tcPr>
            <w:tcW w:w="720" w:type="dxa"/>
            <w:vAlign w:val="bottom"/>
            <w:tcBorders>
              <w:bottom w:val="single" w:sz="8" w:color="0000FF"/>
            </w:tcBorders>
          </w:tcPr>
          <w:p>
            <w:pPr>
              <w:spacing w:after="0"/>
              <w:rPr>
                <w:rFonts w:ascii="Arial" w:cs="Arial" w:eastAsia="Arial" w:hAnsi="Arial"/>
                <w:sz w:val="17"/>
                <w:szCs w:val="17"/>
                <w:color w:val="0000FF"/>
                <w:w w:val="86"/>
              </w:rPr>
            </w:pPr>
            <w:hyperlink w:anchor="page78">
              <w:r>
                <w:rPr>
                  <w:rFonts w:ascii="Arial" w:cs="Arial" w:eastAsia="Arial" w:hAnsi="Arial"/>
                  <w:sz w:val="17"/>
                  <w:szCs w:val="17"/>
                  <w:color w:val="0000FF"/>
                  <w:w w:val="86"/>
                </w:rPr>
                <w:t>Signatures</w:t>
              </w:r>
            </w:hyperlink>
          </w:p>
        </w:tc>
        <w:tc>
          <w:tcPr>
            <w:tcW w:w="48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jc w:val="right"/>
              <w:spacing w:after="0"/>
              <w:rPr>
                <w:rFonts w:ascii="Arial" w:cs="Arial" w:eastAsia="Arial" w:hAnsi="Arial"/>
                <w:sz w:val="17"/>
                <w:szCs w:val="17"/>
                <w:color w:val="auto"/>
              </w:rPr>
            </w:pPr>
            <w:hyperlink w:anchor="page78">
              <w:r>
                <w:rPr>
                  <w:rFonts w:ascii="Arial" w:cs="Arial" w:eastAsia="Arial" w:hAnsi="Arial"/>
                  <w:sz w:val="17"/>
                  <w:szCs w:val="17"/>
                  <w:color w:val="auto"/>
                </w:rPr>
                <w:t>79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65405</wp:posOffset>
            </wp:positionV>
            <wp:extent cx="716534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40" w:top="849"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4" w:lineRule="exact"/>
        <w:rPr>
          <w:sz w:val="20"/>
          <w:szCs w:val="20"/>
          <w:color w:val="auto"/>
        </w:rPr>
      </w:pPr>
    </w:p>
    <w:p>
      <w:pPr>
        <w:ind w:right="60" w:firstLine="1070"/>
        <w:spacing w:after="0" w:line="251" w:lineRule="auto"/>
        <w:rPr>
          <w:sz w:val="20"/>
          <w:szCs w:val="20"/>
          <w:color w:val="auto"/>
        </w:rPr>
      </w:pPr>
      <w:r>
        <w:rPr>
          <w:rFonts w:ascii="Arial" w:cs="Arial" w:eastAsia="Arial" w:hAnsi="Arial"/>
          <w:sz w:val="17"/>
          <w:szCs w:val="17"/>
          <w:color w:val="auto"/>
        </w:rPr>
        <w:t>This Quarterly Report on Form 10-Q (the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spacing w:after="0" w:line="85" w:lineRule="exact"/>
        <w:rPr>
          <w:sz w:val="20"/>
          <w:szCs w:val="20"/>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needs for additional financing;</w:t>
      </w:r>
    </w:p>
    <w:p>
      <w:pPr>
        <w:spacing w:after="0" w:line="110" w:lineRule="exact"/>
        <w:rPr>
          <w:rFonts w:ascii="Arial" w:cs="Arial" w:eastAsia="Arial" w:hAnsi="Arial"/>
          <w:sz w:val="17"/>
          <w:szCs w:val="17"/>
          <w:color w:val="auto"/>
        </w:rPr>
      </w:pPr>
    </w:p>
    <w:p>
      <w:pPr>
        <w:ind w:left="2140" w:right="100" w:hanging="1068"/>
        <w:spacing w:after="0" w:line="274" w:lineRule="auto"/>
        <w:tabs>
          <w:tab w:leader="none" w:pos="129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and clinical trials of our lead product candidate, PLN-74809, as well as PLN-1474 and our other product candidates;</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the impact of the COVID-19, pandemic on our business and operations, and our ability to manage such impacts;</w:t>
      </w:r>
    </w:p>
    <w:p>
      <w:pPr>
        <w:spacing w:after="0" w:line="121" w:lineRule="exact"/>
        <w:rPr>
          <w:rFonts w:ascii="Arial" w:cs="Arial" w:eastAsia="Arial" w:hAnsi="Arial"/>
          <w:sz w:val="16"/>
          <w:szCs w:val="16"/>
          <w:color w:val="auto"/>
        </w:rPr>
      </w:pPr>
    </w:p>
    <w:p>
      <w:pPr>
        <w:ind w:left="1300" w:hanging="228"/>
        <w:spacing w:after="0"/>
        <w:tabs>
          <w:tab w:leader="none" w:pos="13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Ours or our current or future collaborators plans to initiate, recruit and enroll patients in, and conduct our clinical trials at the pace that we project;</w:t>
      </w:r>
    </w:p>
    <w:p>
      <w:pPr>
        <w:spacing w:after="0" w:line="133" w:lineRule="exact"/>
        <w:rPr>
          <w:rFonts w:ascii="Arial" w:cs="Arial" w:eastAsia="Arial" w:hAnsi="Arial"/>
          <w:sz w:val="15"/>
          <w:szCs w:val="15"/>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to obtain and maintain regulatory approvals of our product candidates;</w:t>
      </w:r>
    </w:p>
    <w:p>
      <w:pPr>
        <w:spacing w:after="0" w:line="110" w:lineRule="exact"/>
        <w:rPr>
          <w:rFonts w:ascii="Arial" w:cs="Arial" w:eastAsia="Arial" w:hAnsi="Arial"/>
          <w:sz w:val="17"/>
          <w:szCs w:val="17"/>
          <w:color w:val="auto"/>
        </w:rPr>
      </w:pPr>
    </w:p>
    <w:p>
      <w:pPr>
        <w:ind w:left="2140" w:right="20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to obtain funding for our operations, including funding necessary to complete further development and, upon successful development, if approved, commercialize any of our product candidates;</w:t>
      </w:r>
    </w:p>
    <w:p>
      <w:pPr>
        <w:spacing w:after="0" w:line="63" w:lineRule="exact"/>
        <w:rPr>
          <w:rFonts w:ascii="Arial" w:cs="Arial" w:eastAsia="Arial" w:hAnsi="Arial"/>
          <w:sz w:val="17"/>
          <w:szCs w:val="17"/>
          <w:color w:val="auto"/>
        </w:rPr>
      </w:pPr>
    </w:p>
    <w:p>
      <w:pPr>
        <w:ind w:left="2140" w:right="160" w:hanging="1068"/>
        <w:spacing w:after="0" w:line="274" w:lineRule="auto"/>
        <w:tabs>
          <w:tab w:leader="none" w:pos="21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borrow additional term loans under our term loan facility (the “Oxford Loan Agreement”) with Oxford Finance LLC, as collateral agent and lender (“Oxford”);</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orphan drug and fast track designations for PLN-74809;</w:t>
      </w:r>
    </w:p>
    <w:p>
      <w:pPr>
        <w:spacing w:after="0" w:line="110"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with companies currently marketing or engaged in the development of treatments for fibrosis;</w:t>
      </w:r>
    </w:p>
    <w:p>
      <w:pPr>
        <w:spacing w:after="0" w:line="110" w:lineRule="exact"/>
        <w:rPr>
          <w:rFonts w:ascii="Arial" w:cs="Arial" w:eastAsia="Arial" w:hAnsi="Arial"/>
          <w:sz w:val="17"/>
          <w:szCs w:val="17"/>
          <w:color w:val="auto"/>
        </w:rPr>
      </w:pPr>
    </w:p>
    <w:p>
      <w:pPr>
        <w:ind w:left="2140" w:right="22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obtaining and maintaining intellectual property protection for our product candidates and the duration of such protection;</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manufacture of our product candidates for clinical trials and for commercial use, if approved;</w:t>
      </w:r>
    </w:p>
    <w:p>
      <w:pPr>
        <w:spacing w:after="0" w:line="110" w:lineRule="exact"/>
        <w:rPr>
          <w:rFonts w:ascii="Arial" w:cs="Arial" w:eastAsia="Arial" w:hAnsi="Arial"/>
          <w:sz w:val="17"/>
          <w:szCs w:val="17"/>
          <w:color w:val="auto"/>
        </w:rPr>
      </w:pPr>
    </w:p>
    <w:p>
      <w:pPr>
        <w:ind w:left="2140" w:right="6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current and future collaborators for developing, obtaining regulatory approval for and commercializing product candidates in the collaboration;</w:t>
      </w:r>
    </w:p>
    <w:p>
      <w:pPr>
        <w:spacing w:after="0" w:line="63" w:lineRule="exact"/>
        <w:rPr>
          <w:rFonts w:ascii="Arial" w:cs="Arial" w:eastAsia="Arial" w:hAnsi="Arial"/>
          <w:sz w:val="17"/>
          <w:szCs w:val="17"/>
          <w:color w:val="auto"/>
        </w:rPr>
      </w:pPr>
    </w:p>
    <w:p>
      <w:pPr>
        <w:ind w:left="2140" w:right="58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receipt and timing of any milestone payments or royalties under any current of future research collaboration or license agreements or arrangements;</w:t>
      </w:r>
    </w:p>
    <w:p>
      <w:pPr>
        <w:spacing w:after="0" w:line="63" w:lineRule="exact"/>
        <w:rPr>
          <w:rFonts w:ascii="Arial" w:cs="Arial" w:eastAsia="Arial" w:hAnsi="Arial"/>
          <w:sz w:val="17"/>
          <w:szCs w:val="17"/>
          <w:color w:val="auto"/>
        </w:rPr>
      </w:pPr>
    </w:p>
    <w:p>
      <w:pPr>
        <w:ind w:left="2140" w:right="360" w:hanging="1068"/>
        <w:spacing w:after="0" w:line="274" w:lineRule="auto"/>
        <w:tabs>
          <w:tab w:leader="none" w:pos="1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commercialization of any products that are approved for marketing and our ability to establish adequate pricing in the U.S. and international markets;</w:t>
      </w:r>
    </w:p>
    <w:p>
      <w:pPr>
        <w:spacing w:after="0" w:line="63" w:lineRule="exact"/>
        <w:rPr>
          <w:rFonts w:ascii="Arial" w:cs="Arial" w:eastAsia="Arial" w:hAnsi="Arial"/>
          <w:sz w:val="17"/>
          <w:szCs w:val="17"/>
          <w:color w:val="auto"/>
        </w:rPr>
      </w:pPr>
    </w:p>
    <w:p>
      <w:pPr>
        <w:ind w:left="2140" w:right="300" w:hanging="1068"/>
        <w:spacing w:after="0" w:line="274" w:lineRule="auto"/>
        <w:tabs>
          <w:tab w:leader="none" w:pos="129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 either alone or in combination with others;</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qualified employees and key personnel; and</w:t>
      </w:r>
    </w:p>
    <w:p>
      <w:pPr>
        <w:spacing w:after="0" w:line="110" w:lineRule="exact"/>
        <w:rPr>
          <w:rFonts w:ascii="Arial" w:cs="Arial" w:eastAsia="Arial" w:hAnsi="Arial"/>
          <w:sz w:val="17"/>
          <w:szCs w:val="17"/>
          <w:color w:val="auto"/>
        </w:rPr>
      </w:pPr>
    </w:p>
    <w:p>
      <w:pPr>
        <w:ind w:left="1300" w:hanging="228"/>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government and third-party payor coverage and reimbursement.</w:t>
      </w:r>
    </w:p>
    <w:p>
      <w:pPr>
        <w:spacing w:after="0" w:line="110" w:lineRule="exact"/>
        <w:rPr>
          <w:sz w:val="20"/>
          <w:szCs w:val="20"/>
          <w:color w:val="auto"/>
        </w:rPr>
      </w:pPr>
    </w:p>
    <w:p>
      <w:pPr>
        <w:ind w:right="20" w:firstLine="1070"/>
        <w:spacing w:after="0" w:line="273" w:lineRule="auto"/>
        <w:rPr>
          <w:sz w:val="20"/>
          <w:szCs w:val="20"/>
          <w:color w:val="auto"/>
        </w:rPr>
      </w:pPr>
      <w:r>
        <w:rPr>
          <w:rFonts w:ascii="Arial" w:cs="Arial" w:eastAsia="Arial" w:hAnsi="Arial"/>
          <w:sz w:val="16"/>
          <w:szCs w:val="16"/>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38" w:right="359" w:bottom="1440" w:gutter="0" w:footer="0" w:header="0"/>
        </w:sectPr>
      </w:pPr>
    </w:p>
    <w:bookmarkStart w:id="3" w:name="page4"/>
    <w:bookmarkEnd w:id="3"/>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86995</wp:posOffset>
            </wp:positionV>
            <wp:extent cx="716534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SUMMARY OF RISKS ASSOCIATED WITH OUR BUSINESS</w:t>
      </w:r>
    </w:p>
    <w:p>
      <w:pPr>
        <w:spacing w:after="0" w:line="24" w:lineRule="exact"/>
        <w:rPr>
          <w:sz w:val="20"/>
          <w:szCs w:val="20"/>
          <w:color w:val="auto"/>
        </w:rPr>
      </w:pPr>
    </w:p>
    <w:p>
      <w:pPr>
        <w:ind w:right="100" w:firstLine="611"/>
        <w:spacing w:after="0" w:line="270" w:lineRule="auto"/>
        <w:rPr>
          <w:sz w:val="20"/>
          <w:szCs w:val="20"/>
          <w:color w:val="auto"/>
        </w:rPr>
      </w:pPr>
      <w:r>
        <w:rPr>
          <w:rFonts w:ascii="Arial" w:cs="Arial" w:eastAsia="Arial" w:hAnsi="Arial"/>
          <w:sz w:val="16"/>
          <w:szCs w:val="16"/>
          <w:color w:val="auto"/>
        </w:rPr>
        <w:t>Our business involves significant risks, some of which are summarized below. The summary risk factors listed below should be read together with the text of the full risk factors discussed in "Part II,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Financial Position and Need for Additional Capital</w:t>
      </w:r>
    </w:p>
    <w:p>
      <w:pPr>
        <w:spacing w:after="0" w:line="110" w:lineRule="exact"/>
        <w:rPr>
          <w:sz w:val="20"/>
          <w:szCs w:val="20"/>
          <w:color w:val="auto"/>
        </w:rPr>
      </w:pPr>
    </w:p>
    <w:p>
      <w:pPr>
        <w:ind w:left="1300" w:hanging="228"/>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expect to continue to incur significant net losses for the foreseeable future.</w:t>
      </w:r>
    </w:p>
    <w:p>
      <w:pPr>
        <w:spacing w:after="0" w:line="121" w:lineRule="exact"/>
        <w:rPr>
          <w:rFonts w:ascii="Arial" w:cs="Arial" w:eastAsia="Arial" w:hAnsi="Arial"/>
          <w:sz w:val="16"/>
          <w:szCs w:val="16"/>
          <w:color w:val="auto"/>
        </w:rPr>
      </w:pPr>
    </w:p>
    <w:p>
      <w:pPr>
        <w:ind w:left="2140" w:hanging="1068"/>
        <w:spacing w:after="0" w:line="262" w:lineRule="auto"/>
        <w:tabs>
          <w:tab w:leader="none" w:pos="12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72" w:lineRule="exact"/>
        <w:rPr>
          <w:rFonts w:ascii="Arial" w:cs="Arial" w:eastAsia="Arial" w:hAnsi="Arial"/>
          <w:sz w:val="17"/>
          <w:szCs w:val="17"/>
          <w:color w:val="auto"/>
        </w:rPr>
      </w:pPr>
    </w:p>
    <w:p>
      <w:pPr>
        <w:ind w:left="2140" w:hanging="1068"/>
        <w:spacing w:after="0" w:line="313" w:lineRule="auto"/>
        <w:tabs>
          <w:tab w:leader="none" w:pos="2136" w:val="left"/>
        </w:tabs>
        <w:numPr>
          <w:ilvl w:val="0"/>
          <w:numId w:val="4"/>
        </w:numPr>
        <w:rPr>
          <w:rFonts w:ascii="Arial" w:cs="Arial" w:eastAsia="Arial" w:hAnsi="Arial"/>
          <w:sz w:val="15"/>
          <w:szCs w:val="15"/>
          <w:color w:val="auto"/>
        </w:rPr>
      </w:pPr>
      <w:r>
        <w:rPr>
          <w:rFonts w:ascii="Arial" w:cs="Arial" w:eastAsia="Arial" w:hAnsi="Arial"/>
          <w:sz w:val="15"/>
          <w:szCs w:val="15"/>
          <w:color w:val="auto"/>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Research and Development and the Biopharmaceutical Industry</w:t>
      </w:r>
    </w:p>
    <w:p>
      <w:pPr>
        <w:spacing w:after="0" w:line="110" w:lineRule="exact"/>
        <w:rPr>
          <w:sz w:val="20"/>
          <w:szCs w:val="20"/>
          <w:color w:val="auto"/>
        </w:rPr>
      </w:pPr>
    </w:p>
    <w:p>
      <w:pPr>
        <w:ind w:left="1300" w:hanging="228"/>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operating history, which may make it difficult to evaluate our prospects and likelihood of success.</w:t>
      </w:r>
    </w:p>
    <w:p>
      <w:pPr>
        <w:spacing w:after="0" w:line="110" w:lineRule="exact"/>
        <w:rPr>
          <w:rFonts w:ascii="Arial" w:cs="Arial" w:eastAsia="Arial" w:hAnsi="Arial"/>
          <w:sz w:val="17"/>
          <w:szCs w:val="17"/>
          <w:color w:val="auto"/>
        </w:rPr>
      </w:pPr>
    </w:p>
    <w:p>
      <w:pPr>
        <w:ind w:left="2140" w:right="280" w:hanging="1068"/>
        <w:spacing w:after="0" w:line="286" w:lineRule="auto"/>
        <w:tabs>
          <w:tab w:leader="none" w:pos="129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55" w:lineRule="exact"/>
        <w:rPr>
          <w:rFonts w:ascii="Arial" w:cs="Arial" w:eastAsia="Arial" w:hAnsi="Arial"/>
          <w:sz w:val="16"/>
          <w:szCs w:val="16"/>
          <w:color w:val="auto"/>
        </w:rPr>
      </w:pPr>
    </w:p>
    <w:p>
      <w:pPr>
        <w:ind w:left="2140" w:right="540" w:hanging="1068"/>
        <w:spacing w:after="0" w:line="274" w:lineRule="auto"/>
        <w:tabs>
          <w:tab w:leader="none" w:pos="213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approach to drug discovery and development in the area of fibrotic diseases is unproven and may not result in marketable products</w:t>
      </w:r>
    </w:p>
    <w:p>
      <w:pPr>
        <w:spacing w:after="0" w:line="63" w:lineRule="exact"/>
        <w:rPr>
          <w:rFonts w:ascii="Arial" w:cs="Arial" w:eastAsia="Arial" w:hAnsi="Arial"/>
          <w:sz w:val="17"/>
          <w:szCs w:val="17"/>
          <w:color w:val="auto"/>
        </w:rPr>
      </w:pPr>
    </w:p>
    <w:p>
      <w:pPr>
        <w:ind w:left="1300" w:hanging="228"/>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Clinical development involves a lengthy, complex, and expensive process, with an uncertain outcome.</w:t>
      </w:r>
    </w:p>
    <w:p>
      <w:pPr>
        <w:spacing w:after="0" w:line="110" w:lineRule="exact"/>
        <w:rPr>
          <w:rFonts w:ascii="Arial" w:cs="Arial" w:eastAsia="Arial" w:hAnsi="Arial"/>
          <w:sz w:val="17"/>
          <w:szCs w:val="17"/>
          <w:color w:val="auto"/>
        </w:rPr>
      </w:pPr>
    </w:p>
    <w:p>
      <w:pPr>
        <w:ind w:left="2140" w:right="160" w:hanging="1068"/>
        <w:spacing w:after="0" w:line="274"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incur additional costs or experience delays in completing, or ultimately be unable to complete, the development and commercialization of PLN-74809 or any other product candidates.</w:t>
      </w:r>
    </w:p>
    <w:p>
      <w:pPr>
        <w:spacing w:after="0" w:line="63" w:lineRule="exact"/>
        <w:rPr>
          <w:rFonts w:ascii="Arial" w:cs="Arial" w:eastAsia="Arial" w:hAnsi="Arial"/>
          <w:sz w:val="17"/>
          <w:szCs w:val="17"/>
          <w:color w:val="auto"/>
        </w:rPr>
      </w:pPr>
    </w:p>
    <w:p>
      <w:pPr>
        <w:ind w:left="2140" w:right="580" w:hanging="1068"/>
        <w:spacing w:after="0" w:line="274"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fail to obtain and maintain orphan drug designations in some jurisdictions and therefore fail to secure orphan exclusivity in those jurisdictions.</w:t>
      </w:r>
    </w:p>
    <w:p>
      <w:pPr>
        <w:spacing w:after="0" w:line="63" w:lineRule="exact"/>
        <w:rPr>
          <w:rFonts w:ascii="Arial" w:cs="Arial" w:eastAsia="Arial" w:hAnsi="Arial"/>
          <w:sz w:val="17"/>
          <w:szCs w:val="17"/>
          <w:color w:val="auto"/>
        </w:rPr>
      </w:pPr>
    </w:p>
    <w:p>
      <w:pPr>
        <w:ind w:left="2140" w:right="200" w:hanging="1068"/>
        <w:spacing w:after="0" w:line="262" w:lineRule="auto"/>
        <w:tabs>
          <w:tab w:leader="none" w:pos="213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72" w:lineRule="exact"/>
        <w:rPr>
          <w:rFonts w:ascii="Arial" w:cs="Arial" w:eastAsia="Arial" w:hAnsi="Arial"/>
          <w:sz w:val="17"/>
          <w:szCs w:val="17"/>
          <w:color w:val="auto"/>
        </w:rPr>
      </w:pPr>
    </w:p>
    <w:p>
      <w:pPr>
        <w:ind w:left="2140" w:right="280" w:hanging="1068"/>
        <w:spacing w:after="0" w:line="274" w:lineRule="auto"/>
        <w:tabs>
          <w:tab w:leader="none" w:pos="1299"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encounter difficulties enrolling patients in our clinical trials, our clinical development activities could be delayed or otherwise adversely affected.</w:t>
      </w:r>
    </w:p>
    <w:p>
      <w:pPr>
        <w:spacing w:after="0" w:line="63" w:lineRule="exact"/>
        <w:rPr>
          <w:rFonts w:ascii="Arial" w:cs="Arial" w:eastAsia="Arial" w:hAnsi="Arial"/>
          <w:sz w:val="17"/>
          <w:szCs w:val="17"/>
          <w:color w:val="auto"/>
        </w:rPr>
      </w:pPr>
    </w:p>
    <w:p>
      <w:pPr>
        <w:ind w:left="2140" w:right="240" w:hanging="1068"/>
        <w:spacing w:after="0" w:line="274"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products before or more successfully than us.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Intellectual Property</w:t>
      </w:r>
    </w:p>
    <w:p>
      <w:pPr>
        <w:spacing w:after="0" w:line="110" w:lineRule="exact"/>
        <w:rPr>
          <w:sz w:val="20"/>
          <w:szCs w:val="20"/>
          <w:color w:val="auto"/>
        </w:rPr>
      </w:pPr>
    </w:p>
    <w:p>
      <w:pPr>
        <w:ind w:left="2140" w:right="40" w:hanging="1068"/>
        <w:spacing w:after="0" w:line="274" w:lineRule="auto"/>
        <w:tabs>
          <w:tab w:leader="none" w:pos="1299"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depends in part on our ability to obtain patent term extensions and protect our intellectual property. It is difficult and costly to protect our proprietary rights and technology, and we may not be able to ensure their protection.</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5" w:name="page6"/>
    <w:bookmarkEnd w:id="5"/>
    <w:p>
      <w:pPr>
        <w:ind w:left="2140" w:right="200" w:hanging="1068"/>
        <w:spacing w:after="0" w:line="342" w:lineRule="auto"/>
        <w:tabs>
          <w:tab w:leader="none" w:pos="1299"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Reliance on Third Parties</w:t>
      </w:r>
    </w:p>
    <w:p>
      <w:pPr>
        <w:spacing w:after="0" w:line="110" w:lineRule="exact"/>
        <w:rPr>
          <w:sz w:val="20"/>
          <w:szCs w:val="20"/>
          <w:color w:val="auto"/>
        </w:rPr>
      </w:pPr>
    </w:p>
    <w:p>
      <w:pPr>
        <w:ind w:left="2140" w:right="20" w:hanging="1068"/>
        <w:spacing w:after="0" w:line="275" w:lineRule="auto"/>
        <w:tabs>
          <w:tab w:leader="none" w:pos="129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entered into a collaboration agreement with Novartis Institutes for Biomedical Research, Inc., or Novartis, for the development of PLN-1474 and may in the future seek to enter into collaborations with third parties for the development and commercialization of other product candidates. If we fail to enter into such collaborations, or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66" w:lineRule="exact"/>
        <w:rPr>
          <w:rFonts w:ascii="Arial" w:cs="Arial" w:eastAsia="Arial" w:hAnsi="Arial"/>
          <w:sz w:val="16"/>
          <w:szCs w:val="16"/>
          <w:color w:val="auto"/>
        </w:rPr>
      </w:pPr>
    </w:p>
    <w:p>
      <w:pPr>
        <w:ind w:left="2140" w:right="100" w:hanging="1068"/>
        <w:spacing w:after="0" w:line="274" w:lineRule="auto"/>
        <w:tabs>
          <w:tab w:leader="none" w:pos="129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rely on third parties to conduct certain aspects of our preclinical studies and clinical trials and for tissue samples and other materials required for our research and development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Managing Our Business and Operations</w:t>
      </w:r>
    </w:p>
    <w:p>
      <w:pPr>
        <w:spacing w:after="0" w:line="110" w:lineRule="exact"/>
        <w:rPr>
          <w:sz w:val="20"/>
          <w:szCs w:val="20"/>
          <w:color w:val="auto"/>
        </w:rPr>
      </w:pPr>
    </w:p>
    <w:p>
      <w:pPr>
        <w:ind w:left="1300" w:hanging="228"/>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ongoing COVID-19 pandemic could adversely impact our business, including our preclinical studies and clinical trials.</w:t>
      </w:r>
    </w:p>
    <w:p>
      <w:pPr>
        <w:spacing w:after="0" w:line="110" w:lineRule="exact"/>
        <w:rPr>
          <w:rFonts w:ascii="Arial" w:cs="Arial" w:eastAsia="Arial" w:hAnsi="Arial"/>
          <w:sz w:val="17"/>
          <w:szCs w:val="17"/>
          <w:color w:val="auto"/>
        </w:rPr>
      </w:pPr>
    </w:p>
    <w:p>
      <w:pPr>
        <w:ind w:left="2140" w:hanging="1068"/>
        <w:spacing w:after="0" w:line="262" w:lineRule="auto"/>
        <w:tabs>
          <w:tab w:leader="none" w:pos="1299"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loss of key management personnel, or if we fail to recruit additional highly skilled personnel, will impair our ability to develop current product candidates or identify and develop new product candidates, could result in loss of markets or market share and could make us less competitive.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4"/>
          <w:szCs w:val="14"/>
          <w:b w:val="1"/>
          <w:bCs w:val="1"/>
          <w:color w:val="auto"/>
        </w:rPr>
        <w:t>PART I—FINANCIAL INFORMATION</w:t>
      </w:r>
    </w:p>
    <w:p>
      <w:pPr>
        <w:spacing w:after="0" w:line="236" w:lineRule="auto"/>
        <w:rPr>
          <w:sz w:val="20"/>
          <w:szCs w:val="20"/>
          <w:color w:val="auto"/>
        </w:rPr>
      </w:pPr>
      <w:r>
        <w:rPr>
          <w:rFonts w:ascii="Arial" w:cs="Arial" w:eastAsia="Arial" w:hAnsi="Arial"/>
          <w:sz w:val="14"/>
          <w:szCs w:val="14"/>
          <w:b w:val="1"/>
          <w:bCs w:val="1"/>
          <w:color w:val="auto"/>
        </w:rPr>
        <w:t>Item 1. Condensed Financial Statements.</w:t>
      </w:r>
    </w:p>
    <w:p>
      <w:pPr>
        <w:jc w:val="center"/>
        <w:ind w:right="-159"/>
        <w:spacing w:after="0" w:line="228" w:lineRule="auto"/>
        <w:rPr>
          <w:sz w:val="20"/>
          <w:szCs w:val="20"/>
          <w:color w:val="auto"/>
        </w:rPr>
      </w:pPr>
      <w:r>
        <w:rPr>
          <w:rFonts w:ascii="Arial" w:cs="Arial" w:eastAsia="Arial" w:hAnsi="Arial"/>
          <w:sz w:val="14"/>
          <w:szCs w:val="14"/>
          <w:b w:val="1"/>
          <w:bCs w:val="1"/>
          <w:color w:val="auto"/>
        </w:rPr>
        <w:t>Pliant Therapeutics, Inc.</w:t>
      </w:r>
    </w:p>
    <w:p>
      <w:pPr>
        <w:jc w:val="center"/>
        <w:ind w:right="-159"/>
        <w:spacing w:after="0" w:line="228" w:lineRule="auto"/>
        <w:rPr>
          <w:sz w:val="20"/>
          <w:szCs w:val="20"/>
          <w:color w:val="auto"/>
        </w:rPr>
      </w:pPr>
      <w:r>
        <w:rPr>
          <w:rFonts w:ascii="Arial" w:cs="Arial" w:eastAsia="Arial" w:hAnsi="Arial"/>
          <w:sz w:val="14"/>
          <w:szCs w:val="14"/>
          <w:b w:val="1"/>
          <w:bCs w:val="1"/>
          <w:color w:val="auto"/>
        </w:rPr>
        <w:t>Condensed Balance Sheets</w:t>
      </w:r>
    </w:p>
    <w:p>
      <w:pPr>
        <w:jc w:val="center"/>
        <w:ind w:right="-159"/>
        <w:spacing w:after="0" w:line="227"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auto"/>
        </w:rPr>
        <w:t>(In thousands, except number of shares and per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00" w:type="dxa"/>
            <w:vAlign w:val="bottom"/>
          </w:tcPr>
          <w:p>
            <w:pPr>
              <w:jc w:val="right"/>
              <w:ind w:right="32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77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5"/>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51,665</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Short-term investments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145,735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148,931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receivable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1,998</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Tax credit receivable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Prepaid expenses and other current assets (Note 5)</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5,751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6,764</w:t>
            </w:r>
          </w:p>
        </w:tc>
        <w:tc>
          <w:tcPr>
            <w:tcW w:w="0" w:type="dxa"/>
            <w:vAlign w:val="bottom"/>
          </w:tcPr>
          <w:p>
            <w:pPr>
              <w:spacing w:after="0"/>
              <w:rPr>
                <w:sz w:val="1"/>
                <w:szCs w:val="1"/>
                <w:color w:val="auto"/>
              </w:rPr>
            </w:pPr>
          </w:p>
        </w:tc>
      </w:tr>
      <w:tr>
        <w:trPr>
          <w:trHeight w:val="194"/>
        </w:trPr>
        <w:tc>
          <w:tcPr>
            <w:tcW w:w="7700" w:type="dxa"/>
            <w:vAlign w:val="bottom"/>
          </w:tcPr>
          <w:p>
            <w:pPr>
              <w:ind w:left="520"/>
              <w:spacing w:after="0"/>
              <w:rPr>
                <w:sz w:val="20"/>
                <w:szCs w:val="20"/>
                <w:color w:val="auto"/>
              </w:rPr>
            </w:pPr>
            <w:r>
              <w:rPr>
                <w:rFonts w:ascii="Arial" w:cs="Arial" w:eastAsia="Arial" w:hAnsi="Arial"/>
                <w:sz w:val="15"/>
                <w:szCs w:val="15"/>
                <w:color w:val="auto"/>
              </w:rPr>
              <w:t>Total current assets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185,363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209,441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4,606</w:t>
            </w: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6,086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6,330</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838</w:t>
            </w:r>
          </w:p>
        </w:tc>
        <w:tc>
          <w:tcPr>
            <w:tcW w:w="0" w:type="dxa"/>
            <w:vAlign w:val="bottom"/>
          </w:tcPr>
          <w:p>
            <w:pPr>
              <w:spacing w:after="0"/>
              <w:rPr>
                <w:sz w:val="1"/>
                <w:szCs w:val="1"/>
                <w:color w:val="auto"/>
              </w:rPr>
            </w:pPr>
          </w:p>
        </w:tc>
      </w:tr>
      <w:tr>
        <w:trPr>
          <w:trHeight w:val="194"/>
        </w:trPr>
        <w:tc>
          <w:tcPr>
            <w:tcW w:w="770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197,022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221,215</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2,971</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Accrued liabilities (Note 6)</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11,626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11,991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Lease liabilities, current</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1,869</w:t>
            </w:r>
          </w:p>
        </w:tc>
        <w:tc>
          <w:tcPr>
            <w:tcW w:w="0" w:type="dxa"/>
            <w:vAlign w:val="bottom"/>
          </w:tcPr>
          <w:p>
            <w:pPr>
              <w:spacing w:after="0"/>
              <w:rPr>
                <w:sz w:val="1"/>
                <w:szCs w:val="1"/>
                <w:color w:val="auto"/>
              </w:rPr>
            </w:pPr>
          </w:p>
        </w:tc>
      </w:tr>
      <w:tr>
        <w:trPr>
          <w:trHeight w:val="194"/>
        </w:trPr>
        <w:tc>
          <w:tcPr>
            <w:tcW w:w="7700" w:type="dxa"/>
            <w:vAlign w:val="bottom"/>
          </w:tcPr>
          <w:p>
            <w:pPr>
              <w:ind w:left="440"/>
              <w:spacing w:after="0"/>
              <w:rPr>
                <w:sz w:val="20"/>
                <w:szCs w:val="20"/>
                <w:color w:val="auto"/>
              </w:rPr>
            </w:pPr>
            <w:r>
              <w:rPr>
                <w:rFonts w:ascii="Arial" w:cs="Arial" w:eastAsia="Arial" w:hAnsi="Arial"/>
                <w:sz w:val="15"/>
                <w:szCs w:val="15"/>
                <w:color w:val="auto"/>
              </w:rPr>
              <w:t>Total current liabilities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18,309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16,831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Lease liabilities, non-current</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5,325</w:t>
            </w:r>
          </w:p>
        </w:tc>
        <w:tc>
          <w:tcPr>
            <w:tcW w:w="0" w:type="dxa"/>
            <w:vAlign w:val="bottom"/>
          </w:tcPr>
          <w:p>
            <w:pPr>
              <w:spacing w:after="0"/>
              <w:rPr>
                <w:sz w:val="1"/>
                <w:szCs w:val="1"/>
                <w:color w:val="auto"/>
              </w:rPr>
            </w:pPr>
          </w:p>
        </w:tc>
      </w:tr>
      <w:tr>
        <w:trPr>
          <w:trHeight w:val="194"/>
        </w:trPr>
        <w:tc>
          <w:tcPr>
            <w:tcW w:w="770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Total liabilities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23,229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22,156</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200"/>
              <w:spacing w:after="0" w:line="158" w:lineRule="exact"/>
              <w:rPr>
                <w:sz w:val="20"/>
                <w:szCs w:val="20"/>
                <w:color w:val="auto"/>
              </w:rPr>
            </w:pPr>
            <w:r>
              <w:rPr>
                <w:rFonts w:ascii="Arial" w:cs="Arial" w:eastAsia="Arial" w:hAnsi="Arial"/>
                <w:sz w:val="15"/>
                <w:szCs w:val="15"/>
                <w:color w:val="auto"/>
                <w:w w:val="97"/>
              </w:rPr>
              <w:t>Common stock, $0.0001 par value; 300,000,000 shares authorized at March 31, 2022 and December 31, 2021; and</w:t>
            </w:r>
          </w:p>
        </w:tc>
        <w:tc>
          <w:tcPr>
            <w:tcW w:w="3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7"/>
        </w:trPr>
        <w:tc>
          <w:tcPr>
            <w:tcW w:w="7700" w:type="dxa"/>
            <w:vAlign w:val="bottom"/>
          </w:tcPr>
          <w:p>
            <w:pPr>
              <w:ind w:left="360"/>
              <w:spacing w:after="0"/>
              <w:rPr>
                <w:sz w:val="20"/>
                <w:szCs w:val="20"/>
                <w:color w:val="auto"/>
              </w:rPr>
            </w:pPr>
            <w:r>
              <w:rPr>
                <w:rFonts w:ascii="Arial" w:cs="Arial" w:eastAsia="Arial" w:hAnsi="Arial"/>
                <w:sz w:val="15"/>
                <w:szCs w:val="15"/>
                <w:color w:val="auto"/>
                <w:w w:val="94"/>
              </w:rPr>
              <w:t>36,162,459 and 36,083,301 shares issued and outstanding at March 31, 2022 and December 31, 2021, respectively;</w:t>
            </w:r>
          </w:p>
        </w:tc>
        <w:tc>
          <w:tcPr>
            <w:tcW w:w="3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Additional paid-in capital</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417,931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414,348</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rPr>
                <w:sz w:val="20"/>
                <w:szCs w:val="20"/>
                <w:color w:val="auto"/>
              </w:rPr>
            </w:pPr>
            <w:r>
              <w:rPr>
                <w:rFonts w:ascii="Arial" w:cs="Arial" w:eastAsia="Arial" w:hAnsi="Arial"/>
                <w:sz w:val="15"/>
                <w:szCs w:val="15"/>
                <w:color w:val="auto"/>
              </w:rPr>
              <w:t>Accumulated deficit</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(243,191)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(215,091)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94"/>
        </w:trPr>
        <w:tc>
          <w:tcPr>
            <w:tcW w:w="770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Total stockholders’ equity</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173,793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199,059</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197,022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221,215</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2720" w:right="1980" w:hanging="2718"/>
        <w:spacing w:after="0" w:line="484" w:lineRule="auto"/>
        <w:tabs>
          <w:tab w:leader="none" w:pos="603"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condensed balance sheet as of December 31, 2021 has been derived from the audited financial statements as of that date</w:t>
      </w:r>
      <w:r>
        <w:rPr>
          <w:rFonts w:ascii="Arial" w:cs="Arial" w:eastAsia="Arial" w:hAnsi="Arial"/>
          <w:sz w:val="13"/>
          <w:szCs w:val="13"/>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The accompanying notes are an integral part of these condensed financial statements</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80"/>
          </w:cols>
          <w:pgMar w:left="320" w:top="845" w:right="499" w:bottom="1440" w:gutter="0" w:footer="0" w:header="0"/>
        </w:sectPr>
      </w:pPr>
    </w:p>
    <w:bookmarkStart w:id="7" w:name="page8"/>
    <w:bookmarkEnd w:id="7"/>
    <w:p>
      <w:pPr>
        <w:jc w:val="center"/>
        <w:ind w:right="-199"/>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94"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Three Months Ended</w:t>
      </w:r>
    </w:p>
    <w:p>
      <w:pPr>
        <w:jc w:val="center"/>
        <w:ind w:left="81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80"/>
        </w:trPr>
        <w:tc>
          <w:tcPr>
            <w:tcW w:w="83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w:t>
            </w:r>
          </w:p>
        </w:tc>
        <w:tc>
          <w:tcPr>
            <w:tcW w:w="0" w:type="dxa"/>
            <w:vAlign w:val="bottom"/>
          </w:tcPr>
          <w:p>
            <w:pPr>
              <w:spacing w:after="0"/>
              <w:rPr>
                <w:sz w:val="1"/>
                <w:szCs w:val="1"/>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(18,527)</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(6,566)</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(25,093)</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(28,211)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(22,919)</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9"/>
        </w:trPr>
        <w:tc>
          <w:tcPr>
            <w:tcW w:w="8320" w:type="dxa"/>
            <w:vAlign w:val="bottom"/>
          </w:tcPr>
          <w:p>
            <w:pPr>
              <w:ind w:left="2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(28,100)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(22,856)</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32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Net loss per share: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Shares used in computing net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36,116,440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35,645,205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7"/>
                <w:szCs w:val="17"/>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3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36,116,440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35,645,205</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32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Comprehensive loss: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00"/>
              <w:spacing w:after="0"/>
              <w:rPr>
                <w:sz w:val="20"/>
                <w:szCs w:val="20"/>
                <w:color w:val="auto"/>
              </w:rPr>
            </w:pPr>
            <w:r>
              <w:rPr>
                <w:rFonts w:ascii="Arial" w:cs="Arial" w:eastAsia="Arial" w:hAnsi="Arial"/>
                <w:sz w:val="17"/>
                <w:szCs w:val="17"/>
                <w:color w:val="auto"/>
              </w:rPr>
              <w:t>Net loss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(28,100)</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(22,856)</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unrealized (loss) gain on short-term investments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(loss) income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(28,849)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(22,842)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40"/>
          </w:cols>
          <w:pgMar w:left="320" w:top="849" w:right="5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196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96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w w:val="99"/>
              </w:rPr>
              <w:t>Comprehensive</w:t>
            </w:r>
          </w:p>
        </w:tc>
        <w:tc>
          <w:tcPr>
            <w:tcW w:w="100" w:type="dxa"/>
            <w:vAlign w:val="bottom"/>
          </w:tcPr>
          <w:p>
            <w:pPr>
              <w:spacing w:after="0"/>
              <w:rPr>
                <w:sz w:val="9"/>
                <w:szCs w:val="9"/>
                <w:color w:val="auto"/>
              </w:rPr>
            </w:pPr>
          </w:p>
        </w:tc>
        <w:tc>
          <w:tcPr>
            <w:tcW w:w="104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960" w:type="dxa"/>
            <w:vAlign w:val="bottom"/>
          </w:tcPr>
          <w:p>
            <w:pPr>
              <w:jc w:val="center"/>
              <w:ind w:right="53"/>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36,083,301</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414,348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w w:val="91"/>
              </w:rPr>
              <w:t>(201)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(215,091)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199,059</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15,606</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63,552</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3,531</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Net unrealized loss on short-term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4"/>
                <w:szCs w:val="14"/>
                <w:color w:val="auto"/>
                <w:w w:val="91"/>
              </w:rPr>
              <w:t>(749)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(28,100)</w:t>
            </w:r>
          </w:p>
        </w:tc>
        <w:tc>
          <w:tcPr>
            <w:tcW w:w="0" w:type="dxa"/>
            <w:vAlign w:val="bottom"/>
          </w:tcPr>
          <w:p>
            <w:pPr>
              <w:spacing w:after="0"/>
              <w:rPr>
                <w:sz w:val="1"/>
                <w:szCs w:val="1"/>
                <w:color w:val="auto"/>
              </w:rPr>
            </w:pPr>
          </w:p>
        </w:tc>
      </w:tr>
      <w:tr>
        <w:trPr>
          <w:trHeight w:val="17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36,162,459</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417,931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w w:val="91"/>
              </w:rPr>
              <w:t>(950)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(243,191)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173,793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716534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9740"/>
          </w:cols>
          <w:pgMar w:left="1080" w:top="849" w:right="10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196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960" w:type="dxa"/>
            <w:vAlign w:val="bottom"/>
          </w:tcPr>
          <w:p>
            <w:pPr>
              <w:spacing w:after="0"/>
              <w:rPr>
                <w:sz w:val="8"/>
                <w:szCs w:val="8"/>
                <w:color w:val="auto"/>
              </w:rPr>
            </w:pPr>
          </w:p>
        </w:tc>
        <w:tc>
          <w:tcPr>
            <w:tcW w:w="196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center"/>
              <w:ind w:right="260"/>
              <w:spacing w:after="0" w:line="96" w:lineRule="exact"/>
              <w:rPr>
                <w:sz w:val="20"/>
                <w:szCs w:val="20"/>
                <w:color w:val="auto"/>
              </w:rPr>
            </w:pPr>
            <w:r>
              <w:rPr>
                <w:rFonts w:ascii="Arial" w:cs="Arial" w:eastAsia="Arial" w:hAnsi="Arial"/>
                <w:sz w:val="11"/>
                <w:szCs w:val="11"/>
                <w:b w:val="1"/>
                <w:bCs w:val="1"/>
                <w:color w:val="auto"/>
              </w:rPr>
              <w:t>Paid-In</w:t>
            </w:r>
          </w:p>
        </w:tc>
        <w:tc>
          <w:tcPr>
            <w:tcW w:w="1160" w:type="dxa"/>
            <w:vAlign w:val="bottom"/>
            <w:gridSpan w:val="3"/>
          </w:tcPr>
          <w:p>
            <w:pPr>
              <w:jc w:val="center"/>
              <w:ind w:right="100"/>
              <w:spacing w:after="0" w:line="96"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1040" w:type="dxa"/>
            <w:vAlign w:val="bottom"/>
            <w:gridSpan w:val="2"/>
          </w:tcPr>
          <w:p>
            <w:pPr>
              <w:ind w:left="20"/>
              <w:spacing w:after="0" w:line="96"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8"/>
                <w:szCs w:val="8"/>
                <w:color w:val="auto"/>
              </w:rPr>
            </w:pPr>
          </w:p>
        </w:tc>
        <w:tc>
          <w:tcPr>
            <w:tcW w:w="960" w:type="dxa"/>
            <w:vAlign w:val="bottom"/>
          </w:tcPr>
          <w:p>
            <w:pPr>
              <w:jc w:val="center"/>
              <w:ind w:right="53"/>
              <w:spacing w:after="0" w:line="96"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3"/>
        </w:trPr>
        <w:tc>
          <w:tcPr>
            <w:tcW w:w="296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4"/>
                <w:szCs w:val="14"/>
                <w:b w:val="1"/>
                <w:bCs w:val="1"/>
                <w:color w:val="auto"/>
              </w:rPr>
              <w:t>Balance at December 31,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35,552,795</w:t>
            </w:r>
          </w:p>
        </w:tc>
        <w:tc>
          <w:tcPr>
            <w:tcW w:w="120" w:type="dxa"/>
            <w:vAlign w:val="bottom"/>
            <w:tcBorders>
              <w:top w:val="single" w:sz="8" w:color="CFF0FC"/>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400,918</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center"/>
              <w:ind w:left="592"/>
              <w:spacing w:after="0"/>
              <w:rPr>
                <w:sz w:val="20"/>
                <w:szCs w:val="20"/>
                <w:color w:val="auto"/>
              </w:rPr>
            </w:pPr>
            <w:r>
              <w:rPr>
                <w:rFonts w:ascii="Arial" w:cs="Arial" w:eastAsia="Arial" w:hAnsi="Arial"/>
                <w:sz w:val="14"/>
                <w:szCs w:val="14"/>
                <w:color w:val="auto"/>
                <w:w w:val="96"/>
              </w:rPr>
              <w:t>(32)</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(117,828)</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4"/>
                <w:szCs w:val="14"/>
                <w:color w:val="auto"/>
              </w:rPr>
              <w:t>283,061</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Vesting of restricted stock 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30,277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165,264</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Net unrealized gain on short- term 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left="612"/>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6"/>
        </w:trPr>
        <w:tc>
          <w:tcPr>
            <w:tcW w:w="296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center"/>
              <w:ind w:left="51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(22,856)</w:t>
            </w:r>
          </w:p>
        </w:tc>
        <w:tc>
          <w:tcPr>
            <w:tcW w:w="0" w:type="dxa"/>
            <w:vAlign w:val="bottom"/>
          </w:tcPr>
          <w:p>
            <w:pPr>
              <w:spacing w:after="0"/>
              <w:rPr>
                <w:sz w:val="1"/>
                <w:szCs w:val="1"/>
                <w:color w:val="auto"/>
              </w:rPr>
            </w:pPr>
          </w:p>
        </w:tc>
      </w:tr>
      <w:tr>
        <w:trPr>
          <w:trHeight w:val="17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35,748,336</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404,868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6"/>
              </w:rPr>
              <w:t>(18)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(140,684)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264,169</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716534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9740"/>
          </w:cols>
          <w:pgMar w:left="1080" w:top="849" w:right="10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Statements of Cash Flows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r>
      <w:tr>
        <w:trPr>
          <w:trHeight w:val="175"/>
        </w:trPr>
        <w:tc>
          <w:tcPr>
            <w:tcW w:w="78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r>
      <w:tr>
        <w:trPr>
          <w:trHeight w:val="17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96"/>
              </w:rPr>
              <w:t>2021</w:t>
            </w: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Net loss</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(28,100)</w:t>
            </w:r>
          </w:p>
        </w:tc>
        <w:tc>
          <w:tcPr>
            <w:tcW w:w="100" w:type="dxa"/>
            <w:vAlign w:val="bottom"/>
          </w:tcPr>
          <w:p>
            <w:pPr>
              <w:spacing w:after="0"/>
              <w:rPr>
                <w:sz w:val="18"/>
                <w:szCs w:val="18"/>
                <w:color w:val="auto"/>
              </w:rPr>
            </w:pPr>
          </w:p>
        </w:tc>
        <w:tc>
          <w:tcPr>
            <w:tcW w:w="640" w:type="dxa"/>
            <w:vAlign w:val="bottom"/>
          </w:tcPr>
          <w:p>
            <w:pPr>
              <w:jc w:val="right"/>
              <w:ind w:right="4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(22,856)</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Arial" w:cs="Arial" w:eastAsia="Arial" w:hAnsi="Arial"/>
                <w:sz w:val="17"/>
                <w:szCs w:val="17"/>
                <w:color w:val="auto"/>
              </w:rPr>
              <w:t>Depreciation expense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359</w:t>
            </w:r>
          </w:p>
        </w:tc>
      </w:tr>
      <w:tr>
        <w:trPr>
          <w:trHeight w:val="217"/>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Stock-based compensation expense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w:t>
            </w:r>
          </w:p>
        </w:tc>
      </w:tr>
      <w:tr>
        <w:trPr>
          <w:trHeight w:val="216"/>
        </w:trPr>
        <w:tc>
          <w:tcPr>
            <w:tcW w:w="7820" w:type="dxa"/>
            <w:vAlign w:val="bottom"/>
          </w:tcPr>
          <w:p>
            <w:pPr>
              <w:ind w:left="200"/>
              <w:spacing w:after="0"/>
              <w:rPr>
                <w:sz w:val="20"/>
                <w:szCs w:val="20"/>
                <w:color w:val="auto"/>
              </w:rPr>
            </w:pPr>
            <w:r>
              <w:rPr>
                <w:rFonts w:ascii="Arial" w:cs="Arial" w:eastAsia="Arial" w:hAnsi="Arial"/>
                <w:sz w:val="17"/>
                <w:szCs w:val="17"/>
                <w:color w:val="auto"/>
              </w:rPr>
              <w:t>Non-cash operating lease expense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17"/>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r>
      <w:tr>
        <w:trPr>
          <w:trHeight w:val="216"/>
        </w:trPr>
        <w:tc>
          <w:tcPr>
            <w:tcW w:w="7820" w:type="dxa"/>
            <w:vAlign w:val="bottom"/>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7,105</w:t>
            </w:r>
          </w:p>
        </w:tc>
      </w:tr>
      <w:tr>
        <w:trPr>
          <w:trHeight w:val="216"/>
        </w:trPr>
        <w:tc>
          <w:tcPr>
            <w:tcW w:w="7820" w:type="dxa"/>
            <w:vAlign w:val="bottom"/>
          </w:tcPr>
          <w:p>
            <w:pPr>
              <w:ind w:left="440"/>
              <w:spacing w:after="0"/>
              <w:rPr>
                <w:sz w:val="20"/>
                <w:szCs w:val="20"/>
                <w:color w:val="auto"/>
              </w:rPr>
            </w:pPr>
            <w:r>
              <w:rPr>
                <w:rFonts w:ascii="Arial" w:cs="Arial" w:eastAsia="Arial" w:hAnsi="Arial"/>
                <w:sz w:val="17"/>
                <w:szCs w:val="17"/>
                <w:color w:val="auto"/>
              </w:rPr>
              <w:t>Prepaid expenses and other current assets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1,013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318</w:t>
            </w: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non-current assets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2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1,770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665</w:t>
            </w: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liabilities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w:t>
            </w:r>
          </w:p>
        </w:tc>
      </w:tr>
      <w:tr>
        <w:trPr>
          <w:trHeight w:val="216"/>
        </w:trPr>
        <w:tc>
          <w:tcPr>
            <w:tcW w:w="78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Operating lease liabilities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w:t>
            </w:r>
          </w:p>
        </w:tc>
      </w:tr>
      <w:tr>
        <w:trPr>
          <w:trHeight w:val="210"/>
        </w:trPr>
        <w:tc>
          <w:tcPr>
            <w:tcW w:w="78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used in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(20,498)</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(13,665)</w:t>
            </w:r>
          </w:p>
        </w:tc>
      </w:tr>
      <w:tr>
        <w:trPr>
          <w:trHeight w:val="196"/>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short-term investments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(64,806)</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Maturity of short-term investments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41,403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77,280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property and equipment</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09"/>
        </w:trPr>
        <w:tc>
          <w:tcPr>
            <w:tcW w:w="78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cash provided by investing activities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12,232</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deferred offering costs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820" w:type="dxa"/>
            <w:vAlign w:val="bottom"/>
          </w:tcPr>
          <w:p>
            <w:pPr>
              <w:ind w:left="640"/>
              <w:spacing w:after="0"/>
              <w:rPr>
                <w:sz w:val="20"/>
                <w:szCs w:val="20"/>
                <w:color w:val="auto"/>
              </w:rPr>
            </w:pPr>
            <w:r>
              <w:rPr>
                <w:rFonts w:ascii="Arial" w:cs="Arial" w:eastAsia="Arial" w:hAnsi="Arial"/>
                <w:sz w:val="17"/>
                <w:szCs w:val="17"/>
                <w:color w:val="auto"/>
              </w:rPr>
              <w:t>Net cash (used in) provided by financing activities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51,665</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50,882</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32,545</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50,819</w:t>
            </w:r>
          </w:p>
        </w:tc>
      </w:tr>
      <w:tr>
        <w:trPr>
          <w:trHeight w:val="196"/>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property and equipment in accounts payable and accrued liabilities</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color w:val="auto"/>
              </w:rPr>
              <w:t>Reclassification of restricted stock awards from liabilities to common stock upon vesting</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40" w:type="dxa"/>
            <w:vAlign w:val="bottom"/>
          </w:tcPr>
          <w:p>
            <w:pPr>
              <w:jc w:val="right"/>
              <w:ind w:right="4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unrealized (loss) gain on short-term investments</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bl>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849" w:right="3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114" w:lineRule="exact"/>
        <w:rPr>
          <w:sz w:val="20"/>
          <w:szCs w:val="20"/>
          <w:color w:val="auto"/>
        </w:rPr>
      </w:pPr>
    </w:p>
    <w:p>
      <w:pPr>
        <w:ind w:right="20" w:firstLine="1070"/>
        <w:spacing w:after="0" w:line="275" w:lineRule="auto"/>
        <w:rPr>
          <w:sz w:val="20"/>
          <w:szCs w:val="20"/>
          <w:color w:val="auto"/>
        </w:rPr>
      </w:pPr>
      <w:r>
        <w:rPr>
          <w:rFonts w:ascii="Arial" w:cs="Arial" w:eastAsia="Arial" w:hAnsi="Arial"/>
          <w:sz w:val="16"/>
          <w:szCs w:val="16"/>
          <w:color w:val="auto"/>
        </w:rPr>
        <w:t>Pliant Therapeutics, Inc. (the “Company” or "Pliant" or “we” or “our” or “us”)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266" w:lineRule="exact"/>
        <w:rPr>
          <w:sz w:val="20"/>
          <w:szCs w:val="20"/>
          <w:color w:val="auto"/>
        </w:rPr>
      </w:pPr>
    </w:p>
    <w:p>
      <w:pPr>
        <w:ind w:left="460" w:right="7860" w:hanging="458"/>
        <w:spacing w:after="0" w:line="377" w:lineRule="auto"/>
        <w:tabs>
          <w:tab w:leader="none" w:pos="171"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420" w:firstLine="1070"/>
        <w:spacing w:after="0" w:line="306"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(“U.S. GAAP”). Certain prior year reported amounts have been reclassified to conform with the current period presentation.</w:t>
      </w:r>
    </w:p>
    <w:p>
      <w:pPr>
        <w:spacing w:after="0" w:line="142" w:lineRule="exact"/>
        <w:rPr>
          <w:sz w:val="20"/>
          <w:szCs w:val="20"/>
          <w:color w:val="auto"/>
        </w:rPr>
      </w:pPr>
    </w:p>
    <w:p>
      <w:pPr>
        <w:ind w:right="200" w:firstLine="1070"/>
        <w:spacing w:after="0" w:line="293" w:lineRule="auto"/>
        <w:rPr>
          <w:sz w:val="20"/>
          <w:szCs w:val="20"/>
          <w:color w:val="auto"/>
        </w:rPr>
      </w:pPr>
      <w:r>
        <w:rPr>
          <w:rFonts w:ascii="Arial" w:cs="Arial" w:eastAsia="Arial" w:hAnsi="Arial"/>
          <w:sz w:val="15"/>
          <w:szCs w:val="15"/>
          <w:color w:val="auto"/>
        </w:rPr>
        <w:t>The accompanying condensed balance sheet as of March 31, 2022, condensed statements of operations and comprehensive loss, condensed statements of cash flows, and the condensed statements of stockholders’ equity for the three months ended March 31, 2022 and 2021, are unaudited. The balance sheet as of December 31, 2021 was derived from audited financial statements as of and for the year ended December 31, 2021. The unaudited interim financial statements have been prepared on the same basis as the audited annual financial statements as of and for the year ended December 31, 2021, and, in the opinion of management, reflect all adjustments, which include only normal recurring adjustments, necessary for the fair statement of the Company’s financial position as of March 31, 2022, and the results of its operations and its cash flows for the three months ended March 31, 2022 and 2021. The financial data and other information disclosed in these notes related to the three months ended March 31, 2022 and 2021, are also unaudited.</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0" w:lineRule="exact"/>
        <w:rPr>
          <w:sz w:val="20"/>
          <w:szCs w:val="20"/>
          <w:color w:val="auto"/>
        </w:rPr>
      </w:pPr>
    </w:p>
    <w:p>
      <w:pPr>
        <w:ind w:right="100" w:firstLine="1070"/>
        <w:spacing w:after="0" w:line="298"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and accruals for research and development costs. The Company assesses estimates on an ongoing basis, however, actual results could materially differ from those estimates.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10" w:lineRule="exact"/>
        <w:rPr>
          <w:sz w:val="20"/>
          <w:szCs w:val="20"/>
          <w:color w:val="auto"/>
        </w:rPr>
      </w:pPr>
    </w:p>
    <w:p>
      <w:pPr>
        <w:ind w:right="220" w:firstLine="1070"/>
        <w:spacing w:after="0" w:line="262" w:lineRule="auto"/>
        <w:rPr>
          <w:sz w:val="20"/>
          <w:szCs w:val="20"/>
          <w:color w:val="auto"/>
        </w:rPr>
      </w:pPr>
      <w:r>
        <w:rPr>
          <w:rFonts w:ascii="Arial" w:cs="Arial" w:eastAsia="Arial" w:hAnsi="Arial"/>
          <w:sz w:val="17"/>
          <w:szCs w:val="17"/>
          <w:color w:val="auto"/>
        </w:rPr>
        <w:t>There have been no significant changes to the accounting policies during the three months ended March 31, 2022, as compared to the significant accounting policies described in Note 2 of the "Notes to the Financial Statements" in the Company's audited financial statements included in its Annual Report on Form 10-K for the fiscal year ended December 31, 2021.</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Financial Instruments</w:t>
      </w:r>
    </w:p>
    <w:p>
      <w:pPr>
        <w:spacing w:after="0" w:line="114" w:lineRule="exact"/>
        <w:rPr>
          <w:sz w:val="20"/>
          <w:szCs w:val="20"/>
          <w:color w:val="auto"/>
        </w:rPr>
      </w:pPr>
    </w:p>
    <w:p>
      <w:pPr>
        <w:ind w:firstLine="1070"/>
        <w:spacing w:after="0" w:line="255" w:lineRule="auto"/>
        <w:rPr>
          <w:sz w:val="20"/>
          <w:szCs w:val="20"/>
          <w:color w:val="auto"/>
        </w:rPr>
      </w:pPr>
      <w:r>
        <w:rPr>
          <w:rFonts w:ascii="Arial" w:cs="Arial" w:eastAsia="Arial" w:hAnsi="Arial"/>
          <w:sz w:val="17"/>
          <w:szCs w:val="17"/>
          <w:color w:val="auto"/>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losses or income recognized in other comprehensive income (loss).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12" w:name="page13"/>
    <w:bookmarkEnd w:id="12"/>
    <w:p>
      <w:pPr>
        <w:ind w:right="40" w:firstLine="1070"/>
        <w:spacing w:after="0" w:line="279" w:lineRule="auto"/>
        <w:rPr>
          <w:sz w:val="20"/>
          <w:szCs w:val="20"/>
          <w:color w:val="auto"/>
        </w:rPr>
      </w:pPr>
      <w:r>
        <w:rPr>
          <w:rFonts w:ascii="Arial" w:cs="Arial" w:eastAsia="Arial" w:hAnsi="Arial"/>
          <w:sz w:val="16"/>
          <w:szCs w:val="16"/>
          <w:color w:val="auto"/>
        </w:rPr>
        <w:t>The Company’s cash equivalent Money Market Funds are classified as Level 1 because they are valued using quoted market prices. The fair value of the Company’s U.S. Treasury securities, U.S. government agency securities and corporate debt securities are classified as Level 2 because they are valued using observable inputs to quoted market prices, benchmark yields, reported trades, broker/dealer quotes or alternative pricing sources with reasonable levels of price transparency and include U.S. government agency securities, U.S. Treasury securities and corporate debt securities.</w:t>
      </w:r>
    </w:p>
    <w:p>
      <w:pPr>
        <w:spacing w:after="0" w:line="16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There were no Level 3 assets or liabilities as of March 31, 2022 and as of December 31, 2021.</w:t>
      </w:r>
    </w:p>
    <w:p>
      <w:pPr>
        <w:spacing w:after="0" w:line="212" w:lineRule="exact"/>
        <w:rPr>
          <w:sz w:val="20"/>
          <w:szCs w:val="20"/>
          <w:color w:val="auto"/>
        </w:rPr>
      </w:pPr>
    </w:p>
    <w:p>
      <w:pPr>
        <w:ind w:right="360" w:firstLine="1070"/>
        <w:spacing w:after="0" w:line="274" w:lineRule="auto"/>
        <w:rPr>
          <w:sz w:val="20"/>
          <w:szCs w:val="20"/>
          <w:color w:val="auto"/>
        </w:rPr>
      </w:pPr>
      <w:r>
        <w:rPr>
          <w:rFonts w:ascii="Arial" w:cs="Arial" w:eastAsia="Arial" w:hAnsi="Arial"/>
          <w:sz w:val="17"/>
          <w:szCs w:val="17"/>
          <w:color w:val="auto"/>
        </w:rPr>
        <w:t>The following tables show the Company’s Money Market Funds, U.S. government agency securities and corporate debt securities by significant investment category as of March 31, 2022 and December 31, 2021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88"/>
              </w:rPr>
              <w:t>As of March 31, 2022</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0"/>
              </w:rPr>
              <w:t>Adjusted</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0"/>
                <w:szCs w:val="10"/>
                <w:color w:val="auto"/>
              </w:rPr>
            </w:pPr>
          </w:p>
        </w:tc>
        <w:tc>
          <w:tcPr>
            <w:tcW w:w="12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0"/>
                <w:szCs w:val="10"/>
                <w:color w:val="auto"/>
              </w:rPr>
            </w:pPr>
          </w:p>
        </w:tc>
        <w:tc>
          <w:tcPr>
            <w:tcW w:w="1040" w:type="dxa"/>
            <w:vAlign w:val="bottom"/>
          </w:tcPr>
          <w:p>
            <w:pPr>
              <w:jc w:val="center"/>
              <w:ind w:right="161"/>
              <w:spacing w:after="0" w:line="126"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77"/>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4"/>
              </w:rPr>
              <w:t>Losses</w:t>
            </w:r>
          </w:p>
        </w:tc>
        <w:tc>
          <w:tcPr>
            <w:tcW w:w="26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56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Level 1:</w:t>
            </w: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16,064</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16,064</w:t>
            </w:r>
          </w:p>
        </w:tc>
        <w:tc>
          <w:tcPr>
            <w:tcW w:w="0" w:type="dxa"/>
            <w:vAlign w:val="bottom"/>
          </w:tcPr>
          <w:p>
            <w:pPr>
              <w:spacing w:after="0"/>
              <w:rPr>
                <w:sz w:val="1"/>
                <w:szCs w:val="1"/>
                <w:color w:val="auto"/>
              </w:rPr>
            </w:pPr>
          </w:p>
        </w:tc>
      </w:tr>
      <w:tr>
        <w:trPr>
          <w:trHeight w:val="217"/>
        </w:trPr>
        <w:tc>
          <w:tcPr>
            <w:tcW w:w="5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Level 2:</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660" w:type="dxa"/>
            <w:vAlign w:val="bottom"/>
          </w:tcPr>
          <w:p>
            <w:pPr>
              <w:ind w:left="200"/>
              <w:spacing w:after="0" w:line="166" w:lineRule="exact"/>
              <w:rPr>
                <w:sz w:val="20"/>
                <w:szCs w:val="20"/>
                <w:color w:val="auto"/>
              </w:rPr>
            </w:pPr>
            <w:r>
              <w:rPr>
                <w:rFonts w:ascii="Arial" w:cs="Arial" w:eastAsia="Arial" w:hAnsi="Arial"/>
                <w:sz w:val="17"/>
                <w:szCs w:val="17"/>
                <w:color w:val="auto"/>
                <w:w w:val="92"/>
              </w:rPr>
              <w:t>U.S. government agency securities included in cash and cash equivalents and</w:t>
            </w:r>
          </w:p>
        </w:tc>
        <w:tc>
          <w:tcPr>
            <w:tcW w:w="24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200" w:type="dxa"/>
            <w:vAlign w:val="bottom"/>
            <w:gridSpan w:val="2"/>
            <w:vMerge w:val="restart"/>
          </w:tcPr>
          <w:p>
            <w:pPr>
              <w:ind w:left="8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7"/>
                <w:szCs w:val="17"/>
                <w:color w:val="auto"/>
              </w:rPr>
              <w:t>short-term investments</w:t>
            </w: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6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w w:val="91"/>
              </w:rPr>
              <w:t>Corporate debt securities included in cash and cash equivalents and short-term</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147,935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146,985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7"/>
                <w:szCs w:val="17"/>
                <w:color w:val="auto"/>
              </w:rPr>
              <w:t>Total financial assets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163,999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163,049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86"/>
              </w:rPr>
              <w:t>As of December 31, 2021</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0"/>
              </w:rPr>
              <w:t>Adjusted</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0"/>
                <w:szCs w:val="10"/>
                <w:color w:val="auto"/>
              </w:rPr>
            </w:pPr>
          </w:p>
        </w:tc>
        <w:tc>
          <w:tcPr>
            <w:tcW w:w="12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0"/>
                <w:szCs w:val="10"/>
                <w:color w:val="auto"/>
              </w:rPr>
            </w:pPr>
          </w:p>
        </w:tc>
        <w:tc>
          <w:tcPr>
            <w:tcW w:w="1040" w:type="dxa"/>
            <w:vAlign w:val="bottom"/>
          </w:tcPr>
          <w:p>
            <w:pPr>
              <w:jc w:val="center"/>
              <w:ind w:right="161"/>
              <w:spacing w:after="0" w:line="126"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77"/>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4"/>
              </w:rPr>
              <w:t>Losses</w:t>
            </w:r>
          </w:p>
        </w:tc>
        <w:tc>
          <w:tcPr>
            <w:tcW w:w="26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56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Level 1:</w:t>
            </w: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15,329</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15,329</w:t>
            </w:r>
          </w:p>
        </w:tc>
        <w:tc>
          <w:tcPr>
            <w:tcW w:w="0" w:type="dxa"/>
            <w:vAlign w:val="bottom"/>
          </w:tcPr>
          <w:p>
            <w:pPr>
              <w:spacing w:after="0"/>
              <w:rPr>
                <w:sz w:val="1"/>
                <w:szCs w:val="1"/>
                <w:color w:val="auto"/>
              </w:rPr>
            </w:pPr>
          </w:p>
        </w:tc>
      </w:tr>
      <w:tr>
        <w:trPr>
          <w:trHeight w:val="217"/>
        </w:trPr>
        <w:tc>
          <w:tcPr>
            <w:tcW w:w="5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Level 2:</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7"/>
                <w:szCs w:val="17"/>
                <w:color w:val="auto"/>
              </w:rPr>
              <w:t>U.S. government agency securities included in short-term investments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5,003</w:t>
            </w:r>
          </w:p>
        </w:tc>
        <w:tc>
          <w:tcPr>
            <w:tcW w:w="0" w:type="dxa"/>
            <w:vAlign w:val="bottom"/>
          </w:tcPr>
          <w:p>
            <w:pPr>
              <w:spacing w:after="0"/>
              <w:rPr>
                <w:sz w:val="1"/>
                <w:szCs w:val="1"/>
                <w:color w:val="auto"/>
              </w:rPr>
            </w:pPr>
          </w:p>
        </w:tc>
      </w:tr>
      <w:tr>
        <w:trPr>
          <w:trHeight w:val="166"/>
        </w:trPr>
        <w:tc>
          <w:tcPr>
            <w:tcW w:w="56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w w:val="91"/>
              </w:rPr>
              <w:t>Corporate debt securities included in cash and cash equivalents and short-term</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163,626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163,425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7"/>
                <w:szCs w:val="17"/>
                <w:color w:val="auto"/>
              </w:rPr>
              <w:t>Total financial assets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183,958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183,757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40" w:firstLine="1070"/>
        <w:spacing w:after="0" w:line="274" w:lineRule="auto"/>
        <w:rPr>
          <w:sz w:val="20"/>
          <w:szCs w:val="20"/>
          <w:color w:val="auto"/>
        </w:rPr>
      </w:pPr>
      <w:r>
        <w:rPr>
          <w:rFonts w:ascii="Arial" w:cs="Arial" w:eastAsia="Arial" w:hAnsi="Arial"/>
          <w:sz w:val="17"/>
          <w:szCs w:val="17"/>
          <w:color w:val="auto"/>
        </w:rPr>
        <w:t>The Company may sell certain of its short-term securities prior to their stated maturities for reasons including, but not limited to, managing liquidity, credit risk, duration and asset allocation.</w:t>
      </w:r>
    </w:p>
    <w:p>
      <w:pPr>
        <w:spacing w:after="0" w:line="165" w:lineRule="exact"/>
        <w:rPr>
          <w:sz w:val="20"/>
          <w:szCs w:val="20"/>
          <w:color w:val="auto"/>
        </w:rPr>
      </w:pPr>
    </w:p>
    <w:p>
      <w:pPr>
        <w:ind w:firstLine="1070"/>
        <w:spacing w:after="0" w:line="262" w:lineRule="auto"/>
        <w:rPr>
          <w:sz w:val="20"/>
          <w:szCs w:val="20"/>
          <w:color w:val="auto"/>
        </w:rPr>
      </w:pPr>
      <w:r>
        <w:rPr>
          <w:rFonts w:ascii="Arial" w:cs="Arial" w:eastAsia="Arial" w:hAnsi="Arial"/>
          <w:sz w:val="17"/>
          <w:szCs w:val="17"/>
          <w:color w:val="auto"/>
        </w:rPr>
        <w:t>There were no liabilities measured at fair value on a recurring basis as of March 31, 2022 and December 31, 2021. There have been no transfers between fair value measurement levels during the three months ended March 31, 2022. In addition, there were no assets or liabilities measured at fair value on a non-recurring basis as of March 31, 2022 and December 31, 2021.</w:t>
      </w:r>
    </w:p>
    <w:p>
      <w:pPr>
        <w:spacing w:after="0" w:line="175" w:lineRule="exact"/>
        <w:rPr>
          <w:sz w:val="20"/>
          <w:szCs w:val="20"/>
          <w:color w:val="auto"/>
        </w:rPr>
      </w:pPr>
    </w:p>
    <w:p>
      <w:pPr>
        <w:ind w:right="140" w:firstLine="1070"/>
        <w:spacing w:after="0" w:line="256" w:lineRule="auto"/>
        <w:rPr>
          <w:sz w:val="20"/>
          <w:szCs w:val="20"/>
          <w:color w:val="auto"/>
        </w:rPr>
      </w:pPr>
      <w:r>
        <w:rPr>
          <w:rFonts w:ascii="Arial" w:cs="Arial" w:eastAsia="Arial" w:hAnsi="Arial"/>
          <w:sz w:val="17"/>
          <w:szCs w:val="17"/>
          <w:color w:val="auto"/>
        </w:rPr>
        <w:t>As of March 31, 2022,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spacing w:after="0" w:line="180" w:lineRule="exact"/>
        <w:rPr>
          <w:sz w:val="20"/>
          <w:szCs w:val="20"/>
          <w:color w:val="auto"/>
        </w:rPr>
      </w:pPr>
    </w:p>
    <w:p>
      <w:pPr>
        <w:ind w:right="540" w:firstLine="1070"/>
        <w:spacing w:after="0" w:line="306" w:lineRule="auto"/>
        <w:rPr>
          <w:sz w:val="20"/>
          <w:szCs w:val="20"/>
          <w:color w:val="auto"/>
        </w:rPr>
      </w:pPr>
      <w:r>
        <w:rPr>
          <w:rFonts w:ascii="Arial" w:cs="Arial" w:eastAsia="Arial" w:hAnsi="Arial"/>
          <w:sz w:val="16"/>
          <w:szCs w:val="16"/>
          <w:color w:val="auto"/>
        </w:rPr>
        <w:t>The Company records interest income and accretion income earned on Money Market Funds and U.S. Treasury, U.S. government agency and corporate debt securities to interest and other income (expense), net in its condensed statement of operations and comprehensive loss.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4. Property and Equipment, net</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9"/>
              </w:rPr>
              <w:t>As of</w:t>
            </w: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27"/>
        </w:trPr>
        <w:tc>
          <w:tcPr>
            <w:tcW w:w="8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1"/>
                <w:szCs w:val="11"/>
                <w:color w:val="auto"/>
              </w:rPr>
            </w:pPr>
          </w:p>
        </w:tc>
        <w:tc>
          <w:tcPr>
            <w:tcW w:w="12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7"/>
        </w:trPr>
        <w:tc>
          <w:tcPr>
            <w:tcW w:w="8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3"/>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Computer equipment and software</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7"/>
                <w:szCs w:val="17"/>
                <w:color w:val="auto"/>
              </w:rPr>
              <w:t>8,539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Leasehold improvements</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1,618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Construction-in-progress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FF0FC"/>
          </w:tcPr>
          <w:p>
            <w:pPr>
              <w:ind w:left="440"/>
              <w:spacing w:after="0"/>
              <w:rPr>
                <w:sz w:val="20"/>
                <w:szCs w:val="20"/>
                <w:color w:val="auto"/>
              </w:rPr>
            </w:pPr>
            <w:r>
              <w:rPr>
                <w:rFonts w:ascii="Arial" w:cs="Arial" w:eastAsia="Arial" w:hAnsi="Arial"/>
                <w:sz w:val="17"/>
                <w:szCs w:val="17"/>
                <w:color w:val="auto"/>
              </w:rPr>
              <w:t>Total property and equipment, gross</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10,212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(5,474)</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6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7"/>
                <w:szCs w:val="17"/>
                <w:color w:val="auto"/>
              </w:rPr>
              <w:t>Total property and equipment, net</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4,738</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11240" w:type="dxa"/>
            <w:vAlign w:val="bottom"/>
            <w:gridSpan w:val="7"/>
          </w:tcPr>
          <w:p>
            <w:pPr>
              <w:ind w:left="1080"/>
              <w:spacing w:after="0"/>
              <w:rPr>
                <w:sz w:val="20"/>
                <w:szCs w:val="20"/>
                <w:color w:val="auto"/>
              </w:rPr>
            </w:pPr>
            <w:r>
              <w:rPr>
                <w:rFonts w:ascii="Arial" w:cs="Arial" w:eastAsia="Arial" w:hAnsi="Arial"/>
                <w:sz w:val="17"/>
                <w:szCs w:val="17"/>
                <w:color w:val="auto"/>
                <w:w w:val="89"/>
              </w:rPr>
              <w:t>Depreciation expense for the three months ended March 31, 2022 was $0.5 million. Depreciation expense for the three months ended March 31, 2021</w:t>
            </w:r>
          </w:p>
        </w:tc>
        <w:tc>
          <w:tcPr>
            <w:tcW w:w="0" w:type="dxa"/>
            <w:vAlign w:val="bottom"/>
          </w:tcPr>
          <w:p>
            <w:pPr>
              <w:spacing w:after="0"/>
              <w:rPr>
                <w:sz w:val="1"/>
                <w:szCs w:val="1"/>
                <w:color w:val="auto"/>
              </w:rPr>
            </w:pPr>
          </w:p>
        </w:tc>
      </w:tr>
      <w:tr>
        <w:trPr>
          <w:trHeight w:val="215"/>
        </w:trPr>
        <w:tc>
          <w:tcPr>
            <w:tcW w:w="8260" w:type="dxa"/>
            <w:vAlign w:val="bottom"/>
          </w:tcPr>
          <w:p>
            <w:pPr>
              <w:spacing w:after="0"/>
              <w:rPr>
                <w:sz w:val="20"/>
                <w:szCs w:val="20"/>
                <w:color w:val="auto"/>
              </w:rPr>
            </w:pPr>
            <w:r>
              <w:rPr>
                <w:rFonts w:ascii="Arial" w:cs="Arial" w:eastAsia="Arial" w:hAnsi="Arial"/>
                <w:sz w:val="17"/>
                <w:szCs w:val="17"/>
                <w:color w:val="auto"/>
              </w:rPr>
              <w:t>was $0.4 million.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9"/>
        </w:trPr>
        <w:tc>
          <w:tcPr>
            <w:tcW w:w="8260" w:type="dxa"/>
            <w:vAlign w:val="bottom"/>
          </w:tcPr>
          <w:p>
            <w:pPr>
              <w:spacing w:after="0"/>
              <w:rPr>
                <w:sz w:val="20"/>
                <w:szCs w:val="20"/>
                <w:color w:val="auto"/>
              </w:rPr>
            </w:pPr>
            <w:r>
              <w:rPr>
                <w:rFonts w:ascii="Arial" w:cs="Arial" w:eastAsia="Arial" w:hAnsi="Arial"/>
                <w:sz w:val="17"/>
                <w:szCs w:val="17"/>
                <w:b w:val="1"/>
                <w:bCs w:val="1"/>
                <w:color w:val="auto"/>
              </w:rPr>
              <w:t>5. Prepaid Expenses and Other Current Assets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260" w:type="dxa"/>
            <w:vAlign w:val="bottom"/>
          </w:tcPr>
          <w:p>
            <w:pPr>
              <w:ind w:left="1080"/>
              <w:spacing w:after="0"/>
              <w:rPr>
                <w:sz w:val="20"/>
                <w:szCs w:val="20"/>
                <w:color w:val="auto"/>
              </w:rPr>
            </w:pPr>
            <w:r>
              <w:rPr>
                <w:rFonts w:ascii="Arial" w:cs="Arial" w:eastAsia="Arial" w:hAnsi="Arial"/>
                <w:sz w:val="17"/>
                <w:szCs w:val="17"/>
                <w:color w:val="auto"/>
              </w:rPr>
              <w:t>Prepaid expenses and other current assets consisted of the following (in thousands):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9"/>
              </w:rPr>
              <w:t>As of</w:t>
            </w:r>
          </w:p>
        </w:tc>
        <w:tc>
          <w:tcPr>
            <w:tcW w:w="2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27"/>
        </w:trPr>
        <w:tc>
          <w:tcPr>
            <w:tcW w:w="8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1"/>
                <w:szCs w:val="11"/>
                <w:color w:val="auto"/>
              </w:rPr>
            </w:pPr>
          </w:p>
        </w:tc>
        <w:tc>
          <w:tcPr>
            <w:tcW w:w="12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7"/>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21"/>
              <w:spacing w:after="0"/>
              <w:rPr>
                <w:sz w:val="20"/>
                <w:szCs w:val="20"/>
                <w:color w:val="auto"/>
              </w:rPr>
            </w:pPr>
            <w:r>
              <w:rPr>
                <w:rFonts w:ascii="Arial" w:cs="Arial" w:eastAsia="Arial" w:hAnsi="Arial"/>
                <w:sz w:val="14"/>
                <w:szCs w:val="14"/>
                <w:b w:val="1"/>
                <w:bCs w:val="1"/>
                <w:color w:val="auto"/>
                <w:w w:val="83"/>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Prepaid research and development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2,220</w:t>
            </w:r>
          </w:p>
        </w:tc>
        <w:tc>
          <w:tcPr>
            <w:tcW w:w="10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Prepaid insurance</w:t>
            </w: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7"/>
                <w:szCs w:val="17"/>
                <w:color w:val="auto"/>
              </w:rPr>
              <w:t>1,707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Prepaid licenses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1,135</w:t>
            </w:r>
          </w:p>
        </w:tc>
        <w:tc>
          <w:tcPr>
            <w:tcW w:w="10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0"/>
              <w:spacing w:after="0"/>
              <w:rPr>
                <w:sz w:val="20"/>
                <w:szCs w:val="20"/>
                <w:color w:val="auto"/>
              </w:rPr>
            </w:pPr>
            <w:r>
              <w:rPr>
                <w:rFonts w:ascii="Arial" w:cs="Arial" w:eastAsia="Arial" w:hAnsi="Arial"/>
                <w:sz w:val="17"/>
                <w:szCs w:val="17"/>
                <w:color w:val="auto"/>
              </w:rPr>
              <w:t>Interest receivable</w:t>
            </w: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7"/>
                <w:szCs w:val="17"/>
                <w:color w:val="auto"/>
              </w:rPr>
              <w:t>443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440"/>
              <w:spacing w:after="0"/>
              <w:rPr>
                <w:sz w:val="20"/>
                <w:szCs w:val="20"/>
                <w:color w:val="auto"/>
              </w:rPr>
            </w:pPr>
            <w:r>
              <w:rPr>
                <w:rFonts w:ascii="Arial" w:cs="Arial" w:eastAsia="Arial" w:hAnsi="Arial"/>
                <w:sz w:val="17"/>
                <w:szCs w:val="17"/>
                <w:color w:val="auto"/>
              </w:rPr>
              <w:t>Total prepaid expenses and other 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5,751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7"/>
                <w:szCs w:val="17"/>
                <w:b w:val="1"/>
                <w:bCs w:val="1"/>
                <w:color w:val="auto"/>
              </w:rPr>
              <w:t>6. Accrued Liabilities and Other Long-Term Liabilities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260" w:type="dxa"/>
            <w:vAlign w:val="bottom"/>
          </w:tcPr>
          <w:p>
            <w:pPr>
              <w:ind w:left="460"/>
              <w:spacing w:after="0"/>
              <w:rPr>
                <w:sz w:val="20"/>
                <w:szCs w:val="20"/>
                <w:color w:val="auto"/>
              </w:rPr>
            </w:pPr>
            <w:r>
              <w:rPr>
                <w:rFonts w:ascii="Arial" w:cs="Arial" w:eastAsia="Arial" w:hAnsi="Arial"/>
                <w:sz w:val="17"/>
                <w:szCs w:val="17"/>
                <w:b w:val="1"/>
                <w:bCs w:val="1"/>
                <w:i w:val="1"/>
                <w:iCs w:val="1"/>
                <w:color w:val="auto"/>
              </w:rPr>
              <w:t>Accrued Liabilities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260" w:type="dxa"/>
            <w:vAlign w:val="bottom"/>
          </w:tcPr>
          <w:p>
            <w:pPr>
              <w:ind w:left="1080"/>
              <w:spacing w:after="0"/>
              <w:rPr>
                <w:sz w:val="20"/>
                <w:szCs w:val="20"/>
                <w:color w:val="auto"/>
              </w:rPr>
            </w:pPr>
            <w:r>
              <w:rPr>
                <w:rFonts w:ascii="Arial" w:cs="Arial" w:eastAsia="Arial" w:hAnsi="Arial"/>
                <w:sz w:val="17"/>
                <w:szCs w:val="17"/>
                <w:color w:val="auto"/>
              </w:rPr>
              <w:t>Accrued liabilities consisted of the following (in thousands):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9"/>
              </w:rPr>
              <w:t>As of</w:t>
            </w:r>
          </w:p>
        </w:tc>
        <w:tc>
          <w:tcPr>
            <w:tcW w:w="2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27"/>
        </w:trPr>
        <w:tc>
          <w:tcPr>
            <w:tcW w:w="8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1"/>
                <w:szCs w:val="11"/>
                <w:color w:val="auto"/>
              </w:rPr>
            </w:pPr>
          </w:p>
        </w:tc>
        <w:tc>
          <w:tcPr>
            <w:tcW w:w="12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7"/>
        </w:trPr>
        <w:tc>
          <w:tcPr>
            <w:tcW w:w="8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3"/>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Accrued compensation and benefits</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2,634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Accrued research and development expenses</w:t>
            </w: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7"/>
                <w:szCs w:val="17"/>
                <w:color w:val="auto"/>
              </w:rPr>
              <w:t>7,846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accrued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1,146</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440"/>
              <w:spacing w:after="0"/>
              <w:rPr>
                <w:sz w:val="20"/>
                <w:szCs w:val="20"/>
                <w:color w:val="auto"/>
              </w:rPr>
            </w:pPr>
            <w:r>
              <w:rPr>
                <w:rFonts w:ascii="Arial" w:cs="Arial" w:eastAsia="Arial" w:hAnsi="Arial"/>
                <w:sz w:val="17"/>
                <w:szCs w:val="17"/>
                <w:color w:val="auto"/>
              </w:rPr>
              <w:t>Total accrued liabilities</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11,626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Accrued compensation and benefits consist primarily of accrued bonuses and accrued vacation.</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Novartis Collaboration and License Agreement (the "Novartis Agreement")</w:t>
      </w:r>
    </w:p>
    <w:p>
      <w:pPr>
        <w:spacing w:after="0" w:line="114" w:lineRule="exact"/>
        <w:rPr>
          <w:sz w:val="20"/>
          <w:szCs w:val="20"/>
          <w:color w:val="auto"/>
        </w:rPr>
      </w:pPr>
    </w:p>
    <w:p>
      <w:pPr>
        <w:ind w:firstLine="1070"/>
        <w:spacing w:after="0" w:line="293" w:lineRule="auto"/>
        <w:rPr>
          <w:sz w:val="20"/>
          <w:szCs w:val="20"/>
          <w:color w:val="auto"/>
        </w:rPr>
      </w:pPr>
      <w:r>
        <w:rPr>
          <w:rFonts w:ascii="Arial" w:cs="Arial" w:eastAsia="Arial" w:hAnsi="Arial"/>
          <w:sz w:val="15"/>
          <w:szCs w:val="15"/>
          <w:color w:val="auto"/>
        </w:rPr>
        <w:t>In 2019, we entered into the Novartis Agreement for the development and commercialization of our preclinical product candidate, PLN-1474 and up to three additional integrin research targets. PLN-1474 is an internally discovered small molecule selective inhibitor of integrin α</w:t>
      </w:r>
      <w:r>
        <w:rPr>
          <w:rFonts w:ascii="Arial" w:cs="Arial" w:eastAsia="Arial" w:hAnsi="Arial"/>
          <w:sz w:val="13"/>
          <w:szCs w:val="13"/>
          <w:color w:val="auto"/>
        </w:rPr>
        <w:t>v</w:t>
      </w:r>
      <w:r>
        <w:rPr>
          <w:rFonts w:ascii="Arial" w:cs="Arial" w:eastAsia="Arial" w:hAnsi="Arial"/>
          <w:sz w:val="15"/>
          <w:szCs w:val="15"/>
          <w:color w:val="auto"/>
        </w:rPr>
        <w:t>ß1, currently being developed for the treatment of liver fibrosis associated with nonalcoholic steatohepatitis (“NASH”). Pursuant to the agreement, we received an upfront, non-refundable license fee of $50.0 million and were eligible to receive additional payments of $416.0 million contingent upon achievement of specified research, development, regulatory and commercial events and royalties on world-wide net sales thereafter. Additionally, Novartis is funding up to $20.0 million associated with research and development services for PLN-1474 and up to $13.8 million for research and development services on the integrin research targets. As of March 31, 2022, aggregate unrecognized transaction price of $1.2 million is associated with performance obligations we expect to satisfy in 2022.</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14" w:name="page15"/>
    <w:bookmarkEnd w:id="14"/>
    <w:p>
      <w:pPr>
        <w:ind w:right="160" w:firstLine="1070"/>
        <w:spacing w:after="0" w:line="262" w:lineRule="auto"/>
        <w:rPr>
          <w:sz w:val="20"/>
          <w:szCs w:val="20"/>
          <w:color w:val="auto"/>
        </w:rPr>
      </w:pPr>
      <w:r>
        <w:rPr>
          <w:rFonts w:ascii="Arial" w:cs="Arial" w:eastAsia="Arial" w:hAnsi="Arial"/>
          <w:sz w:val="17"/>
          <w:szCs w:val="17"/>
          <w:color w:val="auto"/>
        </w:rPr>
        <w:t>To date, we have received $25.0 million in contingent payments and $391.0 million remain eligible for achievement. No contingent payments were recognized during the first quarter of 2022 and 2021. Revenues for research and development services for the three months ended March 31, 2022 and 2021 were $1.2 million and $2.2 million, respectively.</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Regents of the University of California License Agreement (the "UC Agreement")</w:t>
      </w:r>
    </w:p>
    <w:p>
      <w:pPr>
        <w:spacing w:after="0" w:line="114" w:lineRule="exact"/>
        <w:rPr>
          <w:sz w:val="20"/>
          <w:szCs w:val="20"/>
          <w:color w:val="auto"/>
        </w:rPr>
      </w:pPr>
    </w:p>
    <w:p>
      <w:pPr>
        <w:ind w:right="60" w:firstLine="1070"/>
        <w:spacing w:after="0" w:line="256" w:lineRule="auto"/>
        <w:rPr>
          <w:sz w:val="20"/>
          <w:szCs w:val="20"/>
          <w:color w:val="auto"/>
        </w:rPr>
      </w:pPr>
      <w:r>
        <w:rPr>
          <w:rFonts w:ascii="Arial" w:cs="Arial" w:eastAsia="Arial" w:hAnsi="Arial"/>
          <w:sz w:val="17"/>
          <w:szCs w:val="17"/>
          <w:color w:val="auto"/>
        </w:rPr>
        <w:t>In 2015, we entered into the UC Agreement to obtain an exclusive, worldwide license relating to the use of certain patents and technology relating to α</w:t>
      </w:r>
      <w:r>
        <w:rPr>
          <w:rFonts w:ascii="Arial" w:cs="Arial" w:eastAsia="Arial" w:hAnsi="Arial"/>
          <w:sz w:val="15"/>
          <w:szCs w:val="15"/>
          <w:color w:val="auto"/>
        </w:rPr>
        <w:t>v</w:t>
      </w:r>
      <w:r>
        <w:rPr>
          <w:rFonts w:ascii="Arial" w:cs="Arial" w:eastAsia="Arial" w:hAnsi="Arial"/>
          <w:sz w:val="17"/>
          <w:szCs w:val="17"/>
          <w:color w:val="auto"/>
        </w:rPr>
        <w:t>ß1 compound in fibrosis indications. Pursuant to the UC Agreement, we made a $2.4 million milestone payment upon the close of our initial public offering in June 2020. Subsequently, we determined the licensed technology was no longer relevant to the development of our product candidates and, therefore, we exercised our right to terminate the UC Agreement which became effective in the first quarter of 2021. No further obligations or financial commitments survive the termination.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Adimab Development and Option Agreement (the "Adimab Agreement")</w:t>
      </w:r>
    </w:p>
    <w:p>
      <w:pPr>
        <w:spacing w:after="0" w:line="114" w:lineRule="exact"/>
        <w:rPr>
          <w:sz w:val="20"/>
          <w:szCs w:val="20"/>
          <w:color w:val="auto"/>
        </w:rPr>
      </w:pPr>
    </w:p>
    <w:p>
      <w:pPr>
        <w:ind w:right="80" w:firstLine="1070"/>
        <w:spacing w:after="0" w:line="255" w:lineRule="auto"/>
        <w:rPr>
          <w:sz w:val="20"/>
          <w:szCs w:val="20"/>
          <w:color w:val="auto"/>
        </w:rPr>
      </w:pPr>
      <w:r>
        <w:rPr>
          <w:rFonts w:ascii="Arial" w:cs="Arial" w:eastAsia="Arial" w:hAnsi="Arial"/>
          <w:sz w:val="17"/>
          <w:szCs w:val="17"/>
          <w:color w:val="auto"/>
        </w:rPr>
        <w:t>In 2018, we entered into a development and option agreement with Adimab, LLC (“Adimab”) for the discovery and optimization of proprietary antibodies as potential therapeutic product candidates. Under the Adimab Agreement, we will select biological targets against which Adimab will use its proprietary platform technology to research and develop antibody proteins using a mutually agreed upon research plan. We are required to pay Adimab an agreed upon rate for its full-time employees during the discovery period while Adimab performs research on each target under the applicable research plan. We have an exclusive option to obtain a worldwide, royalty-bearing, sublicensable license under Adimab platform patents and other Adimab technology to research, develop and commercialize up to 24 antibodies of our selection.</w:t>
      </w:r>
    </w:p>
    <w:p>
      <w:pPr>
        <w:spacing w:after="0" w:line="78" w:lineRule="exact"/>
        <w:rPr>
          <w:sz w:val="20"/>
          <w:szCs w:val="20"/>
          <w:color w:val="auto"/>
        </w:rPr>
      </w:pPr>
    </w:p>
    <w:p>
      <w:pPr>
        <w:ind w:firstLine="1070"/>
        <w:spacing w:after="0" w:line="262" w:lineRule="auto"/>
        <w:rPr>
          <w:sz w:val="20"/>
          <w:szCs w:val="20"/>
          <w:color w:val="auto"/>
        </w:rPr>
      </w:pPr>
      <w:r>
        <w:rPr>
          <w:rFonts w:ascii="Arial" w:cs="Arial" w:eastAsia="Arial" w:hAnsi="Arial"/>
          <w:sz w:val="17"/>
          <w:szCs w:val="17"/>
          <w:color w:val="auto"/>
        </w:rPr>
        <w:t>As of March 31, 2022, we have not exercised our option to further develop any antibody proteins. During the three months ended March 31, 2022, no research and development expenses under the Adimab Agreement were recognized relating to full-time employee costs. During the three months ended March 31, 2021, $28,000 was recognized.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Redeemable Convertible Preferred Stock</w:t>
      </w:r>
    </w:p>
    <w:p>
      <w:pPr>
        <w:spacing w:after="0" w:line="114" w:lineRule="exact"/>
        <w:rPr>
          <w:sz w:val="20"/>
          <w:szCs w:val="20"/>
          <w:color w:val="auto"/>
        </w:rPr>
      </w:pPr>
    </w:p>
    <w:p>
      <w:pPr>
        <w:ind w:right="20" w:firstLine="1070"/>
        <w:spacing w:after="0" w:line="275" w:lineRule="auto"/>
        <w:rPr>
          <w:sz w:val="20"/>
          <w:szCs w:val="20"/>
          <w:color w:val="auto"/>
        </w:rPr>
      </w:pPr>
      <w:r>
        <w:rPr>
          <w:rFonts w:ascii="Arial" w:cs="Arial" w:eastAsia="Arial" w:hAnsi="Arial"/>
          <w:sz w:val="16"/>
          <w:szCs w:val="16"/>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March 31, 2022 and December 31, 2021, the Company was authorized to issue 10,000,000 shares of preferred stock and there was no outstanding preferred stock as of March 31, 2022 and December 31, 2021.</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Common Stock</w:t>
      </w:r>
    </w:p>
    <w:p>
      <w:pPr>
        <w:spacing w:after="0" w:line="114" w:lineRule="exact"/>
        <w:rPr>
          <w:sz w:val="20"/>
          <w:szCs w:val="20"/>
          <w:color w:val="auto"/>
        </w:rPr>
      </w:pPr>
    </w:p>
    <w:p>
      <w:pPr>
        <w:ind w:right="80" w:firstLine="1070"/>
        <w:spacing w:after="0" w:line="274" w:lineRule="auto"/>
        <w:rPr>
          <w:sz w:val="20"/>
          <w:szCs w:val="20"/>
          <w:color w:val="auto"/>
        </w:rPr>
      </w:pPr>
      <w:r>
        <w:rPr>
          <w:rFonts w:ascii="Arial" w:cs="Arial" w:eastAsia="Arial" w:hAnsi="Arial"/>
          <w:sz w:val="17"/>
          <w:szCs w:val="17"/>
          <w:color w:val="auto"/>
        </w:rPr>
        <w:t>As of March 31, 2022 and December 31, 2021, the Company was authorized to issue 300,000,000 shares of common stock at a par value of $0.0001 per share. The common stock has the following rights and privileges: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w:t>
      </w:r>
    </w:p>
    <w:p>
      <w:pPr>
        <w:spacing w:after="0" w:line="110" w:lineRule="exact"/>
        <w:rPr>
          <w:sz w:val="20"/>
          <w:szCs w:val="20"/>
          <w:color w:val="auto"/>
        </w:rPr>
      </w:pPr>
    </w:p>
    <w:p>
      <w:pPr>
        <w:ind w:right="180" w:firstLine="1070"/>
        <w:spacing w:after="0" w:line="274" w:lineRule="auto"/>
        <w:rPr>
          <w:sz w:val="20"/>
          <w:szCs w:val="20"/>
          <w:color w:val="auto"/>
        </w:rPr>
      </w:pPr>
      <w:r>
        <w:rPr>
          <w:rFonts w:ascii="Arial" w:cs="Arial" w:eastAsia="Arial" w:hAnsi="Arial"/>
          <w:sz w:val="17"/>
          <w:szCs w:val="17"/>
          <w:color w:val="auto"/>
        </w:rPr>
        <w:t>The holders of shares of common stock are entitled to one vote for each share of common stock held at any meeting of stockholders and at the time of any written action in lieu of a meeting.</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Dividends</w:t>
      </w:r>
    </w:p>
    <w:p>
      <w:pPr>
        <w:spacing w:after="0" w:line="110" w:lineRule="exact"/>
        <w:rPr>
          <w:sz w:val="20"/>
          <w:szCs w:val="20"/>
          <w:color w:val="auto"/>
        </w:rPr>
      </w:pPr>
    </w:p>
    <w:p>
      <w:pPr>
        <w:ind w:right="220" w:firstLine="1070"/>
        <w:spacing w:after="0" w:line="262" w:lineRule="auto"/>
        <w:rPr>
          <w:sz w:val="20"/>
          <w:szCs w:val="20"/>
          <w:color w:val="auto"/>
        </w:rPr>
      </w:pPr>
      <w:r>
        <w:rPr>
          <w:rFonts w:ascii="Arial" w:cs="Arial" w:eastAsia="Arial" w:hAnsi="Arial"/>
          <w:sz w:val="17"/>
          <w:szCs w:val="17"/>
          <w:color w:val="auto"/>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Liquidation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5" w:name="page16"/>
    <w:bookmarkEnd w:id="15"/>
    <w:p>
      <w:pPr>
        <w:jc w:val="both"/>
        <w:ind w:firstLine="1070"/>
        <w:spacing w:after="0" w:line="262" w:lineRule="auto"/>
        <w:rPr>
          <w:sz w:val="20"/>
          <w:szCs w:val="20"/>
          <w:color w:val="auto"/>
        </w:rPr>
      </w:pPr>
      <w:r>
        <w:rPr>
          <w:rFonts w:ascii="Arial" w:cs="Arial" w:eastAsia="Arial" w:hAnsi="Arial"/>
          <w:sz w:val="17"/>
          <w:szCs w:val="17"/>
          <w:color w:val="auto"/>
        </w:rPr>
        <w:t>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As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r>
      <w:tr>
        <w:trPr>
          <w:trHeight w:val="127"/>
        </w:trPr>
        <w:tc>
          <w:tcPr>
            <w:tcW w:w="8260" w:type="dxa"/>
            <w:vAlign w:val="bottom"/>
          </w:tcPr>
          <w:p>
            <w:pPr>
              <w:spacing w:after="0"/>
              <w:rPr>
                <w:sz w:val="11"/>
                <w:szCs w:val="11"/>
                <w:color w:val="auto"/>
              </w:rPr>
            </w:pP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2"/>
              </w:rPr>
              <w:t>March 31,</w:t>
            </w:r>
          </w:p>
        </w:tc>
        <w:tc>
          <w:tcPr>
            <w:tcW w:w="14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5"/>
              </w:rPr>
              <w:t>December 31,</w:t>
            </w:r>
          </w:p>
        </w:tc>
      </w:tr>
      <w:tr>
        <w:trPr>
          <w:trHeight w:val="175"/>
        </w:trPr>
        <w:tc>
          <w:tcPr>
            <w:tcW w:w="826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2021</w:t>
            </w:r>
          </w:p>
        </w:tc>
      </w:tr>
      <w:tr>
        <w:trPr>
          <w:trHeight w:val="212"/>
        </w:trPr>
        <w:tc>
          <w:tcPr>
            <w:tcW w:w="8260" w:type="dxa"/>
            <w:vAlign w:val="bottom"/>
          </w:tcPr>
          <w:p>
            <w:pPr>
              <w:ind w:left="20"/>
              <w:spacing w:after="0"/>
              <w:rPr>
                <w:sz w:val="20"/>
                <w:szCs w:val="20"/>
                <w:color w:val="auto"/>
              </w:rPr>
            </w:pPr>
            <w:r>
              <w:rPr>
                <w:rFonts w:ascii="Arial" w:cs="Arial" w:eastAsia="Arial" w:hAnsi="Arial"/>
                <w:sz w:val="17"/>
                <w:szCs w:val="17"/>
                <w:color w:val="auto"/>
              </w:rPr>
              <w:t>Exercises of outstanding stock option awards</w:t>
            </w:r>
          </w:p>
        </w:tc>
        <w:tc>
          <w:tcPr>
            <w:tcW w:w="1440" w:type="dxa"/>
            <w:vAlign w:val="bottom"/>
          </w:tcPr>
          <w:p>
            <w:pPr>
              <w:jc w:val="right"/>
              <w:ind w:right="2"/>
              <w:spacing w:after="0"/>
              <w:rPr>
                <w:sz w:val="20"/>
                <w:szCs w:val="20"/>
                <w:color w:val="auto"/>
              </w:rPr>
            </w:pPr>
            <w:r>
              <w:rPr>
                <w:rFonts w:ascii="Arial" w:cs="Arial" w:eastAsia="Arial" w:hAnsi="Arial"/>
                <w:sz w:val="17"/>
                <w:szCs w:val="17"/>
                <w:color w:val="auto"/>
              </w:rPr>
              <w:t>5,196,869</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3,620,180</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common stock available for future grants under the 2020 Equity Incentive Plan</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4,437,890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4,234,213</w:t>
            </w: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Shares of common stock available for future issuance under the 2020 ESPP</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922,725</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613,098</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shares reserved for future issuance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10,557,484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8,467,491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Equity Incentive Plans and Stock-Based Compensation</w:t>
      </w:r>
    </w:p>
    <w:p>
      <w:pPr>
        <w:spacing w:after="0" w:line="114" w:lineRule="exact"/>
        <w:rPr>
          <w:sz w:val="20"/>
          <w:szCs w:val="20"/>
          <w:color w:val="auto"/>
        </w:rPr>
      </w:pPr>
    </w:p>
    <w:p>
      <w:pPr>
        <w:ind w:right="20" w:firstLine="1070"/>
        <w:spacing w:after="0" w:line="254" w:lineRule="auto"/>
        <w:rPr>
          <w:sz w:val="20"/>
          <w:szCs w:val="20"/>
          <w:color w:val="auto"/>
        </w:rPr>
      </w:pPr>
      <w:r>
        <w:rPr>
          <w:rFonts w:ascii="Arial" w:cs="Arial" w:eastAsia="Arial" w:hAnsi="Arial"/>
          <w:sz w:val="17"/>
          <w:szCs w:val="17"/>
          <w:color w:val="auto"/>
        </w:rPr>
        <w:t>In August 2015, the Company's board of directors adopted the 2015 Equity Incentive Plan (as amended, the “2015 Plan”), which provides for the grant of incentive stock options, nonqualified stock options or other awards including stock appreciation rights and restricted stock awards to the Company’s employees, officers, directors, advisors, and consultants for the purchase of up to 1.5 million shares of the Company’s common stock. In July 2018 and January 2019, the 2015 Plan was amended to increase the number of shares reserved thereunder by 1.0 million and 0.4 million shares, respectively. In March 2020, the Company’s board of directors and stockholders voted to increase the number of shares reserved for issuance under the 2015 Plan by 1.4 million shares. In May 2020, the board of directors adopted the 2020 Stock Options and Incentive Plan (the “2020 Plan”). The 2015 Plan was suspended and no further grants may be issued under the 2015 Plan.</w:t>
      </w:r>
    </w:p>
    <w:p>
      <w:pPr>
        <w:spacing w:after="0" w:line="80" w:lineRule="exact"/>
        <w:rPr>
          <w:sz w:val="20"/>
          <w:szCs w:val="20"/>
          <w:color w:val="auto"/>
        </w:rPr>
      </w:pPr>
    </w:p>
    <w:p>
      <w:pPr>
        <w:ind w:firstLine="1070"/>
        <w:spacing w:after="0" w:line="270" w:lineRule="auto"/>
        <w:rPr>
          <w:sz w:val="20"/>
          <w:szCs w:val="20"/>
          <w:color w:val="auto"/>
        </w:rPr>
      </w:pPr>
      <w:r>
        <w:rPr>
          <w:rFonts w:ascii="Arial" w:cs="Arial" w:eastAsia="Arial" w:hAnsi="Arial"/>
          <w:sz w:val="16"/>
          <w:szCs w:val="16"/>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 for the purchase of up to 4.2 million shares of the Company’s common stock. In addition, to the extent that awards outstanding under the 2020 Plan or the 2015 Plan are cancelled, forfeited or held back upon exercise or settlement of an award to satisfy the exercise price or tax withholding, reacquired by the Company prior to vesting, satisfied without any issuance of stock, expire or are otherwise terminated (other than by exercise) subsequent to May 2020, the shares of common stock reserved for issuance pursuant to such awards will become available for issuance as shares of common stock under the 2020 Plan. The 2020 Plan provides that an additional number of shares will automatically be added to the shares authorized for issuance under the 2020 Plan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of the Company. As of March 31, 2022, 4.4 million shares remained available for issuance under the 2020 Plan.</w:t>
      </w:r>
    </w:p>
    <w:p>
      <w:pPr>
        <w:spacing w:after="0" w:line="171" w:lineRule="exact"/>
        <w:rPr>
          <w:sz w:val="20"/>
          <w:szCs w:val="20"/>
          <w:color w:val="auto"/>
        </w:rPr>
      </w:pPr>
    </w:p>
    <w:p>
      <w:pPr>
        <w:ind w:right="200" w:firstLine="993"/>
        <w:spacing w:after="0" w:line="275" w:lineRule="auto"/>
        <w:rPr>
          <w:sz w:val="20"/>
          <w:szCs w:val="20"/>
          <w:color w:val="auto"/>
        </w:rPr>
      </w:pPr>
      <w:r>
        <w:rPr>
          <w:rFonts w:ascii="Arial" w:cs="Arial" w:eastAsia="Arial" w:hAnsi="Arial"/>
          <w:sz w:val="16"/>
          <w:szCs w:val="16"/>
          <w:color w:val="auto"/>
        </w:rPr>
        <w:t>Prior to the adoption of the 2020 Plan, options under the 2015 Plan could be granted for periods of up to 10 years and at prices no less than 100% of the estimated fair value of the shares on the date of grant as determined by our board of directors, provided, however, that the exercise price of an incentive stock option granted to a person owning (or deemed to own) stock possessing more than ten percent of the total combined voting power of all classes of stock of the Company or any affiliate of the Company (a "10% shareholder") could not be less than 110% of the estimated fair value of the shares on the date of grant and the option was not exercisable after the expiration of five years from the date of grant.</w:t>
      </w:r>
    </w:p>
    <w:p>
      <w:pPr>
        <w:spacing w:after="0" w:line="168" w:lineRule="exact"/>
        <w:rPr>
          <w:sz w:val="20"/>
          <w:szCs w:val="20"/>
          <w:color w:val="auto"/>
        </w:rPr>
      </w:pPr>
    </w:p>
    <w:p>
      <w:pPr>
        <w:ind w:right="80" w:firstLine="993"/>
        <w:spacing w:after="0" w:line="313" w:lineRule="auto"/>
        <w:rPr>
          <w:sz w:val="20"/>
          <w:szCs w:val="20"/>
          <w:color w:val="auto"/>
        </w:rPr>
      </w:pPr>
      <w:r>
        <w:rPr>
          <w:rFonts w:ascii="Arial" w:cs="Arial" w:eastAsia="Arial" w:hAnsi="Arial"/>
          <w:sz w:val="15"/>
          <w:szCs w:val="15"/>
          <w:color w:val="auto"/>
        </w:rPr>
        <w:t>Options under the 2020 Plan may be granted for periods of up to 10 years and at prices no less than the market price of the Company’s common stock on the date of grant,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Common Stock Awards</w:t>
      </w:r>
    </w:p>
    <w:p>
      <w:pPr>
        <w:spacing w:after="0" w:line="110" w:lineRule="exact"/>
        <w:rPr>
          <w:sz w:val="20"/>
          <w:szCs w:val="20"/>
          <w:color w:val="auto"/>
        </w:rPr>
      </w:pPr>
    </w:p>
    <w:p>
      <w:pPr>
        <w:ind w:right="60" w:firstLine="1070"/>
        <w:spacing w:after="0" w:line="275" w:lineRule="auto"/>
        <w:rPr>
          <w:sz w:val="20"/>
          <w:szCs w:val="20"/>
          <w:color w:val="auto"/>
        </w:rPr>
      </w:pPr>
      <w:r>
        <w:rPr>
          <w:rFonts w:ascii="Arial" w:cs="Arial" w:eastAsia="Arial" w:hAnsi="Arial"/>
          <w:sz w:val="16"/>
          <w:szCs w:val="16"/>
          <w:color w:val="auto"/>
        </w:rPr>
        <w:t>The Company granted restricted stock awards under the 2015 Plan. The purchase price of the restricted common stock awards was the estimated fair value as determined by the Company's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 of common stock will be the lower of (i) the fair market value on the date of repurchase or (ii) their original purchase price.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During the vesting term, holders of restricted stock awards are deemed to be common stock shareholders and have dividends and voting rights.</w:t>
      </w:r>
    </w:p>
    <w:p>
      <w:pPr>
        <w:spacing w:after="0" w:line="212" w:lineRule="exact"/>
        <w:rPr>
          <w:sz w:val="20"/>
          <w:szCs w:val="20"/>
          <w:color w:val="auto"/>
        </w:rPr>
      </w:pPr>
    </w:p>
    <w:p>
      <w:pPr>
        <w:ind w:right="140" w:firstLine="1070"/>
        <w:spacing w:after="0" w:line="258" w:lineRule="auto"/>
        <w:rPr>
          <w:sz w:val="20"/>
          <w:szCs w:val="20"/>
          <w:color w:val="auto"/>
        </w:rPr>
      </w:pPr>
      <w:r>
        <w:rPr>
          <w:rFonts w:ascii="Arial" w:cs="Arial" w:eastAsia="Arial" w:hAnsi="Arial"/>
          <w:sz w:val="17"/>
          <w:szCs w:val="17"/>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March 31, 2022 and December 31, 2021, the Company recorded a liability included in accrued expenses and other liabilities of $1,000 and $2,000, respectively.</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There were no grants of restricted stock awards for the three months ended March 31, 2022 and 2021.</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summarizes restricted stock activity during the three months ended March 31,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4"/>
                <w:szCs w:val="14"/>
                <w:color w:val="auto"/>
              </w:rPr>
            </w:pPr>
          </w:p>
        </w:tc>
        <w:tc>
          <w:tcPr>
            <w:tcW w:w="1180" w:type="dxa"/>
            <w:vAlign w:val="bottom"/>
          </w:tcPr>
          <w:p>
            <w:pPr>
              <w:jc w:val="center"/>
              <w:ind w:right="183"/>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27"/>
        </w:trPr>
        <w:tc>
          <w:tcPr>
            <w:tcW w:w="82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63"/>
              <w:spacing w:after="0" w:line="127"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27"/>
        </w:trPr>
        <w:tc>
          <w:tcPr>
            <w:tcW w:w="8260" w:type="dxa"/>
            <w:vAlign w:val="bottom"/>
          </w:tcPr>
          <w:p>
            <w:pPr>
              <w:spacing w:after="0"/>
              <w:rPr>
                <w:sz w:val="11"/>
                <w:szCs w:val="11"/>
                <w:color w:val="auto"/>
              </w:rPr>
            </w:pP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1"/>
                <w:szCs w:val="11"/>
                <w:color w:val="auto"/>
              </w:rPr>
            </w:pPr>
          </w:p>
        </w:tc>
        <w:tc>
          <w:tcPr>
            <w:tcW w:w="1180" w:type="dxa"/>
            <w:vAlign w:val="bottom"/>
          </w:tcPr>
          <w:p>
            <w:pPr>
              <w:jc w:val="center"/>
              <w:ind w:right="163"/>
              <w:spacing w:after="0" w:line="127"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7"/>
        </w:trPr>
        <w:tc>
          <w:tcPr>
            <w:tcW w:w="826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5"/>
                <w:szCs w:val="15"/>
                <w:color w:val="auto"/>
              </w:rPr>
            </w:pPr>
          </w:p>
        </w:tc>
        <w:tc>
          <w:tcPr>
            <w:tcW w:w="1180" w:type="dxa"/>
            <w:vAlign w:val="bottom"/>
          </w:tcPr>
          <w:p>
            <w:pPr>
              <w:jc w:val="center"/>
              <w:ind w:right="163"/>
              <w:spacing w:after="0"/>
              <w:rPr>
                <w:sz w:val="20"/>
                <w:szCs w:val="20"/>
                <w:color w:val="auto"/>
              </w:rPr>
            </w:pPr>
            <w:r>
              <w:rPr>
                <w:rFonts w:ascii="Arial" w:cs="Arial" w:eastAsia="Arial" w:hAnsi="Arial"/>
                <w:sz w:val="14"/>
                <w:szCs w:val="14"/>
                <w:b w:val="1"/>
                <w:bCs w:val="1"/>
                <w:color w:val="auto"/>
                <w:w w:val="87"/>
              </w:rPr>
              <w:t>fair value</w:t>
            </w:r>
          </w:p>
        </w:tc>
        <w:tc>
          <w:tcPr>
            <w:tcW w:w="0" w:type="dxa"/>
            <w:vAlign w:val="bottom"/>
          </w:tcPr>
          <w:p>
            <w:pPr>
              <w:spacing w:after="0"/>
              <w:rPr>
                <w:sz w:val="1"/>
                <w:szCs w:val="1"/>
                <w:color w:val="auto"/>
              </w:rPr>
            </w:pPr>
          </w:p>
        </w:tc>
      </w:tr>
      <w:tr>
        <w:trPr>
          <w:trHeight w:val="211"/>
        </w:trPr>
        <w:tc>
          <w:tcPr>
            <w:tcW w:w="82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and unvested, as of December 31, 2021</w:t>
            </w:r>
          </w:p>
        </w:tc>
        <w:tc>
          <w:tcPr>
            <w:tcW w:w="144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7"/>
                <w:szCs w:val="17"/>
                <w:color w:val="auto"/>
              </w:rPr>
              <w:t>21,841</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6"/>
        </w:trPr>
        <w:tc>
          <w:tcPr>
            <w:tcW w:w="8260" w:type="dxa"/>
            <w:vAlign w:val="bottom"/>
          </w:tcPr>
          <w:p>
            <w:pPr>
              <w:ind w:left="200"/>
              <w:spacing w:after="0"/>
              <w:rPr>
                <w:sz w:val="20"/>
                <w:szCs w:val="20"/>
                <w:color w:val="auto"/>
              </w:rPr>
            </w:pPr>
            <w:r>
              <w:rPr>
                <w:rFonts w:ascii="Arial" w:cs="Arial" w:eastAsia="Arial" w:hAnsi="Arial"/>
                <w:sz w:val="17"/>
                <w:szCs w:val="17"/>
                <w:color w:val="auto"/>
              </w:rPr>
              <w:t>Issued</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82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Vested</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(15,606)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16"/>
        </w:trPr>
        <w:tc>
          <w:tcPr>
            <w:tcW w:w="8260" w:type="dxa"/>
            <w:vAlign w:val="bottom"/>
          </w:tcPr>
          <w:p>
            <w:pPr>
              <w:ind w:left="220"/>
              <w:spacing w:after="0"/>
              <w:rPr>
                <w:sz w:val="20"/>
                <w:szCs w:val="20"/>
                <w:color w:val="auto"/>
              </w:rPr>
            </w:pPr>
            <w:r>
              <w:rPr>
                <w:rFonts w:ascii="Arial" w:cs="Arial" w:eastAsia="Arial" w:hAnsi="Arial"/>
                <w:sz w:val="17"/>
                <w:szCs w:val="17"/>
                <w:color w:val="auto"/>
              </w:rPr>
              <w:t>Repurchases</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82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and unvested, as of March 31, 2022</w:t>
            </w:r>
          </w:p>
        </w:tc>
        <w:tc>
          <w:tcPr>
            <w:tcW w:w="144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17"/>
                <w:szCs w:val="17"/>
                <w:color w:val="auto"/>
              </w:rPr>
              <w:t>6,235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right="480" w:firstLine="1070"/>
        <w:spacing w:after="0" w:line="274" w:lineRule="auto"/>
        <w:rPr>
          <w:sz w:val="20"/>
          <w:szCs w:val="20"/>
          <w:color w:val="auto"/>
        </w:rPr>
      </w:pPr>
      <w:r>
        <w:rPr>
          <w:rFonts w:ascii="Arial" w:cs="Arial" w:eastAsia="Arial" w:hAnsi="Arial"/>
          <w:sz w:val="17"/>
          <w:szCs w:val="17"/>
          <w:color w:val="auto"/>
        </w:rPr>
        <w:t>The aggregate fair value of restricted stock awards vested during the three months ended March 31, 2022 was $33,000. Total intrinsic value of outstanding unvested restricted stock awards as of March 31, 2022 was $43,000.</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Incentive Stock Options and Nonqualified Stock Options</w:t>
      </w:r>
    </w:p>
    <w:p>
      <w:pPr>
        <w:spacing w:after="0" w:line="110" w:lineRule="exact"/>
        <w:rPr>
          <w:sz w:val="20"/>
          <w:szCs w:val="20"/>
          <w:color w:val="auto"/>
        </w:rPr>
      </w:pPr>
    </w:p>
    <w:p>
      <w:pPr>
        <w:ind w:right="180" w:firstLine="1070"/>
        <w:spacing w:after="0" w:line="274" w:lineRule="auto"/>
        <w:rPr>
          <w:sz w:val="20"/>
          <w:szCs w:val="20"/>
          <w:color w:val="auto"/>
        </w:rPr>
      </w:pPr>
      <w:r>
        <w:rPr>
          <w:rFonts w:ascii="Arial" w:cs="Arial" w:eastAsia="Arial" w:hAnsi="Arial"/>
          <w:sz w:val="17"/>
          <w:szCs w:val="17"/>
          <w:color w:val="auto"/>
        </w:rPr>
        <w:t>Stock options issued under either the 2015 Plan or the 2020 Plan generally vest over four years and expire ten years from the date of grant. Certain options provide for accelerated vesting if there is a change in control, as defined in the respective plans.</w:t>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Company used Black-Scholes option pricing model to estimate stock-based compensation expense for stock option awards with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assumptions:</w:t>
      </w:r>
    </w:p>
    <w:p>
      <w:pPr>
        <w:spacing w:after="0" w:line="97"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Three Months Ended</w:t>
      </w:r>
    </w:p>
    <w:p>
      <w:pPr>
        <w:jc w:val="center"/>
        <w:ind w:left="72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80"/>
        </w:trPr>
        <w:tc>
          <w:tcPr>
            <w:tcW w:w="7320" w:type="dxa"/>
            <w:vAlign w:val="bottom"/>
            <w:tcBorders>
              <w:bottom w:val="single" w:sz="8" w:color="CCEEFF"/>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top w:val="single" w:sz="8" w:color="auto"/>
              <w:bottom w:val="single" w:sz="8" w:color="CCEEFF"/>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right"/>
              <w:ind w:right="695"/>
              <w:spacing w:after="0"/>
              <w:rPr>
                <w:sz w:val="20"/>
                <w:szCs w:val="20"/>
                <w:color w:val="auto"/>
              </w:rPr>
            </w:pPr>
            <w:r>
              <w:rPr>
                <w:rFonts w:ascii="Arial" w:cs="Arial" w:eastAsia="Arial" w:hAnsi="Arial"/>
                <w:sz w:val="14"/>
                <w:szCs w:val="14"/>
                <w:b w:val="1"/>
                <w:bCs w:val="1"/>
                <w:color w:val="auto"/>
              </w:rPr>
              <w:t>2021</w:t>
            </w: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74.48%</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- 75.01%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74.95%</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- 75.72%</w:t>
            </w: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7"/>
                <w:szCs w:val="17"/>
                <w:color w:val="auto"/>
              </w:rPr>
              <w:t>1.64%</w:t>
            </w:r>
          </w:p>
        </w:tc>
        <w:tc>
          <w:tcPr>
            <w:tcW w:w="980" w:type="dxa"/>
            <w:vAlign w:val="bottom"/>
          </w:tcPr>
          <w:p>
            <w:pPr>
              <w:ind w:left="20"/>
              <w:spacing w:after="0"/>
              <w:rPr>
                <w:sz w:val="20"/>
                <w:szCs w:val="20"/>
                <w:color w:val="auto"/>
              </w:rPr>
            </w:pPr>
            <w:r>
              <w:rPr>
                <w:rFonts w:ascii="Arial" w:cs="Arial" w:eastAsia="Arial" w:hAnsi="Arial"/>
                <w:sz w:val="17"/>
                <w:szCs w:val="17"/>
                <w:color w:val="auto"/>
              </w:rPr>
              <w:t>- 2.13%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0.61%</w:t>
            </w:r>
          </w:p>
        </w:tc>
        <w:tc>
          <w:tcPr>
            <w:tcW w:w="980" w:type="dxa"/>
            <w:vAlign w:val="bottom"/>
          </w:tcPr>
          <w:p>
            <w:pPr>
              <w:ind w:left="20"/>
              <w:spacing w:after="0"/>
              <w:rPr>
                <w:sz w:val="20"/>
                <w:szCs w:val="20"/>
                <w:color w:val="auto"/>
              </w:rPr>
            </w:pPr>
            <w:r>
              <w:rPr>
                <w:rFonts w:ascii="Arial" w:cs="Arial" w:eastAsia="Arial" w:hAnsi="Arial"/>
                <w:sz w:val="17"/>
                <w:szCs w:val="17"/>
                <w:color w:val="auto"/>
              </w:rPr>
              <w:t>- 1.06%</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w:t>
            </w:r>
          </w:p>
        </w:tc>
        <w:tc>
          <w:tcPr>
            <w:tcW w:w="1960" w:type="dxa"/>
            <w:vAlign w:val="bottom"/>
            <w:gridSpan w:val="3"/>
            <w:shd w:val="clear" w:color="auto" w:fill="CCEEFF"/>
          </w:tcPr>
          <w:p>
            <w:pPr>
              <w:jc w:val="center"/>
              <w:ind w:right="100"/>
              <w:spacing w:after="0"/>
              <w:rPr>
                <w:sz w:val="20"/>
                <w:szCs w:val="20"/>
                <w:color w:val="auto"/>
              </w:rPr>
            </w:pPr>
            <w:r>
              <w:rPr>
                <w:rFonts w:ascii="Arial" w:cs="Arial" w:eastAsia="Arial" w:hAnsi="Arial"/>
                <w:sz w:val="17"/>
                <w:szCs w:val="17"/>
                <w:color w:val="auto"/>
              </w:rPr>
              <w:t>—</w:t>
            </w:r>
          </w:p>
        </w:tc>
        <w:tc>
          <w:tcPr>
            <w:tcW w:w="18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880" w:type="dxa"/>
            <w:vAlign w:val="bottom"/>
          </w:tcPr>
          <w:p>
            <w:pPr>
              <w:jc w:val="right"/>
              <w:spacing w:after="0"/>
              <w:rPr>
                <w:sz w:val="20"/>
                <w:szCs w:val="20"/>
                <w:color w:val="auto"/>
              </w:rPr>
            </w:pPr>
            <w:r>
              <w:rPr>
                <w:rFonts w:ascii="Arial" w:cs="Arial" w:eastAsia="Arial" w:hAnsi="Arial"/>
                <w:sz w:val="17"/>
                <w:szCs w:val="17"/>
                <w:color w:val="auto"/>
              </w:rPr>
              <w:t>6.02</w:t>
            </w:r>
          </w:p>
        </w:tc>
        <w:tc>
          <w:tcPr>
            <w:tcW w:w="980" w:type="dxa"/>
            <w:vAlign w:val="bottom"/>
          </w:tcPr>
          <w:p>
            <w:pPr>
              <w:ind w:left="20"/>
              <w:spacing w:after="0"/>
              <w:rPr>
                <w:sz w:val="20"/>
                <w:szCs w:val="20"/>
                <w:color w:val="auto"/>
              </w:rPr>
            </w:pPr>
            <w:r>
              <w:rPr>
                <w:rFonts w:ascii="Arial" w:cs="Arial" w:eastAsia="Arial" w:hAnsi="Arial"/>
                <w:sz w:val="17"/>
                <w:szCs w:val="17"/>
                <w:color w:val="auto"/>
              </w:rPr>
              <w:t>- 6.08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5.77</w:t>
            </w:r>
          </w:p>
        </w:tc>
        <w:tc>
          <w:tcPr>
            <w:tcW w:w="980" w:type="dxa"/>
            <w:vAlign w:val="bottom"/>
          </w:tcPr>
          <w:p>
            <w:pPr>
              <w:ind w:left="20"/>
              <w:spacing w:after="0"/>
              <w:rPr>
                <w:sz w:val="20"/>
                <w:szCs w:val="20"/>
                <w:color w:val="auto"/>
              </w:rPr>
            </w:pPr>
            <w:r>
              <w:rPr>
                <w:rFonts w:ascii="Arial" w:cs="Arial" w:eastAsia="Arial" w:hAnsi="Arial"/>
                <w:sz w:val="17"/>
                <w:szCs w:val="17"/>
                <w:color w:val="auto"/>
              </w:rPr>
              <w:t>- 6.08</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Underlying common stock fair value</w:t>
            </w:r>
          </w:p>
        </w:tc>
        <w:tc>
          <w:tcPr>
            <w:tcW w:w="18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7.56 - 12.68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26.13</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- 38.23</w:t>
            </w:r>
          </w:p>
        </w:tc>
      </w:tr>
    </w:tbl>
    <w:p>
      <w:pPr>
        <w:spacing w:after="0" w:line="28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Company granted 1,691,370 stock options under the 2020 Plan during the three months ended March 31, 2022.</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 summary of option activity under the 2015 Plan and the 2020 Plan is as follows: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22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1"/>
                <w:szCs w:val="11"/>
                <w:color w:val="auto"/>
              </w:rPr>
            </w:pPr>
          </w:p>
        </w:tc>
        <w:tc>
          <w:tcPr>
            <w:tcW w:w="116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27"/>
        </w:trPr>
        <w:tc>
          <w:tcPr>
            <w:tcW w:w="52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220" w:type="dxa"/>
            <w:vAlign w:val="bottom"/>
          </w:tcPr>
          <w:p>
            <w:pPr>
              <w:spacing w:after="0"/>
              <w:rPr>
                <w:sz w:val="11"/>
                <w:szCs w:val="11"/>
                <w:color w:val="auto"/>
              </w:rPr>
            </w:pPr>
          </w:p>
        </w:tc>
        <w:tc>
          <w:tcPr>
            <w:tcW w:w="14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83"/>
              </w:rPr>
              <w:t>Average Exercise</w:t>
            </w: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1"/>
                <w:szCs w:val="11"/>
                <w:color w:val="auto"/>
              </w:rPr>
            </w:pPr>
          </w:p>
        </w:tc>
        <w:tc>
          <w:tcPr>
            <w:tcW w:w="1160" w:type="dxa"/>
            <w:vAlign w:val="bottom"/>
          </w:tcPr>
          <w:p>
            <w:pPr>
              <w:jc w:val="center"/>
              <w:ind w:right="182"/>
              <w:spacing w:after="0" w:line="127"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7"/>
        </w:trPr>
        <w:tc>
          <w:tcPr>
            <w:tcW w:w="522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Price per Share</w:t>
            </w:r>
          </w:p>
        </w:tc>
        <w:tc>
          <w:tcPr>
            <w:tcW w:w="10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 (in Years)</w:t>
            </w: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5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as of December 31, 2021</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3,620,180</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14.56</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16,735</w:t>
            </w:r>
          </w:p>
        </w:tc>
        <w:tc>
          <w:tcPr>
            <w:tcW w:w="0" w:type="dxa"/>
            <w:vAlign w:val="bottom"/>
          </w:tcPr>
          <w:p>
            <w:pPr>
              <w:spacing w:after="0"/>
              <w:rPr>
                <w:sz w:val="1"/>
                <w:szCs w:val="1"/>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1,691,370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11.88</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Exercised</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(12,124)</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tcPr>
          <w:p>
            <w:pPr>
              <w:ind w:left="200"/>
              <w:spacing w:after="0"/>
              <w:rPr>
                <w:sz w:val="20"/>
                <w:szCs w:val="20"/>
                <w:color w:val="auto"/>
              </w:rPr>
            </w:pPr>
            <w:r>
              <w:rPr>
                <w:rFonts w:ascii="Arial" w:cs="Arial" w:eastAsia="Arial" w:hAnsi="Arial"/>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(102,557)</w:t>
            </w:r>
          </w:p>
        </w:tc>
        <w:tc>
          <w:tcPr>
            <w:tcW w:w="2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11.19</w:t>
            </w:r>
          </w:p>
        </w:tc>
        <w:tc>
          <w:tcPr>
            <w:tcW w:w="10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as of March 31, 2022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5,196,869</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8.42</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4,445</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7"/>
                <w:szCs w:val="17"/>
                <w:color w:val="auto"/>
              </w:rPr>
              <w:t>Exercisable as of March 31, 2022</w:t>
            </w: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1,660,467</w:t>
            </w:r>
          </w:p>
        </w:tc>
        <w:tc>
          <w:tcPr>
            <w:tcW w:w="260" w:type="dxa"/>
            <w:vAlign w:val="bottom"/>
            <w:gridSpan w:val="2"/>
          </w:tcPr>
          <w:p>
            <w:pPr>
              <w:jc w:val="right"/>
              <w:ind w:right="60"/>
              <w:spacing w:after="0" w:line="188"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88" w:lineRule="exact"/>
              <w:rPr>
                <w:sz w:val="20"/>
                <w:szCs w:val="20"/>
                <w:color w:val="auto"/>
              </w:rPr>
            </w:pPr>
            <w:r>
              <w:rPr>
                <w:rFonts w:ascii="Arial" w:cs="Arial" w:eastAsia="Arial" w:hAnsi="Arial"/>
                <w:sz w:val="17"/>
                <w:szCs w:val="17"/>
                <w:color w:val="auto"/>
              </w:rPr>
              <w:t>10.65</w:t>
            </w:r>
          </w:p>
        </w:tc>
        <w:tc>
          <w:tcPr>
            <w:tcW w:w="100" w:type="dxa"/>
            <w:vAlign w:val="bottom"/>
          </w:tcPr>
          <w:p>
            <w:pPr>
              <w:spacing w:after="0"/>
              <w:rPr>
                <w:sz w:val="16"/>
                <w:szCs w:val="16"/>
                <w:color w:val="auto"/>
              </w:rPr>
            </w:pPr>
          </w:p>
        </w:tc>
        <w:tc>
          <w:tcPr>
            <w:tcW w:w="1440" w:type="dxa"/>
            <w:vAlign w:val="bottom"/>
          </w:tcPr>
          <w:p>
            <w:pPr>
              <w:jc w:val="right"/>
              <w:spacing w:after="0" w:line="188" w:lineRule="exact"/>
              <w:rPr>
                <w:sz w:val="20"/>
                <w:szCs w:val="20"/>
                <w:color w:val="auto"/>
              </w:rPr>
            </w:pPr>
            <w:r>
              <w:rPr>
                <w:rFonts w:ascii="Arial" w:cs="Arial" w:eastAsia="Arial" w:hAnsi="Arial"/>
                <w:sz w:val="17"/>
                <w:szCs w:val="17"/>
                <w:color w:val="auto"/>
              </w:rPr>
              <w:t>7.51</w:t>
            </w:r>
          </w:p>
        </w:tc>
        <w:tc>
          <w:tcPr>
            <w:tcW w:w="100" w:type="dxa"/>
            <w:vAlign w:val="bottom"/>
          </w:tcPr>
          <w:p>
            <w:pPr>
              <w:spacing w:after="0"/>
              <w:rPr>
                <w:sz w:val="16"/>
                <w:szCs w:val="16"/>
                <w:color w:val="auto"/>
              </w:rPr>
            </w:pPr>
          </w:p>
        </w:tc>
        <w:tc>
          <w:tcPr>
            <w:tcW w:w="260" w:type="dxa"/>
            <w:vAlign w:val="bottom"/>
          </w:tcPr>
          <w:p>
            <w:pPr>
              <w:jc w:val="right"/>
              <w:ind w:right="75"/>
              <w:spacing w:after="0" w:line="188"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line="188" w:lineRule="exact"/>
              <w:rPr>
                <w:sz w:val="20"/>
                <w:szCs w:val="20"/>
                <w:color w:val="auto"/>
              </w:rPr>
            </w:pPr>
            <w:r>
              <w:rPr>
                <w:rFonts w:ascii="Arial" w:cs="Arial" w:eastAsia="Arial" w:hAnsi="Arial"/>
                <w:sz w:val="17"/>
                <w:szCs w:val="17"/>
                <w:color w:val="auto"/>
              </w:rPr>
              <w:t>3,152</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Vested and expected to vest as of March 31, 2022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5,196,869</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8.42</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4,445</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300" w:firstLine="1070"/>
        <w:spacing w:after="0" w:line="306" w:lineRule="auto"/>
        <w:rPr>
          <w:sz w:val="20"/>
          <w:szCs w:val="20"/>
          <w:color w:val="auto"/>
        </w:rPr>
      </w:pPr>
      <w:r>
        <w:rPr>
          <w:rFonts w:ascii="Arial" w:cs="Arial" w:eastAsia="Arial" w:hAnsi="Arial"/>
          <w:sz w:val="16"/>
          <w:szCs w:val="16"/>
          <w:color w:val="auto"/>
        </w:rPr>
        <w:t>Aggregate intrinsic value represents the difference between the fair value of the underlying common stock and the exercise price as of March 31, 2022. The weighted-average grant date fair value of options granted during the three months ended March 31, 2022 was $7.84 per share.</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0" w:lineRule="exact"/>
        <w:rPr>
          <w:sz w:val="20"/>
          <w:szCs w:val="20"/>
          <w:color w:val="auto"/>
        </w:rPr>
      </w:pPr>
    </w:p>
    <w:p>
      <w:pPr>
        <w:ind w:right="100" w:firstLine="1070"/>
        <w:spacing w:after="0" w:line="274" w:lineRule="auto"/>
        <w:rPr>
          <w:sz w:val="20"/>
          <w:szCs w:val="20"/>
          <w:color w:val="auto"/>
        </w:rPr>
      </w:pPr>
      <w:r>
        <w:rPr>
          <w:rFonts w:ascii="Arial" w:cs="Arial" w:eastAsia="Arial" w:hAnsi="Arial"/>
          <w:sz w:val="17"/>
          <w:szCs w:val="17"/>
          <w:color w:val="auto"/>
        </w:rPr>
        <w:t>The following table presents the components and classification of stock-based compensation expense for the Company’s stock-based awards for the three months ended March 31, 2022 and 2021 (in thousands):</w:t>
      </w:r>
    </w:p>
    <w:p>
      <w:pPr>
        <w:spacing w:after="0" w:line="61"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jc w:val="center"/>
        <w:ind w:left="81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80"/>
        </w:trPr>
        <w:tc>
          <w:tcPr>
            <w:tcW w:w="8400" w:type="dxa"/>
            <w:vAlign w:val="bottom"/>
            <w:tcBorders>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40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stock awards</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Stock options and ESPP</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3,502</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2,527</w:t>
            </w:r>
          </w:p>
        </w:tc>
        <w:tc>
          <w:tcPr>
            <w:tcW w:w="0" w:type="dxa"/>
            <w:vAlign w:val="bottom"/>
          </w:tcPr>
          <w:p>
            <w:pPr>
              <w:spacing w:after="0"/>
              <w:rPr>
                <w:sz w:val="1"/>
                <w:szCs w:val="1"/>
                <w:color w:val="auto"/>
              </w:rPr>
            </w:pPr>
          </w:p>
        </w:tc>
      </w:tr>
      <w:tr>
        <w:trPr>
          <w:trHeight w:val="234"/>
        </w:trPr>
        <w:tc>
          <w:tcPr>
            <w:tcW w:w="8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stock-based compensation expense</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3,531</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2,578</w:t>
            </w:r>
          </w:p>
        </w:tc>
        <w:tc>
          <w:tcPr>
            <w:tcW w:w="0" w:type="dxa"/>
            <w:vAlign w:val="bottom"/>
          </w:tcPr>
          <w:p>
            <w:pPr>
              <w:spacing w:after="0"/>
              <w:rPr>
                <w:sz w:val="1"/>
                <w:szCs w:val="1"/>
                <w:color w:val="auto"/>
              </w:rPr>
            </w:pPr>
          </w:p>
        </w:tc>
      </w:tr>
      <w:tr>
        <w:trPr>
          <w:trHeight w:val="20"/>
        </w:trPr>
        <w:tc>
          <w:tcPr>
            <w:tcW w:w="84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7"/>
                <w:szCs w:val="17"/>
                <w:color w:val="auto"/>
              </w:rPr>
              <w:t>Research and development expenses</w:t>
            </w: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0" w:type="dxa"/>
            <w:vAlign w:val="bottom"/>
            <w:vMerge w:val="continue"/>
          </w:tcPr>
          <w:p>
            <w:pPr>
              <w:spacing w:after="0"/>
              <w:rPr>
                <w:sz w:val="16"/>
                <w:szCs w:val="16"/>
                <w:color w:val="auto"/>
              </w:rPr>
            </w:pPr>
          </w:p>
        </w:tc>
        <w:tc>
          <w:tcPr>
            <w:tcW w:w="780" w:type="dxa"/>
            <w:vAlign w:val="bottom"/>
          </w:tcPr>
          <w:p>
            <w:pPr>
              <w:jc w:val="right"/>
              <w:ind w:right="599"/>
              <w:spacing w:after="0" w:line="188"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88" w:lineRule="exact"/>
              <w:rPr>
                <w:sz w:val="20"/>
                <w:szCs w:val="20"/>
                <w:color w:val="auto"/>
              </w:rPr>
            </w:pPr>
            <w:r>
              <w:rPr>
                <w:rFonts w:ascii="Arial" w:cs="Arial" w:eastAsia="Arial" w:hAnsi="Arial"/>
                <w:sz w:val="17"/>
                <w:szCs w:val="17"/>
                <w:color w:val="auto"/>
                <w:w w:val="89"/>
              </w:rPr>
              <w:t>1,914</w:t>
            </w:r>
          </w:p>
        </w:tc>
        <w:tc>
          <w:tcPr>
            <w:tcW w:w="100" w:type="dxa"/>
            <w:vAlign w:val="bottom"/>
          </w:tcPr>
          <w:p>
            <w:pPr>
              <w:spacing w:after="0"/>
              <w:rPr>
                <w:sz w:val="16"/>
                <w:szCs w:val="16"/>
                <w:color w:val="auto"/>
              </w:rPr>
            </w:pPr>
          </w:p>
        </w:tc>
        <w:tc>
          <w:tcPr>
            <w:tcW w:w="300" w:type="dxa"/>
            <w:vAlign w:val="bottom"/>
          </w:tcPr>
          <w:p>
            <w:pPr>
              <w:jc w:val="right"/>
              <w:ind w:right="115"/>
              <w:spacing w:after="0" w:line="188" w:lineRule="exact"/>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line="188" w:lineRule="exact"/>
              <w:rPr>
                <w:sz w:val="20"/>
                <w:szCs w:val="20"/>
                <w:color w:val="auto"/>
              </w:rPr>
            </w:pPr>
            <w:r>
              <w:rPr>
                <w:rFonts w:ascii="Arial" w:cs="Arial" w:eastAsia="Arial" w:hAnsi="Arial"/>
                <w:sz w:val="17"/>
                <w:szCs w:val="17"/>
                <w:color w:val="auto"/>
              </w:rPr>
              <w:t>1,170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1,617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1,408</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80" w:firstLine="1070"/>
        <w:spacing w:after="0" w:line="262" w:lineRule="auto"/>
        <w:rPr>
          <w:sz w:val="20"/>
          <w:szCs w:val="20"/>
          <w:color w:val="auto"/>
        </w:rPr>
      </w:pPr>
      <w:r>
        <w:rPr>
          <w:rFonts w:ascii="Arial" w:cs="Arial" w:eastAsia="Arial" w:hAnsi="Arial"/>
          <w:sz w:val="17"/>
          <w:szCs w:val="17"/>
          <w:color w:val="auto"/>
        </w:rPr>
        <w:t>As of March 31, 2022, there was $7,000 of unrecognized compensation costs that is expected to be recognized over the weighted-average periods of 0.17 years related to restricted stock awards. As of March 31, 2022, there was $32.6 million of unrecognized compensation costs that is expected to be recognized over the weighted-average periods of 2.89 years related to stock options.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110" w:lineRule="exact"/>
        <w:rPr>
          <w:sz w:val="20"/>
          <w:szCs w:val="20"/>
          <w:color w:val="auto"/>
        </w:rPr>
      </w:pPr>
    </w:p>
    <w:p>
      <w:pPr>
        <w:ind w:right="60" w:firstLine="1070"/>
        <w:spacing w:after="0" w:line="256" w:lineRule="auto"/>
        <w:rPr>
          <w:sz w:val="20"/>
          <w:szCs w:val="20"/>
          <w:color w:val="auto"/>
        </w:rPr>
      </w:pPr>
      <w:r>
        <w:rPr>
          <w:rFonts w:ascii="Arial" w:cs="Arial" w:eastAsia="Arial" w:hAnsi="Arial"/>
          <w:sz w:val="17"/>
          <w:szCs w:val="17"/>
          <w:color w:val="auto"/>
        </w:rPr>
        <w:t>In June 2020, the Company adopted the Company's 2020 Employee Stock Purchase Plan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spacing w:after="0" w:line="180" w:lineRule="exact"/>
        <w:rPr>
          <w:sz w:val="20"/>
          <w:szCs w:val="20"/>
          <w:color w:val="auto"/>
        </w:rPr>
      </w:pPr>
    </w:p>
    <w:p>
      <w:pPr>
        <w:ind w:right="140" w:firstLine="1070"/>
        <w:spacing w:after="0" w:line="271" w:lineRule="auto"/>
        <w:rPr>
          <w:sz w:val="20"/>
          <w:szCs w:val="20"/>
          <w:color w:val="auto"/>
        </w:rPr>
      </w:pPr>
      <w:r>
        <w:rPr>
          <w:rFonts w:ascii="Arial" w:cs="Arial" w:eastAsia="Arial" w:hAnsi="Arial"/>
          <w:sz w:val="16"/>
          <w:szCs w:val="16"/>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in stock-based compensation expense for the three months ended March 31, 2022. There was $0.3 million stock-based compensation expense attributed to the 2020 ESPP for the three months ended March 31, 2021. During the three months ended March 31, 2022, 51,428 shares of common stock were issued under the 2020 ESPP with 922,725 shares remaining available for issuance under the 2020 ESPP. The Company used Black-Scholes option pricing model to estimate stock-based compensation expense for the 2020 ESPP with the following assumptions: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46"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60" w:type="dxa"/>
            <w:vAlign w:val="bottom"/>
            <w:gridSpan w:val="3"/>
          </w:tcPr>
          <w:p>
            <w:pPr>
              <w:jc w:val="center"/>
              <w:ind w:right="1095"/>
              <w:spacing w:after="0"/>
              <w:rPr>
                <w:sz w:val="20"/>
                <w:szCs w:val="20"/>
                <w:color w:val="auto"/>
              </w:rPr>
            </w:pPr>
            <w:r>
              <w:rPr>
                <w:rFonts w:ascii="Arial" w:cs="Arial" w:eastAsia="Arial" w:hAnsi="Arial"/>
                <w:sz w:val="14"/>
                <w:szCs w:val="14"/>
                <w:b w:val="1"/>
                <w:bCs w:val="1"/>
                <w:color w:val="auto"/>
                <w:w w:val="89"/>
              </w:rPr>
              <w:t>Three Months Ended</w:t>
            </w:r>
          </w:p>
        </w:tc>
      </w:tr>
      <w:tr>
        <w:trPr>
          <w:trHeight w:val="177"/>
        </w:trPr>
        <w:tc>
          <w:tcPr>
            <w:tcW w:w="72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center"/>
              <w:ind w:right="1095"/>
              <w:spacing w:after="0"/>
              <w:rPr>
                <w:sz w:val="20"/>
                <w:szCs w:val="20"/>
                <w:color w:val="auto"/>
              </w:rPr>
            </w:pPr>
            <w:r>
              <w:rPr>
                <w:rFonts w:ascii="Arial" w:cs="Arial" w:eastAsia="Arial" w:hAnsi="Arial"/>
                <w:sz w:val="14"/>
                <w:szCs w:val="14"/>
                <w:b w:val="1"/>
                <w:bCs w:val="1"/>
                <w:color w:val="auto"/>
                <w:w w:val="92"/>
              </w:rPr>
              <w:t>March 31,</w:t>
            </w:r>
          </w:p>
        </w:tc>
      </w:tr>
      <w:tr>
        <w:trPr>
          <w:trHeight w:val="171"/>
        </w:trPr>
        <w:tc>
          <w:tcPr>
            <w:tcW w:w="7200" w:type="dxa"/>
            <w:vAlign w:val="bottom"/>
          </w:tcPr>
          <w:p>
            <w:pPr>
              <w:spacing w:after="0"/>
              <w:rPr>
                <w:sz w:val="14"/>
                <w:szCs w:val="14"/>
                <w:color w:val="auto"/>
              </w:rPr>
            </w:pPr>
          </w:p>
        </w:tc>
        <w:tc>
          <w:tcPr>
            <w:tcW w:w="1160" w:type="dxa"/>
            <w:vAlign w:val="bottom"/>
          </w:tcPr>
          <w:p>
            <w:pPr>
              <w:jc w:val="center"/>
              <w:ind w:left="519"/>
              <w:spacing w:after="0"/>
              <w:rPr>
                <w:sz w:val="20"/>
                <w:szCs w:val="20"/>
                <w:color w:val="auto"/>
              </w:rPr>
            </w:pPr>
            <w:r>
              <w:rPr>
                <w:rFonts w:ascii="Arial" w:cs="Arial" w:eastAsia="Arial" w:hAnsi="Arial"/>
                <w:sz w:val="14"/>
                <w:szCs w:val="14"/>
                <w:b w:val="1"/>
                <w:bCs w:val="1"/>
                <w:color w:val="auto"/>
                <w:w w:val="89"/>
              </w:rPr>
              <w:t>2022</w:t>
            </w:r>
          </w:p>
        </w:tc>
        <w:tc>
          <w:tcPr>
            <w:tcW w:w="2460" w:type="dxa"/>
            <w:vAlign w:val="bottom"/>
            <w:gridSpan w:val="3"/>
          </w:tcPr>
          <w:p>
            <w:pPr>
              <w:jc w:val="center"/>
              <w:ind w:left="625"/>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7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Risk-free interest rate</w:t>
            </w:r>
          </w:p>
        </w:tc>
        <w:tc>
          <w:tcPr>
            <w:tcW w:w="1160" w:type="dxa"/>
            <w:vAlign w:val="bottom"/>
            <w:tcBorders>
              <w:top w:val="single" w:sz="8" w:color="auto"/>
            </w:tcBorders>
            <w:shd w:val="clear" w:color="auto" w:fill="CFF0FC"/>
          </w:tcPr>
          <w:p>
            <w:pPr>
              <w:jc w:val="center"/>
              <w:ind w:left="519"/>
              <w:spacing w:after="0"/>
              <w:rPr>
                <w:sz w:val="20"/>
                <w:szCs w:val="20"/>
                <w:color w:val="auto"/>
              </w:rPr>
            </w:pPr>
            <w:r>
              <w:rPr>
                <w:rFonts w:ascii="Arial" w:cs="Arial" w:eastAsia="Arial" w:hAnsi="Arial"/>
                <w:sz w:val="17"/>
                <w:szCs w:val="17"/>
                <w:color w:val="auto"/>
                <w:w w:val="91"/>
              </w:rPr>
              <w:t>0.60%</w:t>
            </w: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0.07%</w:t>
            </w:r>
          </w:p>
        </w:tc>
      </w:tr>
      <w:tr>
        <w:trPr>
          <w:trHeight w:val="216"/>
        </w:trPr>
        <w:tc>
          <w:tcPr>
            <w:tcW w:w="7200" w:type="dxa"/>
            <w:vAlign w:val="bottom"/>
          </w:tcPr>
          <w:p>
            <w:pPr>
              <w:ind w:left="20"/>
              <w:spacing w:after="0"/>
              <w:rPr>
                <w:sz w:val="20"/>
                <w:szCs w:val="20"/>
                <w:color w:val="auto"/>
              </w:rPr>
            </w:pPr>
            <w:r>
              <w:rPr>
                <w:rFonts w:ascii="Arial" w:cs="Arial" w:eastAsia="Arial" w:hAnsi="Arial"/>
                <w:sz w:val="17"/>
                <w:szCs w:val="17"/>
                <w:color w:val="auto"/>
              </w:rPr>
              <w:t>Expected term of options (in years)</w:t>
            </w:r>
          </w:p>
        </w:tc>
        <w:tc>
          <w:tcPr>
            <w:tcW w:w="1160" w:type="dxa"/>
            <w:vAlign w:val="bottom"/>
          </w:tcPr>
          <w:p>
            <w:pPr>
              <w:jc w:val="center"/>
              <w:ind w:left="499"/>
              <w:spacing w:after="0"/>
              <w:rPr>
                <w:sz w:val="20"/>
                <w:szCs w:val="20"/>
                <w:color w:val="auto"/>
              </w:rPr>
            </w:pPr>
            <w:r>
              <w:rPr>
                <w:rFonts w:ascii="Arial" w:cs="Arial" w:eastAsia="Arial" w:hAnsi="Arial"/>
                <w:sz w:val="17"/>
                <w:szCs w:val="17"/>
                <w:color w:val="auto"/>
                <w:w w:val="90"/>
              </w:rPr>
              <w:t>0.50</w:t>
            </w:r>
          </w:p>
        </w:tc>
        <w:tc>
          <w:tcPr>
            <w:tcW w:w="2460" w:type="dxa"/>
            <w:vAlign w:val="bottom"/>
            <w:gridSpan w:val="3"/>
          </w:tcPr>
          <w:p>
            <w:pPr>
              <w:jc w:val="center"/>
              <w:ind w:left="605"/>
              <w:spacing w:after="0"/>
              <w:rPr>
                <w:sz w:val="20"/>
                <w:szCs w:val="20"/>
                <w:color w:val="auto"/>
              </w:rPr>
            </w:pPr>
            <w:r>
              <w:rPr>
                <w:rFonts w:ascii="Arial" w:cs="Arial" w:eastAsia="Arial" w:hAnsi="Arial"/>
                <w:sz w:val="17"/>
                <w:szCs w:val="17"/>
                <w:color w:val="auto"/>
                <w:w w:val="90"/>
              </w:rPr>
              <w:t>0.50</w:t>
            </w:r>
          </w:p>
        </w:tc>
      </w:tr>
      <w:tr>
        <w:trPr>
          <w:trHeight w:val="217"/>
        </w:trPr>
        <w:tc>
          <w:tcPr>
            <w:tcW w:w="7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stock price volatility</w:t>
            </w:r>
          </w:p>
        </w:tc>
        <w:tc>
          <w:tcPr>
            <w:tcW w:w="1160" w:type="dxa"/>
            <w:vAlign w:val="bottom"/>
            <w:shd w:val="clear" w:color="auto" w:fill="CFF0FC"/>
          </w:tcPr>
          <w:p>
            <w:pPr>
              <w:jc w:val="center"/>
              <w:ind w:left="519"/>
              <w:spacing w:after="0"/>
              <w:rPr>
                <w:sz w:val="20"/>
                <w:szCs w:val="20"/>
                <w:color w:val="auto"/>
              </w:rPr>
            </w:pPr>
            <w:r>
              <w:rPr>
                <w:rFonts w:ascii="Arial" w:cs="Arial" w:eastAsia="Arial" w:hAnsi="Arial"/>
                <w:sz w:val="17"/>
                <w:szCs w:val="17"/>
                <w:color w:val="auto"/>
                <w:w w:val="90"/>
              </w:rPr>
              <w:t>63.17%</w:t>
            </w:r>
          </w:p>
        </w:tc>
        <w:tc>
          <w:tcPr>
            <w:tcW w:w="2460" w:type="dxa"/>
            <w:vAlign w:val="bottom"/>
            <w:gridSpan w:val="3"/>
            <w:shd w:val="clear" w:color="auto" w:fill="CFF0FC"/>
          </w:tcPr>
          <w:p>
            <w:pPr>
              <w:jc w:val="center"/>
              <w:ind w:left="625"/>
              <w:spacing w:after="0"/>
              <w:rPr>
                <w:sz w:val="20"/>
                <w:szCs w:val="20"/>
                <w:color w:val="auto"/>
              </w:rPr>
            </w:pPr>
            <w:r>
              <w:rPr>
                <w:rFonts w:ascii="Arial" w:cs="Arial" w:eastAsia="Arial" w:hAnsi="Arial"/>
                <w:sz w:val="17"/>
                <w:szCs w:val="17"/>
                <w:color w:val="auto"/>
                <w:w w:val="90"/>
              </w:rPr>
              <w:t>89.51%</w:t>
            </w:r>
          </w:p>
        </w:tc>
      </w:tr>
      <w:tr>
        <w:trPr>
          <w:trHeight w:val="216"/>
        </w:trPr>
        <w:tc>
          <w:tcPr>
            <w:tcW w:w="7200" w:type="dxa"/>
            <w:vAlign w:val="bottom"/>
          </w:tcPr>
          <w:p>
            <w:pPr>
              <w:ind w:left="20"/>
              <w:spacing w:after="0"/>
              <w:rPr>
                <w:sz w:val="20"/>
                <w:szCs w:val="20"/>
                <w:color w:val="auto"/>
              </w:rPr>
            </w:pPr>
            <w:r>
              <w:rPr>
                <w:rFonts w:ascii="Arial" w:cs="Arial" w:eastAsia="Arial" w:hAnsi="Arial"/>
                <w:sz w:val="17"/>
                <w:szCs w:val="17"/>
                <w:color w:val="auto"/>
              </w:rPr>
              <w:t>Expected dividends</w:t>
            </w:r>
          </w:p>
        </w:tc>
        <w:tc>
          <w:tcPr>
            <w:tcW w:w="1160" w:type="dxa"/>
            <w:vAlign w:val="bottom"/>
          </w:tcPr>
          <w:p>
            <w:pPr>
              <w:jc w:val="center"/>
              <w:ind w:left="519"/>
              <w:spacing w:after="0"/>
              <w:rPr>
                <w:sz w:val="20"/>
                <w:szCs w:val="20"/>
                <w:color w:val="auto"/>
              </w:rPr>
            </w:pPr>
            <w:r>
              <w:rPr>
                <w:rFonts w:ascii="Arial" w:cs="Arial" w:eastAsia="Arial" w:hAnsi="Arial"/>
                <w:sz w:val="17"/>
                <w:szCs w:val="17"/>
                <w:color w:val="auto"/>
                <w:w w:val="93"/>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rPr>
              <w:t>—</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114" w:lineRule="exact"/>
        <w:rPr>
          <w:sz w:val="20"/>
          <w:szCs w:val="20"/>
          <w:color w:val="auto"/>
        </w:rPr>
      </w:pPr>
    </w:p>
    <w:p>
      <w:pPr>
        <w:jc w:val="both"/>
        <w:ind w:right="40" w:firstLine="1070"/>
        <w:spacing w:after="0" w:line="313" w:lineRule="auto"/>
        <w:rPr>
          <w:sz w:val="20"/>
          <w:szCs w:val="20"/>
          <w:color w:val="auto"/>
        </w:rPr>
      </w:pPr>
      <w:r>
        <w:rPr>
          <w:rFonts w:ascii="Arial" w:cs="Arial" w:eastAsia="Arial" w:hAnsi="Arial"/>
          <w:sz w:val="15"/>
          <w:szCs w:val="15"/>
          <w:color w:val="auto"/>
        </w:rPr>
        <w:t>For the three months ended March 31, 2022 and 2021,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pacing w:after="0" w:line="238" w:lineRule="exact"/>
        <w:rPr>
          <w:sz w:val="20"/>
          <w:szCs w:val="20"/>
          <w:color w:val="auto"/>
        </w:rPr>
      </w:pPr>
    </w:p>
    <w:p>
      <w:pPr>
        <w:ind w:left="460" w:right="8560" w:hanging="458"/>
        <w:spacing w:after="0" w:line="428" w:lineRule="auto"/>
        <w:tabs>
          <w:tab w:leader="none" w:pos="256"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Purchase Commitments</w:t>
      </w:r>
    </w:p>
    <w:p>
      <w:pPr>
        <w:ind w:right="420" w:firstLine="1070"/>
        <w:spacing w:after="0" w:line="274"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cancellable on 30 days’ notice and the obligations under these contracts are largely based on services performed.</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Potential payments related to the Company’s license and research agreements, including milestone and royalty payments, are detailed in Notes 7 and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Leases</w:t>
      </w:r>
    </w:p>
    <w:p>
      <w:pPr>
        <w:spacing w:after="0" w:line="114" w:lineRule="exact"/>
        <w:rPr>
          <w:sz w:val="20"/>
          <w:szCs w:val="20"/>
          <w:color w:val="auto"/>
        </w:rPr>
      </w:pPr>
    </w:p>
    <w:p>
      <w:pPr>
        <w:ind w:firstLine="611"/>
        <w:spacing w:after="0" w:line="290" w:lineRule="auto"/>
        <w:rPr>
          <w:sz w:val="20"/>
          <w:szCs w:val="20"/>
          <w:color w:val="auto"/>
        </w:rPr>
      </w:pPr>
      <w:r>
        <w:rPr>
          <w:rFonts w:ascii="Arial" w:cs="Arial" w:eastAsia="Arial" w:hAnsi="Arial"/>
          <w:sz w:val="15"/>
          <w:szCs w:val="15"/>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non-current assets in the Balance Sheets at March 31, 2022 and 2021. The Company has the right to extend the lease term by seven years upon written notice not more than twelve months nor less than nine months prior to the expiration of the original lease term, with monthly payments equal to the “fair rental value” as defined in the Lease. The exercise of lease renewal options is at the sole discretion of the Company and is not included in the right-of-use (ROU) asset and lease liability as it is not reasonably certain of exercise. This lease does not contain material variable rent payments, residual value guarantees, covenants, or other restrictions. The Company also enters into leases for equipment.</w:t>
      </w:r>
    </w:p>
    <w:p>
      <w:pPr>
        <w:spacing w:after="0" w:line="60" w:lineRule="exact"/>
        <w:rPr>
          <w:sz w:val="20"/>
          <w:szCs w:val="20"/>
          <w:color w:val="auto"/>
        </w:rPr>
      </w:pPr>
    </w:p>
    <w:p>
      <w:pPr>
        <w:ind w:right="20" w:firstLine="611"/>
        <w:spacing w:after="0" w:line="256" w:lineRule="auto"/>
        <w:rPr>
          <w:sz w:val="20"/>
          <w:szCs w:val="20"/>
          <w:color w:val="auto"/>
        </w:rPr>
      </w:pPr>
      <w:r>
        <w:rPr>
          <w:rFonts w:ascii="Arial" w:cs="Arial" w:eastAsia="Arial" w:hAnsi="Arial"/>
          <w:sz w:val="17"/>
          <w:szCs w:val="17"/>
          <w:color w:val="auto"/>
        </w:rPr>
        <w:t>For the quarters ended March 31, 2022 and 2021, the Company recognized expenses associated with the operating leases of $0.6 million. Additionally, the Company incurred variable lease costs of $0.1 million and $0.2 million for the three months ended March 31, 2022 and 2021, respectively, which is comprised primarily of the Company's proportionate share of operating expenses, property taxes, and insurance. Short-term lease expense and variable lease payments recorded in operating expenses were immaterial for the quarter ended March 31, 2022. Cash paid for amounts included in the measurement of operating lease liabilities was $0.6 million for the three months ended March 31, 2022 and 2021.</w:t>
      </w:r>
    </w:p>
    <w:p>
      <w:pPr>
        <w:spacing w:after="0" w:line="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Maturities of the Company's operating lease liability as of March 31, 2022 were as follows: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46"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ending March 31, 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Operating Lease</w:t>
            </w: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(remainder of the year)</w:t>
            </w: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w:t>
            </w:r>
          </w:p>
        </w:tc>
      </w:tr>
      <w:tr>
        <w:trPr>
          <w:trHeight w:val="216"/>
        </w:trPr>
        <w:tc>
          <w:tcPr>
            <w:tcW w:w="8440" w:type="dxa"/>
            <w:vAlign w:val="bottom"/>
          </w:tcPr>
          <w:p>
            <w:pPr>
              <w:ind w:left="20"/>
              <w:spacing w:after="0"/>
              <w:rPr>
                <w:sz w:val="20"/>
                <w:szCs w:val="20"/>
                <w:color w:val="auto"/>
              </w:rPr>
            </w:pPr>
            <w:r>
              <w:rPr>
                <w:rFonts w:ascii="Arial" w:cs="Arial" w:eastAsia="Arial" w:hAnsi="Arial"/>
                <w:sz w:val="17"/>
                <w:szCs w:val="17"/>
                <w:color w:val="auto"/>
              </w:rPr>
              <w:t>2023</w:t>
            </w:r>
          </w:p>
        </w:tc>
        <w:tc>
          <w:tcPr>
            <w:tcW w:w="5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2,413</w:t>
            </w: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5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2,365</w:t>
            </w:r>
          </w:p>
        </w:tc>
      </w:tr>
      <w:tr>
        <w:trPr>
          <w:trHeight w:val="216"/>
        </w:trPr>
        <w:tc>
          <w:tcPr>
            <w:tcW w:w="8440" w:type="dxa"/>
            <w:vAlign w:val="bottom"/>
          </w:tcPr>
          <w:p>
            <w:pPr>
              <w:ind w:left="20"/>
              <w:spacing w:after="0"/>
              <w:rPr>
                <w:sz w:val="20"/>
                <w:szCs w:val="20"/>
                <w:color w:val="auto"/>
              </w:rPr>
            </w:pPr>
            <w:r>
              <w:rPr>
                <w:rFonts w:ascii="Arial" w:cs="Arial" w:eastAsia="Arial" w:hAnsi="Arial"/>
                <w:sz w:val="17"/>
                <w:szCs w:val="17"/>
                <w:color w:val="auto"/>
              </w:rPr>
              <w:t>2025</w:t>
            </w:r>
          </w:p>
        </w:tc>
        <w:tc>
          <w:tcPr>
            <w:tcW w:w="5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1,203</w:t>
            </w: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54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844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540" w:type="dxa"/>
            <w:vAlign w:val="bottom"/>
          </w:tcPr>
          <w:p>
            <w:pPr>
              <w:jc w:val="right"/>
              <w:ind w:right="355"/>
              <w:spacing w:after="0"/>
              <w:rPr>
                <w:sz w:val="20"/>
                <w:szCs w:val="20"/>
                <w:color w:val="auto"/>
              </w:rPr>
            </w:pPr>
            <w:r>
              <w:rPr>
                <w:rFonts w:ascii="Arial" w:cs="Arial" w:eastAsia="Arial" w:hAnsi="Arial"/>
                <w:sz w:val="17"/>
                <w:szCs w:val="17"/>
                <w:color w:val="auto"/>
                <w:w w:val="84"/>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7,818</w:t>
            </w:r>
          </w:p>
        </w:tc>
      </w:tr>
      <w:tr>
        <w:trPr>
          <w:trHeight w:val="255"/>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Present value discount</w:t>
            </w:r>
          </w:p>
        </w:tc>
        <w:tc>
          <w:tcPr>
            <w:tcW w:w="54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w:t>
            </w:r>
          </w:p>
        </w:tc>
      </w:tr>
      <w:tr>
        <w:trPr>
          <w:trHeight w:val="209"/>
        </w:trPr>
        <w:tc>
          <w:tcPr>
            <w:tcW w:w="8440" w:type="dxa"/>
            <w:vAlign w:val="bottom"/>
          </w:tcPr>
          <w:p>
            <w:pPr>
              <w:ind w:left="20"/>
              <w:spacing w:after="0"/>
              <w:rPr>
                <w:sz w:val="20"/>
                <w:szCs w:val="20"/>
                <w:color w:val="auto"/>
              </w:rPr>
            </w:pPr>
            <w:r>
              <w:rPr>
                <w:rFonts w:ascii="Arial" w:cs="Arial" w:eastAsia="Arial" w:hAnsi="Arial"/>
                <w:sz w:val="17"/>
                <w:szCs w:val="17"/>
                <w:color w:val="auto"/>
              </w:rPr>
              <w:t>Total operating lease liabilities</w:t>
            </w:r>
          </w:p>
        </w:tc>
        <w:tc>
          <w:tcPr>
            <w:tcW w:w="5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6,919</w:t>
            </w:r>
          </w:p>
        </w:tc>
      </w:tr>
      <w:tr>
        <w:trPr>
          <w:trHeight w:val="20"/>
        </w:trPr>
        <w:tc>
          <w:tcPr>
            <w:tcW w:w="8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347"/>
        </w:trPr>
        <w:tc>
          <w:tcPr>
            <w:tcW w:w="8980" w:type="dxa"/>
            <w:vAlign w:val="bottom"/>
            <w:gridSpan w:val="2"/>
          </w:tcPr>
          <w:p>
            <w:pPr>
              <w:ind w:left="620"/>
              <w:spacing w:after="0"/>
              <w:rPr>
                <w:sz w:val="20"/>
                <w:szCs w:val="20"/>
                <w:color w:val="auto"/>
              </w:rPr>
            </w:pPr>
            <w:r>
              <w:rPr>
                <w:rFonts w:ascii="Arial" w:cs="Arial" w:eastAsia="Arial" w:hAnsi="Arial"/>
                <w:sz w:val="17"/>
                <w:szCs w:val="17"/>
                <w:color w:val="auto"/>
                <w:w w:val="89"/>
              </w:rPr>
              <w:t>The weighted-average remaining lease terms and discount rates related to the Company's operating leases were as follows:</w:t>
            </w:r>
          </w:p>
        </w:tc>
        <w:tc>
          <w:tcPr>
            <w:tcW w:w="1880" w:type="dxa"/>
            <w:vAlign w:val="bottom"/>
          </w:tcPr>
          <w:p>
            <w:pPr>
              <w:spacing w:after="0"/>
              <w:rPr>
                <w:sz w:val="24"/>
                <w:szCs w:val="24"/>
                <w:color w:val="auto"/>
              </w:rPr>
            </w:pPr>
          </w:p>
        </w:tc>
      </w:tr>
      <w:tr>
        <w:trPr>
          <w:trHeight w:val="276"/>
        </w:trPr>
        <w:tc>
          <w:tcPr>
            <w:tcW w:w="84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w w:val="90"/>
              </w:rPr>
              <w:t>As of March 31, 2022</w:t>
            </w:r>
          </w:p>
        </w:tc>
      </w:tr>
      <w:tr>
        <w:trPr>
          <w:trHeight w:val="253"/>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54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r>
      <w:tr>
        <w:trPr>
          <w:trHeight w:val="254"/>
        </w:trPr>
        <w:tc>
          <w:tcPr>
            <w:tcW w:w="84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54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7.9%</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Related Party Transactions</w:t>
      </w:r>
    </w:p>
    <w:p>
      <w:pPr>
        <w:spacing w:after="0" w:line="216" w:lineRule="exact"/>
        <w:rPr>
          <w:sz w:val="20"/>
          <w:szCs w:val="20"/>
          <w:color w:val="auto"/>
        </w:rPr>
      </w:pPr>
    </w:p>
    <w:p>
      <w:pPr>
        <w:ind w:firstLine="1070"/>
        <w:spacing w:after="0" w:line="272" w:lineRule="auto"/>
        <w:rPr>
          <w:sz w:val="20"/>
          <w:szCs w:val="20"/>
          <w:color w:val="auto"/>
        </w:rPr>
      </w:pPr>
      <w:r>
        <w:rPr>
          <w:rFonts w:ascii="Arial" w:cs="Arial" w:eastAsia="Arial" w:hAnsi="Arial"/>
          <w:sz w:val="16"/>
          <w:szCs w:val="16"/>
          <w:color w:val="auto"/>
        </w:rPr>
        <w:t>In June 2021, the Company granted 26,572 stock options with a grant date fair value of $0.5 million to partners of Third Rock Ventures who are also serving as non-employee directors on the Company's board of directors. The shares of common stock subject to these options vest 25% on the first day of each calendar quarter for three quarters with the final vest date being the earlier of (i) the one-year anniversary of the grant date or (ii) the next Annual Meeting of Stockholders. In March 2020, the Company granted 26,573 stock options with a grant date fair value of $0.1 million to a partner at Third Rock Ventures, who is also serving as a non-employee director on the Company’s board of directors. The shares of common stock subject to these options vest 1/12th on the last day of each calendar quarter over a three-year period and commenced vesting upon completion of our IPO. In order to vest, the stockholders must be providing continuous service to the Company through such vesting date. See Note 12 for additional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Defined Contribution Plan</w:t>
      </w:r>
    </w:p>
    <w:p>
      <w:pPr>
        <w:spacing w:after="0" w:line="114" w:lineRule="exact"/>
        <w:rPr>
          <w:sz w:val="20"/>
          <w:szCs w:val="20"/>
          <w:color w:val="auto"/>
        </w:rPr>
      </w:pPr>
    </w:p>
    <w:p>
      <w:pPr>
        <w:ind w:right="220" w:firstLine="1070"/>
        <w:spacing w:after="0" w:line="310" w:lineRule="auto"/>
        <w:rPr>
          <w:sz w:val="20"/>
          <w:szCs w:val="20"/>
          <w:color w:val="auto"/>
        </w:rPr>
      </w:pPr>
      <w:r>
        <w:rPr>
          <w:rFonts w:ascii="Arial" w:cs="Arial" w:eastAsia="Arial" w:hAnsi="Arial"/>
          <w:sz w:val="15"/>
          <w:szCs w:val="15"/>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w:t>
      </w:r>
    </w:p>
    <w:p>
      <w:pPr>
        <w:spacing w:after="0"/>
        <w:rPr>
          <w:sz w:val="20"/>
          <w:szCs w:val="20"/>
          <w:color w:val="auto"/>
        </w:rPr>
      </w:pPr>
      <w:r>
        <w:rPr>
          <w:rFonts w:ascii="Arial" w:cs="Arial" w:eastAsia="Arial" w:hAnsi="Arial"/>
          <w:sz w:val="17"/>
          <w:szCs w:val="17"/>
          <w:color w:val="auto"/>
        </w:rPr>
        <w:t>Company made contributions to the plan of $0.2 million for the three months ended March 31, 2022 and 2021.</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Net Loss Per Share Attributable to Common Stockholders</w:t>
      </w:r>
    </w:p>
    <w:p>
      <w:pPr>
        <w:spacing w:after="0" w:line="114" w:lineRule="exact"/>
        <w:rPr>
          <w:sz w:val="20"/>
          <w:szCs w:val="20"/>
          <w:color w:val="auto"/>
        </w:rPr>
      </w:pPr>
    </w:p>
    <w:p>
      <w:pPr>
        <w:ind w:right="540" w:firstLine="1070"/>
        <w:spacing w:after="0" w:line="274"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(loss)/income per share attributable to common stockholders for the periods presented, because including them would have been antidilutive:</w:t>
      </w:r>
    </w:p>
    <w:p>
      <w:pPr>
        <w:spacing w:after="0" w:line="81"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4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2021</w:t>
            </w:r>
          </w:p>
        </w:tc>
      </w:tr>
      <w:tr>
        <w:trPr>
          <w:trHeight w:val="211"/>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5,196,869</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3,928,287</w:t>
            </w:r>
          </w:p>
        </w:tc>
      </w:tr>
      <w:tr>
        <w:trPr>
          <w:trHeight w:val="216"/>
        </w:trPr>
        <w:tc>
          <w:tcPr>
            <w:tcW w:w="8420" w:type="dxa"/>
            <w:vAlign w:val="bottom"/>
            <w:gridSpan w:val="2"/>
          </w:tcPr>
          <w:p>
            <w:pPr>
              <w:ind w:left="20"/>
              <w:spacing w:after="0"/>
              <w:rPr>
                <w:sz w:val="20"/>
                <w:szCs w:val="20"/>
                <w:color w:val="auto"/>
              </w:rPr>
            </w:pPr>
            <w:r>
              <w:rPr>
                <w:rFonts w:ascii="Arial" w:cs="Arial" w:eastAsia="Arial" w:hAnsi="Arial"/>
                <w:sz w:val="17"/>
                <w:szCs w:val="17"/>
                <w:color w:val="auto"/>
              </w:rPr>
              <w:t>Restricted stock awards granted and not purchased</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4,195</w:t>
            </w:r>
          </w:p>
        </w:tc>
      </w:tr>
      <w:tr>
        <w:trPr>
          <w:trHeight w:val="217"/>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restricted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96,245</w:t>
            </w:r>
          </w:p>
        </w:tc>
      </w:tr>
      <w:tr>
        <w:trPr>
          <w:trHeight w:val="209"/>
        </w:trPr>
        <w:tc>
          <w:tcPr>
            <w:tcW w:w="7340" w:type="dxa"/>
            <w:vAlign w:val="bottom"/>
          </w:tcPr>
          <w:p>
            <w:pPr>
              <w:ind w:left="200"/>
              <w:spacing w:after="0"/>
              <w:rPr>
                <w:sz w:val="20"/>
                <w:szCs w:val="20"/>
                <w:color w:val="auto"/>
              </w:rPr>
            </w:pPr>
            <w:r>
              <w:rPr>
                <w:rFonts w:ascii="Arial" w:cs="Arial" w:eastAsia="Arial" w:hAnsi="Arial"/>
                <w:sz w:val="17"/>
                <w:szCs w:val="17"/>
                <w:color w:val="auto"/>
              </w:rPr>
              <w:t>Total</w:t>
            </w:r>
          </w:p>
        </w:tc>
        <w:tc>
          <w:tcPr>
            <w:tcW w:w="10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5,203,104</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4,028,727</w:t>
            </w:r>
          </w:p>
        </w:tc>
      </w:tr>
      <w:tr>
        <w:trPr>
          <w:trHeight w:val="20"/>
        </w:trPr>
        <w:tc>
          <w:tcPr>
            <w:tcW w:w="7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620" w:firstLine="1070"/>
        <w:spacing w:after="0" w:line="274" w:lineRule="auto"/>
        <w:rPr>
          <w:sz w:val="20"/>
          <w:szCs w:val="20"/>
          <w:color w:val="auto"/>
        </w:rPr>
      </w:pPr>
      <w:r>
        <w:rPr>
          <w:rFonts w:ascii="Arial" w:cs="Arial" w:eastAsia="Arial" w:hAnsi="Arial"/>
          <w:sz w:val="17"/>
          <w:szCs w:val="17"/>
          <w:color w:val="auto"/>
        </w:rPr>
        <w:t>A reconciliation of the numerator and denominator used in the calculation of the basic and diluted net loss per share attributable to common stockholders is as follows (in thousands, except share and per share amounts):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0"/>
        </w:trPr>
        <w:tc>
          <w:tcPr>
            <w:tcW w:w="8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75"/>
        </w:trPr>
        <w:tc>
          <w:tcPr>
            <w:tcW w:w="81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6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Net loss per share: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Numerator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(28,100)</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(22,856)</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160" w:type="dxa"/>
            <w:vAlign w:val="bottom"/>
            <w:shd w:val="clear" w:color="auto" w:fill="CFF0FC"/>
          </w:tcPr>
          <w:p>
            <w:pPr>
              <w:ind w:left="20"/>
              <w:spacing w:after="0" w:line="167" w:lineRule="exact"/>
              <w:rPr>
                <w:sz w:val="20"/>
                <w:szCs w:val="20"/>
                <w:color w:val="auto"/>
              </w:rPr>
            </w:pPr>
            <w:r>
              <w:rPr>
                <w:rFonts w:ascii="Arial" w:cs="Arial" w:eastAsia="Arial" w:hAnsi="Arial"/>
                <w:sz w:val="17"/>
                <w:szCs w:val="17"/>
                <w:color w:val="auto"/>
              </w:rPr>
              <w:t>Weighted-average common shares outstanding used to calculate net loss per share attributable to common</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180"/>
              <w:spacing w:after="0"/>
              <w:rPr>
                <w:sz w:val="20"/>
                <w:szCs w:val="20"/>
                <w:color w:val="auto"/>
              </w:rPr>
            </w:pPr>
            <w:r>
              <w:rPr>
                <w:rFonts w:ascii="Arial" w:cs="Arial" w:eastAsia="Arial" w:hAnsi="Arial"/>
                <w:sz w:val="17"/>
                <w:szCs w:val="17"/>
                <w:color w:val="auto"/>
              </w:rPr>
              <w:t>stockholders: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36,116,440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35,645,205</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36,116,440</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35,645,205</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(0.78)</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bottom w:val="single" w:sz="8" w:color="CFF0FC"/>
            </w:tcBorders>
            <w:vMerge w:val="restart"/>
          </w:tcPr>
          <w:p>
            <w:pPr>
              <w:ind w:left="200"/>
              <w:spacing w:after="0"/>
              <w:rPr>
                <w:sz w:val="20"/>
                <w:szCs w:val="20"/>
                <w:color w:val="auto"/>
              </w:rPr>
            </w:pPr>
            <w:r>
              <w:rPr>
                <w:rFonts w:ascii="Arial" w:cs="Arial" w:eastAsia="Arial" w:hAnsi="Arial"/>
                <w:sz w:val="17"/>
                <w:szCs w:val="17"/>
                <w:color w:val="auto"/>
              </w:rPr>
              <w:t>Diluted</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16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35"/>
              <w:spacing w:after="0" w:line="188"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(0.78)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5"/>
              <w:spacing w:after="0" w:line="188"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Events</w:t>
      </w:r>
    </w:p>
    <w:p>
      <w:pPr>
        <w:spacing w:after="0" w:line="14" w:lineRule="exact"/>
        <w:rPr>
          <w:sz w:val="20"/>
          <w:szCs w:val="20"/>
          <w:color w:val="auto"/>
        </w:rPr>
      </w:pPr>
    </w:p>
    <w:p>
      <w:pPr>
        <w:ind w:firstLine="1070"/>
        <w:spacing w:after="0" w:line="236" w:lineRule="auto"/>
        <w:rPr>
          <w:sz w:val="20"/>
          <w:szCs w:val="20"/>
          <w:color w:val="auto"/>
        </w:rPr>
      </w:pPr>
      <w:r>
        <w:rPr>
          <w:rFonts w:ascii="Arial" w:cs="Arial" w:eastAsia="Arial" w:hAnsi="Arial"/>
          <w:sz w:val="16"/>
          <w:szCs w:val="16"/>
          <w:color w:val="auto"/>
        </w:rPr>
        <w:t>In May 2022, the Company entered into a term loan facility (the “Oxford Loan Agreement”) with Oxford Finance LLC for up to $100.0 million. Pursuant to the Agreement, the Company received an initial term loan of $10.0 million of an initial $25.0 million tranche at closing, with the remaining $15.0 million available through the end of the year. The Company has access to an additional $75.0 million over three tranches, $50.0 million of which is at its option upon the satisfaction of certain conditions related to the development of PLN-74809 and one of the Company’s preclinical product candidates, and $25.0 million at the Lender’s discretion. Borrowings under the Oxford Loan Agreement bear interest at a rate per annum equal to 1-month term Secured Overnight Financing Rate (SOFR) plus 8.5%, subject to an agreed upon floor and cap. The Oxford Loan Agreement requires the Company to make monthly interest-only payments until July 1, 2026 (extendable to July 1, 2027) with monthly interest and principal payments thereafter until the maturity date of May 1, 2027 (extendable to May 1, 2028). There are no warrants or financial covenants in the Oxford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6" w:lineRule="exact"/>
        <w:rPr>
          <w:sz w:val="20"/>
          <w:szCs w:val="20"/>
          <w:color w:val="auto"/>
        </w:rPr>
      </w:pPr>
    </w:p>
    <w:p>
      <w:pPr>
        <w:ind w:right="60" w:firstLine="1070"/>
        <w:spacing w:after="0" w:line="253"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condensed financial statements and related notes appearing elsewhere in this Quarterly Report on Form 10-Q, or this Report, as well as our audited financial statements and related notes included in our Annual Report on Form 10-K for the fiscal year ended December 31, 2021, filed with the Securities and Exchange Commission, or SEC.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Annual Report on Form 10-K for the fiscal year ended December 31, 2020. In some cases, you can identify forward-looking statements by terminology such as “anticipate,” “believe,” “continue,” “could,” “estimate,” “expect,” “intend,” “may,” “plan,” “potentially,” “predict,” “should,” “will” or the negative of these terms or other similar expressions.</w:t>
      </w:r>
    </w:p>
    <w:p>
      <w:pPr>
        <w:spacing w:after="0" w:line="183" w:lineRule="exact"/>
        <w:rPr>
          <w:sz w:val="20"/>
          <w:szCs w:val="20"/>
          <w:color w:val="auto"/>
        </w:rPr>
      </w:pPr>
    </w:p>
    <w:p>
      <w:pPr>
        <w:ind w:right="40" w:firstLine="1070"/>
        <w:spacing w:after="0" w:line="279" w:lineRule="auto"/>
        <w:rPr>
          <w:sz w:val="20"/>
          <w:szCs w:val="20"/>
          <w:color w:val="auto"/>
        </w:rPr>
      </w:pPr>
      <w:r>
        <w:rPr>
          <w:rFonts w:ascii="Arial" w:cs="Arial" w:eastAsia="Arial" w:hAnsi="Arial"/>
          <w:sz w:val="16"/>
          <w:szCs w:val="16"/>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ind w:firstLine="611"/>
        <w:spacing w:after="0" w:line="273" w:lineRule="auto"/>
        <w:rPr>
          <w:sz w:val="20"/>
          <w:szCs w:val="20"/>
          <w:color w:val="auto"/>
        </w:rPr>
      </w:pPr>
      <w:r>
        <w:rPr>
          <w:rFonts w:ascii="Arial" w:cs="Arial" w:eastAsia="Arial" w:hAnsi="Arial"/>
          <w:sz w:val="16"/>
          <w:szCs w:val="16"/>
          <w:color w:val="auto"/>
        </w:rPr>
        <w:t>We are a clinical 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PLN-74809, is an oral, small-molecule, dual selective inhibitor of αvß6 and αvß1 integrins that we are developing for the treatment of idiopathic pulmonary fibrosis, or IPF, and primary sclerosing cholangitis, or PSC. We have completed several Phase 1 trials of PLN-74809 in IPF and are currently recruiting three Phase 2a trials in our lead indications: two in IPF and one in PSC.</w:t>
      </w:r>
    </w:p>
    <w:p>
      <w:pPr>
        <w:spacing w:after="0" w:line="69" w:lineRule="exact"/>
        <w:rPr>
          <w:sz w:val="20"/>
          <w:szCs w:val="20"/>
          <w:color w:val="auto"/>
        </w:rPr>
      </w:pPr>
    </w:p>
    <w:p>
      <w:pPr>
        <w:ind w:right="220" w:firstLine="1070"/>
        <w:spacing w:after="0" w:line="303" w:lineRule="auto"/>
        <w:rPr>
          <w:sz w:val="20"/>
          <w:szCs w:val="20"/>
          <w:color w:val="auto"/>
        </w:rPr>
      </w:pPr>
      <w:r>
        <w:rPr>
          <w:rFonts w:ascii="Arial" w:cs="Arial" w:eastAsia="Arial" w:hAnsi="Arial"/>
          <w:sz w:val="15"/>
          <w:szCs w:val="15"/>
          <w:color w:val="auto"/>
        </w:rPr>
        <w:t>Our second product candidate, PLN-1474, is a small-molecule selective inhibitor of αvß1 for the treatment of liver fibrosis associated with nonalcoholic steatohepatitis, or NASH, which we have partnered with Novartis. PLN-1474 successfully completed a Phase 1 SAD/MAD trial in March 2021, and the Investigational New Drug, or IND, application was transferred to Novartis in the first quarter of 2021. Novartis is responsible for all PLN-1474 development, manufacturing and commercialization activities and we earn research and development services revenue in supporting certain aspects of the development plan.</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addition to our clinical programs, we currently have preclinical integrin-based programs targeting oncology and muscular dystrophies.</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color w:val="auto"/>
        </w:rPr>
        <w:t>First Quarter and Recent Highlights</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u w:val="single" w:color="auto"/>
          <w:color w:val="auto"/>
        </w:rPr>
        <w:t>PLN-74809 Highlights</w:t>
      </w:r>
    </w:p>
    <w:p>
      <w:pPr>
        <w:spacing w:after="0" w:line="106" w:lineRule="exact"/>
        <w:rPr>
          <w:sz w:val="20"/>
          <w:szCs w:val="20"/>
          <w:color w:val="auto"/>
        </w:rPr>
      </w:pPr>
    </w:p>
    <w:p>
      <w:pPr>
        <w:ind w:left="2140" w:right="60" w:hanging="1068"/>
        <w:spacing w:after="0" w:line="257" w:lineRule="auto"/>
        <w:tabs>
          <w:tab w:leader="none" w:pos="21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INTEGRIS-IPF Phase 2a trial data readout anticipated in mid-2022. </w:t>
      </w:r>
      <w:r>
        <w:rPr>
          <w:rFonts w:ascii="Arial" w:cs="Arial" w:eastAsia="Arial" w:hAnsi="Arial"/>
          <w:sz w:val="17"/>
          <w:szCs w:val="17"/>
          <w:color w:val="auto"/>
        </w:rPr>
        <w:t>All patients enrolled in the trial have completed treatment.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is a 12-week, randomized, double-blind, placebo-controlled trial evaluating PLN-74809 in patients with idiopathic pulmonary fibrosis (IPF) at once daily doses of 40, 80 and 160 mg. Data will include the primary and secondary endpoints of safety, tolerability, and pharmacokinetics. Exploratory efficacy endpoints will include quantitative lung fibrosis (QLF) imaging as well as pulmonary function tests and biomarkers.</w:t>
      </w:r>
    </w:p>
    <w:p>
      <w:pPr>
        <w:spacing w:after="0" w:line="74" w:lineRule="exact"/>
        <w:rPr>
          <w:rFonts w:ascii="Arial" w:cs="Arial" w:eastAsia="Arial" w:hAnsi="Arial"/>
          <w:sz w:val="17"/>
          <w:szCs w:val="17"/>
          <w:color w:val="auto"/>
        </w:rPr>
      </w:pPr>
    </w:p>
    <w:p>
      <w:pPr>
        <w:ind w:left="2140" w:right="220" w:hanging="1068"/>
        <w:spacing w:after="0" w:line="259" w:lineRule="auto"/>
        <w:tabs>
          <w:tab w:leader="none" w:pos="21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Positive independent Data Safety Monitoring Board (DSMB) review provides additional support for tolerability profile for PLN-74809. </w:t>
      </w:r>
      <w:r>
        <w:rPr>
          <w:rFonts w:ascii="Arial" w:cs="Arial" w:eastAsia="Arial" w:hAnsi="Arial"/>
          <w:sz w:val="17"/>
          <w:szCs w:val="17"/>
          <w:color w:val="auto"/>
        </w:rPr>
        <w:t>The DSMB recommended the INTEGRIS-IPF trial continue without modification. This review occurred after</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 of enrollment and included all patients enrolled in all dose cohorts of the trial. To date, no safety concerns have been identified by the DSMB. The INTEGRIS-IPF trial completed enrollment in December 2021.</w:t>
      </w:r>
    </w:p>
    <w:p>
      <w:pPr>
        <w:spacing w:after="0" w:line="73" w:lineRule="exact"/>
        <w:rPr>
          <w:rFonts w:ascii="Arial" w:cs="Arial" w:eastAsia="Arial" w:hAnsi="Arial"/>
          <w:sz w:val="17"/>
          <w:szCs w:val="17"/>
          <w:color w:val="auto"/>
        </w:rPr>
      </w:pPr>
    </w:p>
    <w:p>
      <w:pPr>
        <w:ind w:left="2140" w:right="40" w:hanging="1068"/>
        <w:spacing w:after="0" w:line="264" w:lineRule="auto"/>
        <w:tabs>
          <w:tab w:leader="none" w:pos="21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Phase 2a trial evaluating PLN-74809 at 320 mg for 6 months currently enrolling patients with IPF. </w:t>
      </w:r>
      <w:r>
        <w:rPr>
          <w:rFonts w:ascii="Arial" w:cs="Arial" w:eastAsia="Arial" w:hAnsi="Arial"/>
          <w:sz w:val="17"/>
          <w:szCs w:val="17"/>
          <w:color w:val="auto"/>
        </w:rPr>
        <w:t>This randomized, double-blind, placebo-controlled trial will evaluate PLN-74809 at a once daily dose of 320 mg administered for at least six months and up to 48 weeks in</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22" w:name="page23"/>
    <w:bookmarkEnd w:id="22"/>
    <w:p>
      <w:pPr>
        <w:ind w:left="2140" w:right="20"/>
        <w:spacing w:after="0" w:line="262" w:lineRule="auto"/>
        <w:rPr>
          <w:sz w:val="20"/>
          <w:szCs w:val="20"/>
          <w:color w:val="auto"/>
        </w:rPr>
      </w:pPr>
      <w:r>
        <w:rPr>
          <w:rFonts w:ascii="Arial" w:cs="Arial" w:eastAsia="Arial" w:hAnsi="Arial"/>
          <w:sz w:val="17"/>
          <w:szCs w:val="17"/>
          <w:color w:val="auto"/>
        </w:rPr>
        <w:t>approximately 28 patients with IPF. The trial will evaluate primary and secondary endpoints of safety, tolerability and pharmacokinetics. Exploratory efficacy endpoints will include QLF imaging as well as pulmonary function tests and biomarkers over 6 months of treatment.</w:t>
      </w:r>
    </w:p>
    <w:p>
      <w:pPr>
        <w:spacing w:after="0" w:line="69" w:lineRule="exact"/>
        <w:rPr>
          <w:sz w:val="20"/>
          <w:szCs w:val="20"/>
          <w:color w:val="auto"/>
        </w:rPr>
      </w:pPr>
    </w:p>
    <w:p>
      <w:pPr>
        <w:ind w:left="2140" w:right="160" w:hanging="1068"/>
        <w:spacing w:after="0" w:line="277" w:lineRule="auto"/>
        <w:tabs>
          <w:tab w:leader="none" w:pos="2136"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FDA Fast Track designation received for PLN-74809 for the treatment of idiopathic pulmonary fibrosis (IPF). </w:t>
      </w:r>
      <w:r>
        <w:rPr>
          <w:rFonts w:ascii="Arial" w:cs="Arial" w:eastAsia="Arial" w:hAnsi="Arial"/>
          <w:sz w:val="16"/>
          <w:szCs w:val="16"/>
          <w:color w:val="auto"/>
        </w:rPr>
        <w:t>FDA’s Fast</w:t>
      </w:r>
      <w:r>
        <w:rPr>
          <w:rFonts w:ascii="Arial" w:cs="Arial" w:eastAsia="Arial" w:hAnsi="Arial"/>
          <w:sz w:val="16"/>
          <w:szCs w:val="16"/>
          <w:b w:val="1"/>
          <w:bCs w:val="1"/>
          <w:color w:val="auto"/>
        </w:rPr>
        <w:t xml:space="preserve"> </w:t>
      </w:r>
      <w:r>
        <w:rPr>
          <w:rFonts w:ascii="Arial" w:cs="Arial" w:eastAsia="Arial" w:hAnsi="Arial"/>
          <w:sz w:val="16"/>
          <w:szCs w:val="16"/>
          <w:color w:val="auto"/>
        </w:rPr>
        <w:t>Track designation is intended to facilitate and expedite the development and review of new drugs to treat serious or life-threatening conditions. The benefits of Fast Track designation include opportunities for frequent meetings with the FDA to discuss trial design, development plans and data needed to support drug approval, as well as the ability to submit a New Drug Application (NDA) on a rolling basis, and eligibility for priority review, if relevant criteria are met.</w:t>
      </w:r>
    </w:p>
    <w:p>
      <w:pPr>
        <w:spacing w:after="0" w:line="58" w:lineRule="exact"/>
        <w:rPr>
          <w:rFonts w:ascii="Arial" w:cs="Arial" w:eastAsia="Arial" w:hAnsi="Arial"/>
          <w:sz w:val="16"/>
          <w:szCs w:val="16"/>
          <w:color w:val="auto"/>
        </w:rPr>
      </w:pPr>
    </w:p>
    <w:p>
      <w:pPr>
        <w:ind w:left="2140" w:hanging="1068"/>
        <w:spacing w:after="0" w:line="305" w:lineRule="auto"/>
        <w:tabs>
          <w:tab w:leader="none" w:pos="2136"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Expanded PLN-74809 Phase 1b proof-of-mechanism trial demonstrated durable inhibition of TGF-β signaling in the lungs of healthy participants. </w:t>
      </w:r>
      <w:r>
        <w:rPr>
          <w:rFonts w:ascii="Arial" w:cs="Arial" w:eastAsia="Arial" w:hAnsi="Arial"/>
          <w:sz w:val="15"/>
          <w:szCs w:val="15"/>
          <w:color w:val="auto"/>
        </w:rPr>
        <w:t>Results from an expanded Phase 1b proof-of-mechanism trial of PLN-74809 demonstrated on-target biological</w:t>
      </w:r>
      <w:r>
        <w:rPr>
          <w:rFonts w:ascii="Arial" w:cs="Arial" w:eastAsia="Arial" w:hAnsi="Arial"/>
          <w:sz w:val="15"/>
          <w:szCs w:val="15"/>
          <w:b w:val="1"/>
          <w:bCs w:val="1"/>
          <w:color w:val="auto"/>
        </w:rPr>
        <w:t xml:space="preserve"> </w:t>
      </w:r>
      <w:r>
        <w:rPr>
          <w:rFonts w:ascii="Arial" w:cs="Arial" w:eastAsia="Arial" w:hAnsi="Arial"/>
          <w:sz w:val="15"/>
          <w:szCs w:val="15"/>
          <w:color w:val="auto"/>
        </w:rPr>
        <w:t>activity in the lungs of 36 healthy participants with inhibition of TGF-β activation by up to 92% and 76% at 6- and 24-hours, respectively, following seven days of once-daily dosing. TGF-β activation strongly contributes to fibrotic disorders including IPF.</w:t>
      </w:r>
    </w:p>
    <w:p>
      <w:pPr>
        <w:spacing w:after="0" w:line="40" w:lineRule="exact"/>
        <w:rPr>
          <w:rFonts w:ascii="Arial" w:cs="Arial" w:eastAsia="Arial" w:hAnsi="Arial"/>
          <w:sz w:val="15"/>
          <w:szCs w:val="15"/>
          <w:color w:val="auto"/>
        </w:rPr>
      </w:pPr>
    </w:p>
    <w:p>
      <w:pPr>
        <w:ind w:left="2140" w:hanging="1068"/>
        <w:spacing w:after="0" w:line="273" w:lineRule="auto"/>
        <w:tabs>
          <w:tab w:leader="none" w:pos="2136"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EMA Orphan Drug designation received for PLN-74809 for the treatment of primary sclerosing cholangitis (PSC). </w:t>
      </w:r>
      <w:r>
        <w:rPr>
          <w:rFonts w:ascii="Arial" w:cs="Arial" w:eastAsia="Arial" w:hAnsi="Arial"/>
          <w:sz w:val="16"/>
          <w:szCs w:val="16"/>
          <w:color w:val="auto"/>
        </w:rPr>
        <w:t>Benefits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European Medicines Association (EMA) Orphan Drug designation include trial design assistance, a centralized EU approval process, and 10 years of market exclusivity. To qualify, an investigational medicine must target a seriously debilitating or life-threatening condition affecting fewer than five in 10,000 people in the EU and must show sufficient non-clinical or clinical data to suggest it may produce clinically relevant outcomes. PLN-74809 received Orphan Drug designation from the United States Food and Drug Administration (FDA) in 2018. Topline data from the ongoing Phase 2a INTEGRIS-PSC 12-week, randomized, double-blind, placebo-controlled trial is expected in the first half of 2023.</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u w:val="single" w:color="auto"/>
          <w:color w:val="auto"/>
        </w:rPr>
        <w:t>Early-Stage Development Programs</w:t>
      </w:r>
    </w:p>
    <w:p>
      <w:pPr>
        <w:spacing w:after="0" w:line="106" w:lineRule="exact"/>
        <w:rPr>
          <w:sz w:val="20"/>
          <w:szCs w:val="20"/>
          <w:color w:val="auto"/>
        </w:rPr>
      </w:pPr>
    </w:p>
    <w:p>
      <w:pPr>
        <w:ind w:left="2140" w:right="40" w:hanging="1068"/>
        <w:spacing w:after="0" w:line="279" w:lineRule="auto"/>
        <w:tabs>
          <w:tab w:leader="none" w:pos="2136"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Oncology and muscular dystrophy programs progressing through Investigational New Drug enabling studies. </w:t>
      </w:r>
      <w:r>
        <w:rPr>
          <w:rFonts w:ascii="Arial" w:cs="Arial" w:eastAsia="Arial" w:hAnsi="Arial"/>
          <w:sz w:val="17"/>
          <w:szCs w:val="17"/>
          <w:color w:val="auto"/>
        </w:rPr>
        <w:t>IND application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submissions for both programs is expected by the end of 2022.</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u w:val="single" w:color="auto"/>
          <w:color w:val="auto"/>
        </w:rPr>
        <w:t>Corporate Highlights</w:t>
      </w:r>
    </w:p>
    <w:p>
      <w:pPr>
        <w:spacing w:after="0" w:line="106" w:lineRule="exact"/>
        <w:rPr>
          <w:sz w:val="20"/>
          <w:szCs w:val="20"/>
          <w:color w:val="auto"/>
        </w:rPr>
      </w:pPr>
    </w:p>
    <w:p>
      <w:pPr>
        <w:ind w:left="2140" w:hanging="1068"/>
        <w:spacing w:after="0" w:line="274" w:lineRule="auto"/>
        <w:tabs>
          <w:tab w:leader="none" w:pos="2136"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Cash runway extended to mid-2024 with $100 million loan facility from Oxford Finance. </w:t>
      </w:r>
      <w:r>
        <w:rPr>
          <w:rFonts w:ascii="Arial" w:cs="Arial" w:eastAsia="Arial" w:hAnsi="Arial"/>
          <w:sz w:val="16"/>
          <w:szCs w:val="16"/>
          <w:color w:val="auto"/>
        </w:rPr>
        <w:t>Under the terms of the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Pliant drew $10 million of an initial $25 million tranche at closing, with the remaining $15 million available through the end of the year. The Company has access to an additional $75 million over three tranches, $50 million of which is based on pre-determined milestones, and $25 million at Oxford’s discretion. The loan carries an interest-only period of 48 months (extendable to 60 months) and total term of 60 months (extendable to 72 months). Interest is based on a floating rate which is subject to both a floor and a cap. There are no warrants or financial covenants in the agreement.</w:t>
      </w:r>
    </w:p>
    <w:p>
      <w:pPr>
        <w:spacing w:after="0" w:line="39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Since inception, we have had significant operating losses. Our net loss was $28.1 million for the three months ended March 31, 2022. As of</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March 31, 2022, we had an accumulated deficit of $243.2 million and cash, cash equivalents and short-term investments of $178.3 million. We expect to continue to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incur net losses for the foreseeable future, and we expect our research and development expenses, general and administrative expenses, and capital expenditures will</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increase in connection with our ongoing activities, as we:</w:t>
      </w:r>
    </w:p>
    <w:p>
      <w:pPr>
        <w:spacing w:after="0" w:line="99" w:lineRule="exact"/>
        <w:rPr>
          <w:sz w:val="20"/>
          <w:szCs w:val="20"/>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perform research and development activities to identify and develop product candidates;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advance product candidates into and through clinical development;</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the manufacture of supplies to support research and development, preclinical studies and clinical trials;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23" w:name="page24"/>
    <w:bookmarkEnd w:id="23"/>
    <w:p>
      <w:pPr>
        <w:ind w:left="2140" w:right="940" w:hanging="1068"/>
        <w:spacing w:after="0" w:line="274" w:lineRule="auto"/>
        <w:tabs>
          <w:tab w:leader="none" w:pos="21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to support our clinical development, manufacturing and commercialization efforts and our operations as a public company;</w:t>
      </w:r>
    </w:p>
    <w:p>
      <w:pPr>
        <w:spacing w:after="0" w:line="63" w:lineRule="exact"/>
        <w:rPr>
          <w:rFonts w:ascii="Arial" w:cs="Arial" w:eastAsia="Arial" w:hAnsi="Arial"/>
          <w:sz w:val="17"/>
          <w:szCs w:val="17"/>
          <w:color w:val="auto"/>
        </w:rPr>
      </w:pPr>
    </w:p>
    <w:p>
      <w:pPr>
        <w:ind w:left="2140" w:hanging="1068"/>
        <w:spacing w:after="0"/>
        <w:tabs>
          <w:tab w:leader="none" w:pos="2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 and</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invest in or in-license other technologies or product candidates.</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Components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right="80" w:firstLine="1070"/>
        <w:spacing w:after="0" w:line="253" w:lineRule="auto"/>
        <w:rPr>
          <w:sz w:val="20"/>
          <w:szCs w:val="20"/>
          <w:color w:val="auto"/>
        </w:rPr>
      </w:pPr>
      <w:r>
        <w:rPr>
          <w:rFonts w:ascii="Arial" w:cs="Arial" w:eastAsia="Arial" w:hAnsi="Arial"/>
          <w:sz w:val="17"/>
          <w:szCs w:val="17"/>
          <w:color w:val="auto"/>
        </w:rPr>
        <w:t>We have not generated any revenue from product sales and do not expect to do so in the near future. Our revenue to date is derived from a Collaboration and License Agreement with Novartis (the "Novartis Agreement") that was executed in 2019. The Novartis Agreement is for the development and commercialization of PLN-1474 and up to three additional integrin research targets. Under the terms of the Novartis Agreement, we received an upfront license fee payment of $50.0 million for the worldwide, exclusive license to PLN-1474 and an additional $25.0 million upon first-patient dosed in our Phase 1 trial of PLN-1474 in the first quarter of 2020. We are eligible to receive additional milestone payments of up to $391.0 million in total, if defined developmental, regulatory and commercialization milestones are achieved, and tiered royalties on a product-by-product basis based on annual nets sales of products. Additionally, Novartis is providing up to $20.0 million and up to $13.8 million in funding for the initial research and development activities associated with PLN-1474 and integrin research targets, respectively. As of March 31, 2022, approximately $1.2 million of aggregate research and development funding remains available for use under the arrangement.</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110" w:lineRule="exact"/>
        <w:rPr>
          <w:sz w:val="20"/>
          <w:szCs w:val="20"/>
          <w:color w:val="auto"/>
        </w:rPr>
      </w:pPr>
    </w:p>
    <w:p>
      <w:pPr>
        <w:ind w:right="180" w:firstLine="1070"/>
        <w:spacing w:after="0" w:line="274" w:lineRule="auto"/>
        <w:rPr>
          <w:sz w:val="20"/>
          <w:szCs w:val="20"/>
          <w:color w:val="auto"/>
        </w:rPr>
      </w:pPr>
      <w:r>
        <w:rPr>
          <w:rFonts w:ascii="Arial" w:cs="Arial" w:eastAsia="Arial" w:hAnsi="Arial"/>
          <w:sz w:val="17"/>
          <w:szCs w:val="17"/>
          <w:color w:val="auto"/>
        </w:rPr>
        <w:t>Our research and development expenses consist of expenses incurred in connection with the development of our product candidates. Research and development expenses include:</w:t>
      </w:r>
    </w:p>
    <w:p>
      <w:pPr>
        <w:spacing w:after="0" w:line="63" w:lineRule="exact"/>
        <w:rPr>
          <w:sz w:val="20"/>
          <w:szCs w:val="20"/>
          <w:color w:val="auto"/>
        </w:rPr>
      </w:pPr>
    </w:p>
    <w:p>
      <w:pPr>
        <w:ind w:left="2140" w:right="560" w:hanging="1068"/>
        <w:spacing w:after="0" w:line="274" w:lineRule="auto"/>
        <w:tabs>
          <w:tab w:leader="none" w:pos="21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and stock-based compensation for our research and development personnel;</w:t>
      </w:r>
    </w:p>
    <w:p>
      <w:pPr>
        <w:spacing w:after="0" w:line="63" w:lineRule="exact"/>
        <w:rPr>
          <w:rFonts w:ascii="Arial" w:cs="Arial" w:eastAsia="Arial" w:hAnsi="Arial"/>
          <w:sz w:val="17"/>
          <w:szCs w:val="17"/>
          <w:color w:val="auto"/>
        </w:rPr>
      </w:pPr>
    </w:p>
    <w:p>
      <w:pPr>
        <w:ind w:left="2140" w:hanging="1068"/>
        <w:spacing w:after="0" w:line="274" w:lineRule="auto"/>
        <w:tabs>
          <w:tab w:leader="none" w:pos="21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expenses incurred under agreements with third-party contract organizations for pre-clinical studies, clinical trials and consultants that conduct research and development activities on our behalf;</w:t>
      </w:r>
    </w:p>
    <w:p>
      <w:pPr>
        <w:spacing w:after="0" w:line="63" w:lineRule="exact"/>
        <w:rPr>
          <w:rFonts w:ascii="Arial" w:cs="Arial" w:eastAsia="Arial" w:hAnsi="Arial"/>
          <w:sz w:val="17"/>
          <w:szCs w:val="17"/>
          <w:color w:val="auto"/>
        </w:rPr>
      </w:pPr>
    </w:p>
    <w:p>
      <w:pPr>
        <w:ind w:left="2140" w:hanging="1068"/>
        <w:spacing w:after="0"/>
        <w:tabs>
          <w:tab w:leader="none" w:pos="2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associated with the manufacture of supplies to support research and development, preclinical studies and clinical trials;</w:t>
      </w:r>
    </w:p>
    <w:p>
      <w:pPr>
        <w:spacing w:after="0" w:line="121" w:lineRule="exact"/>
        <w:rPr>
          <w:rFonts w:ascii="Arial" w:cs="Arial" w:eastAsia="Arial" w:hAnsi="Arial"/>
          <w:sz w:val="16"/>
          <w:szCs w:val="16"/>
          <w:color w:val="auto"/>
        </w:rPr>
      </w:pPr>
    </w:p>
    <w:p>
      <w:pPr>
        <w:ind w:left="2140" w:hanging="1068"/>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depreciation of laboratory equipment and costs of equipment and supplies;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costs associated with technology and intellectual property licenses; and</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facilities and other allocated expenses, which include expenses for rent and other facility related costs and other supplies.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10" w:lineRule="exact"/>
        <w:rPr>
          <w:sz w:val="20"/>
          <w:szCs w:val="20"/>
          <w:color w:val="auto"/>
        </w:rPr>
      </w:pPr>
    </w:p>
    <w:p>
      <w:pPr>
        <w:ind w:right="220" w:firstLine="1070"/>
        <w:spacing w:after="0" w:line="262" w:lineRule="auto"/>
        <w:rPr>
          <w:sz w:val="20"/>
          <w:szCs w:val="20"/>
          <w:color w:val="auto"/>
        </w:rPr>
      </w:pPr>
      <w:r>
        <w:rPr>
          <w:rFonts w:ascii="Arial" w:cs="Arial" w:eastAsia="Arial" w:hAnsi="Arial"/>
          <w:sz w:val="17"/>
          <w:szCs w:val="17"/>
          <w:color w:val="auto"/>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ind w:right="220" w:firstLine="1070"/>
        <w:spacing w:after="0" w:line="274" w:lineRule="auto"/>
        <w:rPr>
          <w:sz w:val="20"/>
          <w:szCs w:val="20"/>
          <w:color w:val="auto"/>
        </w:rPr>
      </w:pPr>
      <w:r>
        <w:rPr>
          <w:rFonts w:ascii="Arial" w:cs="Arial" w:eastAsia="Arial" w:hAnsi="Arial"/>
          <w:sz w:val="17"/>
          <w:szCs w:val="17"/>
          <w:color w:val="auto"/>
        </w:rPr>
        <w:t>Our interest and other income (expense), net consists of interest income earned on cash and cash equivalents, money market funds and short-term investments and realized gains and losses on investments.</w:t>
      </w:r>
    </w:p>
    <w:p>
      <w:pPr>
        <w:spacing w:after="0" w:line="26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Financial Operations Overview</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March 31, 2022 and 2021 (in thousands)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20" w:top="955" w:right="399" w:bottom="1440" w:gutter="0" w:footer="0" w:header="0"/>
        </w:sectPr>
      </w:pPr>
    </w:p>
    <w:bookmarkStart w:id="24" w:name="page25"/>
    <w:bookmarkEnd w:id="24"/>
    <w:tbl>
      <w:tblPr>
        <w:tblLayout w:type="fixed"/>
        <w:tblInd w:w="220" w:type="dxa"/>
        <w:tblCellMar>
          <w:top w:w="0" w:type="dxa"/>
          <w:left w:w="0" w:type="dxa"/>
          <w:bottom w:w="0" w:type="dxa"/>
          <w:right w:w="0" w:type="dxa"/>
        </w:tblCellMar>
      </w:tblPr>
      <w:tr>
        <w:trPr>
          <w:trHeight w:val="179"/>
        </w:trPr>
        <w:tc>
          <w:tcPr>
            <w:tcW w:w="6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634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r>
      <w:tr>
        <w:trPr>
          <w:trHeight w:val="216"/>
        </w:trPr>
        <w:tc>
          <w:tcPr>
            <w:tcW w:w="6340" w:type="dxa"/>
            <w:vAlign w:val="bottom"/>
          </w:tcPr>
          <w:p>
            <w:pPr>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w:t>
            </w:r>
          </w:p>
        </w:tc>
      </w:tr>
      <w:tr>
        <w:trPr>
          <w:trHeight w:val="216"/>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(2,013)</w:t>
            </w:r>
          </w:p>
        </w:tc>
      </w:tr>
      <w:tr>
        <w:trPr>
          <w:trHeight w:val="210"/>
        </w:trPr>
        <w:tc>
          <w:tcPr>
            <w:tcW w:w="6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(4,367)</w:t>
            </w:r>
          </w:p>
        </w:tc>
      </w:tr>
      <w:tr>
        <w:trPr>
          <w:trHeight w:val="209"/>
        </w:trPr>
        <w:tc>
          <w:tcPr>
            <w:tcW w:w="6340" w:type="dxa"/>
            <w:vAlign w:val="bottom"/>
          </w:tcPr>
          <w:p>
            <w:pPr>
              <w:ind w:left="200"/>
              <w:spacing w:after="0"/>
              <w:rPr>
                <w:sz w:val="20"/>
                <w:szCs w:val="20"/>
                <w:color w:val="auto"/>
              </w:rPr>
            </w:pPr>
            <w:r>
              <w:rPr>
                <w:rFonts w:ascii="Arial" w:cs="Arial" w:eastAsia="Arial" w:hAnsi="Arial"/>
                <w:sz w:val="17"/>
                <w:szCs w:val="17"/>
                <w:color w:val="auto"/>
              </w:rPr>
              <w:t>Loss from operations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(28,211)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(5,292)</w:t>
            </w:r>
          </w:p>
        </w:tc>
      </w:tr>
      <w:tr>
        <w:trPr>
          <w:trHeight w:val="217"/>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Interest and 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09"/>
        </w:trPr>
        <w:tc>
          <w:tcPr>
            <w:tcW w:w="6340" w:type="dxa"/>
            <w:vAlign w:val="bottom"/>
          </w:tcPr>
          <w:p>
            <w:pPr>
              <w:ind w:left="20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(22,856)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(5,244)</w:t>
            </w:r>
          </w:p>
        </w:tc>
      </w:tr>
      <w:tr>
        <w:trPr>
          <w:trHeight w:val="20"/>
        </w:trPr>
        <w:tc>
          <w:tcPr>
            <w:tcW w:w="6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2" w:lineRule="exact"/>
        <w:rPr>
          <w:sz w:val="20"/>
          <w:szCs w:val="20"/>
          <w:color w:val="auto"/>
        </w:rPr>
      </w:pPr>
    </w:p>
    <w:p>
      <w:pPr>
        <w:jc w:val="both"/>
        <w:ind w:right="240" w:firstLine="1070"/>
        <w:spacing w:after="0" w:line="262" w:lineRule="auto"/>
        <w:rPr>
          <w:sz w:val="20"/>
          <w:szCs w:val="20"/>
          <w:color w:val="auto"/>
        </w:rPr>
      </w:pPr>
      <w:r>
        <w:rPr>
          <w:rFonts w:ascii="Arial" w:cs="Arial" w:eastAsia="Arial" w:hAnsi="Arial"/>
          <w:sz w:val="17"/>
          <w:szCs w:val="17"/>
          <w:color w:val="auto"/>
        </w:rPr>
        <w:t>Revenue was $1.2 million for the three months ended March 31, 2022 compared to $2.2 million for the three months ended March 31, 2021. The decrease of $0.9 million is primarily attributable to decreased research and development services revenues associated with PLN-1474, which were substantially complete in the first quarter of 2021.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table summarizes our research and development expenses for the three months ended March 31, 2022 and 2021 (in thousands):</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79"/>
        </w:trPr>
        <w:tc>
          <w:tcPr>
            <w:tcW w:w="6320" w:type="dxa"/>
            <w:vAlign w:val="bottom"/>
          </w:tcPr>
          <w:p>
            <w:pPr>
              <w:spacing w:after="0"/>
              <w:rPr>
                <w:sz w:val="15"/>
                <w:szCs w:val="15"/>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2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6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Employee-related expenses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166"/>
        </w:trPr>
        <w:tc>
          <w:tcPr>
            <w:tcW w:w="6320" w:type="dxa"/>
            <w:vAlign w:val="bottom"/>
          </w:tcPr>
          <w:p>
            <w:pPr>
              <w:ind w:left="20"/>
              <w:spacing w:after="0" w:line="166" w:lineRule="exact"/>
              <w:rPr>
                <w:sz w:val="20"/>
                <w:szCs w:val="20"/>
                <w:color w:val="auto"/>
              </w:rPr>
            </w:pPr>
            <w:r>
              <w:rPr>
                <w:rFonts w:ascii="Arial" w:cs="Arial" w:eastAsia="Arial" w:hAnsi="Arial"/>
                <w:sz w:val="17"/>
                <w:szCs w:val="17"/>
                <w:color w:val="auto"/>
                <w:w w:val="97"/>
              </w:rPr>
              <w:t>Outside and consulting services for preclinical studies and research and development</w:t>
            </w:r>
          </w:p>
        </w:tc>
        <w:tc>
          <w:tcPr>
            <w:tcW w:w="8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6,376</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2,691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3,685</w:t>
            </w:r>
          </w:p>
        </w:tc>
        <w:tc>
          <w:tcPr>
            <w:tcW w:w="0" w:type="dxa"/>
            <w:vAlign w:val="bottom"/>
          </w:tcPr>
          <w:p>
            <w:pPr>
              <w:spacing w:after="0"/>
              <w:rPr>
                <w:sz w:val="1"/>
                <w:szCs w:val="1"/>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7"/>
                <w:szCs w:val="17"/>
                <w:color w:val="auto"/>
              </w:rPr>
              <w:t>activities by third-party contract organizations</w:t>
            </w:r>
          </w:p>
        </w:tc>
        <w:tc>
          <w:tcPr>
            <w:tcW w:w="8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Clinical trials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Depreciation of lab equipment and costs of equipment and supplies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1,390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Facilities and other allocated expenses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Technology and intellectual property licenses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4"/>
        </w:trPr>
        <w:tc>
          <w:tcPr>
            <w:tcW w:w="63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research and development expenses</w:t>
            </w:r>
          </w:p>
        </w:tc>
        <w:tc>
          <w:tcPr>
            <w:tcW w:w="88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20,881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01"/>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18,527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firstLine="1070"/>
        <w:spacing w:after="0" w:line="279" w:lineRule="auto"/>
        <w:rPr>
          <w:sz w:val="20"/>
          <w:szCs w:val="20"/>
          <w:color w:val="auto"/>
        </w:rPr>
      </w:pPr>
      <w:r>
        <w:rPr>
          <w:rFonts w:ascii="Arial" w:cs="Arial" w:eastAsia="Arial" w:hAnsi="Arial"/>
          <w:sz w:val="16"/>
          <w:szCs w:val="16"/>
          <w:color w:val="auto"/>
        </w:rPr>
        <w:t>Research and development expenses for the three months ended March 31, 2022 was $20.9 million compared to $18.5 million for the three months ended March 31, 2021. The increase of $2.4 million is primarily attributable to third-party costs incurred for the advancement of preclinical programs, notably manufacturing related activities, and employee-related expenses, driven by headcount, salaries and stock-based compensation expense, partially offset by a decrease in clinical trial expenses due to the timing of manufacturing runs for PLN74809 in the first quarter of 2021.</w:t>
      </w:r>
    </w:p>
    <w:p>
      <w:pPr>
        <w:spacing w:after="0" w:line="163" w:lineRule="exact"/>
        <w:rPr>
          <w:sz w:val="20"/>
          <w:szCs w:val="20"/>
          <w:color w:val="auto"/>
        </w:rPr>
      </w:pPr>
    </w:p>
    <w:p>
      <w:pPr>
        <w:ind w:right="20" w:firstLine="1070"/>
        <w:spacing w:after="0" w:line="303" w:lineRule="auto"/>
        <w:rPr>
          <w:sz w:val="20"/>
          <w:szCs w:val="20"/>
          <w:color w:val="auto"/>
        </w:rPr>
      </w:pPr>
      <w:r>
        <w:rPr>
          <w:rFonts w:ascii="Arial" w:cs="Arial" w:eastAsia="Arial" w:hAnsi="Arial"/>
          <w:sz w:val="15"/>
          <w:szCs w:val="15"/>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0" w:lineRule="exact"/>
        <w:rPr>
          <w:sz w:val="20"/>
          <w:szCs w:val="20"/>
          <w:color w:val="auto"/>
        </w:rPr>
      </w:pPr>
    </w:p>
    <w:p>
      <w:pPr>
        <w:ind w:right="180" w:firstLine="1070"/>
        <w:spacing w:after="0" w:line="342" w:lineRule="auto"/>
        <w:rPr>
          <w:sz w:val="20"/>
          <w:szCs w:val="20"/>
          <w:color w:val="auto"/>
        </w:rPr>
      </w:pPr>
      <w:r>
        <w:rPr>
          <w:rFonts w:ascii="Arial" w:cs="Arial" w:eastAsia="Arial" w:hAnsi="Arial"/>
          <w:sz w:val="15"/>
          <w:szCs w:val="15"/>
          <w:color w:val="auto"/>
        </w:rPr>
        <w:t>General and administrative expenses for the three months ended March 31, 2022 was $8.6 million compared to $6.6 million for the three months ended March 31, 2021. The increase of $2.0 million is primarily attributable to employee-related costs, driven by salaries and stock-based compensation expense.</w:t>
      </w:r>
    </w:p>
    <w:p>
      <w:pPr>
        <w:spacing w:after="0" w:line="18" w:lineRule="exact"/>
        <w:rPr>
          <w:sz w:val="20"/>
          <w:szCs w:val="20"/>
          <w:color w:val="auto"/>
        </w:rPr>
      </w:pPr>
    </w:p>
    <w:p>
      <w:pPr>
        <w:ind w:right="400" w:firstLine="1070"/>
        <w:spacing w:after="0" w:line="274" w:lineRule="auto"/>
        <w:rPr>
          <w:sz w:val="20"/>
          <w:szCs w:val="20"/>
          <w:color w:val="auto"/>
        </w:rPr>
      </w:pPr>
      <w:r>
        <w:rPr>
          <w:rFonts w:ascii="Arial" w:cs="Arial" w:eastAsia="Arial" w:hAnsi="Arial"/>
          <w:sz w:val="17"/>
          <w:szCs w:val="17"/>
          <w:color w:val="auto"/>
        </w:rPr>
        <w:t>We expect our general and administrative expenses to increase for the foreseeable future as we continue to build our administrative function to support our growth in operations and to meet the requirements of operating as a public company.</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60"/>
          </w:cols>
          <w:pgMar w:left="320" w:top="972" w:right="41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ind w:right="40" w:firstLine="1070"/>
        <w:spacing w:after="0" w:line="274" w:lineRule="auto"/>
        <w:rPr>
          <w:sz w:val="20"/>
          <w:szCs w:val="20"/>
          <w:color w:val="auto"/>
        </w:rPr>
      </w:pPr>
      <w:r>
        <w:rPr>
          <w:rFonts w:ascii="Arial" w:cs="Arial" w:eastAsia="Arial" w:hAnsi="Arial"/>
          <w:sz w:val="17"/>
          <w:szCs w:val="17"/>
          <w:color w:val="auto"/>
        </w:rPr>
        <w:t>Interest and other income (expense), net for the three months ended March 31, 2022 was $111,000 compared to $63,000 for the three months ended March 31, 2021. The increase of $48,000 resulted from higher interest income in the current period.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As of March 31, 2022, we had $178.3 million of cash, cash equivalents and short-term investments. Our short-term investments consist of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Treasury securities, U.S. Government agency securities and highly rated, investment-grade corporate debt securities.</w:t>
      </w:r>
    </w:p>
    <w:p>
      <w:pPr>
        <w:spacing w:after="0" w:line="99" w:lineRule="exact"/>
        <w:rPr>
          <w:sz w:val="20"/>
          <w:szCs w:val="20"/>
          <w:color w:val="auto"/>
        </w:rPr>
      </w:pPr>
    </w:p>
    <w:p>
      <w:pPr>
        <w:ind w:right="20" w:firstLine="611"/>
        <w:spacing w:after="0" w:line="298" w:lineRule="auto"/>
        <w:rPr>
          <w:sz w:val="20"/>
          <w:szCs w:val="20"/>
          <w:color w:val="auto"/>
        </w:rPr>
      </w:pPr>
      <w:r>
        <w:rPr>
          <w:rFonts w:ascii="Arial" w:cs="Arial" w:eastAsia="Arial" w:hAnsi="Arial"/>
          <w:sz w:val="15"/>
          <w:szCs w:val="15"/>
          <w:color w:val="auto"/>
        </w:rPr>
        <w:t>We believe that our existing capital resources, together with proceeds from the Oxford Loan Agreement, will be sufficient to meet our projected operating requirements to the middle of 2024.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 If we do not achieve all the pre-determined development milestones in the Oxford Loan Agreement, our currently available capital resources will be sufficient to fund operations for at least 12 months from the date of this report.</w:t>
      </w:r>
    </w:p>
    <w:p>
      <w:pPr>
        <w:spacing w:after="0" w:line="50" w:lineRule="exact"/>
        <w:rPr>
          <w:sz w:val="20"/>
          <w:szCs w:val="20"/>
          <w:color w:val="auto"/>
        </w:rPr>
      </w:pPr>
    </w:p>
    <w:p>
      <w:pPr>
        <w:ind w:firstLine="611"/>
        <w:spacing w:after="0" w:line="281" w:lineRule="auto"/>
        <w:rPr>
          <w:sz w:val="20"/>
          <w:szCs w:val="20"/>
          <w:color w:val="auto"/>
        </w:rPr>
      </w:pPr>
      <w:r>
        <w:rPr>
          <w:rFonts w:ascii="Arial" w:cs="Arial" w:eastAsia="Arial" w:hAnsi="Arial"/>
          <w:sz w:val="15"/>
          <w:szCs w:val="15"/>
          <w:color w:val="auto"/>
        </w:rPr>
        <w:t>Our operations have been financed primarily through the issuance and sale of convertible preferred stock, our collaboration with Novartis and issuance of common stock via our IPO. During the third quarter of 2021, we entered into a Controlled Equity Offering</w:t>
      </w:r>
      <w:r>
        <w:rPr>
          <w:rFonts w:ascii="Arial" w:cs="Arial" w:eastAsia="Arial" w:hAnsi="Arial"/>
          <w:sz w:val="19"/>
          <w:szCs w:val="19"/>
          <w:color w:val="auto"/>
          <w:vertAlign w:val="superscript"/>
        </w:rPr>
        <w:t>SM</w:t>
      </w:r>
      <w:r>
        <w:rPr>
          <w:rFonts w:ascii="Arial" w:cs="Arial" w:eastAsia="Arial" w:hAnsi="Arial"/>
          <w:sz w:val="15"/>
          <w:szCs w:val="15"/>
          <w:color w:val="auto"/>
        </w:rPr>
        <w:t xml:space="preserve"> Sales Agreement (the “Sales Agreement”) with Cantor Fitzgerald &amp; Co., as sales agent, pursuant to which we may issue and sell up to $150.0 million of shares of common stock from time to time. The issuance and sale of these shares pursuant to the Sales Agreement are deemed an “at-the-market” offering and are registered under the Securities Act of 1933, as amended. We have not issued any shares pursuant to any at-the-market offerings but may do so at a future date. In May 2022 we entered into a Loan and Security Agreement (the “Oxford Loan Agreement”) with Oxford Finance LLC (or "Oxford"). Upon closing of the Oxford Loan Agreement, the Company drew $10.0 million of an initial $25.0 million tranche, with the remaining $15.0 million available through the end of the year. The Company has access to an additional $75.0 million over three tranches, $50.0 million of which is based on the achievement of pre-determined development milestones, and $25.0 million at Oxford's discretion.</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Requirements</w:t>
      </w:r>
    </w:p>
    <w:p>
      <w:pPr>
        <w:spacing w:after="0" w:line="110" w:lineRule="exact"/>
        <w:rPr>
          <w:sz w:val="20"/>
          <w:szCs w:val="20"/>
          <w:color w:val="auto"/>
        </w:rPr>
      </w:pPr>
    </w:p>
    <w:p>
      <w:pPr>
        <w:ind w:right="160" w:firstLine="1070"/>
        <w:spacing w:after="0" w:line="342" w:lineRule="auto"/>
        <w:rPr>
          <w:sz w:val="20"/>
          <w:szCs w:val="20"/>
          <w:color w:val="auto"/>
        </w:rPr>
      </w:pPr>
      <w:r>
        <w:rPr>
          <w:rFonts w:ascii="Arial" w:cs="Arial" w:eastAsia="Arial" w:hAnsi="Arial"/>
          <w:sz w:val="15"/>
          <w:szCs w:val="15"/>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future funding requirements will depend on many factors, including the following:</w:t>
      </w:r>
    </w:p>
    <w:p>
      <w:pPr>
        <w:spacing w:after="0" w:line="110" w:lineRule="exact"/>
        <w:rPr>
          <w:sz w:val="20"/>
          <w:szCs w:val="20"/>
          <w:color w:val="auto"/>
        </w:rPr>
      </w:pPr>
    </w:p>
    <w:p>
      <w:pPr>
        <w:ind w:left="1980" w:hanging="908"/>
        <w:spacing w:after="0"/>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studies and clinical trials for our product candidates;</w:t>
      </w:r>
    </w:p>
    <w:p>
      <w:pPr>
        <w:spacing w:after="0" w:line="110" w:lineRule="exact"/>
        <w:rPr>
          <w:rFonts w:ascii="Arial" w:cs="Arial" w:eastAsia="Arial" w:hAnsi="Arial"/>
          <w:sz w:val="17"/>
          <w:szCs w:val="17"/>
          <w:color w:val="auto"/>
        </w:rPr>
      </w:pPr>
    </w:p>
    <w:p>
      <w:pPr>
        <w:ind w:left="1980" w:hanging="908"/>
        <w:spacing w:after="0"/>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clinical development plans we establish for these product candidates;</w:t>
      </w:r>
    </w:p>
    <w:p>
      <w:pPr>
        <w:spacing w:after="0" w:line="110" w:lineRule="exact"/>
        <w:rPr>
          <w:rFonts w:ascii="Arial" w:cs="Arial" w:eastAsia="Arial" w:hAnsi="Arial"/>
          <w:sz w:val="17"/>
          <w:szCs w:val="17"/>
          <w:color w:val="auto"/>
        </w:rPr>
      </w:pPr>
    </w:p>
    <w:p>
      <w:pPr>
        <w:ind w:left="1980" w:right="440" w:hanging="908"/>
        <w:spacing w:after="0" w:line="274" w:lineRule="auto"/>
        <w:tabs>
          <w:tab w:leader="none" w:pos="19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timelines of our clinical trials and the overall costs to conduct and complete the clinical trials, which may be impacted by the COVID-19 pandemic;</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develop;</w:t>
      </w:r>
    </w:p>
    <w:p>
      <w:pPr>
        <w:spacing w:after="0" w:line="110" w:lineRule="exact"/>
        <w:rPr>
          <w:rFonts w:ascii="Arial" w:cs="Arial" w:eastAsia="Arial" w:hAnsi="Arial"/>
          <w:sz w:val="17"/>
          <w:szCs w:val="17"/>
          <w:color w:val="auto"/>
        </w:rPr>
      </w:pPr>
    </w:p>
    <w:p>
      <w:pPr>
        <w:ind w:left="1980" w:right="60" w:hanging="908"/>
        <w:spacing w:after="0" w:line="274" w:lineRule="auto"/>
        <w:tabs>
          <w:tab w:leader="none" w:pos="19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U.S. Food and Drug Administration, or FDA, and other comparable foreign regulatory authorities;</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we enter into any collaboration agreements and the terms of any such agreements;</w:t>
      </w:r>
    </w:p>
    <w:p>
      <w:pPr>
        <w:spacing w:after="0" w:line="110" w:lineRule="exact"/>
        <w:rPr>
          <w:rFonts w:ascii="Arial" w:cs="Arial" w:eastAsia="Arial" w:hAnsi="Arial"/>
          <w:sz w:val="17"/>
          <w:szCs w:val="17"/>
          <w:color w:val="auto"/>
        </w:rPr>
      </w:pPr>
    </w:p>
    <w:p>
      <w:pPr>
        <w:ind w:left="1980" w:hanging="908"/>
        <w:spacing w:after="0"/>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our patent claims and other intellectual property rights;</w:t>
      </w:r>
    </w:p>
    <w:p>
      <w:pPr>
        <w:spacing w:after="0" w:line="110" w:lineRule="exact"/>
        <w:rPr>
          <w:rFonts w:ascii="Arial" w:cs="Arial" w:eastAsia="Arial" w:hAnsi="Arial"/>
          <w:sz w:val="17"/>
          <w:szCs w:val="17"/>
          <w:color w:val="auto"/>
        </w:rPr>
      </w:pPr>
    </w:p>
    <w:p>
      <w:pPr>
        <w:ind w:left="1980" w:right="280" w:hanging="908"/>
        <w:spacing w:after="0" w:line="274" w:lineRule="auto"/>
        <w:tabs>
          <w:tab w:leader="none" w:pos="19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defending intellectual property disputes, including patent infringement actions brought by third parties against us or our product candidates;</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40"/>
          </w:cols>
          <w:pgMar w:left="320" w:top="1159" w:right="439" w:bottom="1440" w:gutter="0" w:footer="0" w:header="0"/>
        </w:sectPr>
      </w:pPr>
    </w:p>
    <w:bookmarkStart w:id="26" w:name="page27"/>
    <w:bookmarkEnd w:id="26"/>
    <w:p>
      <w:pPr>
        <w:ind w:left="1980" w:hanging="908"/>
        <w:spacing w:after="0"/>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and timing of completion of commercial-scale outsourced manufacturing activities;</w:t>
      </w:r>
    </w:p>
    <w:p>
      <w:pPr>
        <w:spacing w:after="0" w:line="110" w:lineRule="exact"/>
        <w:rPr>
          <w:rFonts w:ascii="Arial" w:cs="Arial" w:eastAsia="Arial" w:hAnsi="Arial"/>
          <w:sz w:val="17"/>
          <w:szCs w:val="17"/>
          <w:color w:val="auto"/>
        </w:rPr>
      </w:pPr>
    </w:p>
    <w:p>
      <w:pPr>
        <w:ind w:left="1980" w:right="240" w:hanging="908"/>
        <w:spacing w:after="0" w:line="274" w:lineRule="auto"/>
        <w:tabs>
          <w:tab w:leader="none" w:pos="19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 and</w:t>
      </w:r>
    </w:p>
    <w:p>
      <w:pPr>
        <w:spacing w:after="0" w:line="63" w:lineRule="exact"/>
        <w:rPr>
          <w:rFonts w:ascii="Arial" w:cs="Arial" w:eastAsia="Arial" w:hAnsi="Arial"/>
          <w:sz w:val="17"/>
          <w:szCs w:val="17"/>
          <w:color w:val="auto"/>
        </w:rPr>
      </w:pPr>
    </w:p>
    <w:p>
      <w:pPr>
        <w:ind w:left="1980" w:hanging="908"/>
        <w:spacing w:after="0"/>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operating as a public company.</w:t>
      </w:r>
    </w:p>
    <w:p>
      <w:pPr>
        <w:spacing w:after="0" w:line="212" w:lineRule="exact"/>
        <w:rPr>
          <w:sz w:val="20"/>
          <w:szCs w:val="20"/>
          <w:color w:val="auto"/>
        </w:rPr>
      </w:pPr>
    </w:p>
    <w:p>
      <w:pPr>
        <w:ind w:firstLine="1070"/>
        <w:spacing w:after="0" w:line="270" w:lineRule="auto"/>
        <w:rPr>
          <w:sz w:val="20"/>
          <w:szCs w:val="20"/>
          <w:color w:val="auto"/>
        </w:rPr>
      </w:pPr>
      <w:r>
        <w:rPr>
          <w:rFonts w:ascii="Arial" w:cs="Arial" w:eastAsia="Arial" w:hAnsi="Arial"/>
          <w:sz w:val="16"/>
          <w:szCs w:val="16"/>
          <w:color w:val="auto"/>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capital through additional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March 31, 2022 and 2021</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summarizes our cash flows for the periods indicated (in thousands):</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180"/>
        </w:trPr>
        <w:tc>
          <w:tcPr>
            <w:tcW w:w="6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 March 31,</w:t>
            </w:r>
          </w:p>
        </w:tc>
      </w:tr>
      <w:tr>
        <w:trPr>
          <w:trHeight w:val="175"/>
        </w:trPr>
        <w:tc>
          <w:tcPr>
            <w:tcW w:w="63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(13,665)</w:t>
            </w:r>
          </w:p>
        </w:tc>
      </w:tr>
      <w:tr>
        <w:trPr>
          <w:trHeight w:val="216"/>
        </w:trPr>
        <w:tc>
          <w:tcPr>
            <w:tcW w:w="6360" w:type="dxa"/>
            <w:vAlign w:val="bottom"/>
          </w:tcPr>
          <w:p>
            <w:pPr>
              <w:ind w:left="20"/>
              <w:spacing w:after="0"/>
              <w:rPr>
                <w:sz w:val="20"/>
                <w:szCs w:val="20"/>
                <w:color w:val="auto"/>
              </w:rPr>
            </w:pPr>
            <w:r>
              <w:rPr>
                <w:rFonts w:ascii="Arial" w:cs="Arial" w:eastAsia="Arial" w:hAnsi="Arial"/>
                <w:sz w:val="17"/>
                <w:szCs w:val="17"/>
                <w:color w:val="auto"/>
              </w:rPr>
              <w:t>Net cash provided by investing activities</w:t>
            </w: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7"/>
                <w:szCs w:val="17"/>
                <w:color w:val="auto"/>
              </w:rPr>
              <w:t>1,531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12,232</w:t>
            </w:r>
          </w:p>
        </w:tc>
      </w:tr>
      <w:tr>
        <w:trPr>
          <w:trHeight w:val="217"/>
        </w:trPr>
        <w:tc>
          <w:tcPr>
            <w:tcW w:w="6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1,370</w:t>
            </w:r>
          </w:p>
        </w:tc>
      </w:tr>
      <w:tr>
        <w:trPr>
          <w:trHeight w:val="209"/>
        </w:trPr>
        <w:tc>
          <w:tcPr>
            <w:tcW w:w="6360" w:type="dxa"/>
            <w:vAlign w:val="bottom"/>
          </w:tcPr>
          <w:p>
            <w:pPr>
              <w:ind w:left="220"/>
              <w:spacing w:after="0"/>
              <w:rPr>
                <w:sz w:val="20"/>
                <w:szCs w:val="20"/>
                <w:color w:val="auto"/>
              </w:rPr>
            </w:pPr>
            <w:r>
              <w:rPr>
                <w:rFonts w:ascii="Arial" w:cs="Arial" w:eastAsia="Arial" w:hAnsi="Arial"/>
                <w:sz w:val="17"/>
                <w:szCs w:val="17"/>
                <w:color w:val="auto"/>
              </w:rPr>
              <w:t>Net decrease in cash and cash equivalents</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0"/>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Used in Operating Activities</w:t>
      </w:r>
    </w:p>
    <w:p>
      <w:pPr>
        <w:spacing w:after="0" w:line="110" w:lineRule="exact"/>
        <w:rPr>
          <w:sz w:val="20"/>
          <w:szCs w:val="20"/>
          <w:color w:val="auto"/>
        </w:rPr>
      </w:pPr>
    </w:p>
    <w:p>
      <w:pPr>
        <w:jc w:val="both"/>
        <w:ind w:right="160" w:firstLine="1070"/>
        <w:spacing w:after="0" w:line="258" w:lineRule="auto"/>
        <w:rPr>
          <w:sz w:val="20"/>
          <w:szCs w:val="20"/>
          <w:color w:val="auto"/>
        </w:rPr>
      </w:pPr>
      <w:r>
        <w:rPr>
          <w:rFonts w:ascii="Arial" w:cs="Arial" w:eastAsia="Arial" w:hAnsi="Arial"/>
          <w:sz w:val="17"/>
          <w:szCs w:val="17"/>
          <w:color w:val="auto"/>
        </w:rPr>
        <w:t>Net cash used in operating activities was $20.5 million for the three months ended March 31, 2022 compared to $13.7 million for the three months ended March 31, 2021. The increase in cash used in operating activities of $6.8 million over the prior year is primarily attributable to an increase in the net loss of $5.2 million primarily due to decreased revenue-related receipts from our collaboration partner, Novartis, during 2021 and the first quarter of 2022 coupled with an increase in operating expenses.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Provided by Investing Activities</w:t>
      </w:r>
    </w:p>
    <w:p>
      <w:pPr>
        <w:spacing w:after="0" w:line="110" w:lineRule="exact"/>
        <w:rPr>
          <w:sz w:val="20"/>
          <w:szCs w:val="20"/>
          <w:color w:val="auto"/>
        </w:rPr>
      </w:pPr>
    </w:p>
    <w:p>
      <w:pPr>
        <w:ind w:right="140" w:firstLine="1070"/>
        <w:spacing w:after="0" w:line="262" w:lineRule="auto"/>
        <w:rPr>
          <w:sz w:val="20"/>
          <w:szCs w:val="20"/>
          <w:color w:val="auto"/>
        </w:rPr>
      </w:pPr>
      <w:r>
        <w:rPr>
          <w:rFonts w:ascii="Arial" w:cs="Arial" w:eastAsia="Arial" w:hAnsi="Arial"/>
          <w:sz w:val="17"/>
          <w:szCs w:val="17"/>
          <w:color w:val="auto"/>
        </w:rPr>
        <w:t>Net cash provided by investing activities was $1.5 million for the three months ended March 31, 2022 compared to net cash provided by investing activities of $12.2 million for the same period in 2021. The decrease of $10.7 million is attributable to a significant reduction in the amount of maturities relative to purchases of short-term investments during the period.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Used in/Provided by Financing Activities</w:t>
      </w:r>
    </w:p>
    <w:p>
      <w:pPr>
        <w:spacing w:after="0" w:line="110" w:lineRule="exact"/>
        <w:rPr>
          <w:sz w:val="20"/>
          <w:szCs w:val="20"/>
          <w:color w:val="auto"/>
        </w:rPr>
      </w:pPr>
    </w:p>
    <w:p>
      <w:pPr>
        <w:ind w:right="220" w:firstLine="1070"/>
        <w:spacing w:after="0" w:line="262" w:lineRule="auto"/>
        <w:rPr>
          <w:sz w:val="20"/>
          <w:szCs w:val="20"/>
          <w:color w:val="auto"/>
        </w:rPr>
      </w:pPr>
      <w:r>
        <w:rPr>
          <w:rFonts w:ascii="Arial" w:cs="Arial" w:eastAsia="Arial" w:hAnsi="Arial"/>
          <w:sz w:val="17"/>
          <w:szCs w:val="17"/>
          <w:color w:val="auto"/>
        </w:rPr>
        <w:t>Net cash used in financing activities was $153 thousand for the three months ended March 31, 2022 compared to cash provided by financing activities of $1.4 million for the same period in 2021. The decrease of $1.6 million is mainly attributable to a decrease in the issuances of common stock under the Company's stock plans and an increase in the payment of deferred offering costs.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Other Commitments</w:t>
      </w:r>
    </w:p>
    <w:p>
      <w:pPr>
        <w:spacing w:after="0" w:line="191" w:lineRule="exact"/>
        <w:rPr>
          <w:sz w:val="20"/>
          <w:szCs w:val="20"/>
          <w:color w:val="auto"/>
        </w:rPr>
      </w:pPr>
    </w:p>
    <w:p>
      <w:pPr>
        <w:ind w:right="120" w:firstLine="1070"/>
        <w:spacing w:after="0" w:line="274" w:lineRule="auto"/>
        <w:rPr>
          <w:sz w:val="20"/>
          <w:szCs w:val="20"/>
          <w:color w:val="auto"/>
        </w:rPr>
      </w:pPr>
      <w:r>
        <w:rPr>
          <w:rFonts w:ascii="Arial" w:cs="Arial" w:eastAsia="Arial" w:hAnsi="Arial"/>
          <w:sz w:val="17"/>
          <w:szCs w:val="17"/>
          <w:color w:val="auto"/>
        </w:rPr>
        <w:t>There have been no material changes to our contractual obligations and other commitments as of March 31, 2022, as compared to those disclosed in our Annual Report on Form 10-K for the fiscal year ended December 31, 2021.</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27" w:name="page28"/>
    <w:bookmarkEnd w:id="27"/>
    <w:p>
      <w:pPr>
        <w:ind w:right="460" w:firstLine="1070"/>
        <w:spacing w:after="0" w:line="274" w:lineRule="auto"/>
        <w:rPr>
          <w:sz w:val="20"/>
          <w:szCs w:val="20"/>
          <w:color w:val="auto"/>
        </w:rPr>
      </w:pPr>
      <w:r>
        <w:rPr>
          <w:rFonts w:ascii="Arial" w:cs="Arial" w:eastAsia="Arial" w:hAnsi="Arial"/>
          <w:sz w:val="17"/>
          <w:szCs w:val="17"/>
          <w:color w:val="auto"/>
        </w:rPr>
        <w:t xml:space="preserve">Subsequent to March 31, 2022, we entered into Loan and Security Agreement for a series of term loans up to an aggregate principal amount of $100.0 million as further described in Item 1, Note 19, </w:t>
      </w:r>
      <w:r>
        <w:rPr>
          <w:rFonts w:ascii="Arial" w:cs="Arial" w:eastAsia="Arial" w:hAnsi="Arial"/>
          <w:sz w:val="17"/>
          <w:szCs w:val="17"/>
          <w:i w:val="1"/>
          <w:iCs w:val="1"/>
          <w:color w:val="auto"/>
        </w:rPr>
        <w:t>Subsequent Events</w:t>
      </w:r>
      <w:r>
        <w:rPr>
          <w:rFonts w:ascii="Arial" w:cs="Arial" w:eastAsia="Arial" w:hAnsi="Arial"/>
          <w:sz w:val="17"/>
          <w:szCs w:val="17"/>
          <w:color w:val="auto"/>
        </w:rPr>
        <w:t>, in this Report.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During the periods presented, we did not have, nor do we currently have, any off-balance sheet arrangements or holdings in any variable interest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entities.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114" w:lineRule="exact"/>
        <w:rPr>
          <w:sz w:val="20"/>
          <w:szCs w:val="20"/>
          <w:color w:val="auto"/>
        </w:rPr>
      </w:pPr>
    </w:p>
    <w:p>
      <w:pPr>
        <w:ind w:right="20" w:firstLine="1070"/>
        <w:spacing w:after="0" w:line="27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1" w:lineRule="exact"/>
        <w:rPr>
          <w:sz w:val="20"/>
          <w:szCs w:val="20"/>
          <w:color w:val="auto"/>
        </w:rPr>
      </w:pPr>
    </w:p>
    <w:p>
      <w:pPr>
        <w:ind w:right="280" w:firstLine="1070"/>
        <w:spacing w:after="0" w:line="262" w:lineRule="auto"/>
        <w:rPr>
          <w:sz w:val="20"/>
          <w:szCs w:val="20"/>
          <w:color w:val="auto"/>
        </w:rPr>
      </w:pPr>
      <w:r>
        <w:rPr>
          <w:rFonts w:ascii="Arial" w:cs="Arial" w:eastAsia="Arial" w:hAnsi="Arial"/>
          <w:sz w:val="17"/>
          <w:szCs w:val="17"/>
          <w:color w:val="auto"/>
        </w:rPr>
        <w:t>There have been no material changes to our critical accounting policies and estimates from those described in “Part II, Item 7. Management’s Discussion and Analysis of Financial Condition and Results of Operations” included in our Annual Report on Form 10-K for the fiscal year ended December 31, 2021 filed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See Note 2 to our condensed financial statements appearing elsewhere in this Report for more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 and JOBS Act Accounting Election</w:t>
      </w:r>
    </w:p>
    <w:p>
      <w:pPr>
        <w:spacing w:after="0" w:line="114" w:lineRule="exact"/>
        <w:rPr>
          <w:sz w:val="20"/>
          <w:szCs w:val="20"/>
          <w:color w:val="auto"/>
        </w:rPr>
      </w:pPr>
    </w:p>
    <w:p>
      <w:pPr>
        <w:ind w:right="160" w:firstLine="611"/>
        <w:spacing w:after="0" w:line="262" w:lineRule="auto"/>
        <w:rPr>
          <w:sz w:val="20"/>
          <w:szCs w:val="20"/>
          <w:color w:val="auto"/>
        </w:rPr>
      </w:pPr>
      <w:r>
        <w:rPr>
          <w:rFonts w:ascii="Arial" w:cs="Arial" w:eastAsia="Arial" w:hAnsi="Arial"/>
          <w:sz w:val="17"/>
          <w:szCs w:val="17"/>
          <w:color w:val="auto"/>
        </w:rPr>
        <w:t>Based on the market value of our common stock held by our non-affiliates as of June 30, 2021, we are considered a “large accelerated filer” on December 31, 2021 and thus lost our status as an emerging growth company as of such date. Accordingly, we can no longer rely upon exemptions and reduced reporting requirements provided by the JOBS Act.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14" w:lineRule="exact"/>
        <w:rPr>
          <w:sz w:val="20"/>
          <w:szCs w:val="20"/>
          <w:color w:val="auto"/>
        </w:rPr>
      </w:pPr>
    </w:p>
    <w:p>
      <w:pPr>
        <w:ind w:firstLine="1070"/>
        <w:spacing w:after="0" w:line="270" w:lineRule="auto"/>
        <w:rPr>
          <w:sz w:val="20"/>
          <w:szCs w:val="20"/>
          <w:color w:val="auto"/>
        </w:rPr>
      </w:pPr>
      <w:r>
        <w:rPr>
          <w:rFonts w:ascii="Arial" w:cs="Arial" w:eastAsia="Arial" w:hAnsi="Arial"/>
          <w:sz w:val="16"/>
          <w:szCs w:val="16"/>
          <w:color w:val="auto"/>
        </w:rPr>
        <w:t>The primary objectives of our investment activities are to ensure liquidity and to preserve capital. We are exposed to market risks in the ordinary course of our business. These risks primarily include interest rate sensitivities. We had cash, cash equivalents and short-term investments of $178.3 million as of March 31, 2022 which consisted of bank deposits, highly liquid money market funds and short-term investments in U.S. treasury securities, U.S. government agency securities and corporate debt securities. Historical fluctuations in interest rates have not been significant for us. We had no outstanding debt as of March 31, 2022. Due to the short-term maturities of our cash equivalents and short-term investments, an immediate 100 basis point change in interest rates would not have a material effect on the fair market value of our cash equivalents or short-term investments. To minimize the risk, we maintain our portfolio of cash equivalents and short-term investments in institutional market funds that are composed of U.S. Treasury and U.S. Treasury-backed repurchase agreements or short-term U.S. Treasury securities, U.S. government agency securities and corporate debt securities. We do not believe that inflation, interest rate changes, or exchange rate fluctuations had a significant impact on our results of operations for any periods presented herein.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4" w:lineRule="exact"/>
        <w:rPr>
          <w:sz w:val="20"/>
          <w:szCs w:val="20"/>
          <w:color w:val="auto"/>
        </w:rPr>
      </w:pPr>
    </w:p>
    <w:p>
      <w:pPr>
        <w:ind w:right="140" w:firstLine="1070"/>
        <w:spacing w:after="0" w:line="298" w:lineRule="auto"/>
        <w:rPr>
          <w:sz w:val="20"/>
          <w:szCs w:val="20"/>
          <w:color w:val="auto"/>
        </w:rPr>
      </w:pPr>
      <w:r>
        <w:rPr>
          <w:rFonts w:ascii="Arial" w:cs="Arial" w:eastAsia="Arial" w:hAnsi="Arial"/>
          <w:sz w:val="15"/>
          <w:szCs w:val="15"/>
          <w:color w:val="auto"/>
        </w:rPr>
        <w:t>As of March 31, 2022,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28" w:name="page29"/>
    <w:bookmarkEnd w:id="28"/>
    <w:p>
      <w:pPr>
        <w:ind w:right="120" w:firstLine="1070"/>
        <w:spacing w:after="0" w:line="258" w:lineRule="auto"/>
        <w:rPr>
          <w:sz w:val="20"/>
          <w:szCs w:val="20"/>
          <w:color w:val="auto"/>
        </w:rPr>
      </w:pPr>
      <w:r>
        <w:rPr>
          <w:rFonts w:ascii="Arial" w:cs="Arial" w:eastAsia="Arial" w:hAnsi="Arial"/>
          <w:sz w:val="17"/>
          <w:szCs w:val="17"/>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2022, the design and operation of our disclosure controls and procedures were effective at a reasonable assurance level.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4" w:lineRule="exact"/>
        <w:rPr>
          <w:sz w:val="20"/>
          <w:szCs w:val="20"/>
          <w:color w:val="auto"/>
        </w:rPr>
      </w:pPr>
    </w:p>
    <w:p>
      <w:pPr>
        <w:ind w:firstLine="1070"/>
        <w:spacing w:after="0" w:line="279" w:lineRule="auto"/>
        <w:rPr>
          <w:sz w:val="20"/>
          <w:szCs w:val="20"/>
          <w:color w:val="auto"/>
        </w:rPr>
      </w:pPr>
      <w:r>
        <w:rPr>
          <w:rFonts w:ascii="Arial" w:cs="Arial" w:eastAsia="Arial" w:hAnsi="Arial"/>
          <w:sz w:val="16"/>
          <w:szCs w:val="16"/>
          <w:color w:val="auto"/>
        </w:rPr>
        <w:t>There was no change in our internal controls over financial reporting identified in connection with the evaluation required by Rule 13a-15(d) and 15d-15(d) under the Exchange Act that occurred during the quarter ended March 31, 2022 that has materially affected, or is reasonably likely to materially affect, our internal control over financial reporting. We considered our internal controls over financial reporting in regards to the impact of COVID-19 and concluded that our controls continue to operate in a remote environment without material effect on our internal controls over financial reporting.</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14" w:lineRule="exact"/>
        <w:rPr>
          <w:sz w:val="20"/>
          <w:szCs w:val="20"/>
          <w:color w:val="auto"/>
        </w:rPr>
      </w:pPr>
    </w:p>
    <w:p>
      <w:pPr>
        <w:jc w:val="both"/>
        <w:ind w:right="120" w:firstLine="1070"/>
        <w:spacing w:after="0" w:line="286" w:lineRule="auto"/>
        <w:rPr>
          <w:sz w:val="20"/>
          <w:szCs w:val="20"/>
          <w:color w:val="auto"/>
        </w:rPr>
      </w:pPr>
      <w:r>
        <w:rPr>
          <w:rFonts w:ascii="Arial" w:cs="Arial" w:eastAsia="Arial" w:hAnsi="Arial"/>
          <w:sz w:val="16"/>
          <w:szCs w:val="16"/>
          <w:color w:val="auto"/>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6"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i w:val="1"/>
          <w:iCs w:val="1"/>
          <w:color w:val="auto"/>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quarterly report on Form 10-Q.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spacing w:after="0" w:line="278"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RISK FACTORS</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We have incurred significant net losses since inception and we expect to continue to incur significant net losses for the foreseeable future.</w:t>
      </w:r>
    </w:p>
    <w:p>
      <w:pPr>
        <w:spacing w:after="0" w:line="133" w:lineRule="exact"/>
        <w:rPr>
          <w:sz w:val="20"/>
          <w:szCs w:val="20"/>
          <w:color w:val="auto"/>
        </w:rPr>
      </w:pPr>
    </w:p>
    <w:p>
      <w:pPr>
        <w:ind w:right="40" w:firstLine="917"/>
        <w:spacing w:after="0" w:line="254" w:lineRule="auto"/>
        <w:rPr>
          <w:sz w:val="20"/>
          <w:szCs w:val="20"/>
          <w:color w:val="auto"/>
        </w:rPr>
      </w:pPr>
      <w:r>
        <w:rPr>
          <w:rFonts w:ascii="Arial" w:cs="Arial" w:eastAsia="Arial" w:hAnsi="Arial"/>
          <w:sz w:val="17"/>
          <w:szCs w:val="17"/>
          <w:color w:val="auto"/>
        </w:rPr>
        <w:t>We have incurred significant net losses since our inception and have financed our operations principally through equity and debt financing and our collaboration with Novartis. We continue to incur significant research and development and other expenses related to our ongoing operations. Our net loss was $97.3 million and $41.5 million for the years ended December 31, 2021 and 2020, respectively. As of March 31, 2022, we had an accumulated deficit of $243.2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expect to continue to incur significant losses for the foreseeable future, and we anticipate that our expenses will increase substantially if, and as, we:</w:t>
      </w:r>
    </w:p>
    <w:p>
      <w:pPr>
        <w:spacing w:after="0" w:line="133" w:lineRule="exact"/>
        <w:rPr>
          <w:sz w:val="20"/>
          <w:szCs w:val="20"/>
          <w:color w:val="auto"/>
        </w:rPr>
      </w:pPr>
    </w:p>
    <w:p>
      <w:pPr>
        <w:ind w:left="2140" w:right="160" w:hanging="1062"/>
        <w:spacing w:after="0" w:line="274" w:lineRule="auto"/>
        <w:tabs>
          <w:tab w:leader="none" w:pos="21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advance our lead product candidate, PLN-74809, and our other product candidates through clinical development, and, if successful, later-stage clinical trials;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discover and develop new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advance our preclinical development programs into clinical development;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further develop manufacturing processes and manufacture our product candidates;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ind w:left="2140" w:right="18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experience delays or interruptions to preclinical studies, clinical trials, our receipt of services from our third-party service providers on whom we rely, or our supply chain due to the COVID-19 pandemic;</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commercialize PLN-74809, our other product candidates and any future product candidates, if approved;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 the amount of research and development activities to identify and develop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hire additional clinical development, quality control, scientific and management personnel;</w:t>
      </w:r>
    </w:p>
    <w:p>
      <w:pPr>
        <w:spacing w:after="0" w:line="110" w:lineRule="exact"/>
        <w:rPr>
          <w:rFonts w:ascii="Arial" w:cs="Arial" w:eastAsia="Arial" w:hAnsi="Arial"/>
          <w:sz w:val="17"/>
          <w:szCs w:val="17"/>
          <w:color w:val="auto"/>
        </w:rPr>
      </w:pPr>
    </w:p>
    <w:p>
      <w:pPr>
        <w:ind w:left="2140" w:right="52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including personnel to support our clinical development and manufacturing efforts and our operations as a public company;</w:t>
      </w:r>
    </w:p>
    <w:p>
      <w:pPr>
        <w:spacing w:after="0" w:line="63" w:lineRule="exact"/>
        <w:rPr>
          <w:rFonts w:ascii="Arial" w:cs="Arial" w:eastAsia="Arial" w:hAnsi="Arial"/>
          <w:sz w:val="17"/>
          <w:szCs w:val="17"/>
          <w:color w:val="auto"/>
        </w:rPr>
      </w:pPr>
    </w:p>
    <w:p>
      <w:pPr>
        <w:ind w:left="2140" w:right="200" w:hanging="1062"/>
        <w:spacing w:after="0" w:line="274" w:lineRule="auto"/>
        <w:tabs>
          <w:tab w:leader="none" w:pos="2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invest in or in-license other technologies or product candidates;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to build out our organization to engage in such activities.</w:t>
      </w:r>
    </w:p>
    <w:p>
      <w:pPr>
        <w:spacing w:after="0" w:line="110" w:lineRule="exact"/>
        <w:rPr>
          <w:sz w:val="20"/>
          <w:szCs w:val="20"/>
          <w:color w:val="auto"/>
        </w:rPr>
      </w:pPr>
    </w:p>
    <w:p>
      <w:pPr>
        <w:ind w:firstLine="917"/>
        <w:spacing w:after="0" w:line="295" w:lineRule="auto"/>
        <w:rPr>
          <w:sz w:val="20"/>
          <w:szCs w:val="20"/>
          <w:color w:val="auto"/>
        </w:rPr>
      </w:pPr>
      <w:r>
        <w:rPr>
          <w:rFonts w:ascii="Arial" w:cs="Arial" w:eastAsia="Arial" w:hAnsi="Arial"/>
          <w:sz w:val="15"/>
          <w:szCs w:val="15"/>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52" w:lineRule="exact"/>
        <w:rPr>
          <w:sz w:val="20"/>
          <w:szCs w:val="20"/>
          <w:color w:val="auto"/>
        </w:rPr>
      </w:pPr>
    </w:p>
    <w:p>
      <w:pPr>
        <w:jc w:val="both"/>
        <w:ind w:firstLine="917"/>
        <w:spacing w:after="0" w:line="262" w:lineRule="auto"/>
        <w:rPr>
          <w:sz w:val="20"/>
          <w:szCs w:val="20"/>
          <w:color w:val="auto"/>
        </w:rPr>
      </w:pPr>
      <w:r>
        <w:rPr>
          <w:rFonts w:ascii="Arial" w:cs="Arial" w:eastAsia="Arial" w:hAnsi="Arial"/>
          <w:sz w:val="17"/>
          <w:szCs w:val="17"/>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73" w:lineRule="exact"/>
        <w:rPr>
          <w:sz w:val="20"/>
          <w:szCs w:val="20"/>
          <w:color w:val="auto"/>
        </w:rPr>
      </w:pPr>
    </w:p>
    <w:p>
      <w:pPr>
        <w:ind w:right="20" w:firstLine="917"/>
        <w:spacing w:after="0" w:line="272"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PLN-74809 and any future product candidates that we may develop, seek regulatory approvals for our product candidates and to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spacing w:after="0" w:line="68" w:lineRule="exact"/>
        <w:rPr>
          <w:sz w:val="20"/>
          <w:szCs w:val="20"/>
          <w:color w:val="auto"/>
        </w:rPr>
      </w:pPr>
    </w:p>
    <w:p>
      <w:pPr>
        <w:ind w:right="80" w:firstLine="917"/>
        <w:spacing w:after="0" w:line="271" w:lineRule="auto"/>
        <w:rPr>
          <w:sz w:val="20"/>
          <w:szCs w:val="20"/>
          <w:color w:val="auto"/>
        </w:rPr>
      </w:pPr>
      <w:r>
        <w:rPr>
          <w:rFonts w:ascii="Arial" w:cs="Arial" w:eastAsia="Arial" w:hAnsi="Arial"/>
          <w:sz w:val="16"/>
          <w:szCs w:val="16"/>
          <w:color w:val="auto"/>
        </w:rPr>
        <w:t>As of December 31, 2021, we had approximately $178.3 million in cash, cash equivalents and short-term investments. Based on our current operating plan, we believe that our existing cash, cash equivalents and short-term investments, together with proceeds from the Oxford Loan Agreement executed in the second quarter of 2022, will be sufficient to fund our operating expenses and capital expenditure requirements into the middle of 2024.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70" w:lineRule="exact"/>
        <w:rPr>
          <w:sz w:val="20"/>
          <w:szCs w:val="20"/>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studies and clinical trials for our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clinical development plans we establish for these product candidates;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0" w:name="page31"/>
    <w:bookmarkEnd w:id="30"/>
    <w:p>
      <w:pPr>
        <w:ind w:left="2140" w:hanging="1062"/>
        <w:spacing w:after="0"/>
        <w:tabs>
          <w:tab w:leader="none" w:pos="2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timelines of our clinical trials and the overall costs to conduct and complete the clinical trials due to the COVID-19 pandemic;</w:t>
      </w:r>
    </w:p>
    <w:p>
      <w:pPr>
        <w:spacing w:after="0" w:line="121" w:lineRule="exact"/>
        <w:rPr>
          <w:rFonts w:ascii="Arial" w:cs="Arial" w:eastAsia="Arial" w:hAnsi="Arial"/>
          <w:sz w:val="16"/>
          <w:szCs w:val="16"/>
          <w:color w:val="auto"/>
        </w:rPr>
      </w:pPr>
    </w:p>
    <w:p>
      <w:pPr>
        <w:ind w:left="2140" w:right="40" w:hanging="1062"/>
        <w:spacing w:after="0" w:line="274" w:lineRule="auto"/>
        <w:tabs>
          <w:tab w:leader="none" w:pos="2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and capital commitments required for developing manufacturing processes for our product candidates and manufacturing our product candidates at clinical and commercial scales;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develop;</w:t>
      </w:r>
    </w:p>
    <w:p>
      <w:pPr>
        <w:spacing w:after="0" w:line="110" w:lineRule="exact"/>
        <w:rPr>
          <w:rFonts w:ascii="Arial" w:cs="Arial" w:eastAsia="Arial" w:hAnsi="Arial"/>
          <w:sz w:val="17"/>
          <w:szCs w:val="17"/>
          <w:color w:val="auto"/>
        </w:rPr>
      </w:pPr>
    </w:p>
    <w:p>
      <w:pPr>
        <w:ind w:left="2140" w:right="260" w:hanging="1062"/>
        <w:spacing w:after="0" w:line="274" w:lineRule="auto"/>
        <w:tabs>
          <w:tab w:leader="none" w:pos="2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FDA and other comparable foreign regulatory authorities;</w:t>
      </w:r>
    </w:p>
    <w:p>
      <w:pPr>
        <w:spacing w:after="0" w:line="63" w:lineRule="exact"/>
        <w:rPr>
          <w:rFonts w:ascii="Arial" w:cs="Arial" w:eastAsia="Arial" w:hAnsi="Arial"/>
          <w:sz w:val="17"/>
          <w:szCs w:val="17"/>
          <w:color w:val="auto"/>
        </w:rPr>
      </w:pPr>
    </w:p>
    <w:p>
      <w:pPr>
        <w:ind w:left="2140" w:right="180" w:hanging="1062"/>
        <w:spacing w:after="0" w:line="274" w:lineRule="auto"/>
        <w:tabs>
          <w:tab w:leader="none" w:pos="2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whether we are able to maintain our existing collaboration with Novartis and enter into additional collaboration agreements and the terms of any such agreements;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our patent claims and other intellectual property rights;</w:t>
      </w:r>
    </w:p>
    <w:p>
      <w:pPr>
        <w:spacing w:after="0" w:line="110" w:lineRule="exact"/>
        <w:rPr>
          <w:rFonts w:ascii="Arial" w:cs="Arial" w:eastAsia="Arial" w:hAnsi="Arial"/>
          <w:sz w:val="17"/>
          <w:szCs w:val="17"/>
          <w:color w:val="auto"/>
        </w:rPr>
      </w:pPr>
    </w:p>
    <w:p>
      <w:pPr>
        <w:ind w:left="2140" w:right="220" w:hanging="1062"/>
        <w:spacing w:after="0" w:line="274" w:lineRule="auto"/>
        <w:tabs>
          <w:tab w:leader="none" w:pos="2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of defending intellectual property disputes, including patent infringement actions brought by third parties against us or our product candidates;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and timing of completion of commercial-scale outsourced manufacturing activities; and</w:t>
      </w:r>
    </w:p>
    <w:p>
      <w:pPr>
        <w:spacing w:after="0" w:line="110" w:lineRule="exact"/>
        <w:rPr>
          <w:rFonts w:ascii="Arial" w:cs="Arial" w:eastAsia="Arial" w:hAnsi="Arial"/>
          <w:sz w:val="17"/>
          <w:szCs w:val="17"/>
          <w:color w:val="auto"/>
        </w:rPr>
      </w:pPr>
    </w:p>
    <w:p>
      <w:pPr>
        <w:ind w:left="2140" w:right="80" w:hanging="1062"/>
        <w:spacing w:after="0" w:line="274" w:lineRule="auto"/>
        <w:tabs>
          <w:tab w:leader="none" w:pos="2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w:t>
      </w:r>
    </w:p>
    <w:p>
      <w:pPr>
        <w:spacing w:after="0" w:line="63" w:lineRule="exact"/>
        <w:rPr>
          <w:sz w:val="20"/>
          <w:szCs w:val="20"/>
          <w:color w:val="auto"/>
        </w:rPr>
      </w:pPr>
    </w:p>
    <w:p>
      <w:pPr>
        <w:ind w:right="80" w:firstLine="917"/>
        <w:spacing w:after="0" w:line="268" w:lineRule="auto"/>
        <w:rPr>
          <w:sz w:val="20"/>
          <w:szCs w:val="20"/>
          <w:color w:val="auto"/>
        </w:rPr>
      </w:pPr>
      <w:r>
        <w:rPr>
          <w:rFonts w:ascii="Arial" w:cs="Arial" w:eastAsia="Arial" w:hAnsi="Arial"/>
          <w:sz w:val="16"/>
          <w:szCs w:val="16"/>
          <w:color w:val="auto"/>
        </w:rPr>
        <w:t>We have borrowed and in the future may borrow additional capital from institutional and commercial banking sources to fund future growth, including pursuant to our Oxford Loan Agreement, or potentially pursuant to new arrangements 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future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financial markets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71" w:lineRule="exact"/>
        <w:rPr>
          <w:sz w:val="20"/>
          <w:szCs w:val="20"/>
          <w:color w:val="auto"/>
        </w:rPr>
      </w:pPr>
    </w:p>
    <w:p>
      <w:pPr>
        <w:jc w:val="both"/>
        <w:ind w:firstLine="917"/>
        <w:spacing w:after="0" w:line="262" w:lineRule="auto"/>
        <w:rPr>
          <w:sz w:val="20"/>
          <w:szCs w:val="20"/>
          <w:color w:val="auto"/>
        </w:rPr>
      </w:pPr>
      <w:r>
        <w:rPr>
          <w:rFonts w:ascii="Arial" w:cs="Arial" w:eastAsia="Arial" w:hAnsi="Arial"/>
          <w:sz w:val="17"/>
          <w:szCs w:val="17"/>
          <w:b w:val="1"/>
          <w:bCs w:val="1"/>
          <w:i w:val="1"/>
          <w:iCs w:val="1"/>
          <w:color w:val="auto"/>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spacing w:after="0" w:line="73" w:lineRule="exact"/>
        <w:rPr>
          <w:sz w:val="20"/>
          <w:szCs w:val="20"/>
          <w:color w:val="auto"/>
        </w:rPr>
      </w:pPr>
    </w:p>
    <w:p>
      <w:pPr>
        <w:ind w:right="240" w:firstLine="917"/>
        <w:spacing w:after="0" w:line="258" w:lineRule="auto"/>
        <w:rPr>
          <w:sz w:val="20"/>
          <w:szCs w:val="20"/>
          <w:color w:val="auto"/>
        </w:rPr>
      </w:pPr>
      <w:r>
        <w:rPr>
          <w:rFonts w:ascii="Arial" w:cs="Arial" w:eastAsia="Arial" w:hAnsi="Arial"/>
          <w:sz w:val="17"/>
          <w:szCs w:val="17"/>
          <w:color w:val="auto"/>
        </w:rPr>
        <w:t>Pursuant to the Oxford Loan Agreement, Oxford has been granted a security interest in substantially all of our assets, excluding intellectual property (but including the right to payments and proceeds of intellectual property), and a negative pledge on substantially all of our intellectual property, subject to customary exceptions. If an event of default occurs under the Oxford Loan Agreement, Oxford may foreclose on its security interest and liquidate some or all of these assets, which would harm our business, financial condition and results of operations.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1" w:name="page32"/>
    <w:bookmarkEnd w:id="31"/>
    <w:p>
      <w:pPr>
        <w:ind w:right="120" w:firstLine="917"/>
        <w:spacing w:after="0" w:line="254" w:lineRule="auto"/>
        <w:rPr>
          <w:sz w:val="20"/>
          <w:szCs w:val="20"/>
          <w:color w:val="auto"/>
        </w:rPr>
      </w:pPr>
      <w:r>
        <w:rPr>
          <w:rFonts w:ascii="Arial" w:cs="Arial" w:eastAsia="Arial" w:hAnsi="Arial"/>
          <w:sz w:val="17"/>
          <w:szCs w:val="17"/>
          <w:color w:val="auto"/>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pledge of these assets and other restrictions imposed in the Oxford Loan Agreement may limit our flexibility in raising capital for other purposes. Because substantially all of our assets are pledged to secure the Oxford Loan Agreement obligations, our ability to incur additional indebtedness or to sell or dispose of assets to raise capital may be impaired, which could have an adverse effect on our financial flexibility.</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if we are unable to comply with certain financial and operating restrictions in the Oxford Loan Agreement, we may be limited in our</w:t>
      </w:r>
    </w:p>
    <w:p>
      <w:pPr>
        <w:spacing w:after="0" w:line="58"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business activities and access to credit or may default under the Oxford Loan Agreement. Provisions in the Oxford Loan Agreement impose restrictions or require prior approval on our ability, and the ability of certain of our subsidiaries to, among other things:</w:t>
      </w:r>
    </w:p>
    <w:p>
      <w:pPr>
        <w:spacing w:after="0" w:line="63" w:lineRule="exact"/>
        <w:rPr>
          <w:sz w:val="20"/>
          <w:szCs w:val="20"/>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Incur additional debt;</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Make certain investments and acquisitions;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Guarantee the indebtedness of others or our subsidiaries;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Create liens or encumbrances;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Engage in new lines of business;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Enter into transactions with affiliates;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Pay cash dividends and make distributions;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Redeem or repurchase capital shares;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Sell, lease or transfer certain parts of our business or property, including equity interests of our subsidiaries;</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Prepay other indebtedness; and</w:t>
      </w:r>
    </w:p>
    <w:p>
      <w:pPr>
        <w:spacing w:after="0" w:line="110" w:lineRule="exact"/>
        <w:rPr>
          <w:rFonts w:ascii="Arial" w:cs="Arial" w:eastAsia="Arial" w:hAnsi="Arial"/>
          <w:sz w:val="17"/>
          <w:szCs w:val="17"/>
          <w:color w:val="auto"/>
        </w:rPr>
      </w:pPr>
    </w:p>
    <w:p>
      <w:pPr>
        <w:ind w:left="2140" w:hanging="1068"/>
        <w:spacing w:after="0"/>
        <w:tabs>
          <w:tab w:leader="none" w:pos="2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Acquire new companies and merge or consolidate.</w:t>
      </w:r>
    </w:p>
    <w:p>
      <w:pPr>
        <w:spacing w:after="0" w:line="148" w:lineRule="exact"/>
        <w:rPr>
          <w:sz w:val="20"/>
          <w:szCs w:val="20"/>
          <w:color w:val="auto"/>
        </w:rPr>
      </w:pPr>
    </w:p>
    <w:p>
      <w:pPr>
        <w:ind w:right="20" w:firstLine="917"/>
        <w:spacing w:after="0" w:line="273" w:lineRule="auto"/>
        <w:rPr>
          <w:sz w:val="20"/>
          <w:szCs w:val="20"/>
          <w:color w:val="auto"/>
        </w:rPr>
      </w:pPr>
      <w:r>
        <w:rPr>
          <w:rFonts w:ascii="Arial" w:cs="Arial" w:eastAsia="Arial" w:hAnsi="Arial"/>
          <w:sz w:val="16"/>
          <w:szCs w:val="16"/>
          <w:color w:val="auto"/>
        </w:rPr>
        <w:t>The Oxford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Oxford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Oxford Loan Agreement would result in Oxford foreclosing on all or a portion of our assets, which could force us to curtail or cease our operations.</w:t>
      </w:r>
    </w:p>
    <w:p>
      <w:pPr>
        <w:spacing w:after="0" w:line="69" w:lineRule="exact"/>
        <w:rPr>
          <w:sz w:val="20"/>
          <w:szCs w:val="20"/>
          <w:color w:val="auto"/>
        </w:rPr>
      </w:pPr>
    </w:p>
    <w:p>
      <w:pPr>
        <w:ind w:firstLine="917"/>
        <w:spacing w:after="0" w:line="274" w:lineRule="auto"/>
        <w:rPr>
          <w:sz w:val="20"/>
          <w:szCs w:val="20"/>
          <w:color w:val="auto"/>
        </w:rPr>
      </w:pPr>
      <w:r>
        <w:rPr>
          <w:rFonts w:ascii="Arial" w:cs="Arial" w:eastAsia="Arial" w:hAnsi="Arial"/>
          <w:sz w:val="17"/>
          <w:szCs w:val="17"/>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63" w:lineRule="exact"/>
        <w:rPr>
          <w:sz w:val="20"/>
          <w:szCs w:val="20"/>
          <w:color w:val="auto"/>
        </w:rPr>
      </w:pPr>
    </w:p>
    <w:p>
      <w:pPr>
        <w:ind w:right="80" w:firstLine="917"/>
        <w:spacing w:after="0" w:line="274" w:lineRule="auto"/>
        <w:rPr>
          <w:sz w:val="20"/>
          <w:szCs w:val="20"/>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63" w:lineRule="exact"/>
        <w:rPr>
          <w:sz w:val="20"/>
          <w:szCs w:val="20"/>
          <w:color w:val="auto"/>
        </w:rPr>
      </w:pPr>
    </w:p>
    <w:p>
      <w:pPr>
        <w:ind w:left="2140" w:right="10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63" w:lineRule="exact"/>
        <w:rPr>
          <w:rFonts w:ascii="Arial" w:cs="Arial" w:eastAsia="Arial" w:hAnsi="Arial"/>
          <w:sz w:val="17"/>
          <w:szCs w:val="17"/>
          <w:color w:val="auto"/>
        </w:rPr>
      </w:pPr>
    </w:p>
    <w:p>
      <w:pPr>
        <w:ind w:left="2140" w:hanging="1063"/>
        <w:spacing w:after="0"/>
        <w:tabs>
          <w:tab w:leader="none" w:pos="2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successfully recruit and retain subjects for clinical trials, and any delays caused by difficulties in such efforts;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ability to obtain marketing approval for our product candidates, and the timing and scope of any such approvals we may receive;</w:t>
      </w:r>
    </w:p>
    <w:p>
      <w:pPr>
        <w:spacing w:after="0" w:line="133" w:lineRule="exact"/>
        <w:rPr>
          <w:rFonts w:ascii="Arial" w:cs="Arial" w:eastAsia="Arial" w:hAnsi="Arial"/>
          <w:sz w:val="15"/>
          <w:szCs w:val="15"/>
          <w:color w:val="auto"/>
        </w:rPr>
      </w:pPr>
    </w:p>
    <w:p>
      <w:pPr>
        <w:ind w:left="2140" w:right="10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63" w:lineRule="exact"/>
        <w:rPr>
          <w:rFonts w:ascii="Arial" w:cs="Arial" w:eastAsia="Arial" w:hAnsi="Arial"/>
          <w:sz w:val="17"/>
          <w:szCs w:val="17"/>
          <w:color w:val="auto"/>
        </w:rPr>
      </w:pPr>
    </w:p>
    <w:p>
      <w:pPr>
        <w:ind w:left="2140" w:right="40" w:hanging="1062"/>
        <w:spacing w:after="0" w:line="274" w:lineRule="auto"/>
        <w:tabs>
          <w:tab w:leader="none" w:pos="2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 of manufacturing our product candidates, which may vary depending on the difficulty of manufacture, quantity of production and the terms of our agreements with manufacturers;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attract, hire and retain qualified personnel;</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2" w:name="page33"/>
    <w:bookmarkEnd w:id="32"/>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0" w:lineRule="exact"/>
        <w:rPr>
          <w:rFonts w:ascii="Arial" w:cs="Arial" w:eastAsia="Arial" w:hAnsi="Arial"/>
          <w:sz w:val="17"/>
          <w:szCs w:val="17"/>
          <w:color w:val="auto"/>
        </w:rPr>
      </w:pPr>
    </w:p>
    <w:p>
      <w:pPr>
        <w:ind w:left="2140" w:right="620" w:hanging="1062"/>
        <w:spacing w:after="0" w:line="274" w:lineRule="auto"/>
        <w:tabs>
          <w:tab w:leader="none" w:pos="21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 market conditions or extraordinary external events, such as recessions or the COVID-19 pandemic;</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changing and volatile U.S. and global economic environments;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10" w:lineRule="exact"/>
        <w:rPr>
          <w:sz w:val="20"/>
          <w:szCs w:val="20"/>
          <w:color w:val="auto"/>
        </w:rPr>
      </w:pPr>
    </w:p>
    <w:p>
      <w:pPr>
        <w:ind w:right="120" w:firstLine="917"/>
        <w:spacing w:after="0" w:line="298" w:lineRule="auto"/>
        <w:rPr>
          <w:sz w:val="20"/>
          <w:szCs w:val="20"/>
          <w:color w:val="auto"/>
        </w:rPr>
      </w:pPr>
      <w:r>
        <w:rPr>
          <w:rFonts w:ascii="Arial" w:cs="Arial" w:eastAsia="Arial" w:hAnsi="Arial"/>
          <w:sz w:val="15"/>
          <w:szCs w:val="15"/>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Research and Development and the Biopharmaceutical Industry</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have a limited operating history, which may make it difficult to evaluate our prospects and likelihood of success.</w:t>
      </w:r>
    </w:p>
    <w:p>
      <w:pPr>
        <w:spacing w:after="0" w:line="110" w:lineRule="exact"/>
        <w:rPr>
          <w:sz w:val="20"/>
          <w:szCs w:val="20"/>
          <w:color w:val="auto"/>
        </w:rPr>
      </w:pPr>
    </w:p>
    <w:p>
      <w:pPr>
        <w:ind w:right="20" w:firstLine="917"/>
        <w:spacing w:after="0" w:line="287" w:lineRule="auto"/>
        <w:rPr>
          <w:sz w:val="20"/>
          <w:szCs w:val="20"/>
          <w:color w:val="auto"/>
        </w:rPr>
      </w:pPr>
      <w:r>
        <w:rPr>
          <w:rFonts w:ascii="Arial" w:cs="Arial" w:eastAsia="Arial" w:hAnsi="Arial"/>
          <w:sz w:val="15"/>
          <w:szCs w:val="15"/>
          <w:color w:val="auto"/>
        </w:rPr>
        <w:t>We are a clinical-stage biopharmaceutical company with a limited operating history. We were incorporated in 2015,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In addition, our lead product candidate, PLN-74809, is in early clinical development for the treatment of IPF and PSC, and a second product candidate, PLN-1474, is in early clinical development. Both programs will require substantial additional development and clinical research time and resources, either from us or our collaborators, before we would be able to apply for or receive regulatory approvals and begin generating revenue from product sales. We have not yet demonstrated the ability to progress any product candidate through clinical trials. We are still in preclinical and early clinical development and may be unable to obtain regulatory approval, manufacture a commercial scale product, or arrange for a third-party to do so on our behalf, or conduct sales and marketing activities necessary for successful product commercialization.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265" w:lineRule="exact"/>
        <w:rPr>
          <w:sz w:val="20"/>
          <w:szCs w:val="20"/>
          <w:color w:val="auto"/>
        </w:rPr>
      </w:pPr>
    </w:p>
    <w:p>
      <w:pPr>
        <w:jc w:val="both"/>
        <w:ind w:firstLine="917"/>
        <w:spacing w:after="0" w:line="262" w:lineRule="auto"/>
        <w:rPr>
          <w:sz w:val="20"/>
          <w:szCs w:val="20"/>
          <w:color w:val="auto"/>
        </w:rPr>
      </w:pPr>
      <w:r>
        <w:rPr>
          <w:rFonts w:ascii="Arial" w:cs="Arial" w:eastAsia="Arial" w:hAnsi="Arial"/>
          <w:sz w:val="17"/>
          <w:szCs w:val="17"/>
          <w:b w:val="1"/>
          <w:bCs w:val="1"/>
          <w:i w:val="1"/>
          <w:iCs w:val="1"/>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73" w:lineRule="exact"/>
        <w:rPr>
          <w:sz w:val="20"/>
          <w:szCs w:val="20"/>
          <w:color w:val="auto"/>
        </w:rPr>
      </w:pPr>
    </w:p>
    <w:p>
      <w:pPr>
        <w:ind w:right="40" w:firstLine="917"/>
        <w:spacing w:after="0" w:line="255"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are very early in our clinical development for both PLN-74809 and PLN-1474. Because PLN-74809 is our lead product candidate, if PLN-74809 encounters safety or efficacy problems, development delays, regulatory issues or other problems, our development plans and business would be significantly harmed. We have completed various Phase 1 trials of PLN-74809. We are enrolling two Phase 2a trials in IPF, including a PET imaging trial. We are also conducting a Phase 2a PSC trial which is currently enrolling patients. We are also collaborating with Novartis to develop PLN-1474 for liver fibrosis associated with NASH and have completed a Phase 1a SAD/MAD study evaluating PLN-1474 in healthy volunteers. The IND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3" w:name="page34"/>
    <w:bookmarkEnd w:id="33"/>
    <w:p>
      <w:pPr>
        <w:ind w:right="40"/>
        <w:spacing w:after="0" w:line="258" w:lineRule="auto"/>
        <w:rPr>
          <w:sz w:val="20"/>
          <w:szCs w:val="20"/>
          <w:color w:val="auto"/>
        </w:rPr>
      </w:pPr>
      <w:r>
        <w:rPr>
          <w:rFonts w:ascii="Arial" w:cs="Arial" w:eastAsia="Arial" w:hAnsi="Arial"/>
          <w:sz w:val="17"/>
          <w:szCs w:val="17"/>
          <w:color w:val="auto"/>
        </w:rPr>
        <w:t>for this candidate was transferred to Novartis in the first quarter of 2021, and Novartis is responsible for all PLN-1474 development, manufacturing, and commercialization activities after the initial development period. All of the risks and uncertainties that apply to PLN-74809 or any candidates that we develop independently apply equally to our collaborator with respect to advancement of PLN-1474. In addition, we also face risks resulting from our reliance on Novartis for development of this candidate. See “Risks Related to Our Reliance on Third Parties.”</w:t>
      </w:r>
    </w:p>
    <w:p>
      <w:pPr>
        <w:spacing w:after="0" w:line="76" w:lineRule="exact"/>
        <w:rPr>
          <w:sz w:val="20"/>
          <w:szCs w:val="20"/>
          <w:color w:val="auto"/>
        </w:rPr>
      </w:pPr>
    </w:p>
    <w:p>
      <w:pPr>
        <w:ind w:firstLine="917"/>
        <w:spacing w:after="0" w:line="303" w:lineRule="auto"/>
        <w:rPr>
          <w:sz w:val="20"/>
          <w:szCs w:val="20"/>
          <w:color w:val="auto"/>
        </w:rPr>
      </w:pPr>
      <w:r>
        <w:rPr>
          <w:rFonts w:ascii="Arial" w:cs="Arial" w:eastAsia="Arial" w:hAnsi="Arial"/>
          <w:sz w:val="15"/>
          <w:szCs w:val="15"/>
          <w:color w:val="auto"/>
        </w:rPr>
        <w:t>Before we can generate any revenue from sales of our lead product candidate, PLN-74809,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46" w:lineRule="exact"/>
        <w:rPr>
          <w:sz w:val="20"/>
          <w:szCs w:val="20"/>
          <w:color w:val="auto"/>
        </w:rPr>
      </w:pPr>
    </w:p>
    <w:p>
      <w:pPr>
        <w:ind w:right="180" w:firstLine="917"/>
        <w:spacing w:after="0" w:line="274" w:lineRule="auto"/>
        <w:rPr>
          <w:sz w:val="20"/>
          <w:szCs w:val="20"/>
          <w:color w:val="auto"/>
        </w:rPr>
      </w:pPr>
      <w:r>
        <w:rPr>
          <w:rFonts w:ascii="Arial" w:cs="Arial" w:eastAsia="Arial" w:hAnsi="Arial"/>
          <w:sz w:val="17"/>
          <w:szCs w:val="17"/>
          <w:color w:val="auto"/>
        </w:rPr>
        <w:t>We may experience setbacks that could delay or prevent regulatory approval of, or the extent of regulatory protection or our ability to commercialize, our product candidates, including:</w:t>
      </w:r>
    </w:p>
    <w:p>
      <w:pPr>
        <w:spacing w:after="0" w:line="63" w:lineRule="exact"/>
        <w:rPr>
          <w:sz w:val="20"/>
          <w:szCs w:val="20"/>
          <w:color w:val="auto"/>
        </w:rPr>
      </w:pPr>
    </w:p>
    <w:p>
      <w:pPr>
        <w:ind w:left="2140" w:right="160" w:hanging="1062"/>
        <w:spacing w:after="0" w:line="342" w:lineRule="auto"/>
        <w:tabs>
          <w:tab w:leader="none" w:pos="2136" w:val="left"/>
        </w:tabs>
        <w:numPr>
          <w:ilvl w:val="0"/>
          <w:numId w:val="29"/>
        </w:numPr>
        <w:rPr>
          <w:rFonts w:ascii="Arial" w:cs="Arial" w:eastAsia="Arial" w:hAnsi="Arial"/>
          <w:sz w:val="15"/>
          <w:szCs w:val="15"/>
          <w:color w:val="auto"/>
        </w:rPr>
      </w:pPr>
      <w:r>
        <w:rPr>
          <w:rFonts w:ascii="Arial" w:cs="Arial" w:eastAsia="Arial" w:hAnsi="Arial"/>
          <w:sz w:val="15"/>
          <w:szCs w:val="15"/>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17" w:lineRule="exact"/>
        <w:rPr>
          <w:rFonts w:ascii="Arial" w:cs="Arial" w:eastAsia="Arial" w:hAnsi="Arial"/>
          <w:sz w:val="15"/>
          <w:szCs w:val="15"/>
          <w:color w:val="auto"/>
        </w:rPr>
      </w:pPr>
    </w:p>
    <w:p>
      <w:pPr>
        <w:ind w:left="2140" w:right="200" w:hanging="1062"/>
        <w:spacing w:after="0" w:line="274" w:lineRule="auto"/>
        <w:tabs>
          <w:tab w:leader="none" w:pos="21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product-related side effects experienced by subjects in our clinical trials or by individuals using drugs or therapeutics similar to our product candidates;</w:t>
      </w:r>
    </w:p>
    <w:p>
      <w:pPr>
        <w:spacing w:after="0" w:line="63" w:lineRule="exact"/>
        <w:rPr>
          <w:rFonts w:ascii="Arial" w:cs="Arial" w:eastAsia="Arial" w:hAnsi="Arial"/>
          <w:sz w:val="17"/>
          <w:szCs w:val="17"/>
          <w:color w:val="auto"/>
        </w:rPr>
      </w:pPr>
    </w:p>
    <w:p>
      <w:pPr>
        <w:ind w:left="2140" w:right="680" w:hanging="1062"/>
        <w:spacing w:after="0" w:line="306" w:lineRule="auto"/>
        <w:tabs>
          <w:tab w:leader="none" w:pos="21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40" w:lineRule="exact"/>
        <w:rPr>
          <w:rFonts w:ascii="Arial" w:cs="Arial" w:eastAsia="Arial" w:hAnsi="Arial"/>
          <w:sz w:val="16"/>
          <w:szCs w:val="16"/>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regarding the scope or design of our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delays in enrolling subjects in clinical trials, including due to the COVID-19 pandemic;</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high drop-out rates of subjects from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inadequate supply or quality of product candidates or other materials necessary for the conduct of our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challenges manufacturing our product candidates to regulatory requirements in a cost effective manner;</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inability to compete with other therapies;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secure or maintain orphan designation in some jurisdictions;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poor efficacy of our product candidates during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w:t>
      </w:r>
    </w:p>
    <w:p>
      <w:pPr>
        <w:spacing w:after="0" w:line="110" w:lineRule="exact"/>
        <w:rPr>
          <w:rFonts w:ascii="Arial" w:cs="Arial" w:eastAsia="Arial" w:hAnsi="Arial"/>
          <w:sz w:val="17"/>
          <w:szCs w:val="17"/>
          <w:color w:val="auto"/>
        </w:rPr>
      </w:pPr>
    </w:p>
    <w:p>
      <w:pPr>
        <w:ind w:left="2140" w:right="400" w:hanging="1062"/>
        <w:spacing w:after="0" w:line="274" w:lineRule="auto"/>
        <w:tabs>
          <w:tab w:leader="none" w:pos="21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63" w:lineRule="exact"/>
        <w:rPr>
          <w:rFonts w:ascii="Arial" w:cs="Arial" w:eastAsia="Arial" w:hAnsi="Arial"/>
          <w:sz w:val="17"/>
          <w:szCs w:val="17"/>
          <w:color w:val="auto"/>
        </w:rPr>
      </w:pPr>
    </w:p>
    <w:p>
      <w:pPr>
        <w:ind w:left="2140" w:right="340" w:hanging="1062"/>
        <w:spacing w:after="0" w:line="274" w:lineRule="auto"/>
        <w:tabs>
          <w:tab w:leader="none" w:pos="21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110" w:lineRule="exact"/>
        <w:rPr>
          <w:sz w:val="20"/>
          <w:szCs w:val="20"/>
          <w:color w:val="auto"/>
        </w:rPr>
      </w:pPr>
    </w:p>
    <w:p>
      <w:pPr>
        <w:ind w:right="140" w:firstLine="917"/>
        <w:spacing w:after="0" w:line="306"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40" w:lineRule="exact"/>
        <w:rPr>
          <w:sz w:val="20"/>
          <w:szCs w:val="20"/>
          <w:color w:val="auto"/>
        </w:rPr>
      </w:pPr>
    </w:p>
    <w:p>
      <w:pPr>
        <w:ind w:right="260" w:firstLine="917"/>
        <w:spacing w:after="0" w:line="274" w:lineRule="auto"/>
        <w:rPr>
          <w:sz w:val="20"/>
          <w:szCs w:val="20"/>
          <w:color w:val="auto"/>
        </w:rPr>
      </w:pPr>
      <w:r>
        <w:rPr>
          <w:rFonts w:ascii="Arial" w:cs="Arial" w:eastAsia="Arial" w:hAnsi="Arial"/>
          <w:sz w:val="17"/>
          <w:szCs w:val="17"/>
          <w:b w:val="1"/>
          <w:bCs w:val="1"/>
          <w:i w:val="1"/>
          <w:iCs w:val="1"/>
          <w:color w:val="auto"/>
        </w:rPr>
        <w:t>Our approach to drug discovery and development in the area of fibrotic diseases, with an initial focus on tissue-specific integrin modulation and TGF-β signaling inhibition, is unproven and may not result in marketable products.</w:t>
      </w:r>
    </w:p>
    <w:p>
      <w:pPr>
        <w:spacing w:after="0" w:line="63" w:lineRule="exact"/>
        <w:rPr>
          <w:sz w:val="20"/>
          <w:szCs w:val="20"/>
          <w:color w:val="auto"/>
        </w:rPr>
      </w:pPr>
    </w:p>
    <w:p>
      <w:pPr>
        <w:jc w:val="both"/>
        <w:ind w:right="360" w:firstLine="917"/>
        <w:spacing w:after="0" w:line="262" w:lineRule="auto"/>
        <w:rPr>
          <w:sz w:val="20"/>
          <w:szCs w:val="20"/>
          <w:color w:val="auto"/>
        </w:rPr>
      </w:pPr>
      <w:r>
        <w:rPr>
          <w:rFonts w:ascii="Arial" w:cs="Arial" w:eastAsia="Arial" w:hAnsi="Arial"/>
          <w:sz w:val="17"/>
          <w:szCs w:val="17"/>
          <w:color w:val="auto"/>
        </w:rPr>
        <w:t>Our approach is designed to discover and develop targeted treatments for fibrosis with an initial focus on the antagonism of tissue-specific TGF-β signaling through the inhibition of integrins known to mediate the release of activated TGF-β in fibrotic tissue. However, although multiple studies are currently underway, to date, this mechanism has not been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4" w:name="page35"/>
    <w:bookmarkEnd w:id="34"/>
    <w:p>
      <w:pPr>
        <w:ind w:right="40"/>
        <w:spacing w:after="0" w:line="256" w:lineRule="auto"/>
        <w:rPr>
          <w:sz w:val="20"/>
          <w:szCs w:val="20"/>
          <w:color w:val="auto"/>
        </w:rPr>
      </w:pPr>
      <w:r>
        <w:rPr>
          <w:rFonts w:ascii="Arial" w:cs="Arial" w:eastAsia="Arial" w:hAnsi="Arial"/>
          <w:sz w:val="17"/>
          <w:szCs w:val="17"/>
          <w:color w:val="auto"/>
        </w:rPr>
        <w:t>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primarily tested our lead product candidate, PLN-74809,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78" w:lineRule="exact"/>
        <w:rPr>
          <w:sz w:val="20"/>
          <w:szCs w:val="20"/>
          <w:color w:val="auto"/>
        </w:rPr>
      </w:pPr>
    </w:p>
    <w:p>
      <w:pPr>
        <w:ind w:right="40" w:firstLine="917"/>
        <w:spacing w:after="0" w:line="271" w:lineRule="auto"/>
        <w:rPr>
          <w:sz w:val="20"/>
          <w:szCs w:val="20"/>
          <w:color w:val="auto"/>
        </w:rPr>
      </w:pPr>
      <w:r>
        <w:rPr>
          <w:rFonts w:ascii="Arial" w:cs="Arial" w:eastAsia="Arial" w:hAnsi="Arial"/>
          <w:sz w:val="16"/>
          <w:szCs w:val="16"/>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70" w:lineRule="exact"/>
        <w:rPr>
          <w:sz w:val="20"/>
          <w:szCs w:val="20"/>
          <w:color w:val="auto"/>
        </w:rPr>
      </w:pPr>
    </w:p>
    <w:p>
      <w:pPr>
        <w:ind w:right="100" w:firstLine="917"/>
        <w:spacing w:after="0" w:line="275" w:lineRule="auto"/>
        <w:rPr>
          <w:sz w:val="20"/>
          <w:szCs w:val="20"/>
          <w:color w:val="auto"/>
        </w:rPr>
      </w:pPr>
      <w:r>
        <w:rPr>
          <w:rFonts w:ascii="Arial" w:cs="Arial" w:eastAsia="Arial" w:hAnsi="Arial"/>
          <w:sz w:val="16"/>
          <w:szCs w:val="16"/>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or on our behalf. Even in the absence of violations resulting in penalties, regulatory and other authorities may refuse to authorize the conduct or to accept the results of studies for regulatory or ethical reasons.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Clinical development involves a lengthy, complex, and expensive process, with an uncertain outcome.</w:t>
      </w:r>
    </w:p>
    <w:p>
      <w:pPr>
        <w:spacing w:after="0" w:line="110" w:lineRule="exact"/>
        <w:rPr>
          <w:sz w:val="20"/>
          <w:szCs w:val="20"/>
          <w:color w:val="auto"/>
        </w:rPr>
      </w:pPr>
    </w:p>
    <w:p>
      <w:pPr>
        <w:ind w:right="140" w:firstLine="917"/>
        <w:spacing w:after="0" w:line="269" w:lineRule="auto"/>
        <w:rPr>
          <w:sz w:val="20"/>
          <w:szCs w:val="20"/>
          <w:color w:val="auto"/>
        </w:rPr>
      </w:pPr>
      <w:r>
        <w:rPr>
          <w:rFonts w:ascii="Arial" w:cs="Arial" w:eastAsia="Arial" w:hAnsi="Arial"/>
          <w:sz w:val="16"/>
          <w:szCs w:val="16"/>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PLN-74809 or any of our other product candidates. Product candidates that appear promising in the early phases of development may fail to reach the market for several reasons, including:</w:t>
      </w:r>
    </w:p>
    <w:p>
      <w:pPr>
        <w:spacing w:after="0" w:line="70" w:lineRule="exact"/>
        <w:rPr>
          <w:sz w:val="20"/>
          <w:szCs w:val="20"/>
          <w:color w:val="auto"/>
        </w:rPr>
      </w:pPr>
    </w:p>
    <w:p>
      <w:pPr>
        <w:ind w:left="2140" w:right="120" w:hanging="1062"/>
        <w:spacing w:after="0" w:line="274" w:lineRule="auto"/>
        <w:tabs>
          <w:tab w:leader="none" w:pos="21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establish clinical endpoints that applicable regulatory authorities would consider clinically meaningful;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receive the necessary regulatory approvals;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development of competing products in the same disease state;</w:t>
      </w:r>
    </w:p>
    <w:p>
      <w:pPr>
        <w:spacing w:after="0" w:line="110" w:lineRule="exact"/>
        <w:rPr>
          <w:rFonts w:ascii="Arial" w:cs="Arial" w:eastAsia="Arial" w:hAnsi="Arial"/>
          <w:sz w:val="17"/>
          <w:szCs w:val="17"/>
          <w:color w:val="auto"/>
        </w:rPr>
      </w:pPr>
    </w:p>
    <w:p>
      <w:pPr>
        <w:ind w:left="2140" w:right="940" w:hanging="1062"/>
        <w:spacing w:after="0" w:line="274" w:lineRule="auto"/>
        <w:tabs>
          <w:tab w:leader="none" w:pos="21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a product candidate uneconomical; and</w:t>
      </w:r>
    </w:p>
    <w:p>
      <w:pPr>
        <w:spacing w:after="0" w:line="63" w:lineRule="exact"/>
        <w:rPr>
          <w:rFonts w:ascii="Arial" w:cs="Arial" w:eastAsia="Arial" w:hAnsi="Arial"/>
          <w:sz w:val="17"/>
          <w:szCs w:val="17"/>
          <w:color w:val="auto"/>
        </w:rPr>
      </w:pPr>
    </w:p>
    <w:p>
      <w:pPr>
        <w:ind w:left="2140" w:right="200" w:hanging="1062"/>
        <w:spacing w:after="0" w:line="274" w:lineRule="auto"/>
        <w:tabs>
          <w:tab w:leader="none" w:pos="21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proprietary rights of others and their competing products and technologies that may prevent one of our product candidates from being commercialized.</w:t>
      </w:r>
    </w:p>
    <w:p>
      <w:pPr>
        <w:spacing w:after="0" w:line="63" w:lineRule="exact"/>
        <w:rPr>
          <w:sz w:val="20"/>
          <w:szCs w:val="20"/>
          <w:color w:val="auto"/>
        </w:rPr>
      </w:pPr>
    </w:p>
    <w:p>
      <w:pPr>
        <w:ind w:firstLine="917"/>
        <w:spacing w:after="0" w:line="274"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Further, as we rely on novel technologies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5" w:name="page36"/>
    <w:bookmarkEnd w:id="35"/>
    <w:p>
      <w:pPr>
        <w:ind w:right="20"/>
        <w:spacing w:after="0" w:line="290" w:lineRule="auto"/>
        <w:rPr>
          <w:sz w:val="20"/>
          <w:szCs w:val="20"/>
          <w:color w:val="auto"/>
        </w:rPr>
      </w:pPr>
      <w:r>
        <w:rPr>
          <w:rFonts w:ascii="Arial" w:cs="Arial" w:eastAsia="Arial" w:hAnsi="Arial"/>
          <w:sz w:val="15"/>
          <w:szCs w:val="15"/>
          <w:color w:val="auto"/>
        </w:rPr>
        <w:t>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60"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considering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70" w:lineRule="exact"/>
        <w:rPr>
          <w:sz w:val="20"/>
          <w:szCs w:val="20"/>
          <w:color w:val="auto"/>
        </w:rPr>
      </w:pPr>
    </w:p>
    <w:p>
      <w:pPr>
        <w:ind w:right="80" w:firstLine="917"/>
        <w:spacing w:after="0" w:line="298" w:lineRule="auto"/>
        <w:rPr>
          <w:sz w:val="20"/>
          <w:szCs w:val="20"/>
          <w:color w:val="auto"/>
        </w:rPr>
      </w:pPr>
      <w:r>
        <w:rPr>
          <w:rFonts w:ascii="Arial" w:cs="Arial" w:eastAsia="Arial" w:hAnsi="Arial"/>
          <w:sz w:val="15"/>
          <w:szCs w:val="15"/>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50" w:lineRule="exact"/>
        <w:rPr>
          <w:sz w:val="20"/>
          <w:szCs w:val="20"/>
          <w:color w:val="auto"/>
        </w:rPr>
      </w:pPr>
    </w:p>
    <w:p>
      <w:pPr>
        <w:ind w:right="40" w:firstLine="917"/>
        <w:spacing w:after="0" w:line="279" w:lineRule="auto"/>
        <w:rPr>
          <w:sz w:val="20"/>
          <w:szCs w:val="20"/>
          <w:color w:val="auto"/>
        </w:rPr>
      </w:pPr>
      <w:r>
        <w:rPr>
          <w:rFonts w:ascii="Arial" w:cs="Arial" w:eastAsia="Arial" w:hAnsi="Arial"/>
          <w:sz w:val="16"/>
          <w:szCs w:val="16"/>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61" w:lineRule="exact"/>
        <w:rPr>
          <w:sz w:val="20"/>
          <w:szCs w:val="20"/>
          <w:color w:val="auto"/>
        </w:rPr>
      </w:pPr>
    </w:p>
    <w:p>
      <w:pPr>
        <w:ind w:right="180" w:firstLine="917"/>
        <w:spacing w:after="0" w:line="274" w:lineRule="auto"/>
        <w:rPr>
          <w:sz w:val="20"/>
          <w:szCs w:val="20"/>
          <w:color w:val="auto"/>
        </w:rPr>
      </w:pPr>
      <w:r>
        <w:rPr>
          <w:rFonts w:ascii="Arial" w:cs="Arial" w:eastAsia="Arial" w:hAnsi="Arial"/>
          <w:sz w:val="17"/>
          <w:szCs w:val="17"/>
          <w:b w:val="1"/>
          <w:bCs w:val="1"/>
          <w:i w:val="1"/>
          <w:iCs w:val="1"/>
          <w:color w:val="auto"/>
        </w:rPr>
        <w:t>We may incur additional costs or experience delays in completing, or ultimately be unable to complete, the development and commercialization of PLN-74809 or any other product candidates.</w:t>
      </w:r>
    </w:p>
    <w:p>
      <w:pPr>
        <w:spacing w:after="0" w:line="63" w:lineRule="exact"/>
        <w:rPr>
          <w:sz w:val="20"/>
          <w:szCs w:val="20"/>
          <w:color w:val="auto"/>
        </w:rPr>
      </w:pPr>
    </w:p>
    <w:p>
      <w:pPr>
        <w:ind w:right="120" w:firstLine="917"/>
        <w:spacing w:after="0" w:line="342" w:lineRule="auto"/>
        <w:rPr>
          <w:sz w:val="20"/>
          <w:szCs w:val="20"/>
          <w:color w:val="auto"/>
        </w:rPr>
      </w:pPr>
      <w:r>
        <w:rPr>
          <w:rFonts w:ascii="Arial" w:cs="Arial" w:eastAsia="Arial" w:hAnsi="Arial"/>
          <w:sz w:val="15"/>
          <w:szCs w:val="15"/>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PLN-74809 or any other product candidates, including:</w:t>
      </w:r>
    </w:p>
    <w:p>
      <w:pPr>
        <w:spacing w:after="0" w:line="18" w:lineRule="exact"/>
        <w:rPr>
          <w:sz w:val="20"/>
          <w:szCs w:val="20"/>
          <w:color w:val="auto"/>
        </w:rPr>
      </w:pPr>
    </w:p>
    <w:p>
      <w:pPr>
        <w:ind w:left="2140" w:right="380" w:hanging="1062"/>
        <w:spacing w:after="0" w:line="274" w:lineRule="auto"/>
        <w:tabs>
          <w:tab w:leader="none" w:pos="21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63" w:lineRule="exact"/>
        <w:rPr>
          <w:rFonts w:ascii="Arial" w:cs="Arial" w:eastAsia="Arial" w:hAnsi="Arial"/>
          <w:sz w:val="17"/>
          <w:szCs w:val="17"/>
          <w:color w:val="auto"/>
        </w:rPr>
      </w:pPr>
    </w:p>
    <w:p>
      <w:pPr>
        <w:ind w:left="2140" w:hanging="1062"/>
        <w:spacing w:after="0" w:line="262" w:lineRule="auto"/>
        <w:tabs>
          <w:tab w:leader="none" w:pos="21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72" w:lineRule="exact"/>
        <w:rPr>
          <w:rFonts w:ascii="Arial" w:cs="Arial" w:eastAsia="Arial" w:hAnsi="Arial"/>
          <w:sz w:val="17"/>
          <w:szCs w:val="17"/>
          <w:color w:val="auto"/>
        </w:rPr>
      </w:pPr>
    </w:p>
    <w:p>
      <w:pPr>
        <w:ind w:left="2140" w:right="300" w:hanging="1062"/>
        <w:spacing w:after="0" w:line="342" w:lineRule="auto"/>
        <w:tabs>
          <w:tab w:leader="none" w:pos="2136"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prospective trial sites and prospective CROs, which can be subject to extensive negotiation and may vary significantly among different CROs and trial sites;</w:t>
      </w:r>
    </w:p>
    <w:p>
      <w:pPr>
        <w:spacing w:after="0" w:line="17" w:lineRule="exact"/>
        <w:rPr>
          <w:rFonts w:ascii="Arial" w:cs="Arial" w:eastAsia="Arial" w:hAnsi="Arial"/>
          <w:sz w:val="15"/>
          <w:szCs w:val="15"/>
          <w:color w:val="auto"/>
        </w:rPr>
      </w:pPr>
    </w:p>
    <w:p>
      <w:pPr>
        <w:ind w:left="2140" w:right="20" w:hanging="1062"/>
        <w:spacing w:after="0" w:line="274" w:lineRule="auto"/>
        <w:tabs>
          <w:tab w:leader="none" w:pos="21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6" w:name="page37"/>
    <w:bookmarkEnd w:id="36"/>
    <w:p>
      <w:pPr>
        <w:ind w:left="2140" w:right="220" w:hanging="1062"/>
        <w:spacing w:after="0" w:line="262" w:lineRule="auto"/>
        <w:tabs>
          <w:tab w:leader="none" w:pos="21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72" w:lineRule="exact"/>
        <w:rPr>
          <w:rFonts w:ascii="Arial" w:cs="Arial" w:eastAsia="Arial" w:hAnsi="Arial"/>
          <w:sz w:val="17"/>
          <w:szCs w:val="17"/>
          <w:color w:val="auto"/>
        </w:rPr>
      </w:pPr>
    </w:p>
    <w:p>
      <w:pPr>
        <w:ind w:left="2140" w:hanging="1062"/>
        <w:spacing w:after="0" w:line="313" w:lineRule="auto"/>
        <w:tabs>
          <w:tab w:leader="none" w:pos="2136" w:val="left"/>
        </w:tabs>
        <w:numPr>
          <w:ilvl w:val="0"/>
          <w:numId w:val="32"/>
        </w:numPr>
        <w:rPr>
          <w:rFonts w:ascii="Arial" w:cs="Arial" w:eastAsia="Arial" w:hAnsi="Arial"/>
          <w:sz w:val="15"/>
          <w:szCs w:val="15"/>
          <w:color w:val="auto"/>
        </w:rPr>
      </w:pPr>
      <w:r>
        <w:rPr>
          <w:rFonts w:ascii="Arial" w:cs="Arial" w:eastAsia="Arial" w:hAnsi="Arial"/>
          <w:sz w:val="15"/>
          <w:szCs w:val="15"/>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38" w:lineRule="exact"/>
        <w:rPr>
          <w:rFonts w:ascii="Arial" w:cs="Arial" w:eastAsia="Arial" w:hAnsi="Arial"/>
          <w:sz w:val="15"/>
          <w:szCs w:val="15"/>
          <w:color w:val="auto"/>
        </w:rPr>
      </w:pPr>
    </w:p>
    <w:p>
      <w:pPr>
        <w:ind w:left="2140" w:right="160" w:hanging="1062"/>
        <w:spacing w:after="0" w:line="274" w:lineRule="auto"/>
        <w:tabs>
          <w:tab w:leader="none" w:pos="21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additional delays and interruptions to our clinical trials could extend the duration of the trials and increase the overall costs to finish the trials as our fixed costs are not substantially reduced during delays;</w:t>
      </w:r>
    </w:p>
    <w:p>
      <w:pPr>
        <w:spacing w:after="0" w:line="63" w:lineRule="exact"/>
        <w:rPr>
          <w:rFonts w:ascii="Arial" w:cs="Arial" w:eastAsia="Arial" w:hAnsi="Arial"/>
          <w:sz w:val="17"/>
          <w:szCs w:val="17"/>
          <w:color w:val="auto"/>
        </w:rPr>
      </w:pPr>
    </w:p>
    <w:p>
      <w:pPr>
        <w:ind w:left="2140" w:right="280" w:hanging="1062"/>
        <w:spacing w:after="0" w:line="286" w:lineRule="auto"/>
        <w:tabs>
          <w:tab w:leader="none" w:pos="21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55" w:lineRule="exact"/>
        <w:rPr>
          <w:rFonts w:ascii="Arial" w:cs="Arial" w:eastAsia="Arial" w:hAnsi="Arial"/>
          <w:sz w:val="16"/>
          <w:szCs w:val="16"/>
          <w:color w:val="auto"/>
        </w:rPr>
      </w:pPr>
    </w:p>
    <w:p>
      <w:pPr>
        <w:ind w:left="2140" w:right="20" w:hanging="1062"/>
        <w:spacing w:after="0" w:line="274" w:lineRule="auto"/>
        <w:tabs>
          <w:tab w:leader="none" w:pos="21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have the financial resources available to begin and complete the planned trials, or the cost of clinical trials of any product candidates may be greater than we anticipate;</w:t>
      </w:r>
    </w:p>
    <w:p>
      <w:pPr>
        <w:spacing w:after="0" w:line="63" w:lineRule="exact"/>
        <w:rPr>
          <w:rFonts w:ascii="Arial" w:cs="Arial" w:eastAsia="Arial" w:hAnsi="Arial"/>
          <w:sz w:val="17"/>
          <w:szCs w:val="17"/>
          <w:color w:val="auto"/>
        </w:rPr>
      </w:pPr>
    </w:p>
    <w:p>
      <w:pPr>
        <w:ind w:left="2140" w:right="200" w:hanging="1062"/>
        <w:spacing w:after="0" w:line="274" w:lineRule="auto"/>
        <w:tabs>
          <w:tab w:leader="none" w:pos="21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 to initiate or complete a given clinical trial; and</w:t>
      </w:r>
    </w:p>
    <w:p>
      <w:pPr>
        <w:spacing w:after="0" w:line="63" w:lineRule="exact"/>
        <w:rPr>
          <w:rFonts w:ascii="Arial" w:cs="Arial" w:eastAsia="Arial" w:hAnsi="Arial"/>
          <w:sz w:val="17"/>
          <w:szCs w:val="17"/>
          <w:color w:val="auto"/>
        </w:rPr>
      </w:pPr>
    </w:p>
    <w:p>
      <w:pPr>
        <w:ind w:left="2140" w:right="280" w:hanging="1062"/>
        <w:spacing w:after="0" w:line="274" w:lineRule="auto"/>
        <w:tabs>
          <w:tab w:leader="none" w:pos="21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other comparable foreign regulatory authorities may require us to submit additional data such as long-term toxicology studies, or impose other requirements before permitting us to initiate a clinical trial.</w:t>
      </w:r>
    </w:p>
    <w:p>
      <w:pPr>
        <w:spacing w:after="0" w:line="63" w:lineRule="exact"/>
        <w:rPr>
          <w:sz w:val="20"/>
          <w:szCs w:val="20"/>
          <w:color w:val="auto"/>
        </w:rPr>
      </w:pPr>
    </w:p>
    <w:p>
      <w:pPr>
        <w:ind w:right="40" w:firstLine="917"/>
        <w:spacing w:after="0" w:line="254" w:lineRule="auto"/>
        <w:rPr>
          <w:sz w:val="20"/>
          <w:szCs w:val="20"/>
          <w:color w:val="auto"/>
        </w:rPr>
      </w:pPr>
      <w:r>
        <w:rPr>
          <w:rFonts w:ascii="Arial" w:cs="Arial" w:eastAsia="Arial" w:hAnsi="Arial"/>
          <w:sz w:val="17"/>
          <w:szCs w:val="17"/>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80" w:lineRule="exact"/>
        <w:rPr>
          <w:sz w:val="20"/>
          <w:szCs w:val="20"/>
          <w:color w:val="auto"/>
        </w:rPr>
      </w:pPr>
    </w:p>
    <w:p>
      <w:pPr>
        <w:ind w:right="500" w:firstLine="917"/>
        <w:spacing w:after="0" w:line="379" w:lineRule="auto"/>
        <w:rPr>
          <w:sz w:val="20"/>
          <w:szCs w:val="20"/>
          <w:color w:val="auto"/>
        </w:rPr>
      </w:pPr>
      <w:r>
        <w:rPr>
          <w:rFonts w:ascii="Arial" w:cs="Arial" w:eastAsia="Arial" w:hAnsi="Arial"/>
          <w:sz w:val="14"/>
          <w:szCs w:val="14"/>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1" w:lineRule="exact"/>
        <w:rPr>
          <w:sz w:val="20"/>
          <w:szCs w:val="20"/>
          <w:color w:val="auto"/>
        </w:rPr>
      </w:pPr>
    </w:p>
    <w:p>
      <w:pPr>
        <w:ind w:right="100" w:firstLine="917"/>
        <w:spacing w:after="0" w:line="254" w:lineRule="auto"/>
        <w:rPr>
          <w:sz w:val="20"/>
          <w:szCs w:val="20"/>
          <w:color w:val="auto"/>
        </w:rPr>
      </w:pPr>
      <w:r>
        <w:rPr>
          <w:rFonts w:ascii="Arial" w:cs="Arial" w:eastAsia="Arial" w:hAnsi="Arial"/>
          <w:sz w:val="17"/>
          <w:szCs w:val="17"/>
          <w:color w:val="auto"/>
        </w:rPr>
        <w:t>We completed our Phase 1a clinical trial of our lead product candidate PLN-74809 in healthy volunteers, and, with the exception of a number of reported minor adverse events, the product candidate was observed to be generally well-tolerated across all doses in 71 trial participants.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PLN-74809 administered with approved IPF agents. As a result, we may encounter unexpected drug-drug interactions in our planned trials, and may be required to further test these candidates, including in drug-drug interaction studies, which may be expensive, time-consuming and result in delays to our programs.</w:t>
      </w:r>
    </w:p>
    <w:p>
      <w:pPr>
        <w:spacing w:after="0" w:line="80" w:lineRule="exact"/>
        <w:rPr>
          <w:sz w:val="20"/>
          <w:szCs w:val="20"/>
          <w:color w:val="auto"/>
        </w:rPr>
      </w:pPr>
    </w:p>
    <w:p>
      <w:pPr>
        <w:ind w:right="160" w:firstLine="917"/>
        <w:spacing w:after="0" w:line="313" w:lineRule="auto"/>
        <w:rPr>
          <w:sz w:val="20"/>
          <w:szCs w:val="20"/>
          <w:color w:val="auto"/>
        </w:rPr>
      </w:pPr>
      <w:r>
        <w:rPr>
          <w:rFonts w:ascii="Arial" w:cs="Arial" w:eastAsia="Arial" w:hAnsi="Arial"/>
          <w:sz w:val="15"/>
          <w:szCs w:val="15"/>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affected.</w:t>
      </w:r>
    </w:p>
    <w:p>
      <w:pPr>
        <w:spacing w:after="0" w:line="99" w:lineRule="exact"/>
        <w:rPr>
          <w:sz w:val="20"/>
          <w:szCs w:val="20"/>
          <w:color w:val="auto"/>
        </w:rPr>
      </w:pPr>
    </w:p>
    <w:p>
      <w:pPr>
        <w:jc w:val="both"/>
        <w:ind w:right="60" w:firstLine="917"/>
        <w:spacing w:after="0" w:line="262" w:lineRule="auto"/>
        <w:rPr>
          <w:sz w:val="20"/>
          <w:szCs w:val="20"/>
          <w:color w:val="auto"/>
        </w:rPr>
      </w:pPr>
      <w:r>
        <w:rPr>
          <w:rFonts w:ascii="Arial" w:cs="Arial" w:eastAsia="Arial" w:hAnsi="Arial"/>
          <w:sz w:val="17"/>
          <w:szCs w:val="17"/>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7" w:name="page38"/>
    <w:bookmarkEnd w:id="37"/>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patient eligibility and exclusion criteria defined in the protocol;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size of the patient population required for analysis of the trial’s primary endpoints and the process for identifying patients;</w:t>
      </w:r>
    </w:p>
    <w:p>
      <w:pPr>
        <w:spacing w:after="0" w:line="121" w:lineRule="exact"/>
        <w:rPr>
          <w:rFonts w:ascii="Arial" w:cs="Arial" w:eastAsia="Arial" w:hAnsi="Arial"/>
          <w:sz w:val="16"/>
          <w:szCs w:val="16"/>
          <w:color w:val="auto"/>
        </w:rPr>
      </w:pPr>
    </w:p>
    <w:p>
      <w:pPr>
        <w:ind w:left="2140" w:right="60" w:hanging="1062"/>
        <w:spacing w:after="0" w:line="274" w:lineRule="auto"/>
        <w:tabs>
          <w:tab w:leader="none" w:pos="21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or availability (including legality under any future or reinstated COVID-19 shelter-in-place regulations) of patients to participate in our trials (including due to fears of contracting COVID-19);</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proximity of patients to trial sites;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0" w:lineRule="exact"/>
        <w:rPr>
          <w:rFonts w:ascii="Arial" w:cs="Arial" w:eastAsia="Arial" w:hAnsi="Arial"/>
          <w:sz w:val="17"/>
          <w:szCs w:val="17"/>
          <w:color w:val="auto"/>
        </w:rPr>
      </w:pPr>
    </w:p>
    <w:p>
      <w:pPr>
        <w:ind w:left="2140" w:right="20" w:hanging="1062"/>
        <w:spacing w:after="0" w:line="306" w:lineRule="auto"/>
        <w:tabs>
          <w:tab w:leader="none" w:pos="21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40" w:lineRule="exact"/>
        <w:rPr>
          <w:rFonts w:ascii="Arial" w:cs="Arial" w:eastAsia="Arial" w:hAnsi="Arial"/>
          <w:sz w:val="16"/>
          <w:szCs w:val="16"/>
          <w:color w:val="auto"/>
        </w:rPr>
      </w:pPr>
    </w:p>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availability of competing commercially available therapies and other competing product candidates’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obtain and maintain patient informed consents;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w:t>
      </w:r>
    </w:p>
    <w:p>
      <w:pPr>
        <w:spacing w:after="0" w:line="110" w:lineRule="exact"/>
        <w:rPr>
          <w:sz w:val="20"/>
          <w:szCs w:val="20"/>
          <w:color w:val="auto"/>
        </w:rPr>
      </w:pPr>
    </w:p>
    <w:p>
      <w:pPr>
        <w:ind w:right="20" w:firstLine="917"/>
        <w:spacing w:after="0" w:line="292" w:lineRule="auto"/>
        <w:rPr>
          <w:sz w:val="20"/>
          <w:szCs w:val="20"/>
          <w:color w:val="auto"/>
        </w:rPr>
      </w:pPr>
      <w:r>
        <w:rPr>
          <w:rFonts w:ascii="Arial" w:cs="Arial" w:eastAsia="Arial" w:hAnsi="Arial"/>
          <w:sz w:val="15"/>
          <w:szCs w:val="15"/>
          <w:color w:val="auto"/>
        </w:rPr>
        <w:t>For example, we are initially developing PLN-74809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PLN-74809 due, in part, to the small size of these patient populations. Moreover, our Phase 2a PET imaging IPF trial is being conducted at a single site, which could limit the availability of IPF patients at the site and may slow enrollment in that specific trial.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53" w:lineRule="exact"/>
        <w:rPr>
          <w:sz w:val="20"/>
          <w:szCs w:val="20"/>
          <w:color w:val="auto"/>
        </w:rPr>
      </w:pPr>
    </w:p>
    <w:p>
      <w:pPr>
        <w:ind w:firstLine="917"/>
        <w:spacing w:after="0" w:line="292" w:lineRule="auto"/>
        <w:rPr>
          <w:sz w:val="20"/>
          <w:szCs w:val="20"/>
          <w:color w:val="auto"/>
        </w:rPr>
      </w:pPr>
      <w:r>
        <w:rPr>
          <w:rFonts w:ascii="Arial" w:cs="Arial" w:eastAsia="Arial" w:hAnsi="Arial"/>
          <w:sz w:val="15"/>
          <w:szCs w:val="15"/>
          <w:color w:val="auto"/>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PLN-74809 in IPF and PSC was delayed. While these trials have resumed patient enrollment, we believe we are experiencing slower than expected enrollment due to the pandemic. Also, while the Phase 1 trial of PLN-1474 has completed, this trial experienced delays due to COVID-19.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Some factors from the COVID-19 pandemic that we believe may adversely affect enrollment in our trials include:</w:t>
      </w:r>
    </w:p>
    <w:p>
      <w:pPr>
        <w:spacing w:after="0" w:line="110" w:lineRule="exact"/>
        <w:rPr>
          <w:sz w:val="20"/>
          <w:szCs w:val="20"/>
          <w:color w:val="auto"/>
        </w:rPr>
      </w:pPr>
    </w:p>
    <w:p>
      <w:pPr>
        <w:ind w:left="2140" w:right="300" w:hanging="1062"/>
        <w:spacing w:after="0" w:line="262" w:lineRule="auto"/>
        <w:tabs>
          <w:tab w:leader="none" w:pos="21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72" w:lineRule="exact"/>
        <w:rPr>
          <w:rFonts w:ascii="Arial" w:cs="Arial" w:eastAsia="Arial" w:hAnsi="Arial"/>
          <w:sz w:val="17"/>
          <w:szCs w:val="17"/>
          <w:color w:val="auto"/>
        </w:rPr>
      </w:pPr>
    </w:p>
    <w:p>
      <w:pPr>
        <w:ind w:left="2140" w:right="160" w:hanging="1062"/>
        <w:spacing w:after="0" w:line="262" w:lineRule="auto"/>
        <w:tabs>
          <w:tab w:leader="none" w:pos="21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given that our clinical trials target respiratory indications, patients who would otherwise be candidates for enrollment in our clinical trials, may become infected with coronavirus, which may kill some patients and render others too ill to participate, limiting the available pool of participants for our trials;</w:t>
      </w:r>
    </w:p>
    <w:p>
      <w:pPr>
        <w:spacing w:after="0" w:line="72" w:lineRule="exact"/>
        <w:rPr>
          <w:rFonts w:ascii="Arial" w:cs="Arial" w:eastAsia="Arial" w:hAnsi="Arial"/>
          <w:sz w:val="17"/>
          <w:szCs w:val="17"/>
          <w:color w:val="auto"/>
        </w:rPr>
      </w:pPr>
    </w:p>
    <w:p>
      <w:pPr>
        <w:ind w:left="2140" w:right="320" w:hanging="1062"/>
        <w:spacing w:after="0" w:line="274" w:lineRule="auto"/>
        <w:tabs>
          <w:tab w:leader="none" w:pos="21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inability of patients to come to hospitals and universities to participate in our trial, which may force us to conduct our trials in patients’ homes, rendering the trials more difficult and costly to conduct;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8" w:name="page39"/>
    <w:bookmarkEnd w:id="38"/>
    <w:p>
      <w:pPr>
        <w:ind w:left="2140" w:hanging="1062"/>
        <w:spacing w:after="0"/>
        <w:tabs>
          <w:tab w:leader="none" w:pos="2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limitations on travel that interrupt key trial activities, such as clinical trial site initiations and monitoring;</w:t>
      </w:r>
    </w:p>
    <w:p>
      <w:pPr>
        <w:spacing w:after="0" w:line="110" w:lineRule="exact"/>
        <w:rPr>
          <w:rFonts w:ascii="Arial" w:cs="Arial" w:eastAsia="Arial" w:hAnsi="Arial"/>
          <w:sz w:val="17"/>
          <w:szCs w:val="17"/>
          <w:color w:val="auto"/>
        </w:rPr>
      </w:pPr>
    </w:p>
    <w:p>
      <w:pPr>
        <w:ind w:left="2140" w:right="120" w:hanging="1062"/>
        <w:spacing w:after="0" w:line="274" w:lineRule="auto"/>
        <w:tabs>
          <w:tab w:leader="none" w:pos="21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interruption in global shipping affecting the transport of clinical trial materials, such as investigational drug product and comparator drugs used in our trials; and</w:t>
      </w:r>
    </w:p>
    <w:p>
      <w:pPr>
        <w:spacing w:after="0" w:line="63" w:lineRule="exact"/>
        <w:rPr>
          <w:rFonts w:ascii="Arial" w:cs="Arial" w:eastAsia="Arial" w:hAnsi="Arial"/>
          <w:sz w:val="17"/>
          <w:szCs w:val="17"/>
          <w:color w:val="auto"/>
        </w:rPr>
      </w:pPr>
    </w:p>
    <w:p>
      <w:pPr>
        <w:ind w:left="2140" w:right="160" w:hanging="1062"/>
        <w:spacing w:after="0" w:line="274" w:lineRule="auto"/>
        <w:tabs>
          <w:tab w:leader="none" w:pos="21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employee furlough days that delay necessary interactions with local regulators, ethics committees and other important agencies and contractors.</w:t>
      </w:r>
    </w:p>
    <w:p>
      <w:pPr>
        <w:spacing w:after="0" w:line="63" w:lineRule="exact"/>
        <w:rPr>
          <w:sz w:val="20"/>
          <w:szCs w:val="20"/>
          <w:color w:val="auto"/>
        </w:rPr>
      </w:pPr>
    </w:p>
    <w:p>
      <w:pPr>
        <w:ind w:right="20" w:firstLine="917"/>
        <w:spacing w:after="0" w:line="274" w:lineRule="auto"/>
        <w:rPr>
          <w:sz w:val="20"/>
          <w:szCs w:val="20"/>
          <w:color w:val="auto"/>
        </w:rPr>
      </w:pPr>
      <w:r>
        <w:rPr>
          <w:rFonts w:ascii="Arial" w:cs="Arial" w:eastAsia="Arial" w:hAnsi="Arial"/>
          <w:sz w:val="17"/>
          <w:szCs w:val="17"/>
          <w:color w:val="auto"/>
        </w:rPr>
        <w:t>The global outbreak of the COVID-19 pandemic continues to evolve and the conduct of our trials may continue to be adversely affected, despite efforts to mitigate this impact.</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The design or execution of our ongoing and future clinical trials may not support marketing approval.</w:t>
      </w:r>
    </w:p>
    <w:p>
      <w:pPr>
        <w:spacing w:after="0" w:line="110" w:lineRule="exact"/>
        <w:rPr>
          <w:sz w:val="20"/>
          <w:szCs w:val="20"/>
          <w:color w:val="auto"/>
        </w:rPr>
      </w:pPr>
    </w:p>
    <w:p>
      <w:pPr>
        <w:ind w:right="60" w:firstLine="917"/>
        <w:spacing w:after="0" w:line="272" w:lineRule="auto"/>
        <w:rPr>
          <w:sz w:val="20"/>
          <w:szCs w:val="20"/>
          <w:color w:val="auto"/>
        </w:rPr>
      </w:pPr>
      <w:r>
        <w:rPr>
          <w:rFonts w:ascii="Arial" w:cs="Arial" w:eastAsia="Arial" w:hAnsi="Arial"/>
          <w:sz w:val="16"/>
          <w:szCs w:val="16"/>
          <w:color w:val="auto"/>
        </w:rPr>
        <w:t>The design or execution of a clinical trial can determine whether its results will support marketing approval, and flaws in the design or execution of a clinical trial may not become apparent until the clinical trial is well advanced. We are currently recruiting two Phase 2a trials of PLN-74809 in IPF. In the first of these trials, the study is designed to enroll IPF patients and utilize a positron emission tomography, or PET, ligand to measure αvß6 target engagement by PLN-74809 in the lungs post-treatment. The second trial is a 12-week double-blind placebo-controlled trial to evaluate safety, tolerability and PK of up three doses of PLN-74809. It is possible that we may need to amend our clinical trial, which would require us to resubmit our clinical trial protocols to competent authorities and ethics committees for reexamination, and may impact the costs, timing, or successful completion of such clinical trial. In addition, we may desire to test PLN-74809 at doses exceeding those evaluated in an ongoing Phase 1a trial and may not be able to do so.</w:t>
      </w:r>
    </w:p>
    <w:p>
      <w:pPr>
        <w:spacing w:after="0" w:line="68" w:lineRule="exact"/>
        <w:rPr>
          <w:sz w:val="20"/>
          <w:szCs w:val="20"/>
          <w:color w:val="auto"/>
        </w:rPr>
      </w:pPr>
    </w:p>
    <w:p>
      <w:pPr>
        <w:ind w:firstLine="917"/>
        <w:spacing w:after="0" w:line="258" w:lineRule="auto"/>
        <w:rPr>
          <w:sz w:val="20"/>
          <w:szCs w:val="20"/>
          <w:color w:val="auto"/>
        </w:rPr>
      </w:pPr>
      <w:r>
        <w:rPr>
          <w:rFonts w:ascii="Arial" w:cs="Arial" w:eastAsia="Arial" w:hAnsi="Arial"/>
          <w:sz w:val="17"/>
          <w:szCs w:val="17"/>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76" w:lineRule="exact"/>
        <w:rPr>
          <w:sz w:val="20"/>
          <w:szCs w:val="20"/>
          <w:color w:val="auto"/>
        </w:rPr>
      </w:pPr>
    </w:p>
    <w:p>
      <w:pPr>
        <w:ind w:right="20" w:firstLine="917"/>
        <w:spacing w:after="0" w:line="271" w:lineRule="auto"/>
        <w:rPr>
          <w:sz w:val="20"/>
          <w:szCs w:val="20"/>
          <w:color w:val="auto"/>
        </w:rPr>
      </w:pPr>
      <w:r>
        <w:rPr>
          <w:rFonts w:ascii="Arial" w:cs="Arial" w:eastAsia="Arial" w:hAnsi="Arial"/>
          <w:sz w:val="16"/>
          <w:szCs w:val="16"/>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70" w:lineRule="exact"/>
        <w:rPr>
          <w:sz w:val="20"/>
          <w:szCs w:val="20"/>
          <w:color w:val="auto"/>
        </w:rPr>
      </w:pPr>
    </w:p>
    <w:p>
      <w:pPr>
        <w:ind w:right="600" w:firstLine="917"/>
        <w:spacing w:after="0" w:line="274" w:lineRule="auto"/>
        <w:rPr>
          <w:sz w:val="20"/>
          <w:szCs w:val="20"/>
          <w:color w:val="auto"/>
        </w:rPr>
      </w:pPr>
      <w:r>
        <w:rPr>
          <w:rFonts w:ascii="Arial" w:cs="Arial" w:eastAsia="Arial" w:hAnsi="Arial"/>
          <w:sz w:val="17"/>
          <w:szCs w:val="17"/>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63" w:lineRule="exact"/>
        <w:rPr>
          <w:sz w:val="20"/>
          <w:szCs w:val="20"/>
          <w:color w:val="auto"/>
        </w:rPr>
      </w:pPr>
    </w:p>
    <w:p>
      <w:pPr>
        <w:jc w:val="both"/>
        <w:ind w:firstLine="917"/>
        <w:spacing w:after="0" w:line="313" w:lineRule="auto"/>
        <w:rPr>
          <w:sz w:val="20"/>
          <w:szCs w:val="20"/>
          <w:color w:val="auto"/>
        </w:rPr>
      </w:pPr>
      <w:r>
        <w:rPr>
          <w:rFonts w:ascii="Arial" w:cs="Arial" w:eastAsia="Arial" w:hAnsi="Arial"/>
          <w:sz w:val="15"/>
          <w:szCs w:val="15"/>
          <w:b w:val="1"/>
          <w:bCs w:val="1"/>
          <w:i w:val="1"/>
          <w:iCs w:val="1"/>
          <w:color w:val="auto"/>
        </w:rPr>
        <w:t>Although we have received U.S. orphan drug designation for PLN-74809 for IPF and PSC indications and EEA orphan drug designation for PLN-74809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38" w:lineRule="exact"/>
        <w:rPr>
          <w:sz w:val="20"/>
          <w:szCs w:val="20"/>
          <w:color w:val="auto"/>
        </w:rPr>
      </w:pPr>
    </w:p>
    <w:p>
      <w:pPr>
        <w:ind w:right="20" w:firstLine="917"/>
        <w:spacing w:after="0" w:line="289" w:lineRule="auto"/>
        <w:rPr>
          <w:sz w:val="20"/>
          <w:szCs w:val="20"/>
          <w:color w:val="auto"/>
        </w:rPr>
      </w:pPr>
      <w:r>
        <w:rPr>
          <w:rFonts w:ascii="Arial" w:cs="Arial" w:eastAsia="Arial" w:hAnsi="Arial"/>
          <w:sz w:val="15"/>
          <w:szCs w:val="15"/>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or EEA, the product must fulfill certain challenging criteria. Under Article 3 of Regulation (EC) 141/2000,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39" w:name="page40"/>
    <w:bookmarkEnd w:id="39"/>
    <w:p>
      <w:pPr>
        <w:ind w:right="80" w:firstLine="917"/>
        <w:spacing w:after="0" w:line="258" w:lineRule="auto"/>
        <w:rPr>
          <w:sz w:val="20"/>
          <w:szCs w:val="20"/>
          <w:color w:val="auto"/>
        </w:rPr>
      </w:pPr>
      <w:r>
        <w:rPr>
          <w:rFonts w:ascii="Arial" w:cs="Arial" w:eastAsia="Arial" w:hAnsi="Arial"/>
          <w:sz w:val="17"/>
          <w:szCs w:val="17"/>
          <w:color w:val="auto"/>
        </w:rPr>
        <w:t>Although we have received U.S. orphan drug designation for PLN-74809 for IPF and PSC and EEA orphan drug designation for PLN-74809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76" w:lineRule="exact"/>
        <w:rPr>
          <w:sz w:val="20"/>
          <w:szCs w:val="20"/>
          <w:color w:val="auto"/>
        </w:rPr>
      </w:pPr>
    </w:p>
    <w:p>
      <w:pPr>
        <w:ind w:right="20" w:firstLine="917"/>
        <w:spacing w:after="0" w:line="273" w:lineRule="auto"/>
        <w:rPr>
          <w:sz w:val="20"/>
          <w:szCs w:val="20"/>
          <w:color w:val="auto"/>
        </w:rPr>
      </w:pPr>
      <w:r>
        <w:rPr>
          <w:rFonts w:ascii="Arial" w:cs="Arial" w:eastAsia="Arial" w:hAnsi="Arial"/>
          <w:sz w:val="16"/>
          <w:szCs w:val="16"/>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(which can be extended a further two years if the product qualifies for a pediatric extension) in EEA.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69" w:lineRule="exact"/>
        <w:rPr>
          <w:sz w:val="20"/>
          <w:szCs w:val="20"/>
          <w:color w:val="auto"/>
        </w:rPr>
      </w:pPr>
    </w:p>
    <w:p>
      <w:pPr>
        <w:ind w:right="120" w:firstLine="917"/>
        <w:spacing w:after="0" w:line="258"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or EEA. Even after an orphan drug is approved, the FDA or EMA may subsequently approve another drug for the same condition if the FDA or EMA, as applicable, concludes that the latter drug is not a similar medicinal product or is clinically superior in that it is shown to be safer, more effective or makes a major contribution to patient care.</w:t>
      </w:r>
    </w:p>
    <w:p>
      <w:pPr>
        <w:spacing w:after="0" w:line="76" w:lineRule="exact"/>
        <w:rPr>
          <w:sz w:val="20"/>
          <w:szCs w:val="20"/>
          <w:color w:val="auto"/>
        </w:rPr>
      </w:pPr>
    </w:p>
    <w:p>
      <w:pPr>
        <w:ind w:right="480" w:firstLine="917"/>
        <w:spacing w:after="0" w:line="342" w:lineRule="auto"/>
        <w:rPr>
          <w:sz w:val="20"/>
          <w:szCs w:val="20"/>
          <w:color w:val="auto"/>
        </w:rPr>
      </w:pPr>
      <w:r>
        <w:rPr>
          <w:rFonts w:ascii="Arial" w:cs="Arial" w:eastAsia="Arial" w:hAnsi="Arial"/>
          <w:sz w:val="15"/>
          <w:szCs w:val="15"/>
          <w:b w:val="1"/>
          <w:bCs w:val="1"/>
          <w:i w:val="1"/>
          <w:iCs w:val="1"/>
          <w:color w:val="auto"/>
        </w:rPr>
        <w:t>A Fast Track designation by the FDA, even if granted for other current or future product candidates, may not lead to a faster development or regulatory review, licensure process and does not increase the likelihood that our product candidates will receive marketing licensure.</w:t>
      </w:r>
    </w:p>
    <w:p>
      <w:pPr>
        <w:spacing w:after="0" w:line="18"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auto"/>
        </w:rPr>
        <w:t>We may seek Fast Track designation for one or more of our future product candidates. In April 2022, PLN-74809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110" w:lineRule="exact"/>
        <w:rPr>
          <w:sz w:val="20"/>
          <w:szCs w:val="20"/>
          <w:color w:val="auto"/>
        </w:rPr>
      </w:pPr>
    </w:p>
    <w:p>
      <w:pPr>
        <w:ind w:right="20" w:firstLine="917"/>
        <w:spacing w:after="0" w:line="295" w:lineRule="auto"/>
        <w:rPr>
          <w:sz w:val="20"/>
          <w:szCs w:val="20"/>
          <w:color w:val="auto"/>
        </w:rPr>
      </w:pPr>
      <w:r>
        <w:rPr>
          <w:rFonts w:ascii="Arial" w:cs="Arial" w:eastAsia="Arial" w:hAnsi="Arial"/>
          <w:sz w:val="15"/>
          <w:szCs w:val="15"/>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52" w:lineRule="exact"/>
        <w:rPr>
          <w:sz w:val="20"/>
          <w:szCs w:val="20"/>
          <w:color w:val="auto"/>
        </w:rPr>
      </w:pPr>
    </w:p>
    <w:p>
      <w:pPr>
        <w:ind w:right="80" w:firstLine="917"/>
        <w:spacing w:after="0" w:line="293" w:lineRule="auto"/>
        <w:rPr>
          <w:sz w:val="20"/>
          <w:szCs w:val="20"/>
          <w:color w:val="auto"/>
        </w:rPr>
      </w:pPr>
      <w:r>
        <w:rPr>
          <w:rFonts w:ascii="Arial" w:cs="Arial" w:eastAsia="Arial" w:hAnsi="Arial"/>
          <w:sz w:val="15"/>
          <w:szCs w:val="15"/>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0" w:name="page41"/>
    <w:bookmarkEnd w:id="40"/>
    <w:p>
      <w:pPr>
        <w:spacing w:after="0" w:line="274" w:lineRule="auto"/>
        <w:rPr>
          <w:sz w:val="20"/>
          <w:szCs w:val="20"/>
          <w:color w:val="auto"/>
        </w:rPr>
      </w:pPr>
      <w:r>
        <w:rPr>
          <w:rFonts w:ascii="Arial" w:cs="Arial" w:eastAsia="Arial" w:hAnsi="Arial"/>
          <w:sz w:val="17"/>
          <w:szCs w:val="17"/>
          <w:color w:val="auto"/>
        </w:rPr>
        <w:t>quantities for clinical trials or for commercialization, our development and commercialization efforts would be impaired, which would have an adverse effect on our business, financial condition, results of operations and growth prospects.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in the future.</w:t>
      </w:r>
    </w:p>
    <w:p>
      <w:pPr>
        <w:spacing w:after="0" w:line="110" w:lineRule="exact"/>
        <w:rPr>
          <w:sz w:val="20"/>
          <w:szCs w:val="20"/>
          <w:color w:val="auto"/>
        </w:rPr>
      </w:pPr>
    </w:p>
    <w:p>
      <w:pPr>
        <w:ind w:right="680" w:firstLine="917"/>
        <w:spacing w:after="0" w:line="274" w:lineRule="auto"/>
        <w:rPr>
          <w:sz w:val="20"/>
          <w:szCs w:val="20"/>
          <w:color w:val="auto"/>
        </w:rPr>
      </w:pPr>
      <w:r>
        <w:rPr>
          <w:rFonts w:ascii="Arial" w:cs="Arial" w:eastAsia="Arial" w:hAnsi="Arial"/>
          <w:sz w:val="17"/>
          <w:szCs w:val="17"/>
          <w:color w:val="auto"/>
        </w:rPr>
        <w:t>Our research programs may initially show promise in identifying potential product candidates, yet fail to yield product candidates for clinical development for a number of reasons, including:</w:t>
      </w:r>
    </w:p>
    <w:p>
      <w:pPr>
        <w:spacing w:after="0" w:line="63" w:lineRule="exact"/>
        <w:rPr>
          <w:sz w:val="20"/>
          <w:szCs w:val="20"/>
          <w:color w:val="auto"/>
        </w:rPr>
      </w:pPr>
    </w:p>
    <w:p>
      <w:pPr>
        <w:ind w:left="2140" w:hanging="1062"/>
        <w:spacing w:after="0"/>
        <w:tabs>
          <w:tab w:leader="none" w:pos="2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inability to design such product candidates with the pharmacological properties that we desire or attractive pharmacokinetics; or</w:t>
      </w:r>
    </w:p>
    <w:p>
      <w:pPr>
        <w:spacing w:after="0" w:line="133" w:lineRule="exact"/>
        <w:rPr>
          <w:rFonts w:ascii="Arial" w:cs="Arial" w:eastAsia="Arial" w:hAnsi="Arial"/>
          <w:sz w:val="15"/>
          <w:szCs w:val="15"/>
          <w:color w:val="auto"/>
        </w:rPr>
      </w:pPr>
    </w:p>
    <w:p>
      <w:pPr>
        <w:ind w:left="2140" w:right="220" w:hanging="1062"/>
        <w:spacing w:after="0" w:line="274" w:lineRule="auto"/>
        <w:tabs>
          <w:tab w:leader="none" w:pos="2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63"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73" w:lineRule="exact"/>
        <w:rPr>
          <w:sz w:val="20"/>
          <w:szCs w:val="20"/>
          <w:color w:val="auto"/>
        </w:rPr>
      </w:pPr>
    </w:p>
    <w:p>
      <w:pPr>
        <w:ind w:right="620" w:firstLine="917"/>
        <w:spacing w:after="0" w:line="274" w:lineRule="auto"/>
        <w:rPr>
          <w:sz w:val="20"/>
          <w:szCs w:val="20"/>
          <w:color w:val="auto"/>
        </w:rPr>
      </w:pPr>
      <w:r>
        <w:rPr>
          <w:rFonts w:ascii="Arial" w:cs="Arial" w:eastAsia="Arial" w:hAnsi="Arial"/>
          <w:sz w:val="17"/>
          <w:szCs w:val="17"/>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63" w:lineRule="exact"/>
        <w:rPr>
          <w:sz w:val="20"/>
          <w:szCs w:val="20"/>
          <w:color w:val="auto"/>
        </w:rPr>
      </w:pPr>
    </w:p>
    <w:p>
      <w:pPr>
        <w:ind w:right="60" w:firstLine="917"/>
        <w:spacing w:after="0" w:line="295" w:lineRule="auto"/>
        <w:rPr>
          <w:sz w:val="20"/>
          <w:szCs w:val="20"/>
          <w:color w:val="auto"/>
        </w:rPr>
      </w:pPr>
      <w:r>
        <w:rPr>
          <w:rFonts w:ascii="Arial" w:cs="Arial" w:eastAsia="Arial" w:hAnsi="Arial"/>
          <w:sz w:val="15"/>
          <w:szCs w:val="15"/>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52" w:lineRule="exact"/>
        <w:rPr>
          <w:sz w:val="20"/>
          <w:szCs w:val="20"/>
          <w:color w:val="auto"/>
        </w:rPr>
      </w:pPr>
    </w:p>
    <w:p>
      <w:pPr>
        <w:ind w:right="60" w:firstLine="917"/>
        <w:spacing w:after="0" w:line="286" w:lineRule="auto"/>
        <w:rPr>
          <w:sz w:val="20"/>
          <w:szCs w:val="20"/>
          <w:color w:val="auto"/>
        </w:rPr>
      </w:pPr>
      <w:r>
        <w:rPr>
          <w:rFonts w:ascii="Arial" w:cs="Arial" w:eastAsia="Arial" w:hAnsi="Arial"/>
          <w:sz w:val="16"/>
          <w:szCs w:val="16"/>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55" w:lineRule="exact"/>
        <w:rPr>
          <w:sz w:val="20"/>
          <w:szCs w:val="20"/>
          <w:color w:val="auto"/>
        </w:rPr>
      </w:pPr>
    </w:p>
    <w:p>
      <w:pPr>
        <w:ind w:right="940" w:firstLine="917"/>
        <w:spacing w:after="0" w:line="274"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63" w:lineRule="exact"/>
        <w:rPr>
          <w:sz w:val="20"/>
          <w:szCs w:val="20"/>
          <w:color w:val="auto"/>
        </w:rPr>
      </w:pPr>
    </w:p>
    <w:p>
      <w:pPr>
        <w:ind w:right="20" w:firstLine="917"/>
        <w:spacing w:after="0" w:line="254" w:lineRule="auto"/>
        <w:rPr>
          <w:sz w:val="20"/>
          <w:szCs w:val="20"/>
          <w:color w:val="auto"/>
        </w:rPr>
      </w:pPr>
      <w:r>
        <w:rPr>
          <w:rFonts w:ascii="Arial" w:cs="Arial" w:eastAsia="Arial" w:hAnsi="Arial"/>
          <w:sz w:val="17"/>
          <w:szCs w:val="17"/>
          <w:color w:val="auto"/>
        </w:rPr>
        <w:t>We face an inherent risk of product liability as a result of testing PLN-74809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0" w:lineRule="exact"/>
        <w:rPr>
          <w:sz w:val="20"/>
          <w:szCs w:val="20"/>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inability to bring a product candidate to the market;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decreased demand for our products;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withdrawal of clinical trial participants and inability to continue clinical trials;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initiation of investigations by regulators;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fines, injunctions or criminal penalties;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diversion of management’s time and our resources;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substantial monetary awards to trial participants;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20" w:top="955" w:right="399" w:bottom="1440" w:gutter="0" w:footer="0" w:header="0"/>
        </w:sectPr>
      </w:pPr>
    </w:p>
    <w:bookmarkStart w:id="41" w:name="page42"/>
    <w:bookmarkEnd w:id="41"/>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exhaustion of any available insurance and our capital resources;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inability to commercialize any product candidate, if approved;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decline in our share price.</w:t>
      </w:r>
    </w:p>
    <w:p>
      <w:pPr>
        <w:spacing w:after="0" w:line="110" w:lineRule="exact"/>
        <w:rPr>
          <w:sz w:val="20"/>
          <w:szCs w:val="20"/>
          <w:color w:val="auto"/>
        </w:rPr>
      </w:pPr>
    </w:p>
    <w:p>
      <w:pPr>
        <w:ind w:firstLine="917"/>
        <w:spacing w:after="0" w:line="293" w:lineRule="auto"/>
        <w:rPr>
          <w:sz w:val="20"/>
          <w:szCs w:val="20"/>
          <w:color w:val="auto"/>
        </w:rPr>
      </w:pPr>
      <w:r>
        <w:rPr>
          <w:rFonts w:ascii="Arial" w:cs="Arial" w:eastAsia="Arial" w:hAnsi="Arial"/>
          <w:sz w:val="15"/>
          <w:szCs w:val="15"/>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PLN-74809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w:t>
      </w:r>
    </w:p>
    <w:p>
      <w:pPr>
        <w:spacing w:after="0" w:line="99" w:lineRule="exact"/>
        <w:rPr>
          <w:sz w:val="20"/>
          <w:szCs w:val="20"/>
          <w:color w:val="auto"/>
        </w:rPr>
      </w:pPr>
    </w:p>
    <w:p>
      <w:pPr>
        <w:ind w:right="100" w:firstLine="917"/>
        <w:spacing w:after="0" w:line="303" w:lineRule="auto"/>
        <w:rPr>
          <w:sz w:val="20"/>
          <w:szCs w:val="20"/>
          <w:color w:val="auto"/>
        </w:rPr>
      </w:pPr>
      <w:r>
        <w:rPr>
          <w:rFonts w:ascii="Arial" w:cs="Arial" w:eastAsia="Arial" w:hAnsi="Arial"/>
          <w:sz w:val="15"/>
          <w:szCs w:val="15"/>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46" w:lineRule="exact"/>
        <w:rPr>
          <w:sz w:val="20"/>
          <w:szCs w:val="20"/>
          <w:color w:val="auto"/>
        </w:rPr>
      </w:pPr>
    </w:p>
    <w:p>
      <w:pPr>
        <w:ind w:right="260" w:firstLine="917"/>
        <w:spacing w:after="0" w:line="310" w:lineRule="auto"/>
        <w:rPr>
          <w:sz w:val="20"/>
          <w:szCs w:val="20"/>
          <w:color w:val="auto"/>
        </w:rPr>
      </w:pPr>
      <w:r>
        <w:rPr>
          <w:rFonts w:ascii="Arial" w:cs="Arial" w:eastAsia="Arial" w:hAnsi="Arial"/>
          <w:sz w:val="15"/>
          <w:szCs w:val="15"/>
          <w:color w:val="auto"/>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w:t>
      </w:r>
    </w:p>
    <w:p>
      <w:pPr>
        <w:spacing w:after="0" w:line="306" w:lineRule="auto"/>
        <w:rPr>
          <w:sz w:val="20"/>
          <w:szCs w:val="20"/>
          <w:color w:val="auto"/>
        </w:rPr>
      </w:pPr>
      <w:r>
        <w:rPr>
          <w:rFonts w:ascii="Arial" w:cs="Arial" w:eastAsia="Arial" w:hAnsi="Arial"/>
          <w:sz w:val="16"/>
          <w:szCs w:val="16"/>
          <w:color w:val="auto"/>
        </w:rPr>
        <w:t>include companies with significant financial resources such as AbbVie Inc., AstraZeneca plc, Bristol Myers Squibb Co., Corbus Pharmaceutical, DiCE Therapeutics, Inc., FibroGen, Inc., Gilead Sciences, Inc., Galapagos NV, Morphic Therapeutics, Inc., Novartis AG, and Takeda Pharmaceutical Company.</w:t>
      </w:r>
    </w:p>
    <w:p>
      <w:pPr>
        <w:spacing w:after="0" w:line="40" w:lineRule="exact"/>
        <w:rPr>
          <w:sz w:val="20"/>
          <w:szCs w:val="20"/>
          <w:color w:val="auto"/>
        </w:rPr>
      </w:pPr>
    </w:p>
    <w:p>
      <w:pPr>
        <w:ind w:right="60" w:firstLine="917"/>
        <w:spacing w:after="0" w:line="262"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73" w:lineRule="exact"/>
        <w:rPr>
          <w:sz w:val="20"/>
          <w:szCs w:val="20"/>
          <w:color w:val="auto"/>
        </w:rPr>
      </w:pPr>
    </w:p>
    <w:p>
      <w:pPr>
        <w:ind w:right="20" w:firstLine="917"/>
        <w:spacing w:after="0" w:line="269" w:lineRule="auto"/>
        <w:rPr>
          <w:sz w:val="20"/>
          <w:szCs w:val="20"/>
          <w:color w:val="auto"/>
        </w:rPr>
      </w:pPr>
      <w:r>
        <w:rPr>
          <w:rFonts w:ascii="Arial" w:cs="Arial" w:eastAsia="Arial" w:hAnsi="Arial"/>
          <w:sz w:val="16"/>
          <w:szCs w:val="16"/>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PLN-74809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Marketing, Reimbursement, Healthcare Regulations and Ongoing Regulatory Compliance</w:t>
      </w:r>
    </w:p>
    <w:p>
      <w:pPr>
        <w:spacing w:after="0" w:line="114" w:lineRule="exact"/>
        <w:rPr>
          <w:sz w:val="20"/>
          <w:szCs w:val="20"/>
          <w:color w:val="auto"/>
        </w:rPr>
      </w:pPr>
    </w:p>
    <w:p>
      <w:pPr>
        <w:ind w:right="60" w:firstLine="917"/>
        <w:spacing w:after="0" w:line="274" w:lineRule="auto"/>
        <w:rPr>
          <w:sz w:val="20"/>
          <w:szCs w:val="20"/>
          <w:color w:val="auto"/>
        </w:rPr>
      </w:pPr>
      <w:r>
        <w:rPr>
          <w:rFonts w:ascii="Arial" w:cs="Arial" w:eastAsia="Arial" w:hAnsi="Arial"/>
          <w:sz w:val="17"/>
          <w:szCs w:val="17"/>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63" w:lineRule="exact"/>
        <w:rPr>
          <w:sz w:val="20"/>
          <w:szCs w:val="20"/>
          <w:color w:val="auto"/>
        </w:rPr>
      </w:pPr>
    </w:p>
    <w:p>
      <w:pPr>
        <w:ind w:right="740" w:firstLine="917"/>
        <w:spacing w:after="0" w:line="274" w:lineRule="auto"/>
        <w:rPr>
          <w:sz w:val="20"/>
          <w:szCs w:val="20"/>
          <w:color w:val="auto"/>
        </w:rPr>
      </w:pPr>
      <w:r>
        <w:rPr>
          <w:rFonts w:ascii="Arial" w:cs="Arial" w:eastAsia="Arial" w:hAnsi="Arial"/>
          <w:sz w:val="17"/>
          <w:szCs w:val="17"/>
          <w:color w:val="auto"/>
        </w:rPr>
        <w:t>Even if PLN-74809 or any other product candidate we develop receives marketing approval, it may nonetheless fail to gain sufficient market acceptance by physicians, patients and third-party payors. In addition, the availability of coverage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2" w:name="page43"/>
    <w:bookmarkEnd w:id="42"/>
    <w:p>
      <w:pPr>
        <w:ind w:right="260"/>
        <w:spacing w:after="0" w:line="342" w:lineRule="auto"/>
        <w:rPr>
          <w:sz w:val="20"/>
          <w:szCs w:val="20"/>
          <w:color w:val="auto"/>
        </w:rPr>
      </w:pPr>
      <w:r>
        <w:rPr>
          <w:rFonts w:ascii="Arial" w:cs="Arial" w:eastAsia="Arial" w:hAnsi="Arial"/>
          <w:sz w:val="15"/>
          <w:szCs w:val="15"/>
          <w:color w:val="auto"/>
        </w:rPr>
        <w:t>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degree of market acceptance of any product candidate, if approved for commercial sale, will depend on a number of factors, including:</w:t>
      </w:r>
    </w:p>
    <w:p>
      <w:pPr>
        <w:spacing w:after="0" w:line="145" w:lineRule="exact"/>
        <w:rPr>
          <w:sz w:val="20"/>
          <w:szCs w:val="20"/>
          <w:color w:val="auto"/>
        </w:rPr>
      </w:pPr>
    </w:p>
    <w:p>
      <w:pPr>
        <w:ind w:left="2140" w:hanging="1062"/>
        <w:spacing w:after="0"/>
        <w:tabs>
          <w:tab w:leader="none" w:pos="2140" w:val="left"/>
        </w:tabs>
        <w:numPr>
          <w:ilvl w:val="0"/>
          <w:numId w:val="39"/>
        </w:numPr>
        <w:rPr>
          <w:rFonts w:ascii="Arial" w:cs="Arial" w:eastAsia="Arial" w:hAnsi="Arial"/>
          <w:sz w:val="20"/>
          <w:szCs w:val="20"/>
          <w:color w:val="auto"/>
        </w:rPr>
      </w:pPr>
      <w:r>
        <w:rPr>
          <w:rFonts w:ascii="Arial" w:cs="Arial" w:eastAsia="Arial" w:hAnsi="Arial"/>
          <w:sz w:val="17"/>
          <w:szCs w:val="17"/>
          <w:color w:val="auto"/>
        </w:rPr>
        <w:t>efficacy and potential advantages compared to alternative treatments;</w:t>
      </w:r>
    </w:p>
    <w:p>
      <w:pPr>
        <w:spacing w:after="0" w:line="90" w:lineRule="exact"/>
        <w:rPr>
          <w:rFonts w:ascii="Arial" w:cs="Arial" w:eastAsia="Arial" w:hAnsi="Arial"/>
          <w:sz w:val="20"/>
          <w:szCs w:val="20"/>
          <w:color w:val="auto"/>
        </w:rPr>
      </w:pPr>
    </w:p>
    <w:p>
      <w:pPr>
        <w:ind w:left="2140" w:hanging="1062"/>
        <w:spacing w:after="0"/>
        <w:tabs>
          <w:tab w:leader="none" w:pos="2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ability to offer our products, if approved, for sale at competitive prices;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convenience and ease of administration compared to alternative treatments;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110" w:lineRule="exact"/>
        <w:rPr>
          <w:rFonts w:ascii="Arial" w:cs="Arial" w:eastAsia="Arial" w:hAnsi="Arial"/>
          <w:sz w:val="17"/>
          <w:szCs w:val="17"/>
          <w:color w:val="auto"/>
        </w:rPr>
      </w:pPr>
    </w:p>
    <w:p>
      <w:pPr>
        <w:ind w:left="2140" w:right="20" w:hanging="1062"/>
        <w:spacing w:after="0" w:line="274" w:lineRule="auto"/>
        <w:tabs>
          <w:tab w:leader="none" w:pos="21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recommendations with respect to our product candidates in guidelines published by various scientific organizations applicable to us and our product candidates;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ability to obtain sufficient third-party coverage and adequate reimbursement;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0" w:lineRule="exact"/>
        <w:rPr>
          <w:sz w:val="20"/>
          <w:szCs w:val="20"/>
          <w:color w:val="auto"/>
        </w:rPr>
      </w:pPr>
    </w:p>
    <w:p>
      <w:pPr>
        <w:ind w:right="220" w:firstLine="917"/>
        <w:spacing w:after="0" w:line="274" w:lineRule="auto"/>
        <w:rPr>
          <w:sz w:val="20"/>
          <w:szCs w:val="20"/>
          <w:color w:val="auto"/>
        </w:rPr>
      </w:pPr>
      <w:r>
        <w:rPr>
          <w:rFonts w:ascii="Arial" w:cs="Arial" w:eastAsia="Arial" w:hAnsi="Arial"/>
          <w:sz w:val="17"/>
          <w:szCs w:val="17"/>
          <w:color w:val="auto"/>
        </w:rPr>
        <w:t>If government and other third-party payors do not provide coverage and adequate reimbursement levels for any products we commercialize, market acceptance and commercial success would be reduced.</w:t>
      </w:r>
    </w:p>
    <w:p>
      <w:pPr>
        <w:spacing w:after="0" w:line="63" w:lineRule="exact"/>
        <w:rPr>
          <w:sz w:val="20"/>
          <w:szCs w:val="20"/>
          <w:color w:val="auto"/>
        </w:rPr>
      </w:pPr>
    </w:p>
    <w:p>
      <w:pPr>
        <w:ind w:firstLine="917"/>
        <w:spacing w:after="0" w:line="274" w:lineRule="auto"/>
        <w:rPr>
          <w:sz w:val="20"/>
          <w:szCs w:val="20"/>
          <w:color w:val="auto"/>
        </w:rPr>
      </w:pPr>
      <w:r>
        <w:rPr>
          <w:rFonts w:ascii="Arial" w:cs="Arial" w:eastAsia="Arial" w:hAnsi="Arial"/>
          <w:sz w:val="17"/>
          <w:szCs w:val="17"/>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63" w:lineRule="exact"/>
        <w:rPr>
          <w:sz w:val="20"/>
          <w:szCs w:val="20"/>
          <w:color w:val="auto"/>
        </w:rPr>
      </w:pPr>
    </w:p>
    <w:p>
      <w:pPr>
        <w:ind w:right="20" w:firstLine="917"/>
        <w:spacing w:after="0" w:line="292" w:lineRule="auto"/>
        <w:rPr>
          <w:sz w:val="20"/>
          <w:szCs w:val="20"/>
          <w:color w:val="auto"/>
        </w:rPr>
      </w:pPr>
      <w:r>
        <w:rPr>
          <w:rFonts w:ascii="Arial" w:cs="Arial" w:eastAsia="Arial" w:hAnsi="Arial"/>
          <w:sz w:val="15"/>
          <w:szCs w:val="15"/>
          <w:color w:val="auto"/>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spacing w:after="0" w:line="53" w:lineRule="exact"/>
        <w:rPr>
          <w:sz w:val="20"/>
          <w:szCs w:val="20"/>
          <w:color w:val="auto"/>
        </w:rPr>
      </w:pPr>
    </w:p>
    <w:p>
      <w:pPr>
        <w:ind w:right="160" w:firstLine="917"/>
        <w:spacing w:after="0" w:line="342" w:lineRule="auto"/>
        <w:rPr>
          <w:sz w:val="20"/>
          <w:szCs w:val="20"/>
          <w:color w:val="auto"/>
        </w:rPr>
      </w:pPr>
      <w:r>
        <w:rPr>
          <w:rFonts w:ascii="Arial" w:cs="Arial" w:eastAsia="Arial" w:hAnsi="Arial"/>
          <w:sz w:val="15"/>
          <w:szCs w:val="15"/>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41" w:lineRule="exact"/>
        <w:rPr>
          <w:sz w:val="20"/>
          <w:szCs w:val="20"/>
          <w:color w:val="auto"/>
        </w:rPr>
      </w:pPr>
    </w:p>
    <w:p>
      <w:pPr>
        <w:ind w:left="2140" w:hanging="1062"/>
        <w:spacing w:after="0"/>
        <w:tabs>
          <w:tab w:leader="none" w:pos="2140" w:val="left"/>
        </w:tabs>
        <w:numPr>
          <w:ilvl w:val="0"/>
          <w:numId w:val="40"/>
        </w:numPr>
        <w:rPr>
          <w:rFonts w:ascii="Arial" w:cs="Arial" w:eastAsia="Arial" w:hAnsi="Arial"/>
          <w:sz w:val="20"/>
          <w:szCs w:val="20"/>
          <w:color w:val="auto"/>
        </w:rPr>
      </w:pPr>
      <w:r>
        <w:rPr>
          <w:rFonts w:ascii="Arial" w:cs="Arial" w:eastAsia="Arial" w:hAnsi="Arial"/>
          <w:sz w:val="17"/>
          <w:szCs w:val="17"/>
          <w:color w:val="auto"/>
        </w:rPr>
        <w:t>a covered benefit under its health plan;</w:t>
      </w:r>
    </w:p>
    <w:p>
      <w:pPr>
        <w:spacing w:after="0" w:line="90" w:lineRule="exact"/>
        <w:rPr>
          <w:rFonts w:ascii="Arial" w:cs="Arial" w:eastAsia="Arial" w:hAnsi="Arial"/>
          <w:sz w:val="20"/>
          <w:szCs w:val="20"/>
          <w:color w:val="auto"/>
        </w:rPr>
      </w:pPr>
    </w:p>
    <w:p>
      <w:pPr>
        <w:ind w:left="2140" w:hanging="1062"/>
        <w:spacing w:after="0"/>
        <w:tabs>
          <w:tab w:leader="none" w:pos="2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the United States, no uniform policy of coverage and reimbursement for products exists among third-party payors.</w:t>
      </w:r>
    </w:p>
    <w:p>
      <w:pPr>
        <w:spacing w:after="0" w:line="110" w:lineRule="exact"/>
        <w:rPr>
          <w:sz w:val="20"/>
          <w:szCs w:val="20"/>
          <w:color w:val="auto"/>
        </w:rPr>
      </w:pPr>
    </w:p>
    <w:p>
      <w:pPr>
        <w:ind w:right="40" w:firstLine="917"/>
        <w:spacing w:after="0" w:line="293" w:lineRule="auto"/>
        <w:rPr>
          <w:sz w:val="20"/>
          <w:szCs w:val="20"/>
          <w:color w:val="auto"/>
        </w:rPr>
      </w:pPr>
      <w:r>
        <w:rPr>
          <w:rFonts w:ascii="Arial" w:cs="Arial" w:eastAsia="Arial" w:hAnsi="Arial"/>
          <w:sz w:val="15"/>
          <w:szCs w:val="15"/>
          <w:color w:val="auto"/>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A primary trend in the healthcare industry is cost containment as government authorities and third-party payors have attempted to control costs by limiting coverage and the amount of reimbursement available for certain medications.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60"/>
          </w:cols>
          <w:pgMar w:left="320" w:top="955" w:right="419" w:bottom="1440" w:gutter="0" w:footer="0" w:header="0"/>
        </w:sectPr>
      </w:pPr>
    </w:p>
    <w:bookmarkStart w:id="43" w:name="page44"/>
    <w:bookmarkEnd w:id="43"/>
    <w:p>
      <w:pPr>
        <w:ind w:right="40"/>
        <w:spacing w:after="0" w:line="274" w:lineRule="auto"/>
        <w:rPr>
          <w:sz w:val="20"/>
          <w:szCs w:val="20"/>
          <w:color w:val="auto"/>
        </w:rPr>
      </w:pPr>
      <w:r>
        <w:rPr>
          <w:rFonts w:ascii="Arial" w:cs="Arial" w:eastAsia="Arial" w:hAnsi="Arial"/>
          <w:sz w:val="17"/>
          <w:szCs w:val="17"/>
          <w:color w:val="auto"/>
        </w:rPr>
        <w:t>of product candidates, once approved. It is difficult to predict at this time what third-party payors will decide with respect to the coverage and reimbursement for our product candidates, if approved.</w:t>
      </w:r>
    </w:p>
    <w:p>
      <w:pPr>
        <w:spacing w:after="0" w:line="63" w:lineRule="exact"/>
        <w:rPr>
          <w:sz w:val="20"/>
          <w:szCs w:val="20"/>
          <w:color w:val="auto"/>
        </w:rPr>
      </w:pPr>
    </w:p>
    <w:p>
      <w:pPr>
        <w:ind w:right="80" w:firstLine="917"/>
        <w:spacing w:after="0" w:line="294" w:lineRule="auto"/>
        <w:rPr>
          <w:sz w:val="20"/>
          <w:szCs w:val="20"/>
          <w:color w:val="auto"/>
        </w:rPr>
      </w:pPr>
      <w:r>
        <w:rPr>
          <w:rFonts w:ascii="Arial" w:cs="Arial" w:eastAsia="Arial" w:hAnsi="Arial"/>
          <w:sz w:val="15"/>
          <w:szCs w:val="15"/>
          <w:color w:val="auto"/>
        </w:rPr>
        <w:t>A primary trend in the United States health care industry is toward cost containment, as government authorities, third-party payors, and others have attempted to control costs by limiting coverage and the amount of reimbursement available for certain treatments. Such third-party payers, including Medicare, may question the coverage of, and challenge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w:t>
      </w:r>
    </w:p>
    <w:p>
      <w:pPr>
        <w:ind w:right="120"/>
        <w:spacing w:after="0" w:line="313" w:lineRule="auto"/>
        <w:rPr>
          <w:sz w:val="20"/>
          <w:szCs w:val="20"/>
          <w:color w:val="auto"/>
        </w:rPr>
      </w:pPr>
      <w:r>
        <w:rPr>
          <w:rFonts w:ascii="Arial" w:cs="Arial" w:eastAsia="Arial" w:hAnsi="Arial"/>
          <w:sz w:val="15"/>
          <w:szCs w:val="15"/>
          <w:color w:val="auto"/>
        </w:rPr>
        <w:t>reduced by mandatory discounts or rebates required by government healthcare programs or private payers, by any future laws limiting drug prices. If we are unable to promptly obtain coverage and adequate reimbursement rates from both government-funded and private payers for any approved products that we develop there could be a material adverse effect on our operating results, our ability to raise capital needed to commercialize products and our overall financial condition.</w:t>
      </w:r>
    </w:p>
    <w:p>
      <w:pPr>
        <w:spacing w:after="0" w:line="38" w:lineRule="exact"/>
        <w:rPr>
          <w:sz w:val="20"/>
          <w:szCs w:val="20"/>
          <w:color w:val="auto"/>
        </w:rPr>
      </w:pPr>
    </w:p>
    <w:p>
      <w:pPr>
        <w:ind w:right="260" w:firstLine="917"/>
        <w:spacing w:after="0" w:line="313" w:lineRule="auto"/>
        <w:rPr>
          <w:sz w:val="20"/>
          <w:szCs w:val="20"/>
          <w:color w:val="auto"/>
        </w:rPr>
      </w:pPr>
      <w:r>
        <w:rPr>
          <w:rFonts w:ascii="Arial" w:cs="Arial" w:eastAsia="Arial" w:hAnsi="Arial"/>
          <w:sz w:val="15"/>
          <w:szCs w:val="15"/>
          <w:color w:val="auto"/>
        </w:rPr>
        <w:t>Changes to these current laws and state and federal healthcare reform measures that may be adopted in the future that impact coverage and reimbursement for drug or biologic products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267" w:lineRule="exact"/>
        <w:rPr>
          <w:sz w:val="20"/>
          <w:szCs w:val="20"/>
          <w:color w:val="auto"/>
        </w:rPr>
      </w:pPr>
    </w:p>
    <w:p>
      <w:pPr>
        <w:ind w:right="280" w:firstLine="917"/>
        <w:spacing w:after="0" w:line="274" w:lineRule="auto"/>
        <w:rPr>
          <w:sz w:val="20"/>
          <w:szCs w:val="20"/>
          <w:color w:val="auto"/>
        </w:rPr>
      </w:pPr>
      <w:r>
        <w:rPr>
          <w:rFonts w:ascii="Arial" w:cs="Arial" w:eastAsia="Arial" w:hAnsi="Arial"/>
          <w:sz w:val="17"/>
          <w:szCs w:val="17"/>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3" w:lineRule="exact"/>
        <w:rPr>
          <w:sz w:val="20"/>
          <w:szCs w:val="20"/>
          <w:color w:val="auto"/>
        </w:rPr>
      </w:pPr>
    </w:p>
    <w:p>
      <w:pPr>
        <w:ind w:firstLine="917"/>
        <w:spacing w:after="0" w:line="290" w:lineRule="auto"/>
        <w:rPr>
          <w:sz w:val="20"/>
          <w:szCs w:val="20"/>
          <w:color w:val="auto"/>
        </w:rPr>
      </w:pPr>
      <w:r>
        <w:rPr>
          <w:rFonts w:ascii="Arial" w:cs="Arial" w:eastAsia="Arial" w:hAnsi="Arial"/>
          <w:sz w:val="15"/>
          <w:szCs w:val="15"/>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55"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73" w:lineRule="exact"/>
        <w:rPr>
          <w:sz w:val="20"/>
          <w:szCs w:val="20"/>
          <w:color w:val="auto"/>
        </w:rPr>
      </w:pPr>
    </w:p>
    <w:p>
      <w:pPr>
        <w:ind w:firstLine="917"/>
        <w:spacing w:after="0" w:line="288" w:lineRule="auto"/>
        <w:rPr>
          <w:sz w:val="20"/>
          <w:szCs w:val="20"/>
          <w:color w:val="auto"/>
        </w:rPr>
      </w:pPr>
      <w:r>
        <w:rPr>
          <w:rFonts w:ascii="Arial" w:cs="Arial" w:eastAsia="Arial" w:hAnsi="Arial"/>
          <w:sz w:val="15"/>
          <w:szCs w:val="15"/>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4" w:name="page45"/>
    <w:bookmarkEnd w:id="44"/>
    <w:p>
      <w:pPr>
        <w:ind w:right="60" w:firstLine="917"/>
        <w:spacing w:after="0" w:line="262" w:lineRule="auto"/>
        <w:rPr>
          <w:sz w:val="20"/>
          <w:szCs w:val="20"/>
          <w:color w:val="auto"/>
        </w:rPr>
      </w:pPr>
      <w:r>
        <w:rPr>
          <w:rFonts w:ascii="Arial" w:cs="Arial" w:eastAsia="Arial" w:hAnsi="Arial"/>
          <w:sz w:val="17"/>
          <w:szCs w:val="17"/>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60" w:firstLine="917"/>
        <w:spacing w:after="0" w:line="292" w:lineRule="auto"/>
        <w:rPr>
          <w:sz w:val="20"/>
          <w:szCs w:val="20"/>
          <w:color w:val="auto"/>
        </w:rPr>
      </w:pPr>
      <w:r>
        <w:rPr>
          <w:rFonts w:ascii="Arial" w:cs="Arial" w:eastAsia="Arial" w:hAnsi="Arial"/>
          <w:sz w:val="15"/>
          <w:szCs w:val="15"/>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in our Annual Report on form 10-K for the year ended December 31, 2021.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and other business arrangements generally. Activities subject to these laws also involve the improper use of information obtained in the course of patient recruitment for clinical trials.</w:t>
      </w:r>
    </w:p>
    <w:p>
      <w:pPr>
        <w:spacing w:after="0" w:line="53" w:lineRule="exact"/>
        <w:rPr>
          <w:sz w:val="20"/>
          <w:szCs w:val="20"/>
          <w:color w:val="auto"/>
        </w:rPr>
      </w:pPr>
    </w:p>
    <w:p>
      <w:pPr>
        <w:ind w:right="300" w:firstLine="917"/>
        <w:spacing w:after="0" w:line="274" w:lineRule="auto"/>
        <w:rPr>
          <w:sz w:val="20"/>
          <w:szCs w:val="20"/>
          <w:color w:val="auto"/>
        </w:rPr>
      </w:pPr>
      <w:r>
        <w:rPr>
          <w:rFonts w:ascii="Arial" w:cs="Arial" w:eastAsia="Arial" w:hAnsi="Arial"/>
          <w:sz w:val="17"/>
          <w:szCs w:val="17"/>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63" w:lineRule="exact"/>
        <w:rPr>
          <w:sz w:val="20"/>
          <w:szCs w:val="20"/>
          <w:color w:val="auto"/>
        </w:rPr>
      </w:pPr>
    </w:p>
    <w:p>
      <w:pPr>
        <w:ind w:right="260" w:firstLine="917"/>
        <w:spacing w:after="0" w:line="262"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Ensuring business arrangements comply with applicable healthcare laws, as well as responding to possible investigations by government authorities, can be time- and resource-consuming and can divert a company’s attention from the business.</w:t>
      </w:r>
    </w:p>
    <w:p>
      <w:pPr>
        <w:spacing w:after="0" w:line="73" w:lineRule="exact"/>
        <w:rPr>
          <w:sz w:val="20"/>
          <w:szCs w:val="20"/>
          <w:color w:val="auto"/>
        </w:rPr>
      </w:pPr>
    </w:p>
    <w:p>
      <w:pPr>
        <w:ind w:firstLine="917"/>
        <w:spacing w:after="0" w:line="290" w:lineRule="auto"/>
        <w:rPr>
          <w:sz w:val="20"/>
          <w:szCs w:val="20"/>
          <w:color w:val="auto"/>
        </w:rPr>
      </w:pPr>
      <w:r>
        <w:rPr>
          <w:rFonts w:ascii="Arial" w:cs="Arial" w:eastAsia="Arial" w:hAnsi="Arial"/>
          <w:sz w:val="15"/>
          <w:szCs w:val="15"/>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55" w:lineRule="exact"/>
        <w:rPr>
          <w:sz w:val="20"/>
          <w:szCs w:val="20"/>
          <w:color w:val="auto"/>
        </w:rPr>
      </w:pPr>
    </w:p>
    <w:p>
      <w:pPr>
        <w:jc w:val="both"/>
        <w:ind w:right="260" w:firstLine="917"/>
        <w:spacing w:after="0" w:line="262" w:lineRule="auto"/>
        <w:rPr>
          <w:sz w:val="20"/>
          <w:szCs w:val="20"/>
          <w:color w:val="auto"/>
        </w:rPr>
      </w:pPr>
      <w:r>
        <w:rPr>
          <w:rFonts w:ascii="Arial" w:cs="Arial" w:eastAsia="Arial" w:hAnsi="Arial"/>
          <w:sz w:val="17"/>
          <w:szCs w:val="17"/>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3" w:lineRule="exact"/>
        <w:rPr>
          <w:sz w:val="20"/>
          <w:szCs w:val="20"/>
          <w:color w:val="auto"/>
        </w:rPr>
      </w:pPr>
    </w:p>
    <w:p>
      <w:pPr>
        <w:ind w:right="20" w:firstLine="917"/>
        <w:spacing w:after="0" w:line="256"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Good Clinical Practice, or GCP, requirements for any clinical trials that we conduct post-approval.</w:t>
      </w:r>
    </w:p>
    <w:p>
      <w:pPr>
        <w:spacing w:after="0" w:line="78" w:lineRule="exact"/>
        <w:rPr>
          <w:sz w:val="20"/>
          <w:szCs w:val="20"/>
          <w:color w:val="auto"/>
        </w:rPr>
      </w:pPr>
    </w:p>
    <w:p>
      <w:pPr>
        <w:ind w:right="180" w:firstLine="917"/>
        <w:spacing w:after="0" w:line="256" w:lineRule="auto"/>
        <w:rPr>
          <w:sz w:val="20"/>
          <w:szCs w:val="20"/>
          <w:color w:val="auto"/>
        </w:rPr>
      </w:pPr>
      <w:r>
        <w:rPr>
          <w:rFonts w:ascii="Arial" w:cs="Arial" w:eastAsia="Arial" w:hAnsi="Arial"/>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78" w:lineRule="exact"/>
        <w:rPr>
          <w:sz w:val="20"/>
          <w:szCs w:val="20"/>
          <w:color w:val="auto"/>
        </w:rPr>
      </w:pPr>
    </w:p>
    <w:p>
      <w:pPr>
        <w:ind w:right="20" w:firstLine="917"/>
        <w:spacing w:after="0" w:line="279"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5" w:name="page46"/>
    <w:bookmarkEnd w:id="45"/>
    <w:p>
      <w:pPr>
        <w:ind w:right="40"/>
        <w:spacing w:after="0" w:line="262" w:lineRule="auto"/>
        <w:rPr>
          <w:sz w:val="20"/>
          <w:szCs w:val="20"/>
          <w:color w:val="auto"/>
        </w:rPr>
      </w:pPr>
      <w:r>
        <w:rPr>
          <w:rFonts w:ascii="Arial" w:cs="Arial" w:eastAsia="Arial" w:hAnsi="Arial"/>
          <w:sz w:val="17"/>
          <w:szCs w:val="17"/>
          <w:color w:val="auto"/>
        </w:rPr>
        <w:t>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73" w:lineRule="exact"/>
        <w:rPr>
          <w:sz w:val="20"/>
          <w:szCs w:val="20"/>
          <w:color w:val="auto"/>
        </w:rPr>
      </w:pPr>
    </w:p>
    <w:p>
      <w:pPr>
        <w:ind w:right="20" w:firstLine="917"/>
        <w:spacing w:after="0" w:line="275" w:lineRule="auto"/>
        <w:rPr>
          <w:sz w:val="20"/>
          <w:szCs w:val="20"/>
          <w:color w:val="auto"/>
        </w:rPr>
      </w:pPr>
      <w:r>
        <w:rPr>
          <w:rFonts w:ascii="Arial" w:cs="Arial" w:eastAsia="Arial" w:hAnsi="Arial"/>
          <w:sz w:val="16"/>
          <w:szCs w:val="16"/>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05" w:lineRule="exact"/>
        <w:rPr>
          <w:sz w:val="20"/>
          <w:szCs w:val="20"/>
          <w:color w:val="auto"/>
        </w:rPr>
      </w:pPr>
    </w:p>
    <w:p>
      <w:pPr>
        <w:ind w:left="2140" w:right="40" w:hanging="1062"/>
        <w:spacing w:after="0" w:line="236" w:lineRule="auto"/>
        <w:tabs>
          <w:tab w:leader="none" w:pos="2135" w:val="left"/>
        </w:tabs>
        <w:numPr>
          <w:ilvl w:val="0"/>
          <w:numId w:val="41"/>
        </w:numPr>
        <w:rPr>
          <w:rFonts w:ascii="Arial" w:cs="Arial" w:eastAsia="Arial" w:hAnsi="Arial"/>
          <w:sz w:val="20"/>
          <w:szCs w:val="20"/>
          <w:color w:val="auto"/>
        </w:rPr>
      </w:pPr>
      <w:r>
        <w:rPr>
          <w:rFonts w:ascii="Arial" w:cs="Arial" w:eastAsia="Arial" w:hAnsi="Arial"/>
          <w:sz w:val="17"/>
          <w:szCs w:val="17"/>
          <w:color w:val="auto"/>
        </w:rPr>
        <w:t>restrictions on the marketing or manufacturing of our products, withdrawal of the product from the market or voluntary or mandatory product recalls;</w:t>
      </w:r>
    </w:p>
    <w:p>
      <w:pPr>
        <w:spacing w:after="0" w:line="91" w:lineRule="exact"/>
        <w:rPr>
          <w:rFonts w:ascii="Arial" w:cs="Arial" w:eastAsia="Arial" w:hAnsi="Arial"/>
          <w:sz w:val="20"/>
          <w:szCs w:val="20"/>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10" w:lineRule="exact"/>
        <w:rPr>
          <w:rFonts w:ascii="Arial" w:cs="Arial" w:eastAsia="Arial" w:hAnsi="Arial"/>
          <w:sz w:val="17"/>
          <w:szCs w:val="17"/>
          <w:color w:val="auto"/>
        </w:rPr>
      </w:pPr>
    </w:p>
    <w:p>
      <w:pPr>
        <w:ind w:left="2140" w:right="120" w:hanging="1062"/>
        <w:spacing w:after="0" w:line="274" w:lineRule="auto"/>
        <w:tabs>
          <w:tab w:leader="none" w:pos="21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license approvals;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voluntary or mandatory product recalls and related publicity requirements;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total or partial suspension of production;</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 candidates;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10" w:lineRule="exact"/>
        <w:rPr>
          <w:sz w:val="20"/>
          <w:szCs w:val="20"/>
          <w:color w:val="auto"/>
        </w:rPr>
      </w:pPr>
    </w:p>
    <w:p>
      <w:pPr>
        <w:ind w:right="80" w:firstLine="917"/>
        <w:spacing w:after="0" w:line="292" w:lineRule="auto"/>
        <w:rPr>
          <w:sz w:val="20"/>
          <w:szCs w:val="20"/>
          <w:color w:val="auto"/>
        </w:rPr>
      </w:pPr>
      <w:r>
        <w:rPr>
          <w:rFonts w:ascii="Arial" w:cs="Arial" w:eastAsia="Arial" w:hAnsi="Arial"/>
          <w:sz w:val="15"/>
          <w:szCs w:val="15"/>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Ongoing healthcare legislative and regulatory reform measures may have a material adverse effect on our business and results of operations.</w:t>
      </w:r>
    </w:p>
    <w:p>
      <w:pPr>
        <w:spacing w:after="0" w:line="133" w:lineRule="exact"/>
        <w:rPr>
          <w:sz w:val="20"/>
          <w:szCs w:val="20"/>
          <w:color w:val="auto"/>
        </w:rPr>
      </w:pPr>
    </w:p>
    <w:p>
      <w:pPr>
        <w:ind w:firstLine="917"/>
        <w:spacing w:after="0" w:line="279" w:lineRule="auto"/>
        <w:rPr>
          <w:sz w:val="20"/>
          <w:szCs w:val="20"/>
          <w:color w:val="auto"/>
        </w:rPr>
      </w:pPr>
      <w:r>
        <w:rPr>
          <w:rFonts w:ascii="Arial" w:cs="Arial" w:eastAsia="Arial" w:hAnsi="Arial"/>
          <w:sz w:val="16"/>
          <w:szCs w:val="16"/>
          <w:color w:val="auto"/>
        </w:rPr>
        <w:t>Changes in regulations, statutes or the interpretation of existing regulations governing the regulatory clearance or approval, manufacture, and marketing of regulated products or the pricing, coverage and reimbursement thereof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61" w:lineRule="exact"/>
        <w:rPr>
          <w:sz w:val="20"/>
          <w:szCs w:val="20"/>
          <w:color w:val="auto"/>
        </w:rPr>
      </w:pPr>
    </w:p>
    <w:p>
      <w:pPr>
        <w:ind w:right="80" w:firstLine="917"/>
        <w:spacing w:after="0" w:line="342" w:lineRule="auto"/>
        <w:rPr>
          <w:sz w:val="20"/>
          <w:szCs w:val="20"/>
          <w:color w:val="auto"/>
        </w:rPr>
      </w:pPr>
      <w:r>
        <w:rPr>
          <w:rFonts w:ascii="Arial" w:cs="Arial" w:eastAsia="Arial" w:hAnsi="Arial"/>
          <w:sz w:val="15"/>
          <w:szCs w:val="15"/>
          <w:color w:val="auto"/>
        </w:rPr>
        <w:t>In the United States, there have been and continue to be a number of legislative initiatives to contain healthcare costs, as detailed in Part I, Item 1 – Business – Government Regulation – Current and Future Healthcare Reform Legislation in our annual Report on Form 10-K for the year ended December 31, 2021.</w:t>
      </w:r>
    </w:p>
    <w:p>
      <w:pPr>
        <w:spacing w:after="0" w:line="18" w:lineRule="exact"/>
        <w:rPr>
          <w:sz w:val="20"/>
          <w:szCs w:val="20"/>
          <w:color w:val="auto"/>
        </w:rPr>
      </w:pPr>
    </w:p>
    <w:p>
      <w:pPr>
        <w:ind w:right="100" w:firstLine="917"/>
        <w:spacing w:after="0" w:line="256" w:lineRule="auto"/>
        <w:rPr>
          <w:sz w:val="20"/>
          <w:szCs w:val="20"/>
          <w:color w:val="auto"/>
        </w:rPr>
      </w:pPr>
      <w:r>
        <w:rPr>
          <w:rFonts w:ascii="Arial" w:cs="Arial" w:eastAsia="Arial" w:hAnsi="Arial"/>
          <w:sz w:val="17"/>
          <w:szCs w:val="17"/>
          <w:color w:val="auto"/>
        </w:rPr>
        <w:t>We cannot predict the likelihood, nature, or extent of health reform initiatives that may arise from future legislation or administrative action. However, we expect these initiatives to increase pressure on drug pricing. Further, certain broader legislation that is not targeted to the health 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78" w:lineRule="exact"/>
        <w:rPr>
          <w:sz w:val="20"/>
          <w:szCs w:val="20"/>
          <w:color w:val="auto"/>
        </w:rPr>
      </w:pPr>
    </w:p>
    <w:p>
      <w:pPr>
        <w:ind w:right="320" w:firstLine="917"/>
        <w:spacing w:after="0" w:line="274"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6" w:name="page47"/>
    <w:bookmarkEnd w:id="46"/>
    <w:p>
      <w:pPr>
        <w:ind w:right="240"/>
        <w:spacing w:after="0" w:line="274" w:lineRule="auto"/>
        <w:rPr>
          <w:sz w:val="20"/>
          <w:szCs w:val="20"/>
          <w:color w:val="auto"/>
        </w:rPr>
      </w:pPr>
      <w:r>
        <w:rPr>
          <w:rFonts w:ascii="Arial" w:cs="Arial" w:eastAsia="Arial" w:hAnsi="Arial"/>
          <w:sz w:val="17"/>
          <w:szCs w:val="17"/>
          <w:b w:val="1"/>
          <w:bCs w:val="1"/>
          <w:i w:val="1"/>
          <w:iCs w:val="1"/>
          <w:color w:val="auto"/>
        </w:rPr>
        <w:t>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jc w:val="both"/>
        <w:ind w:right="100" w:firstLine="917"/>
        <w:spacing w:after="0" w:line="279"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1" w:lineRule="exact"/>
        <w:rPr>
          <w:sz w:val="20"/>
          <w:szCs w:val="20"/>
          <w:color w:val="auto"/>
        </w:rPr>
      </w:pPr>
    </w:p>
    <w:p>
      <w:pPr>
        <w:ind w:firstLine="917"/>
        <w:spacing w:after="0" w:line="267"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since March 2020 when foreign and domestic inspections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Should the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 Further, if there is inadequate information to make a determination on the acceptability of a facility, the FDA may defer action on the application until an inspection can be completed. 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the FDA quality standards. Acknowledging the need for transparency an planning for the resumption of inspection activities, FDA released a roadmap plan in May 2021, and an update in November 2021, to address FDA’s risk-based approach to addressing postponed inspection work and its goal of transitioning back to conducting domestic surveillance inspections as quickly as possible. However, the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Ongoing surges in COVID-19 case numbers with the emergence of new variants (e.g., the Omicron variant in late 2021) have contributed to interruptions in FDA’s surveillance capabilities. In light of high positivity rates and hospitalizations, FDA made temporary changes in late 2021, including temporarily postponing certain inspection activities from December 29, 2021 to January 19, 2022. Accordingly, during the COVID-19 pandemic, several companies have announced receipt of complete response letters due to the FDA's inability to complete required inspections for their applications.</w:t>
      </w:r>
    </w:p>
    <w:p>
      <w:pPr>
        <w:spacing w:after="0" w:line="82" w:lineRule="exact"/>
        <w:rPr>
          <w:sz w:val="20"/>
          <w:szCs w:val="20"/>
          <w:color w:val="auto"/>
        </w:rPr>
      </w:pPr>
    </w:p>
    <w:p>
      <w:pPr>
        <w:ind w:right="40" w:firstLine="917"/>
        <w:spacing w:after="0" w:line="275"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Drug marketing and reimbursement regulations may materially affect our ability to market and secure reimbursement for our products.</w:t>
      </w:r>
    </w:p>
    <w:p>
      <w:pPr>
        <w:spacing w:after="0" w:line="122" w:lineRule="exact"/>
        <w:rPr>
          <w:sz w:val="20"/>
          <w:szCs w:val="20"/>
          <w:color w:val="auto"/>
        </w:rPr>
      </w:pPr>
    </w:p>
    <w:p>
      <w:pPr>
        <w:ind w:firstLine="917"/>
        <w:spacing w:after="0" w:line="273"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69" w:lineRule="exact"/>
        <w:rPr>
          <w:sz w:val="20"/>
          <w:szCs w:val="20"/>
          <w:color w:val="auto"/>
        </w:rPr>
      </w:pPr>
    </w:p>
    <w:p>
      <w:pPr>
        <w:ind w:right="180" w:firstLine="917"/>
        <w:spacing w:after="0" w:line="303" w:lineRule="auto"/>
        <w:rPr>
          <w:sz w:val="20"/>
          <w:szCs w:val="20"/>
          <w:color w:val="auto"/>
        </w:rPr>
      </w:pPr>
      <w:r>
        <w:rPr>
          <w:rFonts w:ascii="Arial" w:cs="Arial" w:eastAsia="Arial" w:hAnsi="Arial"/>
          <w:sz w:val="15"/>
          <w:szCs w:val="15"/>
          <w:color w:val="auto"/>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47" w:name="page48"/>
    <w:bookmarkEnd w:id="47"/>
    <w:p>
      <w:pPr>
        <w:ind w:right="120"/>
        <w:spacing w:after="0" w:line="279" w:lineRule="auto"/>
        <w:rPr>
          <w:sz w:val="20"/>
          <w:szCs w:val="20"/>
          <w:color w:val="auto"/>
        </w:rPr>
      </w:pPr>
      <w:r>
        <w:rPr>
          <w:rFonts w:ascii="Arial" w:cs="Arial" w:eastAsia="Arial" w:hAnsi="Arial"/>
          <w:sz w:val="16"/>
          <w:szCs w:val="16"/>
          <w:color w:val="auto"/>
        </w:rPr>
        <w:t>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61" w:lineRule="exact"/>
        <w:rPr>
          <w:sz w:val="20"/>
          <w:szCs w:val="20"/>
          <w:color w:val="auto"/>
        </w:rPr>
      </w:pPr>
    </w:p>
    <w:p>
      <w:pPr>
        <w:ind w:right="20" w:firstLine="917"/>
        <w:spacing w:after="0" w:line="279" w:lineRule="auto"/>
        <w:rPr>
          <w:sz w:val="20"/>
          <w:szCs w:val="20"/>
          <w:color w:val="auto"/>
        </w:rPr>
      </w:pPr>
      <w:r>
        <w:rPr>
          <w:rFonts w:ascii="Arial" w:cs="Arial" w:eastAsia="Arial" w:hAnsi="Arial"/>
          <w:sz w:val="16"/>
          <w:szCs w:val="16"/>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61" w:lineRule="exact"/>
        <w:rPr>
          <w:sz w:val="20"/>
          <w:szCs w:val="20"/>
          <w:color w:val="auto"/>
        </w:rPr>
      </w:pPr>
    </w:p>
    <w:p>
      <w:pPr>
        <w:ind w:right="100" w:firstLine="917"/>
        <w:spacing w:after="0" w:line="269" w:lineRule="auto"/>
        <w:rPr>
          <w:sz w:val="20"/>
          <w:szCs w:val="20"/>
          <w:color w:val="auto"/>
        </w:rPr>
      </w:pPr>
      <w:r>
        <w:rPr>
          <w:rFonts w:ascii="Arial" w:cs="Arial" w:eastAsia="Arial" w:hAnsi="Arial"/>
          <w:sz w:val="16"/>
          <w:szCs w:val="16"/>
          <w:color w:val="auto"/>
        </w:rPr>
        <w:t>In addition, in most foreign countries, including the EEA, the proposed pricing for a drug must be approved before it may be lawfully marketed. The requirements governing drug pricing and reimbursement are the prerogative of the member states and it varies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Additional laws and regulations governing international operations could negatively impact or restrict our operations.</w:t>
      </w:r>
    </w:p>
    <w:p>
      <w:pPr>
        <w:spacing w:after="0" w:line="110" w:lineRule="exact"/>
        <w:rPr>
          <w:sz w:val="20"/>
          <w:szCs w:val="20"/>
          <w:color w:val="auto"/>
        </w:rPr>
      </w:pPr>
    </w:p>
    <w:p>
      <w:pPr>
        <w:ind w:firstLine="917"/>
        <w:spacing w:after="0" w:line="254"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0" w:lineRule="exact"/>
        <w:rPr>
          <w:sz w:val="20"/>
          <w:szCs w:val="20"/>
          <w:color w:val="auto"/>
        </w:rPr>
      </w:pPr>
    </w:p>
    <w:p>
      <w:pPr>
        <w:ind w:right="300" w:firstLine="917"/>
        <w:spacing w:after="0" w:line="279"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61" w:lineRule="exact"/>
        <w:rPr>
          <w:sz w:val="20"/>
          <w:szCs w:val="20"/>
          <w:color w:val="auto"/>
        </w:rPr>
      </w:pPr>
    </w:p>
    <w:p>
      <w:pPr>
        <w:ind w:firstLine="917"/>
        <w:spacing w:after="0" w:line="256"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8" w:lineRule="exact"/>
        <w:rPr>
          <w:sz w:val="20"/>
          <w:szCs w:val="20"/>
          <w:color w:val="auto"/>
        </w:rPr>
      </w:pPr>
    </w:p>
    <w:p>
      <w:pPr>
        <w:ind w:right="420" w:firstLine="917"/>
        <w:spacing w:after="0" w:line="262"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are subject to certain U.S. and foreign anti-corruption, anti-money laundering, export control, sanctions, and other trade laws and regulations.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 face serious consequences for violations.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8" w:name="page49"/>
    <w:bookmarkEnd w:id="48"/>
    <w:p>
      <w:pPr>
        <w:ind w:right="20" w:firstLine="917"/>
        <w:spacing w:after="0" w:line="270"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14" w:lineRule="exact"/>
        <w:rPr>
          <w:sz w:val="20"/>
          <w:szCs w:val="20"/>
          <w:color w:val="auto"/>
        </w:rPr>
      </w:pPr>
    </w:p>
    <w:p>
      <w:pPr>
        <w:ind w:right="680" w:firstLine="917"/>
        <w:spacing w:after="0" w:line="274"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63" w:lineRule="exact"/>
        <w:rPr>
          <w:sz w:val="20"/>
          <w:szCs w:val="20"/>
          <w:color w:val="auto"/>
        </w:rPr>
      </w:pPr>
    </w:p>
    <w:p>
      <w:pPr>
        <w:ind w:right="40" w:firstLine="917"/>
        <w:spacing w:after="0" w:line="272" w:lineRule="auto"/>
        <w:rPr>
          <w:sz w:val="20"/>
          <w:szCs w:val="20"/>
          <w:color w:val="auto"/>
        </w:rPr>
      </w:pPr>
      <w:r>
        <w:rPr>
          <w:rFonts w:ascii="Arial" w:cs="Arial" w:eastAsia="Arial" w:hAnsi="Arial"/>
          <w:sz w:val="16"/>
          <w:szCs w:val="16"/>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68" w:lineRule="exact"/>
        <w:rPr>
          <w:sz w:val="20"/>
          <w:szCs w:val="20"/>
          <w:color w:val="auto"/>
        </w:rPr>
      </w:pPr>
    </w:p>
    <w:p>
      <w:pPr>
        <w:ind w:right="20" w:firstLine="917"/>
        <w:spacing w:after="0" w:line="256"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8"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70" w:lineRule="exact"/>
        <w:rPr>
          <w:sz w:val="20"/>
          <w:szCs w:val="20"/>
          <w:color w:val="auto"/>
        </w:rPr>
      </w:pPr>
    </w:p>
    <w:p>
      <w:pPr>
        <w:ind w:right="260" w:firstLine="917"/>
        <w:spacing w:after="0" w:line="274"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63" w:lineRule="exact"/>
        <w:rPr>
          <w:sz w:val="20"/>
          <w:szCs w:val="20"/>
          <w:color w:val="auto"/>
        </w:rPr>
      </w:pPr>
    </w:p>
    <w:p>
      <w:pPr>
        <w:ind w:right="40" w:firstLine="917"/>
        <w:spacing w:after="0" w:line="298" w:lineRule="auto"/>
        <w:rPr>
          <w:sz w:val="20"/>
          <w:szCs w:val="20"/>
          <w:color w:val="auto"/>
        </w:rPr>
      </w:pPr>
      <w:r>
        <w:rPr>
          <w:rFonts w:ascii="Arial" w:cs="Arial" w:eastAsia="Arial" w:hAnsi="Arial"/>
          <w:sz w:val="15"/>
          <w:szCs w:val="15"/>
          <w:color w:val="auto"/>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50" w:lineRule="exact"/>
        <w:rPr>
          <w:sz w:val="20"/>
          <w:szCs w:val="20"/>
          <w:color w:val="auto"/>
        </w:rPr>
      </w:pPr>
    </w:p>
    <w:p>
      <w:pPr>
        <w:ind w:right="20" w:firstLine="917"/>
        <w:spacing w:after="0" w:line="275" w:lineRule="auto"/>
        <w:rPr>
          <w:sz w:val="20"/>
          <w:szCs w:val="20"/>
          <w:color w:val="auto"/>
        </w:rPr>
      </w:pPr>
      <w:r>
        <w:rPr>
          <w:rFonts w:ascii="Arial" w:cs="Arial" w:eastAsia="Arial" w:hAnsi="Arial"/>
          <w:sz w:val="16"/>
          <w:szCs w:val="16"/>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9" w:name="page50"/>
    <w:bookmarkEnd w:id="49"/>
    <w:p>
      <w:pPr>
        <w:ind w:right="260"/>
        <w:spacing w:after="0" w:line="256" w:lineRule="auto"/>
        <w:rPr>
          <w:sz w:val="20"/>
          <w:szCs w:val="20"/>
          <w:color w:val="auto"/>
        </w:rPr>
      </w:pPr>
      <w:r>
        <w:rPr>
          <w:rFonts w:ascii="Arial" w:cs="Arial" w:eastAsia="Arial" w:hAnsi="Arial"/>
          <w:sz w:val="17"/>
          <w:szCs w:val="17"/>
          <w:color w:val="auto"/>
        </w:rPr>
        <w:t>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8"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5" w:lineRule="exact"/>
        <w:rPr>
          <w:sz w:val="20"/>
          <w:szCs w:val="20"/>
          <w:color w:val="auto"/>
        </w:rPr>
      </w:pPr>
    </w:p>
    <w:p>
      <w:pPr>
        <w:ind w:right="480" w:firstLine="917"/>
        <w:spacing w:after="0" w:line="274"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01" w:lineRule="exact"/>
        <w:rPr>
          <w:sz w:val="20"/>
          <w:szCs w:val="20"/>
          <w:color w:val="auto"/>
        </w:rPr>
      </w:pPr>
    </w:p>
    <w:p>
      <w:pPr>
        <w:ind w:left="2140" w:right="80" w:hanging="1062"/>
        <w:spacing w:after="0" w:line="236" w:lineRule="auto"/>
        <w:tabs>
          <w:tab w:leader="none" w:pos="2135" w:val="left"/>
        </w:tabs>
        <w:numPr>
          <w:ilvl w:val="0"/>
          <w:numId w:val="42"/>
        </w:numPr>
        <w:rPr>
          <w:rFonts w:ascii="Arial" w:cs="Arial" w:eastAsia="Arial" w:hAnsi="Arial"/>
          <w:sz w:val="20"/>
          <w:szCs w:val="20"/>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91" w:lineRule="exact"/>
        <w:rPr>
          <w:rFonts w:ascii="Arial" w:cs="Arial" w:eastAsia="Arial" w:hAnsi="Arial"/>
          <w:sz w:val="20"/>
          <w:szCs w:val="20"/>
          <w:color w:val="auto"/>
        </w:rPr>
      </w:pPr>
    </w:p>
    <w:p>
      <w:pPr>
        <w:ind w:left="2140" w:right="60" w:hanging="1062"/>
        <w:spacing w:after="0" w:line="274" w:lineRule="auto"/>
        <w:tabs>
          <w:tab w:leader="none" w:pos="21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may not be able to extend the patent term in some jurisdictions;</w:t>
      </w:r>
    </w:p>
    <w:p>
      <w:pPr>
        <w:spacing w:after="0" w:line="110" w:lineRule="exact"/>
        <w:rPr>
          <w:rFonts w:ascii="Arial" w:cs="Arial" w:eastAsia="Arial" w:hAnsi="Arial"/>
          <w:sz w:val="17"/>
          <w:szCs w:val="17"/>
          <w:color w:val="auto"/>
        </w:rPr>
      </w:pPr>
    </w:p>
    <w:p>
      <w:pPr>
        <w:ind w:left="2140" w:right="160" w:hanging="1062"/>
        <w:spacing w:after="0" w:line="274" w:lineRule="auto"/>
        <w:tabs>
          <w:tab w:leader="none" w:pos="21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it is possible that others may circumvent our owned or in-licensed patents;</w:t>
      </w:r>
    </w:p>
    <w:p>
      <w:pPr>
        <w:spacing w:after="0" w:line="110" w:lineRule="exact"/>
        <w:rPr>
          <w:rFonts w:ascii="Arial" w:cs="Arial" w:eastAsia="Arial" w:hAnsi="Arial"/>
          <w:sz w:val="17"/>
          <w:szCs w:val="17"/>
          <w:color w:val="auto"/>
        </w:rPr>
      </w:pPr>
    </w:p>
    <w:p>
      <w:pPr>
        <w:ind w:left="2140" w:right="360" w:hanging="1062"/>
        <w:spacing w:after="0" w:line="274" w:lineRule="auto"/>
        <w:tabs>
          <w:tab w:leader="none" w:pos="21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63" w:lineRule="exact"/>
        <w:rPr>
          <w:rFonts w:ascii="Arial" w:cs="Arial" w:eastAsia="Arial" w:hAnsi="Arial"/>
          <w:sz w:val="17"/>
          <w:szCs w:val="17"/>
          <w:color w:val="auto"/>
        </w:rPr>
      </w:pPr>
    </w:p>
    <w:p>
      <w:pPr>
        <w:ind w:left="2140" w:right="280" w:hanging="1062"/>
        <w:spacing w:after="0" w:line="274" w:lineRule="auto"/>
        <w:tabs>
          <w:tab w:leader="none" w:pos="21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63" w:lineRule="exact"/>
        <w:rPr>
          <w:rFonts w:ascii="Arial" w:cs="Arial" w:eastAsia="Arial" w:hAnsi="Arial"/>
          <w:sz w:val="17"/>
          <w:szCs w:val="17"/>
          <w:color w:val="auto"/>
        </w:rPr>
      </w:pPr>
    </w:p>
    <w:p>
      <w:pPr>
        <w:ind w:left="2140" w:right="740" w:hanging="1062"/>
        <w:spacing w:after="0" w:line="274" w:lineRule="auto"/>
        <w:tabs>
          <w:tab w:leader="none" w:pos="21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63" w:lineRule="exact"/>
        <w:rPr>
          <w:rFonts w:ascii="Arial" w:cs="Arial" w:eastAsia="Arial" w:hAnsi="Arial"/>
          <w:sz w:val="17"/>
          <w:szCs w:val="17"/>
          <w:color w:val="auto"/>
        </w:rPr>
      </w:pPr>
    </w:p>
    <w:p>
      <w:pPr>
        <w:ind w:left="2140" w:right="140" w:hanging="1062"/>
        <w:spacing w:after="0" w:line="274" w:lineRule="auto"/>
        <w:tabs>
          <w:tab w:leader="none" w:pos="21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63" w:lineRule="exact"/>
        <w:rPr>
          <w:rFonts w:ascii="Arial" w:cs="Arial" w:eastAsia="Arial" w:hAnsi="Arial"/>
          <w:sz w:val="17"/>
          <w:szCs w:val="17"/>
          <w:color w:val="auto"/>
        </w:rPr>
      </w:pPr>
    </w:p>
    <w:p>
      <w:pPr>
        <w:jc w:val="both"/>
        <w:ind w:left="2140" w:right="80" w:hanging="1062"/>
        <w:spacing w:after="0" w:line="262" w:lineRule="auto"/>
        <w:tabs>
          <w:tab w:leader="none" w:pos="21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50" w:name="page51"/>
    <w:bookmarkEnd w:id="50"/>
    <w:p>
      <w:pPr>
        <w:ind w:left="2140" w:right="340" w:hanging="1062"/>
        <w:spacing w:after="0" w:line="262" w:lineRule="auto"/>
        <w:tabs>
          <w:tab w:leader="none" w:pos="21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2" w:lineRule="exact"/>
        <w:rPr>
          <w:rFonts w:ascii="Arial" w:cs="Arial" w:eastAsia="Arial" w:hAnsi="Arial"/>
          <w:sz w:val="17"/>
          <w:szCs w:val="17"/>
          <w:color w:val="auto"/>
        </w:rPr>
      </w:pPr>
    </w:p>
    <w:p>
      <w:pPr>
        <w:ind w:left="2140" w:right="380" w:hanging="1062"/>
        <w:spacing w:after="0" w:line="274" w:lineRule="auto"/>
        <w:tabs>
          <w:tab w:leader="none" w:pos="21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0" w:lineRule="exact"/>
        <w:rPr>
          <w:rFonts w:ascii="Arial" w:cs="Arial" w:eastAsia="Arial" w:hAnsi="Arial"/>
          <w:sz w:val="17"/>
          <w:szCs w:val="17"/>
          <w:color w:val="auto"/>
        </w:rPr>
      </w:pPr>
    </w:p>
    <w:p>
      <w:pPr>
        <w:ind w:left="2140" w:right="20" w:hanging="1062"/>
        <w:spacing w:after="0" w:line="274" w:lineRule="auto"/>
        <w:tabs>
          <w:tab w:leader="none" w:pos="21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10" w:lineRule="exact"/>
        <w:rPr>
          <w:sz w:val="20"/>
          <w:szCs w:val="20"/>
          <w:color w:val="auto"/>
        </w:rPr>
      </w:pPr>
    </w:p>
    <w:p>
      <w:pPr>
        <w:ind w:right="140" w:firstLine="917"/>
        <w:spacing w:after="0" w:line="342" w:lineRule="auto"/>
        <w:rPr>
          <w:sz w:val="20"/>
          <w:szCs w:val="20"/>
          <w:color w:val="auto"/>
        </w:rPr>
      </w:pPr>
      <w:r>
        <w:rPr>
          <w:rFonts w:ascii="Arial" w:cs="Arial" w:eastAsia="Arial" w:hAnsi="Arial"/>
          <w:sz w:val="15"/>
          <w:szCs w:val="15"/>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18" w:lineRule="exact"/>
        <w:rPr>
          <w:sz w:val="20"/>
          <w:szCs w:val="20"/>
          <w:color w:val="auto"/>
        </w:rPr>
      </w:pPr>
    </w:p>
    <w:p>
      <w:pPr>
        <w:jc w:val="both"/>
        <w:ind w:right="60" w:firstLine="917"/>
        <w:spacing w:after="0" w:line="279" w:lineRule="auto"/>
        <w:rPr>
          <w:sz w:val="20"/>
          <w:szCs w:val="20"/>
          <w:color w:val="auto"/>
        </w:rPr>
      </w:pPr>
      <w:r>
        <w:rPr>
          <w:rFonts w:ascii="Arial" w:cs="Arial" w:eastAsia="Arial" w:hAnsi="Arial"/>
          <w:sz w:val="16"/>
          <w:szCs w:val="16"/>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34" w:lineRule="exact"/>
        <w:rPr>
          <w:sz w:val="20"/>
          <w:szCs w:val="20"/>
          <w:color w:val="auto"/>
        </w:rPr>
      </w:pPr>
    </w:p>
    <w:p>
      <w:pPr>
        <w:ind w:left="2140" w:hanging="1062"/>
        <w:spacing w:after="0"/>
        <w:tabs>
          <w:tab w:leader="none" w:pos="2140" w:val="left"/>
        </w:tabs>
        <w:numPr>
          <w:ilvl w:val="0"/>
          <w:numId w:val="44"/>
        </w:numPr>
        <w:rPr>
          <w:rFonts w:ascii="Arial" w:cs="Arial" w:eastAsia="Arial" w:hAnsi="Arial"/>
          <w:sz w:val="20"/>
          <w:szCs w:val="20"/>
          <w:color w:val="auto"/>
        </w:rPr>
      </w:pPr>
      <w:r>
        <w:rPr>
          <w:rFonts w:ascii="Arial" w:cs="Arial" w:eastAsia="Arial" w:hAnsi="Arial"/>
          <w:sz w:val="17"/>
          <w:szCs w:val="17"/>
          <w:color w:val="auto"/>
        </w:rPr>
        <w:t>the scope of rights granted under the license agreement and other interpretation-related issues;</w:t>
      </w:r>
    </w:p>
    <w:p>
      <w:pPr>
        <w:spacing w:after="0" w:line="90" w:lineRule="exact"/>
        <w:rPr>
          <w:rFonts w:ascii="Arial" w:cs="Arial" w:eastAsia="Arial" w:hAnsi="Arial"/>
          <w:sz w:val="20"/>
          <w:szCs w:val="20"/>
          <w:color w:val="auto"/>
        </w:rPr>
      </w:pPr>
    </w:p>
    <w:p>
      <w:pPr>
        <w:ind w:left="2140" w:right="440" w:hanging="1062"/>
        <w:spacing w:after="0" w:line="274" w:lineRule="auto"/>
        <w:tabs>
          <w:tab w:leader="none" w:pos="21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0" w:lineRule="exact"/>
        <w:rPr>
          <w:rFonts w:ascii="Arial" w:cs="Arial" w:eastAsia="Arial" w:hAnsi="Arial"/>
          <w:sz w:val="17"/>
          <w:szCs w:val="17"/>
          <w:color w:val="auto"/>
        </w:rPr>
      </w:pPr>
    </w:p>
    <w:p>
      <w:pPr>
        <w:ind w:left="2140" w:right="220" w:hanging="1062"/>
        <w:spacing w:after="0" w:line="274" w:lineRule="auto"/>
        <w:tabs>
          <w:tab w:leader="none" w:pos="213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10" w:lineRule="exact"/>
        <w:rPr>
          <w:sz w:val="20"/>
          <w:szCs w:val="20"/>
          <w:color w:val="auto"/>
        </w:rPr>
      </w:pPr>
    </w:p>
    <w:p>
      <w:pPr>
        <w:ind w:right="80" w:firstLine="917"/>
        <w:spacing w:after="0" w:line="254"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0" w:lineRule="exact"/>
        <w:rPr>
          <w:sz w:val="20"/>
          <w:szCs w:val="20"/>
          <w:color w:val="auto"/>
        </w:rPr>
      </w:pPr>
    </w:p>
    <w:p>
      <w:pPr>
        <w:ind w:firstLine="917"/>
        <w:spacing w:after="0" w:line="255"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10" w:lineRule="exact"/>
        <w:rPr>
          <w:sz w:val="20"/>
          <w:szCs w:val="20"/>
          <w:color w:val="auto"/>
        </w:rPr>
      </w:pPr>
    </w:p>
    <w:p>
      <w:pPr>
        <w:ind w:right="500" w:firstLine="917"/>
        <w:spacing w:after="0" w:line="274"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 parties, to protect our</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51" w:name="page52"/>
    <w:bookmarkEnd w:id="51"/>
    <w:p>
      <w:pPr>
        <w:spacing w:after="0" w:line="269" w:lineRule="auto"/>
        <w:rPr>
          <w:sz w:val="20"/>
          <w:szCs w:val="20"/>
          <w:color w:val="auto"/>
        </w:rPr>
      </w:pPr>
      <w:r>
        <w:rPr>
          <w:rFonts w:ascii="Arial" w:cs="Arial" w:eastAsia="Arial" w:hAnsi="Arial"/>
          <w:sz w:val="16"/>
          <w:szCs w:val="16"/>
          <w:color w:val="auto"/>
        </w:rPr>
        <w:t>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5" w:lineRule="exact"/>
        <w:rPr>
          <w:sz w:val="20"/>
          <w:szCs w:val="20"/>
          <w:color w:val="auto"/>
        </w:rPr>
      </w:pPr>
    </w:p>
    <w:p>
      <w:pPr>
        <w:ind w:firstLine="917"/>
        <w:spacing w:after="0" w:line="303" w:lineRule="auto"/>
        <w:rPr>
          <w:sz w:val="20"/>
          <w:szCs w:val="20"/>
          <w:color w:val="auto"/>
        </w:rPr>
      </w:pPr>
      <w:r>
        <w:rPr>
          <w:rFonts w:ascii="Arial" w:cs="Arial" w:eastAsia="Arial" w:hAnsi="Arial"/>
          <w:sz w:val="15"/>
          <w:szCs w:val="15"/>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46" w:lineRule="exact"/>
        <w:rPr>
          <w:sz w:val="20"/>
          <w:szCs w:val="20"/>
          <w:color w:val="auto"/>
        </w:rPr>
      </w:pPr>
    </w:p>
    <w:p>
      <w:pPr>
        <w:ind w:right="100" w:firstLine="917"/>
        <w:spacing w:after="0" w:line="253"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10" w:lineRule="exact"/>
        <w:rPr>
          <w:sz w:val="20"/>
          <w:szCs w:val="20"/>
          <w:color w:val="auto"/>
        </w:rPr>
      </w:pPr>
    </w:p>
    <w:p>
      <w:pPr>
        <w:ind w:right="80" w:firstLine="917"/>
        <w:spacing w:after="0" w:line="269"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48" w:lineRule="exact"/>
        <w:rPr>
          <w:sz w:val="20"/>
          <w:szCs w:val="20"/>
          <w:color w:val="auto"/>
        </w:rPr>
      </w:pPr>
    </w:p>
    <w:p>
      <w:pPr>
        <w:ind w:left="2140" w:right="100" w:hanging="1062"/>
        <w:spacing w:after="0" w:line="236" w:lineRule="auto"/>
        <w:tabs>
          <w:tab w:leader="none" w:pos="2135" w:val="left"/>
        </w:tabs>
        <w:numPr>
          <w:ilvl w:val="0"/>
          <w:numId w:val="45"/>
        </w:numPr>
        <w:rPr>
          <w:rFonts w:ascii="Arial" w:cs="Arial" w:eastAsia="Arial" w:hAnsi="Arial"/>
          <w:sz w:val="20"/>
          <w:szCs w:val="20"/>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91" w:lineRule="exact"/>
        <w:rPr>
          <w:rFonts w:ascii="Arial" w:cs="Arial" w:eastAsia="Arial" w:hAnsi="Arial"/>
          <w:sz w:val="20"/>
          <w:szCs w:val="20"/>
          <w:color w:val="auto"/>
        </w:rPr>
      </w:pPr>
    </w:p>
    <w:p>
      <w:pPr>
        <w:ind w:left="2140" w:right="120" w:hanging="1062"/>
        <w:spacing w:after="0" w:line="274" w:lineRule="auto"/>
        <w:tabs>
          <w:tab w:leader="none" w:pos="21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52" w:name="page53"/>
    <w:bookmarkEnd w:id="52"/>
    <w:p>
      <w:pPr>
        <w:ind w:left="2140"/>
        <w:spacing w:after="0"/>
        <w:rPr>
          <w:sz w:val="20"/>
          <w:szCs w:val="20"/>
          <w:color w:val="auto"/>
        </w:rPr>
      </w:pPr>
      <w:r>
        <w:rPr>
          <w:rFonts w:ascii="Arial" w:cs="Arial" w:eastAsia="Arial" w:hAnsi="Arial"/>
          <w:sz w:val="15"/>
          <w:szCs w:val="15"/>
          <w:color w:val="auto"/>
        </w:rPr>
        <w:t>the court finds that the infringement was willful, we could be ordered to pay treble damages and the patent owner’s attorneys’ fees;</w:t>
      </w:r>
    </w:p>
    <w:p>
      <w:pPr>
        <w:spacing w:after="0" w:line="133" w:lineRule="exact"/>
        <w:rPr>
          <w:sz w:val="20"/>
          <w:szCs w:val="20"/>
          <w:color w:val="auto"/>
        </w:rPr>
      </w:pPr>
    </w:p>
    <w:p>
      <w:pPr>
        <w:ind w:left="2140" w:right="240" w:hanging="1062"/>
        <w:spacing w:after="0" w:line="274" w:lineRule="auto"/>
        <w:tabs>
          <w:tab w:leader="none" w:pos="21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63" w:lineRule="exact"/>
        <w:rPr>
          <w:rFonts w:ascii="Arial" w:cs="Arial" w:eastAsia="Arial" w:hAnsi="Arial"/>
          <w:sz w:val="17"/>
          <w:szCs w:val="17"/>
          <w:color w:val="auto"/>
        </w:rPr>
      </w:pPr>
    </w:p>
    <w:p>
      <w:pPr>
        <w:jc w:val="both"/>
        <w:ind w:left="2140" w:right="300" w:hanging="1062"/>
        <w:spacing w:after="0" w:line="262" w:lineRule="auto"/>
        <w:tabs>
          <w:tab w:leader="none" w:pos="21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72" w:lineRule="exact"/>
        <w:rPr>
          <w:rFonts w:ascii="Arial" w:cs="Arial" w:eastAsia="Arial" w:hAnsi="Arial"/>
          <w:sz w:val="17"/>
          <w:szCs w:val="17"/>
          <w:color w:val="auto"/>
        </w:rPr>
      </w:pPr>
    </w:p>
    <w:p>
      <w:pPr>
        <w:ind w:left="2140" w:right="520" w:hanging="1062"/>
        <w:spacing w:after="0" w:line="274" w:lineRule="auto"/>
        <w:tabs>
          <w:tab w:leader="none" w:pos="21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63" w:lineRule="exact"/>
        <w:rPr>
          <w:sz w:val="20"/>
          <w:szCs w:val="20"/>
          <w:color w:val="auto"/>
        </w:rPr>
      </w:pPr>
    </w:p>
    <w:p>
      <w:pPr>
        <w:ind w:right="60" w:firstLine="917"/>
        <w:spacing w:after="0" w:line="275"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67" w:lineRule="exact"/>
        <w:rPr>
          <w:sz w:val="20"/>
          <w:szCs w:val="20"/>
          <w:color w:val="auto"/>
        </w:rPr>
      </w:pPr>
    </w:p>
    <w:p>
      <w:pPr>
        <w:ind w:right="40" w:firstLine="917"/>
        <w:spacing w:after="0" w:line="306" w:lineRule="auto"/>
        <w:rPr>
          <w:sz w:val="20"/>
          <w:szCs w:val="20"/>
          <w:color w:val="auto"/>
        </w:rPr>
      </w:pPr>
      <w:r>
        <w:rPr>
          <w:rFonts w:ascii="Arial" w:cs="Arial" w:eastAsia="Arial" w:hAnsi="Arial"/>
          <w:sz w:val="16"/>
          <w:szCs w:val="16"/>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40" w:lineRule="exact"/>
        <w:rPr>
          <w:sz w:val="20"/>
          <w:szCs w:val="20"/>
          <w:color w:val="auto"/>
        </w:rPr>
      </w:pPr>
    </w:p>
    <w:p>
      <w:pPr>
        <w:ind w:right="60" w:firstLine="917"/>
        <w:spacing w:after="0" w:line="295" w:lineRule="auto"/>
        <w:rPr>
          <w:sz w:val="20"/>
          <w:szCs w:val="20"/>
          <w:color w:val="auto"/>
        </w:rPr>
      </w:pPr>
      <w:r>
        <w:rPr>
          <w:rFonts w:ascii="Arial" w:cs="Arial" w:eastAsia="Arial" w:hAnsi="Arial"/>
          <w:sz w:val="15"/>
          <w:szCs w:val="15"/>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10" w:lineRule="exact"/>
        <w:rPr>
          <w:sz w:val="20"/>
          <w:szCs w:val="20"/>
          <w:color w:val="auto"/>
        </w:rPr>
      </w:pPr>
    </w:p>
    <w:p>
      <w:pPr>
        <w:ind w:right="20" w:firstLine="917"/>
        <w:spacing w:after="0" w:line="269" w:lineRule="auto"/>
        <w:rPr>
          <w:sz w:val="20"/>
          <w:szCs w:val="20"/>
          <w:color w:val="auto"/>
        </w:rPr>
      </w:pPr>
      <w:r>
        <w:rPr>
          <w:rFonts w:ascii="Arial" w:cs="Arial" w:eastAsia="Arial" w:hAnsi="Arial"/>
          <w:sz w:val="16"/>
          <w:szCs w:val="16"/>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2" w:lineRule="exact"/>
        <w:rPr>
          <w:sz w:val="20"/>
          <w:szCs w:val="20"/>
          <w:color w:val="auto"/>
        </w:rPr>
      </w:pPr>
    </w:p>
    <w:p>
      <w:pPr>
        <w:ind w:firstLine="917"/>
        <w:spacing w:after="0" w:line="293" w:lineRule="auto"/>
        <w:rPr>
          <w:sz w:val="20"/>
          <w:szCs w:val="20"/>
          <w:color w:val="auto"/>
        </w:rPr>
      </w:pPr>
      <w:r>
        <w:rPr>
          <w:rFonts w:ascii="Arial" w:cs="Arial" w:eastAsia="Arial" w:hAnsi="Arial"/>
          <w:sz w:val="15"/>
          <w:szCs w:val="15"/>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53" w:name="page54"/>
    <w:bookmarkEnd w:id="53"/>
    <w:p>
      <w:pPr>
        <w:ind w:right="780"/>
        <w:spacing w:after="0" w:line="274" w:lineRule="auto"/>
        <w:rPr>
          <w:sz w:val="20"/>
          <w:szCs w:val="20"/>
          <w:color w:val="auto"/>
        </w:rPr>
      </w:pPr>
      <w:r>
        <w:rPr>
          <w:rFonts w:ascii="Arial" w:cs="Arial" w:eastAsia="Arial" w:hAnsi="Arial"/>
          <w:sz w:val="17"/>
          <w:szCs w:val="17"/>
          <w:color w:val="auto"/>
        </w:rPr>
        <w:t>reasonable terms, if at all. In that event, we would be unable to further develop and commercialize our product candidates, which could harm our business significantly.</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secrets.</w:t>
      </w:r>
    </w:p>
    <w:p>
      <w:pPr>
        <w:spacing w:after="0" w:line="99" w:lineRule="exact"/>
        <w:rPr>
          <w:sz w:val="20"/>
          <w:szCs w:val="20"/>
          <w:color w:val="auto"/>
        </w:rPr>
      </w:pPr>
    </w:p>
    <w:p>
      <w:pPr>
        <w:ind w:right="20" w:firstLine="917"/>
        <w:spacing w:after="0" w:line="268" w:lineRule="auto"/>
        <w:rPr>
          <w:sz w:val="20"/>
          <w:szCs w:val="20"/>
          <w:color w:val="auto"/>
        </w:rPr>
      </w:pPr>
      <w:r>
        <w:rPr>
          <w:rFonts w:ascii="Arial" w:cs="Arial" w:eastAsia="Arial" w:hAnsi="Arial"/>
          <w:sz w:val="16"/>
          <w:szCs w:val="16"/>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develop any future product candidates on acceptable terms.</w:t>
      </w:r>
    </w:p>
    <w:p>
      <w:pPr>
        <w:spacing w:after="0" w:line="122" w:lineRule="exact"/>
        <w:rPr>
          <w:sz w:val="20"/>
          <w:szCs w:val="20"/>
          <w:color w:val="auto"/>
        </w:rPr>
      </w:pPr>
    </w:p>
    <w:p>
      <w:pPr>
        <w:ind w:right="120" w:firstLine="917"/>
        <w:spacing w:after="0" w:line="274"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63" w:lineRule="exact"/>
        <w:rPr>
          <w:sz w:val="20"/>
          <w:szCs w:val="20"/>
          <w:color w:val="auto"/>
        </w:rPr>
      </w:pPr>
    </w:p>
    <w:p>
      <w:pPr>
        <w:ind w:right="20" w:firstLine="917"/>
        <w:spacing w:after="0" w:line="271" w:lineRule="auto"/>
        <w:rPr>
          <w:sz w:val="20"/>
          <w:szCs w:val="20"/>
          <w:color w:val="auto"/>
        </w:rPr>
      </w:pPr>
      <w:r>
        <w:rPr>
          <w:rFonts w:ascii="Arial" w:cs="Arial" w:eastAsia="Arial" w:hAnsi="Arial"/>
          <w:sz w:val="16"/>
          <w:szCs w:val="16"/>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0" w:lineRule="exact"/>
        <w:rPr>
          <w:sz w:val="20"/>
          <w:szCs w:val="20"/>
          <w:color w:val="auto"/>
        </w:rPr>
      </w:pPr>
    </w:p>
    <w:p>
      <w:pPr>
        <w:ind w:firstLine="917"/>
        <w:spacing w:after="0" w:line="273"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an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69" w:lineRule="exact"/>
        <w:rPr>
          <w:sz w:val="20"/>
          <w:szCs w:val="20"/>
          <w:color w:val="auto"/>
        </w:rPr>
      </w:pPr>
    </w:p>
    <w:p>
      <w:pPr>
        <w:ind w:firstLine="917"/>
        <w:spacing w:after="0" w:line="298" w:lineRule="auto"/>
        <w:rPr>
          <w:sz w:val="20"/>
          <w:szCs w:val="20"/>
          <w:color w:val="auto"/>
        </w:rPr>
      </w:pPr>
      <w:r>
        <w:rPr>
          <w:rFonts w:ascii="Arial" w:cs="Arial" w:eastAsia="Arial" w:hAnsi="Arial"/>
          <w:sz w:val="15"/>
          <w:szCs w:val="15"/>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50" w:lineRule="exact"/>
        <w:rPr>
          <w:sz w:val="20"/>
          <w:szCs w:val="20"/>
          <w:color w:val="auto"/>
        </w:rPr>
      </w:pPr>
    </w:p>
    <w:p>
      <w:pPr>
        <w:ind w:right="340" w:firstLine="917"/>
        <w:spacing w:after="0" w:line="274"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4" w:name="page55"/>
    <w:bookmarkEnd w:id="54"/>
    <w:p>
      <w:pPr>
        <w:ind w:firstLine="917"/>
        <w:spacing w:after="0" w:line="273" w:lineRule="auto"/>
        <w:rPr>
          <w:sz w:val="20"/>
          <w:szCs w:val="20"/>
          <w:color w:val="auto"/>
        </w:rPr>
      </w:pPr>
      <w:r>
        <w:rPr>
          <w:rFonts w:ascii="Arial" w:cs="Arial" w:eastAsia="Arial" w:hAnsi="Arial"/>
          <w:sz w:val="16"/>
          <w:szCs w:val="16"/>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69" w:lineRule="exact"/>
        <w:rPr>
          <w:sz w:val="20"/>
          <w:szCs w:val="20"/>
          <w:color w:val="auto"/>
        </w:rPr>
      </w:pPr>
    </w:p>
    <w:p>
      <w:pPr>
        <w:jc w:val="both"/>
        <w:ind w:right="100" w:firstLine="917"/>
        <w:spacing w:after="0" w:line="313" w:lineRule="auto"/>
        <w:rPr>
          <w:sz w:val="20"/>
          <w:szCs w:val="20"/>
          <w:color w:val="auto"/>
        </w:rPr>
      </w:pPr>
      <w:r>
        <w:rPr>
          <w:rFonts w:ascii="Arial" w:cs="Arial" w:eastAsia="Arial" w:hAnsi="Arial"/>
          <w:sz w:val="15"/>
          <w:szCs w:val="15"/>
          <w:color w:val="auto"/>
        </w:rPr>
        <w:t>We may choose to challenge the patentability of claims in a third-party’s U.S. patent by requesting that the USPTO review the patent claims in an ex-parte re-examination, inter partes review or post-grant review proceedings. These proceedings are expensive and may consume our time or other resources. We may choose to challenge a third-party’s patent in patent opposition proceedings in the European Patent Office, or EPO, or other foreign patent office.</w:t>
      </w:r>
    </w:p>
    <w:p>
      <w:pPr>
        <w:spacing w:after="0" w:line="38" w:lineRule="exact"/>
        <w:rPr>
          <w:sz w:val="20"/>
          <w:szCs w:val="20"/>
          <w:color w:val="auto"/>
        </w:rPr>
      </w:pPr>
    </w:p>
    <w:p>
      <w:pPr>
        <w:jc w:val="both"/>
        <w:ind w:right="160" w:firstLine="917"/>
        <w:spacing w:after="0" w:line="262" w:lineRule="auto"/>
        <w:rPr>
          <w:sz w:val="20"/>
          <w:szCs w:val="20"/>
          <w:color w:val="auto"/>
        </w:rPr>
      </w:pPr>
      <w:r>
        <w:rPr>
          <w:rFonts w:ascii="Arial" w:cs="Arial" w:eastAsia="Arial" w:hAnsi="Arial"/>
          <w:sz w:val="17"/>
          <w:szCs w:val="17"/>
          <w:color w:val="auto"/>
        </w:rPr>
        <w:t>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3" w:lineRule="exact"/>
        <w:rPr>
          <w:sz w:val="20"/>
          <w:szCs w:val="20"/>
          <w:color w:val="auto"/>
        </w:rPr>
      </w:pPr>
    </w:p>
    <w:p>
      <w:pPr>
        <w:ind w:right="60" w:firstLine="917"/>
        <w:spacing w:after="0" w:line="270"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0" w:lineRule="exact"/>
        <w:rPr>
          <w:sz w:val="20"/>
          <w:szCs w:val="20"/>
          <w:color w:val="auto"/>
        </w:rPr>
      </w:pPr>
    </w:p>
    <w:p>
      <w:pPr>
        <w:ind w:firstLine="917"/>
        <w:spacing w:after="0" w:line="293" w:lineRule="auto"/>
        <w:rPr>
          <w:sz w:val="20"/>
          <w:szCs w:val="20"/>
          <w:color w:val="auto"/>
        </w:rPr>
      </w:pPr>
      <w:r>
        <w:rPr>
          <w:rFonts w:ascii="Arial" w:cs="Arial" w:eastAsia="Arial" w:hAnsi="Arial"/>
          <w:sz w:val="15"/>
          <w:szCs w:val="15"/>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54" w:lineRule="exact"/>
        <w:rPr>
          <w:sz w:val="20"/>
          <w:szCs w:val="20"/>
          <w:color w:val="auto"/>
        </w:rPr>
      </w:pPr>
    </w:p>
    <w:p>
      <w:pPr>
        <w:ind w:right="80" w:firstLine="917"/>
        <w:spacing w:after="0" w:line="258"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6" w:lineRule="exact"/>
        <w:rPr>
          <w:sz w:val="20"/>
          <w:szCs w:val="20"/>
          <w:color w:val="auto"/>
        </w:rPr>
      </w:pPr>
    </w:p>
    <w:p>
      <w:pPr>
        <w:ind w:right="120" w:firstLine="917"/>
        <w:spacing w:after="0" w:line="37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firstLine="917"/>
        <w:spacing w:after="0" w:line="292"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5" w:name="page56"/>
    <w:bookmarkEnd w:id="55"/>
    <w:p>
      <w:pPr>
        <w:ind w:left="920"/>
        <w:spacing w:after="0"/>
        <w:rPr>
          <w:sz w:val="20"/>
          <w:szCs w:val="20"/>
          <w:color w:val="auto"/>
        </w:rPr>
      </w:pPr>
      <w:r>
        <w:rPr>
          <w:rFonts w:ascii="Arial" w:cs="Arial" w:eastAsia="Arial" w:hAnsi="Arial"/>
          <w:sz w:val="15"/>
          <w:szCs w:val="15"/>
          <w:b w:val="1"/>
          <w:bCs w:val="1"/>
          <w:i w:val="1"/>
          <w:iCs w:val="1"/>
          <w:color w:val="auto"/>
        </w:rPr>
        <w:t>Any patents covering our product candidates could be found invalid or unenforceable if challenged in court or the USPTO (or foreign patent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offices).</w:t>
      </w:r>
    </w:p>
    <w:p>
      <w:pPr>
        <w:spacing w:after="0" w:line="99"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5" w:lineRule="exact"/>
        <w:rPr>
          <w:sz w:val="20"/>
          <w:szCs w:val="20"/>
          <w:color w:val="auto"/>
        </w:rPr>
      </w:pPr>
    </w:p>
    <w:p>
      <w:pPr>
        <w:ind w:firstLine="917"/>
        <w:spacing w:after="0" w:line="298" w:lineRule="auto"/>
        <w:rPr>
          <w:sz w:val="20"/>
          <w:szCs w:val="20"/>
          <w:color w:val="auto"/>
        </w:rPr>
      </w:pPr>
      <w:r>
        <w:rPr>
          <w:rFonts w:ascii="Arial" w:cs="Arial" w:eastAsia="Arial" w:hAnsi="Arial"/>
          <w:sz w:val="15"/>
          <w:szCs w:val="15"/>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2042, without taking into account any possible patent term adjustments or extensions. However, we cannot be assured that the USPTO, EPO or other relevant foreign patent offices will grant any of these patent applications.</w:t>
      </w:r>
    </w:p>
    <w:p>
      <w:pPr>
        <w:spacing w:after="0" w:line="50" w:lineRule="exact"/>
        <w:rPr>
          <w:sz w:val="20"/>
          <w:szCs w:val="20"/>
          <w:color w:val="auto"/>
        </w:rPr>
      </w:pPr>
    </w:p>
    <w:p>
      <w:pPr>
        <w:ind w:right="460" w:firstLine="917"/>
        <w:spacing w:after="0" w:line="274" w:lineRule="auto"/>
        <w:rPr>
          <w:sz w:val="20"/>
          <w:szCs w:val="20"/>
          <w:color w:val="auto"/>
        </w:rPr>
      </w:pPr>
      <w:r>
        <w:rPr>
          <w:rFonts w:ascii="Arial" w:cs="Arial" w:eastAsia="Arial" w:hAnsi="Arial"/>
          <w:sz w:val="17"/>
          <w:szCs w:val="17"/>
          <w:b w:val="1"/>
          <w:bCs w:val="1"/>
          <w:i w:val="1"/>
          <w:iCs w:val="1"/>
          <w:color w:val="auto"/>
        </w:rPr>
        <w:t>Changes in patent law in the U.S. and in foreign jurisdictions could diminish the value of patents in general, thereby impairing our ability to protect our products.</w:t>
      </w:r>
    </w:p>
    <w:p>
      <w:pPr>
        <w:spacing w:after="0" w:line="63" w:lineRule="exact"/>
        <w:rPr>
          <w:sz w:val="20"/>
          <w:szCs w:val="20"/>
          <w:color w:val="auto"/>
        </w:rPr>
      </w:pPr>
    </w:p>
    <w:p>
      <w:pPr>
        <w:ind w:right="20" w:firstLine="917"/>
        <w:spacing w:after="0" w:line="290" w:lineRule="auto"/>
        <w:rPr>
          <w:sz w:val="20"/>
          <w:szCs w:val="20"/>
          <w:color w:val="auto"/>
        </w:rPr>
      </w:pPr>
      <w:r>
        <w:rPr>
          <w:rFonts w:ascii="Arial" w:cs="Arial" w:eastAsia="Arial" w:hAnsi="Arial"/>
          <w:sz w:val="15"/>
          <w:szCs w:val="15"/>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on or after March 16,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55" w:lineRule="exact"/>
        <w:rPr>
          <w:sz w:val="20"/>
          <w:szCs w:val="20"/>
          <w:color w:val="auto"/>
        </w:rPr>
      </w:pPr>
    </w:p>
    <w:p>
      <w:pPr>
        <w:ind w:right="40" w:firstLine="917"/>
        <w:spacing w:after="0" w:line="270"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70" w:lineRule="exact"/>
        <w:rPr>
          <w:sz w:val="20"/>
          <w:szCs w:val="20"/>
          <w:color w:val="auto"/>
        </w:rPr>
      </w:pPr>
    </w:p>
    <w:p>
      <w:pPr>
        <w:ind w:right="60" w:firstLine="917"/>
        <w:spacing w:after="0" w:line="303" w:lineRule="auto"/>
        <w:rPr>
          <w:sz w:val="20"/>
          <w:szCs w:val="20"/>
          <w:color w:val="auto"/>
        </w:rPr>
      </w:pPr>
      <w:r>
        <w:rPr>
          <w:rFonts w:ascii="Arial" w:cs="Arial" w:eastAsia="Arial" w:hAnsi="Arial"/>
          <w:sz w:val="15"/>
          <w:szCs w:val="15"/>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that could have a material adverse effect on our existing patent portfolio and our ability to protect and enforce our intellectual property in the future.</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We have limited foreign intellectual property rights and may not be able to protect our intellectual property rights throughout the world.</w:t>
      </w:r>
    </w:p>
    <w:p>
      <w:pPr>
        <w:spacing w:after="0" w:line="122" w:lineRule="exact"/>
        <w:rPr>
          <w:sz w:val="20"/>
          <w:szCs w:val="20"/>
          <w:color w:val="auto"/>
        </w:rPr>
      </w:pPr>
    </w:p>
    <w:p>
      <w:pPr>
        <w:ind w:right="40" w:firstLine="917"/>
        <w:spacing w:after="0" w:line="292" w:lineRule="auto"/>
        <w:rPr>
          <w:sz w:val="20"/>
          <w:szCs w:val="20"/>
          <w:color w:val="auto"/>
        </w:rPr>
      </w:pPr>
      <w:r>
        <w:rPr>
          <w:rFonts w:ascii="Arial" w:cs="Arial" w:eastAsia="Arial" w:hAnsi="Arial"/>
          <w:sz w:val="15"/>
          <w:szCs w:val="15"/>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53" w:lineRule="exact"/>
        <w:rPr>
          <w:sz w:val="20"/>
          <w:szCs w:val="20"/>
          <w:color w:val="auto"/>
        </w:rPr>
      </w:pPr>
    </w:p>
    <w:p>
      <w:pPr>
        <w:ind w:right="100" w:firstLine="917"/>
        <w:spacing w:after="0" w:line="27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10" w:lineRule="exact"/>
        <w:rPr>
          <w:sz w:val="20"/>
          <w:szCs w:val="20"/>
          <w:color w:val="auto"/>
        </w:rPr>
      </w:pPr>
    </w:p>
    <w:p>
      <w:pPr>
        <w:ind w:right="40" w:firstLine="917"/>
        <w:spacing w:after="0" w:line="27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9" w:lineRule="exact"/>
        <w:rPr>
          <w:sz w:val="20"/>
          <w:szCs w:val="20"/>
          <w:color w:val="auto"/>
        </w:rPr>
      </w:pPr>
    </w:p>
    <w:p>
      <w:pPr>
        <w:ind w:right="80" w:firstLine="917"/>
        <w:spacing w:after="0" w:line="274" w:lineRule="auto"/>
        <w:rPr>
          <w:sz w:val="20"/>
          <w:szCs w:val="20"/>
          <w:color w:val="auto"/>
        </w:rPr>
      </w:pPr>
      <w:r>
        <w:rPr>
          <w:rFonts w:ascii="Arial" w:cs="Arial" w:eastAsia="Arial" w:hAnsi="Arial"/>
          <w:sz w:val="17"/>
          <w:szCs w:val="17"/>
          <w:color w:val="auto"/>
        </w:rPr>
        <w:t>At the EU level, the Court of Justice of the European Union (CJEU) has recently narrowed the availability of patent term extension for second medical use therefore affecting the scope of patent protection available.</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If we do not obtain patent term extension and data exclusivity for any product candidates we may develop, our business may be materially harmed.</w:t>
      </w:r>
    </w:p>
    <w:p>
      <w:pPr>
        <w:spacing w:after="0" w:line="145" w:lineRule="exact"/>
        <w:rPr>
          <w:sz w:val="20"/>
          <w:szCs w:val="20"/>
          <w:color w:val="auto"/>
        </w:rPr>
      </w:pPr>
    </w:p>
    <w:p>
      <w:pPr>
        <w:ind w:firstLine="917"/>
        <w:spacing w:after="0" w:line="290" w:lineRule="auto"/>
        <w:rPr>
          <w:sz w:val="20"/>
          <w:szCs w:val="20"/>
          <w:color w:val="auto"/>
        </w:rPr>
      </w:pPr>
      <w:r>
        <w:rPr>
          <w:rFonts w:ascii="Arial" w:cs="Arial" w:eastAsia="Arial" w:hAnsi="Arial"/>
          <w:sz w:val="15"/>
          <w:szCs w:val="15"/>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could be curtailed in future years. If we are unable to obtain patent term extension or the term of any such extension is less than we request, or if data exclusivity or other regulatory</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7" w:name="page58"/>
    <w:bookmarkEnd w:id="57"/>
    <w:p>
      <w:pPr>
        <w:ind w:right="20"/>
        <w:spacing w:after="0" w:line="274" w:lineRule="auto"/>
        <w:rPr>
          <w:sz w:val="20"/>
          <w:szCs w:val="20"/>
          <w:color w:val="auto"/>
        </w:rPr>
      </w:pPr>
      <w:r>
        <w:rPr>
          <w:rFonts w:ascii="Arial" w:cs="Arial" w:eastAsia="Arial" w:hAnsi="Arial"/>
          <w:sz w:val="17"/>
          <w:szCs w:val="17"/>
          <w:color w:val="auto"/>
        </w:rPr>
        <w:t>protections are reduced, our competitors may obtain approval of competing products following our patent expiration, and our business, financial condition, results of operations, and prospects could be materially harmed.</w:t>
      </w:r>
    </w:p>
    <w:p>
      <w:pPr>
        <w:spacing w:after="0" w:line="63" w:lineRule="exact"/>
        <w:rPr>
          <w:sz w:val="20"/>
          <w:szCs w:val="20"/>
          <w:color w:val="auto"/>
        </w:rPr>
      </w:pPr>
    </w:p>
    <w:p>
      <w:pPr>
        <w:ind w:right="100" w:firstLine="917"/>
        <w:spacing w:after="0" w:line="274"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firstLine="917"/>
        <w:spacing w:after="0" w:line="258"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20" w:lineRule="exact"/>
        <w:rPr>
          <w:sz w:val="20"/>
          <w:szCs w:val="20"/>
          <w:color w:val="auto"/>
        </w:rPr>
      </w:pPr>
    </w:p>
    <w:p>
      <w:pPr>
        <w:ind w:right="480" w:firstLine="409"/>
        <w:spacing w:after="0" w:line="244"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3" w:lineRule="exact"/>
        <w:rPr>
          <w:sz w:val="20"/>
          <w:szCs w:val="20"/>
          <w:color w:val="auto"/>
        </w:rPr>
      </w:pPr>
    </w:p>
    <w:p>
      <w:pPr>
        <w:ind w:left="2140" w:right="120" w:hanging="1062"/>
        <w:spacing w:after="0" w:line="236" w:lineRule="auto"/>
        <w:tabs>
          <w:tab w:leader="none" w:pos="2135" w:val="left"/>
        </w:tabs>
        <w:numPr>
          <w:ilvl w:val="0"/>
          <w:numId w:val="47"/>
        </w:numPr>
        <w:rPr>
          <w:rFonts w:ascii="Arial" w:cs="Arial" w:eastAsia="Arial" w:hAnsi="Arial"/>
          <w:sz w:val="20"/>
          <w:szCs w:val="20"/>
          <w:color w:val="auto"/>
        </w:rPr>
      </w:pPr>
      <w:r>
        <w:rPr>
          <w:rFonts w:ascii="Arial" w:cs="Arial" w:eastAsia="Arial" w:hAnsi="Arial"/>
          <w:sz w:val="17"/>
          <w:szCs w:val="17"/>
          <w:color w:val="auto"/>
        </w:rPr>
        <w:t>others may be able to make drug candidates that are similar to ours but that are not covered by the claims of the patents that we own or have exclusively licensed;</w:t>
      </w:r>
    </w:p>
    <w:p>
      <w:pPr>
        <w:spacing w:after="0" w:line="91" w:lineRule="exact"/>
        <w:rPr>
          <w:rFonts w:ascii="Arial" w:cs="Arial" w:eastAsia="Arial" w:hAnsi="Arial"/>
          <w:sz w:val="20"/>
          <w:szCs w:val="20"/>
          <w:color w:val="auto"/>
        </w:rPr>
      </w:pPr>
    </w:p>
    <w:p>
      <w:pPr>
        <w:ind w:left="2140" w:right="500" w:hanging="1062"/>
        <w:spacing w:after="0" w:line="274" w:lineRule="auto"/>
        <w:tabs>
          <w:tab w:leader="none" w:pos="21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make the inventions covered by the issued patent or pending patent application that we own or have exclusively licensed;</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 or our licensors or future collaborators might not have been the first to file patent applications covering certain of our inventions;</w:t>
      </w:r>
    </w:p>
    <w:p>
      <w:pPr>
        <w:spacing w:after="0" w:line="133" w:lineRule="exact"/>
        <w:rPr>
          <w:rFonts w:ascii="Arial" w:cs="Arial" w:eastAsia="Arial" w:hAnsi="Arial"/>
          <w:sz w:val="15"/>
          <w:szCs w:val="15"/>
          <w:color w:val="auto"/>
        </w:rPr>
      </w:pPr>
    </w:p>
    <w:p>
      <w:pPr>
        <w:ind w:left="2140" w:right="340" w:hanging="1062"/>
        <w:spacing w:after="0" w:line="274" w:lineRule="auto"/>
        <w:tabs>
          <w:tab w:leader="none" w:pos="21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lead to issued patents;</w:t>
      </w:r>
    </w:p>
    <w:p>
      <w:pPr>
        <w:spacing w:after="0" w:line="110" w:lineRule="exact"/>
        <w:rPr>
          <w:rFonts w:ascii="Arial" w:cs="Arial" w:eastAsia="Arial" w:hAnsi="Arial"/>
          <w:sz w:val="17"/>
          <w:szCs w:val="17"/>
          <w:color w:val="auto"/>
        </w:rPr>
      </w:pPr>
    </w:p>
    <w:p>
      <w:pPr>
        <w:ind w:left="2140" w:right="160" w:hanging="1062"/>
        <w:spacing w:after="0" w:line="274" w:lineRule="auto"/>
        <w:tabs>
          <w:tab w:leader="none" w:pos="21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be held invalid or unenforceable, as a result of legal challenges by our competitors;</w:t>
      </w:r>
    </w:p>
    <w:p>
      <w:pPr>
        <w:spacing w:after="0" w:line="63" w:lineRule="exact"/>
        <w:rPr>
          <w:rFonts w:ascii="Arial" w:cs="Arial" w:eastAsia="Arial" w:hAnsi="Arial"/>
          <w:sz w:val="17"/>
          <w:szCs w:val="17"/>
          <w:color w:val="auto"/>
        </w:rPr>
      </w:pPr>
    </w:p>
    <w:p>
      <w:pPr>
        <w:ind w:left="2140" w:right="120" w:hanging="1062"/>
        <w:spacing w:after="0" w:line="306" w:lineRule="auto"/>
        <w:tabs>
          <w:tab w:leader="none" w:pos="21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0" w:lineRule="exact"/>
        <w:rPr>
          <w:rFonts w:ascii="Arial" w:cs="Arial" w:eastAsia="Arial" w:hAnsi="Arial"/>
          <w:sz w:val="16"/>
          <w:szCs w:val="16"/>
          <w:color w:val="auto"/>
        </w:rPr>
      </w:pPr>
    </w:p>
    <w:p>
      <w:pPr>
        <w:ind w:left="2140" w:hanging="1062"/>
        <w:spacing w:after="0"/>
        <w:tabs>
          <w:tab w:leader="none" w:pos="2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10" w:lineRule="exact"/>
        <w:rPr>
          <w:rFonts w:ascii="Arial" w:cs="Arial" w:eastAsia="Arial" w:hAnsi="Arial"/>
          <w:sz w:val="17"/>
          <w:szCs w:val="17"/>
          <w:color w:val="auto"/>
        </w:rPr>
      </w:pPr>
    </w:p>
    <w:p>
      <w:pPr>
        <w:ind w:left="2140" w:right="140" w:hanging="1062"/>
        <w:spacing w:after="0" w:line="262" w:lineRule="auto"/>
        <w:tabs>
          <w:tab w:leader="none" w:pos="21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spacing w:after="0" w:line="72" w:lineRule="exact"/>
        <w:rPr>
          <w:rFonts w:ascii="Arial" w:cs="Arial" w:eastAsia="Arial" w:hAnsi="Arial"/>
          <w:sz w:val="17"/>
          <w:szCs w:val="17"/>
          <w:color w:val="auto"/>
        </w:rPr>
      </w:pPr>
    </w:p>
    <w:p>
      <w:pPr>
        <w:ind w:left="2140" w:right="140" w:hanging="1062"/>
        <w:spacing w:after="0" w:line="274" w:lineRule="auto"/>
        <w:tabs>
          <w:tab w:leader="none" w:pos="21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claims of any patent issuing based on our patent applications may not provide protection against competitors or any competitive advantages, or may be challenged by third parties;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enforced, a court may not hold that our patents are valid, enforceable and/or infringed;</w:t>
      </w:r>
    </w:p>
    <w:p>
      <w:pPr>
        <w:spacing w:after="0" w:line="110" w:lineRule="exact"/>
        <w:rPr>
          <w:rFonts w:ascii="Arial" w:cs="Arial" w:eastAsia="Arial" w:hAnsi="Arial"/>
          <w:sz w:val="17"/>
          <w:szCs w:val="17"/>
          <w:color w:val="auto"/>
        </w:rPr>
      </w:pPr>
    </w:p>
    <w:p>
      <w:pPr>
        <w:ind w:left="2140" w:right="500" w:hanging="1062"/>
        <w:spacing w:after="0" w:line="274" w:lineRule="auto"/>
        <w:tabs>
          <w:tab w:leader="none" w:pos="21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may need to initiate litigation or administrative proceedings to enforce and/or defend our patent rights which will be costly whether we win or lose;</w:t>
      </w:r>
    </w:p>
    <w:p>
      <w:pPr>
        <w:spacing w:after="0" w:line="63" w:lineRule="exact"/>
        <w:rPr>
          <w:rFonts w:ascii="Arial" w:cs="Arial" w:eastAsia="Arial" w:hAnsi="Arial"/>
          <w:sz w:val="17"/>
          <w:szCs w:val="17"/>
          <w:color w:val="auto"/>
        </w:rPr>
      </w:pPr>
    </w:p>
    <w:p>
      <w:pPr>
        <w:ind w:left="2140" w:right="680" w:hanging="1062"/>
        <w:spacing w:after="0" w:line="274" w:lineRule="auto"/>
        <w:tabs>
          <w:tab w:leader="none" w:pos="21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may choose not to file a patent application in order to maintain certain trade secrets or know-how, and a third-party may subsequently file a patent application covering such intellectual property;</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may fail to adequately protect and police our trademarks and trade secrets;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parties may independently develop the technology covered by our trade secrets; and</w:t>
      </w:r>
    </w:p>
    <w:p>
      <w:pPr>
        <w:spacing w:after="0" w:line="110" w:lineRule="exact"/>
        <w:rPr>
          <w:rFonts w:ascii="Arial" w:cs="Arial" w:eastAsia="Arial" w:hAnsi="Arial"/>
          <w:sz w:val="17"/>
          <w:szCs w:val="17"/>
          <w:color w:val="auto"/>
        </w:rPr>
      </w:pPr>
    </w:p>
    <w:p>
      <w:pPr>
        <w:ind w:left="2140" w:right="80" w:hanging="1062"/>
        <w:spacing w:after="0" w:line="274" w:lineRule="auto"/>
        <w:tabs>
          <w:tab w:leader="none" w:pos="21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 including if others obtain patents claiming subject matter similar to or improving that covered by our patents and patent applications.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58" w:name="page59"/>
    <w:bookmarkEnd w:id="58"/>
    <w:p>
      <w:pPr>
        <w:ind w:left="920"/>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14" w:lineRule="exact"/>
        <w:rPr>
          <w:sz w:val="20"/>
          <w:szCs w:val="20"/>
          <w:color w:val="auto"/>
        </w:rPr>
      </w:pPr>
    </w:p>
    <w:p>
      <w:pPr>
        <w:ind w:right="280" w:firstLine="917"/>
        <w:spacing w:after="0" w:line="303" w:lineRule="auto"/>
        <w:rPr>
          <w:sz w:val="20"/>
          <w:szCs w:val="20"/>
          <w:color w:val="auto"/>
        </w:rPr>
      </w:pPr>
      <w:r>
        <w:rPr>
          <w:rFonts w:ascii="Arial" w:cs="Arial" w:eastAsia="Arial" w:hAnsi="Arial"/>
          <w:sz w:val="15"/>
          <w:szCs w:val="15"/>
          <w:b w:val="1"/>
          <w:bCs w:val="1"/>
          <w:i w:val="1"/>
          <w:iCs w:val="1"/>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46" w:lineRule="exact"/>
        <w:rPr>
          <w:sz w:val="20"/>
          <w:szCs w:val="20"/>
          <w:color w:val="auto"/>
        </w:rPr>
      </w:pPr>
    </w:p>
    <w:p>
      <w:pPr>
        <w:ind w:right="20" w:firstLine="917"/>
        <w:spacing w:after="0" w:line="288" w:lineRule="auto"/>
        <w:rPr>
          <w:sz w:val="20"/>
          <w:szCs w:val="20"/>
          <w:color w:val="auto"/>
        </w:rPr>
      </w:pPr>
      <w:r>
        <w:rPr>
          <w:rFonts w:ascii="Arial" w:cs="Arial" w:eastAsia="Arial" w:hAnsi="Arial"/>
          <w:sz w:val="15"/>
          <w:szCs w:val="15"/>
          <w:color w:val="auto"/>
        </w:rPr>
        <w:t>In October 2019, we entered into a license and collaboration agreement with Novartis for the development and commercialization of our then preclinical product candidate, PLN-1474, and up to three integrin research targets. In December 2019, we received an upfront license payment of $50.0 million for the worldwide exclusive license to PLN-1474 and, upon achievement of the first patient dosing milestone, received a payment of $25.0 million in the second quarter of 2020. Pursuant to the Novartis Agreement, we expect to receive research and development funding totaling up to $19.6 million for PLN-1474 development services and funding of up to $13.4 million for optional research and development services on the integrin research targets. Additionally, we are eligible to receive additional developmental, regulatory and commercial milestone payments of up to $391.0 million if defined development, regulatory and commercialization milestones are achieved and tiered royalties, on a product-by-product basis based on annual net sales of products, at percentages ranging from high-single digits to low teens of the applicable licensed products and mid-single digits to high-single digits for any products resulting from the research programs. The IND application candidate was transferred to Novartis in the first quarter of 2021, and Novartis is responsible for all PLN-1474 development, manufacturing, and commercialization activities after the initial development period. As a result, we are reliant on Novartis and its efforts and capabilities with respect to the advancement of this candidate. If we or our collaborators are unable to successfully advance the development of our product candidates, including PLN-1474, or achieve milestones, revenue and cash resources from milestone payments under our collaboration agreements will be substantially less than expected.</w:t>
      </w:r>
    </w:p>
    <w:p>
      <w:pPr>
        <w:spacing w:after="0" w:line="63" w:lineRule="exact"/>
        <w:rPr>
          <w:sz w:val="20"/>
          <w:szCs w:val="20"/>
          <w:color w:val="auto"/>
        </w:rPr>
      </w:pPr>
    </w:p>
    <w:p>
      <w:pPr>
        <w:ind w:right="60" w:firstLine="917"/>
        <w:spacing w:after="0" w:line="258" w:lineRule="auto"/>
        <w:rPr>
          <w:sz w:val="20"/>
          <w:szCs w:val="20"/>
          <w:color w:val="auto"/>
        </w:rPr>
      </w:pPr>
      <w:r>
        <w:rPr>
          <w:rFonts w:ascii="Arial" w:cs="Arial" w:eastAsia="Arial" w:hAnsi="Arial"/>
          <w:sz w:val="17"/>
          <w:szCs w:val="17"/>
          <w:color w:val="auto"/>
        </w:rPr>
        <w:t>In addition, to the extent that any of our existing or future collaborators were to terminate a collaboration agreement,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spacing w:after="0" w:line="76" w:lineRule="exact"/>
        <w:rPr>
          <w:sz w:val="20"/>
          <w:szCs w:val="20"/>
          <w:color w:val="auto"/>
        </w:rPr>
      </w:pPr>
    </w:p>
    <w:p>
      <w:pPr>
        <w:ind w:right="100" w:firstLine="917"/>
        <w:spacing w:after="0" w:line="262" w:lineRule="auto"/>
        <w:rPr>
          <w:sz w:val="20"/>
          <w:szCs w:val="20"/>
          <w:color w:val="auto"/>
        </w:rPr>
      </w:pPr>
      <w:r>
        <w:rPr>
          <w:rFonts w:ascii="Arial" w:cs="Arial" w:eastAsia="Arial" w:hAnsi="Arial"/>
          <w:sz w:val="17"/>
          <w:szCs w:val="17"/>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73" w:lineRule="exact"/>
        <w:rPr>
          <w:sz w:val="20"/>
          <w:szCs w:val="20"/>
          <w:color w:val="auto"/>
        </w:rPr>
      </w:pPr>
    </w:p>
    <w:p>
      <w:pPr>
        <w:ind w:right="60" w:firstLine="917"/>
        <w:spacing w:after="0" w:line="262" w:lineRule="auto"/>
        <w:rPr>
          <w:sz w:val="20"/>
          <w:szCs w:val="20"/>
          <w:color w:val="auto"/>
        </w:rPr>
      </w:pPr>
      <w:r>
        <w:rPr>
          <w:rFonts w:ascii="Arial" w:cs="Arial" w:eastAsia="Arial" w:hAnsi="Arial"/>
          <w:sz w:val="17"/>
          <w:szCs w:val="17"/>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73" w:lineRule="exact"/>
        <w:rPr>
          <w:sz w:val="20"/>
          <w:szCs w:val="20"/>
          <w:color w:val="auto"/>
        </w:rPr>
      </w:pPr>
    </w:p>
    <w:p>
      <w:pPr>
        <w:ind w:firstLine="917"/>
        <w:spacing w:after="0" w:line="290" w:lineRule="auto"/>
        <w:rPr>
          <w:sz w:val="20"/>
          <w:szCs w:val="20"/>
          <w:color w:val="auto"/>
        </w:rPr>
      </w:pPr>
      <w:r>
        <w:rPr>
          <w:rFonts w:ascii="Arial" w:cs="Arial" w:eastAsia="Arial" w:hAnsi="Arial"/>
          <w:sz w:val="15"/>
          <w:szCs w:val="15"/>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60" w:lineRule="exact"/>
        <w:rPr>
          <w:sz w:val="20"/>
          <w:szCs w:val="20"/>
          <w:color w:val="auto"/>
        </w:rPr>
      </w:pPr>
    </w:p>
    <w:p>
      <w:pPr>
        <w:jc w:val="both"/>
        <w:ind w:right="260" w:firstLine="917"/>
        <w:spacing w:after="0" w:line="262" w:lineRule="auto"/>
        <w:rPr>
          <w:sz w:val="20"/>
          <w:szCs w:val="20"/>
          <w:color w:val="auto"/>
        </w:rPr>
      </w:pPr>
      <w:r>
        <w:rPr>
          <w:rFonts w:ascii="Arial" w:cs="Arial" w:eastAsia="Arial" w:hAnsi="Arial"/>
          <w:sz w:val="17"/>
          <w:szCs w:val="17"/>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73" w:lineRule="exact"/>
        <w:rPr>
          <w:sz w:val="20"/>
          <w:szCs w:val="20"/>
          <w:color w:val="auto"/>
        </w:rPr>
      </w:pPr>
    </w:p>
    <w:p>
      <w:pPr>
        <w:ind w:firstLine="917"/>
        <w:spacing w:after="0" w:line="258" w:lineRule="auto"/>
        <w:rPr>
          <w:sz w:val="20"/>
          <w:szCs w:val="20"/>
          <w:color w:val="auto"/>
        </w:rPr>
      </w:pPr>
      <w:r>
        <w:rPr>
          <w:rFonts w:ascii="Arial" w:cs="Arial" w:eastAsia="Arial" w:hAnsi="Arial"/>
          <w:sz w:val="17"/>
          <w:szCs w:val="17"/>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9" w:name="page60"/>
    <w:bookmarkEnd w:id="59"/>
    <w:p>
      <w:pPr>
        <w:ind w:right="140"/>
        <w:spacing w:after="0" w:line="254" w:lineRule="auto"/>
        <w:rPr>
          <w:sz w:val="20"/>
          <w:szCs w:val="20"/>
          <w:color w:val="auto"/>
        </w:rPr>
      </w:pPr>
      <w:r>
        <w:rPr>
          <w:rFonts w:ascii="Arial" w:cs="Arial" w:eastAsia="Arial" w:hAnsi="Arial"/>
          <w:sz w:val="17"/>
          <w:szCs w:val="17"/>
          <w:color w:val="auto"/>
        </w:rPr>
        <w:t>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80" w:lineRule="exact"/>
        <w:rPr>
          <w:sz w:val="20"/>
          <w:szCs w:val="20"/>
          <w:color w:val="auto"/>
        </w:rPr>
      </w:pPr>
    </w:p>
    <w:p>
      <w:pPr>
        <w:ind w:right="280" w:firstLine="917"/>
        <w:spacing w:after="0" w:line="274" w:lineRule="auto"/>
        <w:rPr>
          <w:sz w:val="20"/>
          <w:szCs w:val="20"/>
          <w:color w:val="auto"/>
        </w:rPr>
      </w:pPr>
      <w:r>
        <w:rPr>
          <w:rFonts w:ascii="Arial" w:cs="Arial" w:eastAsia="Arial" w:hAnsi="Arial"/>
          <w:sz w:val="17"/>
          <w:szCs w:val="17"/>
          <w:color w:val="auto"/>
        </w:rPr>
        <w:t>If any of our relationships with these third-party CROs or others terminate, we may not be able to enter into arrangements with alternative CROs or other third parties or to do so on commercially reasonable terms.</w:t>
      </w:r>
    </w:p>
    <w:p>
      <w:pPr>
        <w:spacing w:after="0" w:line="63" w:lineRule="exact"/>
        <w:rPr>
          <w:sz w:val="20"/>
          <w:szCs w:val="20"/>
          <w:color w:val="auto"/>
        </w:rPr>
      </w:pPr>
    </w:p>
    <w:p>
      <w:pPr>
        <w:ind w:right="20" w:firstLine="917"/>
        <w:spacing w:after="0" w:line="279"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61" w:lineRule="exact"/>
        <w:rPr>
          <w:sz w:val="20"/>
          <w:szCs w:val="20"/>
          <w:color w:val="auto"/>
        </w:rPr>
      </w:pPr>
    </w:p>
    <w:p>
      <w:pPr>
        <w:ind w:right="140" w:firstLine="917"/>
        <w:spacing w:after="0" w:line="274" w:lineRule="auto"/>
        <w:rPr>
          <w:sz w:val="20"/>
          <w:szCs w:val="20"/>
          <w:color w:val="auto"/>
        </w:rPr>
      </w:pPr>
      <w:r>
        <w:rPr>
          <w:rFonts w:ascii="Arial" w:cs="Arial" w:eastAsia="Arial" w:hAnsi="Arial"/>
          <w:sz w:val="17"/>
          <w:szCs w:val="17"/>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63" w:lineRule="exact"/>
        <w:rPr>
          <w:sz w:val="20"/>
          <w:szCs w:val="20"/>
          <w:color w:val="auto"/>
        </w:rPr>
      </w:pPr>
    </w:p>
    <w:p>
      <w:pPr>
        <w:ind w:right="40" w:firstLine="917"/>
        <w:spacing w:after="0" w:line="293" w:lineRule="auto"/>
        <w:rPr>
          <w:sz w:val="20"/>
          <w:szCs w:val="20"/>
          <w:color w:val="auto"/>
        </w:rPr>
      </w:pPr>
      <w:r>
        <w:rPr>
          <w:rFonts w:ascii="Arial" w:cs="Arial" w:eastAsia="Arial" w:hAnsi="Arial"/>
          <w:sz w:val="15"/>
          <w:szCs w:val="15"/>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54" w:lineRule="exact"/>
        <w:rPr>
          <w:sz w:val="20"/>
          <w:szCs w:val="20"/>
          <w:color w:val="auto"/>
        </w:rPr>
      </w:pPr>
    </w:p>
    <w:p>
      <w:pPr>
        <w:ind w:right="180" w:firstLine="917"/>
        <w:spacing w:after="0" w:line="274" w:lineRule="auto"/>
        <w:rPr>
          <w:sz w:val="20"/>
          <w:szCs w:val="20"/>
          <w:color w:val="auto"/>
        </w:rPr>
      </w:pPr>
      <w:r>
        <w:rPr>
          <w:rFonts w:ascii="Arial" w:cs="Arial" w:eastAsia="Arial" w:hAnsi="Arial"/>
          <w:sz w:val="17"/>
          <w:szCs w:val="17"/>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63"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In particular, any replacement of our manufacturers could require significant effort and expertise because there may be a limited number of qualified replacements. In addition,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equivalent foreign legislation or heightened demand on manufacturers may make it more difficult to obtain materials or manufacturing slots for the products needed for our development efforts, which could lead to delays in our clinical trials and scientific development efforts.</w:t>
      </w:r>
    </w:p>
    <w:p>
      <w:pPr>
        <w:spacing w:after="0" w:line="70" w:lineRule="exact"/>
        <w:rPr>
          <w:sz w:val="20"/>
          <w:szCs w:val="20"/>
          <w:color w:val="auto"/>
        </w:rPr>
      </w:pPr>
    </w:p>
    <w:p>
      <w:pPr>
        <w:ind w:right="40" w:firstLine="917"/>
        <w:spacing w:after="0" w:line="270"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60" w:name="page61"/>
    <w:bookmarkEnd w:id="60"/>
    <w:p>
      <w:pPr>
        <w:ind w:right="340"/>
        <w:spacing w:after="0" w:line="262" w:lineRule="auto"/>
        <w:rPr>
          <w:sz w:val="20"/>
          <w:szCs w:val="20"/>
          <w:color w:val="auto"/>
        </w:rPr>
      </w:pPr>
      <w:r>
        <w:rPr>
          <w:rFonts w:ascii="Arial" w:cs="Arial" w:eastAsia="Arial" w:hAnsi="Arial"/>
          <w:sz w:val="17"/>
          <w:szCs w:val="17"/>
          <w:color w:val="auto"/>
        </w:rPr>
        <w:t>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73" w:lineRule="exact"/>
        <w:rPr>
          <w:sz w:val="20"/>
          <w:szCs w:val="20"/>
          <w:color w:val="auto"/>
        </w:rPr>
      </w:pPr>
    </w:p>
    <w:p>
      <w:pPr>
        <w:ind w:right="80" w:firstLine="917"/>
        <w:spacing w:after="0" w:line="255" w:lineRule="auto"/>
        <w:rPr>
          <w:sz w:val="20"/>
          <w:szCs w:val="20"/>
          <w:color w:val="auto"/>
        </w:rPr>
      </w:pPr>
      <w:r>
        <w:rPr>
          <w:rFonts w:ascii="Arial" w:cs="Arial" w:eastAsia="Arial" w:hAnsi="Arial"/>
          <w:sz w:val="17"/>
          <w:szCs w:val="17"/>
          <w:color w:val="auto"/>
        </w:rPr>
        <w:t>We expect to continue to rely on third-party manufacturers if we receive regulatory approval for PLN-74809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102" w:lineRule="exact"/>
        <w:rPr>
          <w:sz w:val="20"/>
          <w:szCs w:val="20"/>
          <w:color w:val="auto"/>
        </w:rPr>
      </w:pPr>
    </w:p>
    <w:p>
      <w:pPr>
        <w:ind w:left="2140" w:hanging="1062"/>
        <w:spacing w:after="0"/>
        <w:tabs>
          <w:tab w:leader="none" w:pos="2140" w:val="left"/>
        </w:tabs>
        <w:numPr>
          <w:ilvl w:val="0"/>
          <w:numId w:val="48"/>
        </w:numPr>
        <w:rPr>
          <w:rFonts w:ascii="Arial" w:cs="Arial" w:eastAsia="Arial" w:hAnsi="Arial"/>
          <w:sz w:val="20"/>
          <w:szCs w:val="20"/>
          <w:color w:val="auto"/>
        </w:rPr>
      </w:pPr>
      <w:r>
        <w:rPr>
          <w:rFonts w:ascii="Arial" w:cs="Arial" w:eastAsia="Arial" w:hAnsi="Arial"/>
          <w:sz w:val="17"/>
          <w:szCs w:val="17"/>
          <w:color w:val="auto"/>
        </w:rPr>
        <w:t>an inability to initiate or continue clinical trials of product candidates under development;</w:t>
      </w:r>
    </w:p>
    <w:p>
      <w:pPr>
        <w:spacing w:after="0" w:line="90" w:lineRule="exact"/>
        <w:rPr>
          <w:rFonts w:ascii="Arial" w:cs="Arial" w:eastAsia="Arial" w:hAnsi="Arial"/>
          <w:sz w:val="20"/>
          <w:szCs w:val="20"/>
          <w:color w:val="auto"/>
        </w:rPr>
      </w:pPr>
    </w:p>
    <w:p>
      <w:pPr>
        <w:ind w:left="2140" w:hanging="1062"/>
        <w:spacing w:after="0"/>
        <w:tabs>
          <w:tab w:leader="none" w:pos="2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product candidates;</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loss of the cooperation of an existing or future collaborator;</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subjecting third-party manufacturing facilities or our manufacturing facilities to additional inspections by regulatory authorities;</w:t>
      </w:r>
    </w:p>
    <w:p>
      <w:pPr>
        <w:spacing w:after="0" w:line="121" w:lineRule="exact"/>
        <w:rPr>
          <w:rFonts w:ascii="Arial" w:cs="Arial" w:eastAsia="Arial" w:hAnsi="Arial"/>
          <w:sz w:val="16"/>
          <w:szCs w:val="16"/>
          <w:color w:val="auto"/>
        </w:rPr>
      </w:pPr>
    </w:p>
    <w:p>
      <w:pPr>
        <w:ind w:left="2140" w:hanging="1062"/>
        <w:spacing w:after="0"/>
        <w:tabs>
          <w:tab w:leader="none" w:pos="2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requirements to cease distribution or to recall batches of our product candidates; and</w:t>
      </w:r>
    </w:p>
    <w:p>
      <w:pPr>
        <w:spacing w:after="0" w:line="110" w:lineRule="exact"/>
        <w:rPr>
          <w:rFonts w:ascii="Arial" w:cs="Arial" w:eastAsia="Arial" w:hAnsi="Arial"/>
          <w:sz w:val="17"/>
          <w:szCs w:val="17"/>
          <w:color w:val="auto"/>
        </w:rPr>
      </w:pPr>
    </w:p>
    <w:p>
      <w:pPr>
        <w:ind w:left="2140" w:hanging="1062"/>
        <w:spacing w:after="0"/>
        <w:tabs>
          <w:tab w:leader="none" w:pos="21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 the event of approval to market and commercialize a product candidate, an inability to meet commercial demands for our products.</w:t>
      </w:r>
    </w:p>
    <w:p>
      <w:pPr>
        <w:spacing w:after="0" w:line="133" w:lineRule="exact"/>
        <w:rPr>
          <w:sz w:val="20"/>
          <w:szCs w:val="20"/>
          <w:color w:val="auto"/>
        </w:rPr>
      </w:pPr>
    </w:p>
    <w:p>
      <w:pPr>
        <w:ind w:right="140" w:firstLine="917"/>
        <w:spacing w:after="0" w:line="298" w:lineRule="auto"/>
        <w:rPr>
          <w:sz w:val="20"/>
          <w:szCs w:val="20"/>
          <w:color w:val="auto"/>
        </w:rPr>
      </w:pPr>
      <w:r>
        <w:rPr>
          <w:rFonts w:ascii="Arial" w:cs="Arial" w:eastAsia="Arial" w:hAnsi="Arial"/>
          <w:sz w:val="15"/>
          <w:szCs w:val="15"/>
          <w:color w:val="auto"/>
        </w:rPr>
        <w:t>We rely on a sole supplier for the manufacture of PLN-74809.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50" w:lineRule="exact"/>
        <w:rPr>
          <w:sz w:val="20"/>
          <w:szCs w:val="20"/>
          <w:color w:val="auto"/>
        </w:rPr>
      </w:pPr>
    </w:p>
    <w:p>
      <w:pPr>
        <w:ind w:firstLine="917"/>
        <w:spacing w:after="0" w:line="254" w:lineRule="auto"/>
        <w:rPr>
          <w:sz w:val="20"/>
          <w:szCs w:val="20"/>
          <w:color w:val="auto"/>
        </w:rPr>
      </w:pPr>
      <w:r>
        <w:rPr>
          <w:rFonts w:ascii="Arial" w:cs="Arial" w:eastAsia="Arial" w:hAnsi="Arial"/>
          <w:sz w:val="17"/>
          <w:szCs w:val="17"/>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80" w:lineRule="exact"/>
        <w:rPr>
          <w:sz w:val="20"/>
          <w:szCs w:val="20"/>
          <w:color w:val="auto"/>
        </w:rPr>
      </w:pPr>
    </w:p>
    <w:p>
      <w:pPr>
        <w:ind w:right="140" w:firstLine="917"/>
        <w:spacing w:after="0" w:line="274" w:lineRule="auto"/>
        <w:rPr>
          <w:sz w:val="20"/>
          <w:szCs w:val="20"/>
          <w:color w:val="auto"/>
        </w:rPr>
      </w:pPr>
      <w:r>
        <w:rPr>
          <w:rFonts w:ascii="Arial" w:cs="Arial" w:eastAsia="Arial" w:hAnsi="Arial"/>
          <w:sz w:val="17"/>
          <w:szCs w:val="17"/>
          <w:b w:val="1"/>
          <w:bCs w:val="1"/>
          <w:i w:val="1"/>
          <w:iCs w:val="1"/>
          <w:color w:val="auto"/>
        </w:rPr>
        <w:t>Our existing collaborations and future collaborations are and will be important to our business. If we are unable to enter into new collaborations, or if these collaborations are not successful, our business could be adversely affected.</w:t>
      </w:r>
    </w:p>
    <w:p>
      <w:pPr>
        <w:spacing w:after="0" w:line="63" w:lineRule="exact"/>
        <w:rPr>
          <w:sz w:val="20"/>
          <w:szCs w:val="20"/>
          <w:color w:val="auto"/>
        </w:rPr>
      </w:pPr>
    </w:p>
    <w:p>
      <w:pPr>
        <w:ind w:right="140" w:firstLine="917"/>
        <w:spacing w:after="0" w:line="258" w:lineRule="auto"/>
        <w:rPr>
          <w:sz w:val="20"/>
          <w:szCs w:val="20"/>
          <w:color w:val="auto"/>
        </w:rPr>
      </w:pPr>
      <w:r>
        <w:rPr>
          <w:rFonts w:ascii="Arial" w:cs="Arial" w:eastAsia="Arial" w:hAnsi="Arial"/>
          <w:sz w:val="17"/>
          <w:szCs w:val="17"/>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and may in the future enter into collaborations with other companies to provide us with important technologies and funding for our programs and technology.</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existing collaborations and any future collaborations we enter into may pose a number of risks, including the following:</w:t>
      </w:r>
    </w:p>
    <w:p>
      <w:pPr>
        <w:spacing w:after="0" w:line="134" w:lineRule="exact"/>
        <w:rPr>
          <w:sz w:val="20"/>
          <w:szCs w:val="20"/>
          <w:color w:val="auto"/>
        </w:rPr>
      </w:pPr>
    </w:p>
    <w:p>
      <w:pPr>
        <w:ind w:left="2140" w:hanging="1062"/>
        <w:spacing w:after="0"/>
        <w:tabs>
          <w:tab w:leader="none" w:pos="2140" w:val="left"/>
        </w:tabs>
        <w:numPr>
          <w:ilvl w:val="0"/>
          <w:numId w:val="49"/>
        </w:numPr>
        <w:rPr>
          <w:rFonts w:ascii="Arial" w:cs="Arial" w:eastAsia="Arial" w:hAnsi="Arial"/>
          <w:sz w:val="20"/>
          <w:szCs w:val="20"/>
          <w:color w:val="auto"/>
        </w:rPr>
      </w:pPr>
      <w:r>
        <w:rPr>
          <w:rFonts w:ascii="Arial" w:cs="Arial" w:eastAsia="Arial" w:hAnsi="Arial"/>
          <w:sz w:val="17"/>
          <w:szCs w:val="17"/>
          <w:color w:val="auto"/>
        </w:rPr>
        <w:t>collaborators have significant discretion in determining the efforts and resources that they will apply;</w:t>
      </w:r>
    </w:p>
    <w:p>
      <w:pPr>
        <w:spacing w:after="0" w:line="114" w:lineRule="exact"/>
        <w:rPr>
          <w:sz w:val="20"/>
          <w:szCs w:val="20"/>
          <w:color w:val="auto"/>
        </w:rPr>
      </w:pPr>
    </w:p>
    <w:p>
      <w:pPr>
        <w:ind w:left="2140" w:hanging="1062"/>
        <w:spacing w:after="0"/>
        <w:tabs>
          <w:tab w:leader="none" w:pos="2140" w:val="left"/>
        </w:tabs>
        <w:numPr>
          <w:ilvl w:val="0"/>
          <w:numId w:val="50"/>
        </w:numPr>
        <w:rPr>
          <w:rFonts w:ascii="Arial" w:cs="Arial" w:eastAsia="Arial" w:hAnsi="Arial"/>
          <w:sz w:val="20"/>
          <w:szCs w:val="20"/>
          <w:color w:val="auto"/>
        </w:rPr>
      </w:pPr>
      <w:r>
        <w:rPr>
          <w:rFonts w:ascii="Arial" w:cs="Arial" w:eastAsia="Arial" w:hAnsi="Arial"/>
          <w:sz w:val="17"/>
          <w:szCs w:val="17"/>
          <w:color w:val="auto"/>
        </w:rPr>
        <w:t>collaborators may not perform their obligations as expected;</w:t>
      </w:r>
    </w:p>
    <w:p>
      <w:pPr>
        <w:spacing w:after="0" w:line="129" w:lineRule="exact"/>
        <w:rPr>
          <w:sz w:val="20"/>
          <w:szCs w:val="20"/>
          <w:color w:val="auto"/>
        </w:rPr>
      </w:pPr>
    </w:p>
    <w:p>
      <w:pPr>
        <w:ind w:left="2140" w:right="60" w:hanging="1062"/>
        <w:spacing w:after="0" w:line="241" w:lineRule="auto"/>
        <w:tabs>
          <w:tab w:leader="none" w:pos="2135" w:val="left"/>
        </w:tabs>
        <w:numPr>
          <w:ilvl w:val="0"/>
          <w:numId w:val="51"/>
        </w:numPr>
        <w:rPr>
          <w:rFonts w:ascii="Arial" w:cs="Arial" w:eastAsia="Arial" w:hAnsi="Arial"/>
          <w:sz w:val="20"/>
          <w:szCs w:val="20"/>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1" w:name="page62"/>
    <w:bookmarkEnd w:id="61"/>
    <w:p>
      <w:pPr>
        <w:ind w:left="2140" w:right="20"/>
        <w:spacing w:after="0" w:line="274" w:lineRule="auto"/>
        <w:rPr>
          <w:sz w:val="20"/>
          <w:szCs w:val="20"/>
          <w:color w:val="auto"/>
        </w:rPr>
      </w:pPr>
      <w:r>
        <w:rPr>
          <w:rFonts w:ascii="Arial" w:cs="Arial" w:eastAsia="Arial" w:hAnsi="Arial"/>
          <w:sz w:val="17"/>
          <w:szCs w:val="17"/>
          <w:color w:val="auto"/>
        </w:rPr>
        <w:t>the collaborators’ strategic focus or available funding, or external factors, such as a strategic transaction that may divert resources or create competing priorities;</w:t>
      </w:r>
    </w:p>
    <w:p>
      <w:pPr>
        <w:spacing w:after="0" w:line="101" w:lineRule="exact"/>
        <w:rPr>
          <w:sz w:val="20"/>
          <w:szCs w:val="20"/>
          <w:color w:val="auto"/>
        </w:rPr>
      </w:pPr>
    </w:p>
    <w:p>
      <w:pPr>
        <w:jc w:val="both"/>
        <w:ind w:left="2140" w:right="380" w:hanging="1062"/>
        <w:spacing w:after="0" w:line="294" w:lineRule="auto"/>
        <w:tabs>
          <w:tab w:leader="none" w:pos="2135" w:val="left"/>
        </w:tabs>
        <w:numPr>
          <w:ilvl w:val="0"/>
          <w:numId w:val="52"/>
        </w:numPr>
        <w:rPr>
          <w:rFonts w:ascii="Arial" w:cs="Arial" w:eastAsia="Arial" w:hAnsi="Arial"/>
          <w:sz w:val="18"/>
          <w:szCs w:val="18"/>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3" w:lineRule="exact"/>
        <w:rPr>
          <w:sz w:val="20"/>
          <w:szCs w:val="20"/>
          <w:color w:val="auto"/>
        </w:rPr>
      </w:pPr>
    </w:p>
    <w:p>
      <w:pPr>
        <w:ind w:left="2140" w:right="480" w:hanging="1062"/>
        <w:spacing w:after="0" w:line="261" w:lineRule="auto"/>
        <w:tabs>
          <w:tab w:leader="none" w:pos="2135" w:val="left"/>
        </w:tabs>
        <w:numPr>
          <w:ilvl w:val="0"/>
          <w:numId w:val="53"/>
        </w:numPr>
        <w:rPr>
          <w:rFonts w:ascii="Arial" w:cs="Arial" w:eastAsia="Arial" w:hAnsi="Arial"/>
          <w:sz w:val="19"/>
          <w:szCs w:val="19"/>
          <w:color w:val="auto"/>
        </w:rPr>
      </w:pPr>
      <w:r>
        <w:rPr>
          <w:rFonts w:ascii="Arial" w:cs="Arial" w:eastAsia="Arial" w:hAnsi="Arial"/>
          <w:sz w:val="16"/>
          <w:szCs w:val="16"/>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14" w:lineRule="exact"/>
        <w:rPr>
          <w:sz w:val="20"/>
          <w:szCs w:val="20"/>
          <w:color w:val="auto"/>
        </w:rPr>
      </w:pPr>
    </w:p>
    <w:p>
      <w:pPr>
        <w:ind w:left="2140" w:right="220" w:hanging="1062"/>
        <w:spacing w:after="0" w:line="241" w:lineRule="auto"/>
        <w:tabs>
          <w:tab w:leader="none" w:pos="2135" w:val="left"/>
        </w:tabs>
        <w:numPr>
          <w:ilvl w:val="0"/>
          <w:numId w:val="54"/>
        </w:numPr>
        <w:rPr>
          <w:rFonts w:ascii="Arial" w:cs="Arial" w:eastAsia="Arial" w:hAnsi="Arial"/>
          <w:sz w:val="20"/>
          <w:szCs w:val="20"/>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28" w:lineRule="exact"/>
        <w:rPr>
          <w:sz w:val="20"/>
          <w:szCs w:val="20"/>
          <w:color w:val="auto"/>
        </w:rPr>
      </w:pPr>
    </w:p>
    <w:p>
      <w:pPr>
        <w:ind w:left="2140" w:right="200" w:hanging="1062"/>
        <w:spacing w:after="0" w:line="236" w:lineRule="auto"/>
        <w:tabs>
          <w:tab w:leader="none" w:pos="2135" w:val="left"/>
        </w:tabs>
        <w:numPr>
          <w:ilvl w:val="0"/>
          <w:numId w:val="55"/>
        </w:numPr>
        <w:rPr>
          <w:rFonts w:ascii="Arial" w:cs="Arial" w:eastAsia="Arial" w:hAnsi="Arial"/>
          <w:sz w:val="20"/>
          <w:szCs w:val="20"/>
          <w:color w:val="auto"/>
        </w:rPr>
      </w:pPr>
      <w:r>
        <w:rPr>
          <w:rFonts w:ascii="Arial" w:cs="Arial" w:eastAsia="Arial" w:hAnsi="Arial"/>
          <w:sz w:val="17"/>
          <w:szCs w:val="17"/>
          <w:color w:val="auto"/>
        </w:rPr>
        <w:t>collaborators may fail to comply with applicable regulatory requirements regarding the development, manufacture, distribution or marketing of a product candidate or product;</w:t>
      </w:r>
    </w:p>
    <w:p>
      <w:pPr>
        <w:spacing w:after="0" w:line="129" w:lineRule="exact"/>
        <w:rPr>
          <w:sz w:val="20"/>
          <w:szCs w:val="20"/>
          <w:color w:val="auto"/>
        </w:rPr>
      </w:pPr>
    </w:p>
    <w:p>
      <w:pPr>
        <w:ind w:left="2140" w:right="140" w:hanging="1062"/>
        <w:spacing w:after="0" w:line="236" w:lineRule="auto"/>
        <w:tabs>
          <w:tab w:leader="none" w:pos="2135" w:val="left"/>
        </w:tabs>
        <w:numPr>
          <w:ilvl w:val="0"/>
          <w:numId w:val="56"/>
        </w:numPr>
        <w:rPr>
          <w:rFonts w:ascii="Arial" w:cs="Arial" w:eastAsia="Arial" w:hAnsi="Arial"/>
          <w:sz w:val="20"/>
          <w:szCs w:val="20"/>
          <w:color w:val="auto"/>
        </w:rPr>
      </w:pPr>
      <w:r>
        <w:rPr>
          <w:rFonts w:ascii="Arial" w:cs="Arial" w:eastAsia="Arial" w:hAnsi="Arial"/>
          <w:sz w:val="17"/>
          <w:szCs w:val="17"/>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129" w:lineRule="exact"/>
        <w:rPr>
          <w:sz w:val="20"/>
          <w:szCs w:val="20"/>
          <w:color w:val="auto"/>
        </w:rPr>
      </w:pPr>
    </w:p>
    <w:p>
      <w:pPr>
        <w:ind w:left="2140" w:hanging="1062"/>
        <w:spacing w:after="0" w:line="241" w:lineRule="auto"/>
        <w:tabs>
          <w:tab w:leader="none" w:pos="2135" w:val="left"/>
        </w:tabs>
        <w:numPr>
          <w:ilvl w:val="0"/>
          <w:numId w:val="57"/>
        </w:numPr>
        <w:rPr>
          <w:rFonts w:ascii="Arial" w:cs="Arial" w:eastAsia="Arial" w:hAnsi="Arial"/>
          <w:sz w:val="20"/>
          <w:szCs w:val="20"/>
          <w:color w:val="auto"/>
        </w:rPr>
      </w:pPr>
      <w:r>
        <w:rPr>
          <w:rFonts w:ascii="Arial" w:cs="Arial" w:eastAsia="Arial" w:hAnsi="Arial"/>
          <w:sz w:val="17"/>
          <w:szCs w:val="17"/>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128" w:lineRule="exact"/>
        <w:rPr>
          <w:sz w:val="20"/>
          <w:szCs w:val="20"/>
          <w:color w:val="auto"/>
        </w:rPr>
      </w:pPr>
    </w:p>
    <w:p>
      <w:pPr>
        <w:ind w:left="2140" w:right="120" w:hanging="1062"/>
        <w:spacing w:after="0" w:line="243" w:lineRule="auto"/>
        <w:tabs>
          <w:tab w:leader="none" w:pos="2135" w:val="left"/>
        </w:tabs>
        <w:numPr>
          <w:ilvl w:val="0"/>
          <w:numId w:val="58"/>
        </w:numPr>
        <w:rPr>
          <w:rFonts w:ascii="Arial" w:cs="Arial" w:eastAsia="Arial" w:hAnsi="Arial"/>
          <w:sz w:val="20"/>
          <w:szCs w:val="20"/>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28" w:lineRule="exact"/>
        <w:rPr>
          <w:sz w:val="20"/>
          <w:szCs w:val="20"/>
          <w:color w:val="auto"/>
        </w:rPr>
      </w:pPr>
    </w:p>
    <w:p>
      <w:pPr>
        <w:ind w:left="2140" w:right="140" w:hanging="1062"/>
        <w:spacing w:after="0" w:line="241" w:lineRule="auto"/>
        <w:tabs>
          <w:tab w:leader="none" w:pos="2135" w:val="left"/>
        </w:tabs>
        <w:numPr>
          <w:ilvl w:val="0"/>
          <w:numId w:val="59"/>
        </w:numPr>
        <w:rPr>
          <w:rFonts w:ascii="Arial" w:cs="Arial" w:eastAsia="Arial" w:hAnsi="Arial"/>
          <w:sz w:val="20"/>
          <w:szCs w:val="20"/>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25" w:lineRule="exact"/>
        <w:rPr>
          <w:sz w:val="20"/>
          <w:szCs w:val="20"/>
          <w:color w:val="auto"/>
        </w:rPr>
      </w:pPr>
    </w:p>
    <w:p>
      <w:pPr>
        <w:ind w:left="2140" w:hanging="1062"/>
        <w:spacing w:after="0"/>
        <w:tabs>
          <w:tab w:leader="none" w:pos="2140" w:val="left"/>
        </w:tabs>
        <w:numPr>
          <w:ilvl w:val="0"/>
          <w:numId w:val="60"/>
        </w:numPr>
        <w:rPr>
          <w:rFonts w:ascii="Arial" w:cs="Arial" w:eastAsia="Arial" w:hAnsi="Arial"/>
          <w:sz w:val="19"/>
          <w:szCs w:val="19"/>
          <w:color w:val="auto"/>
        </w:rPr>
      </w:pPr>
      <w:r>
        <w:rPr>
          <w:rFonts w:ascii="Arial" w:cs="Arial" w:eastAsia="Arial" w:hAnsi="Arial"/>
          <w:sz w:val="16"/>
          <w:szCs w:val="16"/>
          <w:color w:val="auto"/>
        </w:rPr>
        <w:t>collaborators may infringe the intellectual property rights of third parties, which may expose us to litigation and potential liability;</w:t>
      </w:r>
    </w:p>
    <w:p>
      <w:pPr>
        <w:spacing w:after="0" w:line="129" w:lineRule="exact"/>
        <w:rPr>
          <w:sz w:val="20"/>
          <w:szCs w:val="20"/>
          <w:color w:val="auto"/>
        </w:rPr>
      </w:pPr>
    </w:p>
    <w:p>
      <w:pPr>
        <w:ind w:left="2140" w:right="100" w:hanging="1062"/>
        <w:spacing w:after="0" w:line="236" w:lineRule="auto"/>
        <w:tabs>
          <w:tab w:leader="none" w:pos="2135" w:val="left"/>
        </w:tabs>
        <w:numPr>
          <w:ilvl w:val="0"/>
          <w:numId w:val="61"/>
        </w:numPr>
        <w:rPr>
          <w:rFonts w:ascii="Arial" w:cs="Arial" w:eastAsia="Arial" w:hAnsi="Arial"/>
          <w:sz w:val="20"/>
          <w:szCs w:val="20"/>
          <w:color w:val="auto"/>
        </w:rPr>
      </w:pPr>
      <w:r>
        <w:rPr>
          <w:rFonts w:ascii="Arial" w:cs="Arial" w:eastAsia="Arial" w:hAnsi="Arial"/>
          <w:sz w:val="17"/>
          <w:szCs w:val="17"/>
          <w:color w:val="auto"/>
        </w:rPr>
        <w:t>if a collaborator of ours is involved in a business combination, the collaborator might deemphasize or terminate the development or commercialization of any product candidate licensed to it by us; and</w:t>
      </w:r>
    </w:p>
    <w:p>
      <w:pPr>
        <w:spacing w:after="0" w:line="129" w:lineRule="exact"/>
        <w:rPr>
          <w:sz w:val="20"/>
          <w:szCs w:val="20"/>
          <w:color w:val="auto"/>
        </w:rPr>
      </w:pPr>
    </w:p>
    <w:p>
      <w:pPr>
        <w:ind w:left="2140" w:right="220" w:hanging="1062"/>
        <w:spacing w:after="0" w:line="236" w:lineRule="auto"/>
        <w:tabs>
          <w:tab w:leader="none" w:pos="2135" w:val="left"/>
        </w:tabs>
        <w:numPr>
          <w:ilvl w:val="0"/>
          <w:numId w:val="62"/>
        </w:numPr>
        <w:rPr>
          <w:rFonts w:ascii="Arial" w:cs="Arial" w:eastAsia="Arial" w:hAnsi="Arial"/>
          <w:sz w:val="20"/>
          <w:szCs w:val="20"/>
          <w:color w:val="auto"/>
        </w:rPr>
      </w:pPr>
      <w:r>
        <w:rPr>
          <w:rFonts w:ascii="Arial" w:cs="Arial" w:eastAsia="Arial" w:hAnsi="Arial"/>
          <w:sz w:val="17"/>
          <w:szCs w:val="17"/>
          <w:color w:val="auto"/>
        </w:rPr>
        <w:t>collaborations may be terminated by the collaborator, and, if terminated, we could be required to raise additional capital to pursue further development or commercialization of the applicable product candidates.</w:t>
      </w:r>
    </w:p>
    <w:p>
      <w:pPr>
        <w:spacing w:after="0" w:line="91" w:lineRule="exact"/>
        <w:rPr>
          <w:sz w:val="20"/>
          <w:szCs w:val="20"/>
          <w:color w:val="auto"/>
        </w:rPr>
      </w:pPr>
    </w:p>
    <w:p>
      <w:pPr>
        <w:ind w:right="20" w:firstLine="917"/>
        <w:spacing w:after="0" w:line="258" w:lineRule="auto"/>
        <w:rPr>
          <w:sz w:val="20"/>
          <w:szCs w:val="20"/>
          <w:color w:val="auto"/>
        </w:rPr>
      </w:pPr>
      <w:r>
        <w:rPr>
          <w:rFonts w:ascii="Arial" w:cs="Arial" w:eastAsia="Arial" w:hAnsi="Arial"/>
          <w:sz w:val="17"/>
          <w:szCs w:val="17"/>
          <w:color w:val="auto"/>
        </w:rPr>
        <w:t>If our existing collaborations and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76" w:lineRule="exact"/>
        <w:rPr>
          <w:sz w:val="20"/>
          <w:szCs w:val="20"/>
          <w:color w:val="auto"/>
        </w:rPr>
      </w:pPr>
    </w:p>
    <w:p>
      <w:pPr>
        <w:ind w:right="140" w:firstLine="917"/>
        <w:spacing w:after="0" w:line="274" w:lineRule="auto"/>
        <w:rPr>
          <w:sz w:val="20"/>
          <w:szCs w:val="20"/>
          <w:color w:val="auto"/>
        </w:rPr>
      </w:pPr>
      <w:r>
        <w:rPr>
          <w:rFonts w:ascii="Arial" w:cs="Arial" w:eastAsia="Arial" w:hAnsi="Arial"/>
          <w:sz w:val="17"/>
          <w:szCs w:val="17"/>
          <w:color w:val="auto"/>
        </w:rPr>
        <w:t>Additionally, if one of our existing or future collaborators terminates its agreement with us, we may find it more difficult to attract new collaborators and our perception in the business and financial communities could be adversely affected.</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60"/>
          </w:cols>
          <w:pgMar w:left="320" w:top="955" w:right="419" w:bottom="1440" w:gutter="0" w:footer="0" w:header="0"/>
        </w:sectPr>
      </w:pPr>
    </w:p>
    <w:bookmarkStart w:id="62" w:name="page63"/>
    <w:bookmarkEnd w:id="62"/>
    <w:p>
      <w:pPr>
        <w:ind w:right="60" w:firstLine="917"/>
        <w:spacing w:after="0" w:line="287" w:lineRule="auto"/>
        <w:rPr>
          <w:sz w:val="20"/>
          <w:szCs w:val="20"/>
          <w:color w:val="auto"/>
        </w:rPr>
      </w:pPr>
      <w:r>
        <w:rPr>
          <w:rFonts w:ascii="Arial" w:cs="Arial" w:eastAsia="Arial" w:hAnsi="Arial"/>
          <w:sz w:val="15"/>
          <w:szCs w:val="15"/>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59" w:lineRule="exact"/>
        <w:rPr>
          <w:sz w:val="20"/>
          <w:szCs w:val="20"/>
          <w:color w:val="auto"/>
        </w:rPr>
      </w:pPr>
    </w:p>
    <w:p>
      <w:pPr>
        <w:ind w:right="200" w:firstLine="917"/>
        <w:spacing w:after="0" w:line="274" w:lineRule="auto"/>
        <w:rPr>
          <w:sz w:val="20"/>
          <w:szCs w:val="20"/>
          <w:color w:val="auto"/>
        </w:rPr>
      </w:pPr>
      <w:r>
        <w:rPr>
          <w:rFonts w:ascii="Arial" w:cs="Arial" w:eastAsia="Arial" w:hAnsi="Arial"/>
          <w:sz w:val="17"/>
          <w:szCs w:val="17"/>
          <w:b w:val="1"/>
          <w:bCs w:val="1"/>
          <w:i w:val="1"/>
          <w:iCs w:val="1"/>
          <w:color w:val="auto"/>
        </w:rPr>
        <w:t>Our collaborators, prospective collaborators, and suppliers may need assurances that our financial resources and stability on a stand-alone basis are sufficient to satisfy their requirements for doing or continuing to do business with us.</w:t>
      </w:r>
    </w:p>
    <w:p>
      <w:pPr>
        <w:spacing w:after="0" w:line="63" w:lineRule="exact"/>
        <w:rPr>
          <w:sz w:val="20"/>
          <w:szCs w:val="20"/>
          <w:color w:val="auto"/>
        </w:rPr>
      </w:pPr>
    </w:p>
    <w:p>
      <w:pPr>
        <w:ind w:firstLine="917"/>
        <w:spacing w:after="0" w:line="258" w:lineRule="auto"/>
        <w:rPr>
          <w:sz w:val="20"/>
          <w:szCs w:val="20"/>
          <w:color w:val="auto"/>
        </w:rPr>
      </w:pPr>
      <w:r>
        <w:rPr>
          <w:rFonts w:ascii="Arial" w:cs="Arial" w:eastAsia="Arial" w:hAnsi="Arial"/>
          <w:sz w:val="17"/>
          <w:szCs w:val="17"/>
          <w:color w:val="auto"/>
        </w:rPr>
        <w:t>Some of our collaborators, prospective collaborators, and suppliers may need assurances that our financial resources and stability on a stand-alone basis are sufficient to satisfy their requirements for doing or continuing to do business with us. If our collaborators, prospective collaborators or suppliers are not satisfied with our financial resources and stability, it could have a material adverse effect on our ability to develop our drug candidates, enter into licenses or other agreements and on our business, financial condition or results of operations.</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Managing Our Business and Operations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The outbreak of the coronavirus disease, COVID-19, could adversely impact our business, including our preclinical studies and clinical trials.</w:t>
      </w:r>
    </w:p>
    <w:p>
      <w:pPr>
        <w:spacing w:after="0" w:line="133" w:lineRule="exact"/>
        <w:rPr>
          <w:sz w:val="20"/>
          <w:szCs w:val="20"/>
          <w:color w:val="auto"/>
        </w:rPr>
      </w:pPr>
    </w:p>
    <w:p>
      <w:pPr>
        <w:ind w:right="20" w:firstLine="917"/>
        <w:spacing w:after="0" w:line="253" w:lineRule="auto"/>
        <w:rPr>
          <w:sz w:val="20"/>
          <w:szCs w:val="20"/>
          <w:color w:val="auto"/>
        </w:rPr>
      </w:pPr>
      <w:r>
        <w:rPr>
          <w:rFonts w:ascii="Arial" w:cs="Arial" w:eastAsia="Arial" w:hAnsi="Arial"/>
          <w:sz w:val="17"/>
          <w:szCs w:val="17"/>
          <w:color w:val="auto"/>
        </w:rPr>
        <w:t>In December 2019, a novel strain of the coronavirus disease, COVID-19, was identified in Wuhan, China. This virus has spread to a number of countries globally,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spacing w:after="0" w:line="83" w:lineRule="exact"/>
        <w:rPr>
          <w:sz w:val="20"/>
          <w:szCs w:val="20"/>
          <w:color w:val="auto"/>
        </w:rPr>
      </w:pPr>
    </w:p>
    <w:p>
      <w:pPr>
        <w:ind w:left="2140" w:right="120" w:hanging="1062"/>
        <w:spacing w:after="0" w:line="298" w:lineRule="auto"/>
        <w:tabs>
          <w:tab w:leader="none" w:pos="2136" w:val="left"/>
        </w:tabs>
        <w:numPr>
          <w:ilvl w:val="0"/>
          <w:numId w:val="63"/>
        </w:numPr>
        <w:rPr>
          <w:rFonts w:ascii="Arial" w:cs="Arial" w:eastAsia="Arial" w:hAnsi="Arial"/>
          <w:sz w:val="15"/>
          <w:szCs w:val="15"/>
          <w:color w:val="auto"/>
        </w:rPr>
      </w:pPr>
      <w:r>
        <w:rPr>
          <w:rFonts w:ascii="Arial" w:cs="Arial" w:eastAsia="Arial" w:hAnsi="Arial"/>
          <w:sz w:val="15"/>
          <w:szCs w:val="15"/>
          <w:color w:val="auto"/>
        </w:rPr>
        <w:t>delays or difficulties in commencing enrollment of patients in our clinical trials, including our Phase 2a clinical trials of PLN-74809 in IPF and PSC and our Phase 1 clinical trial of PLN-1474. With respect to the Phase 2a trials of PLN-74809 in IPF and PSC, following delays in site initiation due to the impacts of COVID-19, both trials have resumed active enrollment of patients. With respect to the Phase 1 trial of PLN-1474, the Phase 1 trial site experienced delays due to its location in an area heavily impacted by COVID-19; however, the trial site reopened and completed dosing the remaining cohorts, and the trial was subsequently completed;</w:t>
      </w:r>
    </w:p>
    <w:p>
      <w:pPr>
        <w:spacing w:after="0" w:line="49" w:lineRule="exact"/>
        <w:rPr>
          <w:rFonts w:ascii="Arial" w:cs="Arial" w:eastAsia="Arial" w:hAnsi="Arial"/>
          <w:sz w:val="15"/>
          <w:szCs w:val="15"/>
          <w:color w:val="auto"/>
        </w:rPr>
      </w:pPr>
    </w:p>
    <w:p>
      <w:pPr>
        <w:ind w:left="2140" w:right="200" w:hanging="1062"/>
        <w:spacing w:after="0" w:line="274" w:lineRule="auto"/>
        <w:tabs>
          <w:tab w:leader="none" w:pos="213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impact from potential delays, including potential difficulties in clinical site initiation, including difficulties in recruiting clinical site investigators and clinical site staff;</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3" w:name="page64"/>
    <w:bookmarkEnd w:id="63"/>
    <w:p>
      <w:pPr>
        <w:ind w:left="2140" w:right="100" w:hanging="1062"/>
        <w:spacing w:after="0" w:line="274" w:lineRule="auto"/>
        <w:tabs>
          <w:tab w:leader="none" w:pos="2136" w:val="left"/>
        </w:tabs>
        <w:numPr>
          <w:ilvl w:val="0"/>
          <w:numId w:val="64"/>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63" w:lineRule="exact"/>
        <w:rPr>
          <w:rFonts w:ascii="Arial" w:cs="Arial" w:eastAsia="Arial" w:hAnsi="Arial"/>
          <w:sz w:val="17"/>
          <w:szCs w:val="17"/>
          <w:color w:val="auto"/>
        </w:rPr>
      </w:pPr>
    </w:p>
    <w:p>
      <w:pPr>
        <w:jc w:val="both"/>
        <w:ind w:left="2140" w:right="680" w:hanging="1062"/>
        <w:spacing w:after="0" w:line="313" w:lineRule="auto"/>
        <w:tabs>
          <w:tab w:leader="none" w:pos="2136"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38" w:lineRule="exact"/>
        <w:rPr>
          <w:rFonts w:ascii="Arial" w:cs="Arial" w:eastAsia="Arial" w:hAnsi="Arial"/>
          <w:sz w:val="15"/>
          <w:szCs w:val="15"/>
          <w:color w:val="auto"/>
        </w:rPr>
      </w:pPr>
    </w:p>
    <w:p>
      <w:pPr>
        <w:ind w:left="2140" w:hanging="1062"/>
        <w:spacing w:after="0"/>
        <w:tabs>
          <w:tab w:leader="none" w:pos="21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interruption or delays in the operations of the FDA or other regulatory authorities, which may impact review and approval timelines;</w:t>
      </w:r>
    </w:p>
    <w:p>
      <w:pPr>
        <w:spacing w:after="0" w:line="133" w:lineRule="exact"/>
        <w:rPr>
          <w:rFonts w:ascii="Arial" w:cs="Arial" w:eastAsia="Arial" w:hAnsi="Arial"/>
          <w:sz w:val="15"/>
          <w:szCs w:val="15"/>
          <w:color w:val="auto"/>
        </w:rPr>
      </w:pPr>
    </w:p>
    <w:p>
      <w:pPr>
        <w:ind w:left="2140" w:right="440" w:hanging="1062"/>
        <w:spacing w:after="0" w:line="274" w:lineRule="auto"/>
        <w:tabs>
          <w:tab w:leader="none" w:pos="2136"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interruption of, or delays in receiving, supplies of our product candidates from our contract manufacturing organizations due to staffing shortages, production slowdowns or stoppages and disruptions in delivery systems;</w:t>
      </w:r>
    </w:p>
    <w:p>
      <w:pPr>
        <w:spacing w:after="0" w:line="63" w:lineRule="exact"/>
        <w:rPr>
          <w:rFonts w:ascii="Arial" w:cs="Arial" w:eastAsia="Arial" w:hAnsi="Arial"/>
          <w:sz w:val="17"/>
          <w:szCs w:val="17"/>
          <w:color w:val="auto"/>
        </w:rPr>
      </w:pPr>
    </w:p>
    <w:p>
      <w:pPr>
        <w:ind w:left="2140" w:hanging="1062"/>
        <w:spacing w:after="0"/>
        <w:tabs>
          <w:tab w:leader="none" w:pos="2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interruptions in preclinical studies due to restricted or limited operations at our laboratory facility;</w:t>
      </w:r>
    </w:p>
    <w:p>
      <w:pPr>
        <w:spacing w:after="0" w:line="110" w:lineRule="exact"/>
        <w:rPr>
          <w:rFonts w:ascii="Arial" w:cs="Arial" w:eastAsia="Arial" w:hAnsi="Arial"/>
          <w:sz w:val="17"/>
          <w:szCs w:val="17"/>
          <w:color w:val="auto"/>
        </w:rPr>
      </w:pPr>
    </w:p>
    <w:p>
      <w:pPr>
        <w:ind w:left="2140" w:right="40" w:hanging="1062"/>
        <w:spacing w:after="0" w:line="262" w:lineRule="auto"/>
        <w:tabs>
          <w:tab w:leader="none" w:pos="2136" w:val="left"/>
        </w:tabs>
        <w:numPr>
          <w:ilvl w:val="0"/>
          <w:numId w:val="64"/>
        </w:numPr>
        <w:rPr>
          <w:rFonts w:ascii="Arial" w:cs="Arial" w:eastAsia="Arial" w:hAnsi="Arial"/>
          <w:sz w:val="17"/>
          <w:szCs w:val="17"/>
          <w:color w:val="auto"/>
        </w:rPr>
      </w:pPr>
      <w:r>
        <w:rPr>
          <w:rFonts w:ascii="Arial" w:cs="Arial" w:eastAsia="Arial" w:hAnsi="Arial"/>
          <w:sz w:val="17"/>
          <w:szCs w:val="17"/>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72" w:lineRule="exact"/>
        <w:rPr>
          <w:rFonts w:ascii="Arial" w:cs="Arial" w:eastAsia="Arial" w:hAnsi="Arial"/>
          <w:sz w:val="17"/>
          <w:szCs w:val="17"/>
          <w:color w:val="auto"/>
        </w:rPr>
      </w:pPr>
    </w:p>
    <w:p>
      <w:pPr>
        <w:ind w:left="2140" w:hanging="1062"/>
        <w:spacing w:after="0"/>
        <w:tabs>
          <w:tab w:leader="none" w:pos="2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interruption or delays to our sourced discovery and clinical activities.</w:t>
      </w:r>
    </w:p>
    <w:p>
      <w:pPr>
        <w:spacing w:after="0" w:line="110" w:lineRule="exact"/>
        <w:rPr>
          <w:sz w:val="20"/>
          <w:szCs w:val="20"/>
          <w:color w:val="auto"/>
        </w:rPr>
      </w:pPr>
    </w:p>
    <w:p>
      <w:pPr>
        <w:ind w:right="100" w:firstLine="917"/>
        <w:spacing w:after="0" w:line="295" w:lineRule="auto"/>
        <w:rPr>
          <w:sz w:val="20"/>
          <w:szCs w:val="20"/>
          <w:color w:val="auto"/>
        </w:rPr>
      </w:pPr>
      <w:r>
        <w:rPr>
          <w:rFonts w:ascii="Arial" w:cs="Arial" w:eastAsia="Arial" w:hAnsi="Arial"/>
          <w:sz w:val="15"/>
          <w:szCs w:val="15"/>
          <w:color w:val="auto"/>
        </w:rPr>
        <w:t>The COVID-19 pandemic continues to rapidly evolve and new variants of the virus continue to emerge.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disease.The foregoing disruptions, and other continued disruptions to our business in connection with the COVID-19 pandemic, could have a material adverse impact on our business, financial condition or results of operations. In addition, the COVID-19 pandemic heightens many of the other risks and uncertainties discussed herein.</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may encounter difficulties in managing our growth, which could adversely affect our operations.</w:t>
      </w:r>
    </w:p>
    <w:p>
      <w:pPr>
        <w:spacing w:after="0" w:line="110" w:lineRule="exact"/>
        <w:rPr>
          <w:sz w:val="20"/>
          <w:szCs w:val="20"/>
          <w:color w:val="auto"/>
        </w:rPr>
      </w:pPr>
    </w:p>
    <w:p>
      <w:pPr>
        <w:ind w:firstLine="917"/>
        <w:spacing w:after="0" w:line="256" w:lineRule="auto"/>
        <w:rPr>
          <w:sz w:val="20"/>
          <w:szCs w:val="20"/>
          <w:color w:val="auto"/>
        </w:rPr>
      </w:pPr>
      <w:r>
        <w:rPr>
          <w:rFonts w:ascii="Arial" w:cs="Arial" w:eastAsia="Arial" w:hAnsi="Arial"/>
          <w:sz w:val="17"/>
          <w:szCs w:val="17"/>
          <w:color w:val="auto"/>
        </w:rPr>
        <w:t>As of March 31, 2022, we had 101 full-time employees. As our clinical development and commercialization plans and strategies develop, and as we transition into operating as a public company,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102" w:lineRule="exact"/>
        <w:rPr>
          <w:sz w:val="20"/>
          <w:szCs w:val="20"/>
          <w:color w:val="auto"/>
        </w:rPr>
      </w:pPr>
    </w:p>
    <w:p>
      <w:pPr>
        <w:ind w:left="2140" w:hanging="1062"/>
        <w:spacing w:after="0"/>
        <w:tabs>
          <w:tab w:leader="none" w:pos="2140" w:val="left"/>
        </w:tabs>
        <w:numPr>
          <w:ilvl w:val="0"/>
          <w:numId w:val="65"/>
        </w:numPr>
        <w:rPr>
          <w:rFonts w:ascii="Arial" w:cs="Arial" w:eastAsia="Arial" w:hAnsi="Arial"/>
          <w:sz w:val="20"/>
          <w:szCs w:val="20"/>
          <w:color w:val="auto"/>
        </w:rPr>
      </w:pPr>
      <w:r>
        <w:rPr>
          <w:rFonts w:ascii="Arial" w:cs="Arial" w:eastAsia="Arial" w:hAnsi="Arial"/>
          <w:sz w:val="17"/>
          <w:szCs w:val="17"/>
          <w:color w:val="auto"/>
        </w:rPr>
        <w:t>identifying, recruiting, integrating, maintaining and motivating additional employees;</w:t>
      </w:r>
    </w:p>
    <w:p>
      <w:pPr>
        <w:spacing w:after="0" w:line="129" w:lineRule="exact"/>
        <w:rPr>
          <w:sz w:val="20"/>
          <w:szCs w:val="20"/>
          <w:color w:val="auto"/>
        </w:rPr>
      </w:pPr>
    </w:p>
    <w:p>
      <w:pPr>
        <w:ind w:left="2140" w:right="40" w:hanging="1062"/>
        <w:spacing w:after="0" w:line="294" w:lineRule="auto"/>
        <w:tabs>
          <w:tab w:leader="none" w:pos="2135" w:val="left"/>
        </w:tabs>
        <w:numPr>
          <w:ilvl w:val="0"/>
          <w:numId w:val="66"/>
        </w:numPr>
        <w:rPr>
          <w:rFonts w:ascii="Arial" w:cs="Arial" w:eastAsia="Arial" w:hAnsi="Arial"/>
          <w:sz w:val="18"/>
          <w:szCs w:val="18"/>
          <w:color w:val="auto"/>
        </w:rPr>
      </w:pPr>
      <w:r>
        <w:rPr>
          <w:rFonts w:ascii="Arial" w:cs="Arial" w:eastAsia="Arial" w:hAnsi="Arial"/>
          <w:sz w:val="15"/>
          <w:szCs w:val="15"/>
          <w:color w:val="auto"/>
        </w:rPr>
        <w:t>managing our development and commercialization efforts effectively, including the clinical and FDA review process for PLN-74809 and any other product candidates, while complying with our contractual obligations to contractors and other third parties; and</w:t>
      </w:r>
    </w:p>
    <w:p>
      <w:pPr>
        <w:spacing w:after="0" w:line="68" w:lineRule="exact"/>
        <w:rPr>
          <w:sz w:val="20"/>
          <w:szCs w:val="20"/>
          <w:color w:val="auto"/>
        </w:rPr>
      </w:pPr>
    </w:p>
    <w:p>
      <w:pPr>
        <w:ind w:left="2140" w:hanging="1062"/>
        <w:spacing w:after="0"/>
        <w:tabs>
          <w:tab w:leader="none" w:pos="2140" w:val="left"/>
        </w:tabs>
        <w:numPr>
          <w:ilvl w:val="0"/>
          <w:numId w:val="67"/>
        </w:numPr>
        <w:rPr>
          <w:rFonts w:ascii="Arial" w:cs="Arial" w:eastAsia="Arial" w:hAnsi="Arial"/>
          <w:sz w:val="20"/>
          <w:szCs w:val="20"/>
          <w:color w:val="auto"/>
        </w:rPr>
      </w:pPr>
      <w:r>
        <w:rPr>
          <w:rFonts w:ascii="Arial" w:cs="Arial" w:eastAsia="Arial" w:hAnsi="Arial"/>
          <w:sz w:val="17"/>
          <w:szCs w:val="17"/>
          <w:color w:val="auto"/>
        </w:rPr>
        <w:t>improving our operational, financial and management controls, reporting systems and procedures.</w:t>
      </w:r>
    </w:p>
    <w:p>
      <w:pPr>
        <w:spacing w:after="0" w:line="90"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73" w:lineRule="exact"/>
        <w:rPr>
          <w:sz w:val="20"/>
          <w:szCs w:val="20"/>
          <w:color w:val="auto"/>
        </w:rPr>
      </w:pPr>
    </w:p>
    <w:p>
      <w:pPr>
        <w:ind w:right="40" w:firstLine="917"/>
        <w:spacing w:after="0" w:line="273"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64" w:name="page65"/>
    <w:bookmarkEnd w:id="64"/>
    <w:p>
      <w:pPr>
        <w:ind w:right="40"/>
        <w:spacing w:after="0" w:line="274" w:lineRule="auto"/>
        <w:rPr>
          <w:sz w:val="20"/>
          <w:szCs w:val="20"/>
          <w:color w:val="auto"/>
        </w:rPr>
      </w:pPr>
      <w:r>
        <w:rPr>
          <w:rFonts w:ascii="Arial" w:cs="Arial" w:eastAsia="Arial" w:hAnsi="Arial"/>
          <w:sz w:val="17"/>
          <w:szCs w:val="17"/>
          <w:color w:val="auto"/>
        </w:rPr>
        <w:t>advance our business. There can be no assurance that we will be able to manage our existing consultants or find other competent outside contractors and consultants on economically reasonable terms, or at all.</w:t>
      </w:r>
    </w:p>
    <w:p>
      <w:pPr>
        <w:spacing w:after="0" w:line="63" w:lineRule="exact"/>
        <w:rPr>
          <w:sz w:val="20"/>
          <w:szCs w:val="20"/>
          <w:color w:val="auto"/>
        </w:rPr>
      </w:pPr>
    </w:p>
    <w:p>
      <w:pPr>
        <w:jc w:val="both"/>
        <w:ind w:right="160" w:firstLine="917"/>
        <w:spacing w:after="0" w:line="262"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not be able to successfully implement the tasks necessary to further develop and commercialize PLN-74809 or any other product candidates and, accordingly, may not achieve our research, development and commercialization goals.</w:t>
      </w:r>
    </w:p>
    <w:p>
      <w:pPr>
        <w:spacing w:after="0" w:line="73" w:lineRule="exact"/>
        <w:rPr>
          <w:sz w:val="20"/>
          <w:szCs w:val="20"/>
          <w:color w:val="auto"/>
        </w:rPr>
      </w:pPr>
    </w:p>
    <w:p>
      <w:pPr>
        <w:jc w:val="both"/>
        <w:ind w:right="260" w:firstLine="917"/>
        <w:spacing w:after="0" w:line="313" w:lineRule="auto"/>
        <w:rPr>
          <w:sz w:val="20"/>
          <w:szCs w:val="20"/>
          <w:color w:val="auto"/>
        </w:rPr>
      </w:pPr>
      <w:r>
        <w:rPr>
          <w:rFonts w:ascii="Arial" w:cs="Arial" w:eastAsia="Arial" w:hAnsi="Arial"/>
          <w:sz w:val="15"/>
          <w:szCs w:val="15"/>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38" w:lineRule="exact"/>
        <w:rPr>
          <w:sz w:val="20"/>
          <w:szCs w:val="20"/>
          <w:color w:val="auto"/>
        </w:rPr>
      </w:pPr>
    </w:p>
    <w:p>
      <w:pPr>
        <w:ind w:right="140" w:firstLine="917"/>
        <w:spacing w:after="0" w:line="379" w:lineRule="auto"/>
        <w:rPr>
          <w:sz w:val="20"/>
          <w:szCs w:val="20"/>
          <w:color w:val="auto"/>
        </w:rPr>
      </w:pPr>
      <w:r>
        <w:rPr>
          <w:rFonts w:ascii="Arial" w:cs="Arial" w:eastAsia="Arial" w:hAnsi="Arial"/>
          <w:sz w:val="14"/>
          <w:szCs w:val="14"/>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1" w:lineRule="exact"/>
        <w:rPr>
          <w:sz w:val="20"/>
          <w:szCs w:val="20"/>
          <w:color w:val="auto"/>
        </w:rPr>
      </w:pPr>
    </w:p>
    <w:p>
      <w:pPr>
        <w:ind w:firstLine="917"/>
        <w:spacing w:after="0" w:line="275" w:lineRule="auto"/>
        <w:rPr>
          <w:sz w:val="20"/>
          <w:szCs w:val="20"/>
          <w:color w:val="auto"/>
        </w:rPr>
      </w:pPr>
      <w:r>
        <w:rPr>
          <w:rFonts w:ascii="Arial" w:cs="Arial" w:eastAsia="Arial" w:hAnsi="Arial"/>
          <w:sz w:val="16"/>
          <w:szCs w:val="16"/>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President and Chief Executive Officer, Keith Cummings, M.D., our Chief Financial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67" w:lineRule="exact"/>
        <w:rPr>
          <w:sz w:val="20"/>
          <w:szCs w:val="20"/>
          <w:color w:val="auto"/>
        </w:rPr>
      </w:pPr>
    </w:p>
    <w:p>
      <w:pPr>
        <w:ind w:right="100" w:firstLine="917"/>
        <w:spacing w:after="0" w:line="262" w:lineRule="auto"/>
        <w:rPr>
          <w:sz w:val="20"/>
          <w:szCs w:val="20"/>
          <w:color w:val="auto"/>
        </w:rPr>
      </w:pPr>
      <w:r>
        <w:rPr>
          <w:rFonts w:ascii="Arial" w:cs="Arial" w:eastAsia="Arial" w:hAnsi="Arial"/>
          <w:sz w:val="17"/>
          <w:szCs w:val="17"/>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73" w:lineRule="exact"/>
        <w:rPr>
          <w:sz w:val="20"/>
          <w:szCs w:val="20"/>
          <w:color w:val="auto"/>
        </w:rPr>
      </w:pPr>
    </w:p>
    <w:p>
      <w:pPr>
        <w:ind w:right="20" w:firstLine="917"/>
        <w:spacing w:after="0" w:line="254"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80" w:lineRule="exact"/>
        <w:rPr>
          <w:sz w:val="20"/>
          <w:szCs w:val="20"/>
          <w:color w:val="auto"/>
        </w:rPr>
      </w:pPr>
    </w:p>
    <w:p>
      <w:pPr>
        <w:ind w:right="100" w:firstLine="917"/>
        <w:spacing w:after="0" w:line="262" w:lineRule="auto"/>
        <w:rPr>
          <w:sz w:val="20"/>
          <w:szCs w:val="20"/>
          <w:color w:val="auto"/>
        </w:rPr>
      </w:pPr>
      <w:r>
        <w:rPr>
          <w:rFonts w:ascii="Arial" w:cs="Arial" w:eastAsia="Arial" w:hAnsi="Arial"/>
          <w:sz w:val="17"/>
          <w:szCs w:val="17"/>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73" w:lineRule="exact"/>
        <w:rPr>
          <w:sz w:val="20"/>
          <w:szCs w:val="20"/>
          <w:color w:val="auto"/>
        </w:rPr>
      </w:pPr>
    </w:p>
    <w:p>
      <w:pPr>
        <w:ind w:right="20" w:firstLine="917"/>
        <w:spacing w:after="0" w:line="270"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In addition, global climate change could result in certain types of natural disasters occurring more frequently or with more intense effects.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70" w:lineRule="exact"/>
        <w:rPr>
          <w:sz w:val="20"/>
          <w:szCs w:val="20"/>
          <w:color w:val="auto"/>
        </w:rPr>
      </w:pPr>
    </w:p>
    <w:p>
      <w:pPr>
        <w:jc w:val="both"/>
        <w:ind w:right="40" w:firstLine="917"/>
        <w:spacing w:after="0" w:line="275"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of an accident or incident or for any other reason, even for a short period of time, any or all of our research and development programs may be harmed.</w:t>
      </w:r>
    </w:p>
    <w:p>
      <w:pPr>
        <w:spacing w:after="0" w:line="122" w:lineRule="exact"/>
        <w:rPr>
          <w:sz w:val="20"/>
          <w:szCs w:val="20"/>
          <w:color w:val="auto"/>
        </w:rPr>
      </w:pPr>
    </w:p>
    <w:p>
      <w:pPr>
        <w:ind w:right="680" w:firstLine="917"/>
        <w:spacing w:after="0" w:line="274"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63" w:lineRule="exact"/>
        <w:rPr>
          <w:sz w:val="20"/>
          <w:szCs w:val="20"/>
          <w:color w:val="auto"/>
        </w:rPr>
      </w:pPr>
    </w:p>
    <w:p>
      <w:pPr>
        <w:ind w:firstLine="917"/>
        <w:spacing w:after="0" w:line="268"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use and generate materials that may expose us to material liability.</w:t>
      </w:r>
    </w:p>
    <w:p>
      <w:pPr>
        <w:spacing w:after="0" w:line="110" w:lineRule="exact"/>
        <w:rPr>
          <w:sz w:val="20"/>
          <w:szCs w:val="20"/>
          <w:color w:val="auto"/>
        </w:rPr>
      </w:pPr>
    </w:p>
    <w:p>
      <w:pPr>
        <w:ind w:firstLine="917"/>
        <w:spacing w:after="0" w:line="253" w:lineRule="auto"/>
        <w:rPr>
          <w:sz w:val="20"/>
          <w:szCs w:val="20"/>
          <w:color w:val="auto"/>
        </w:rPr>
      </w:pPr>
      <w:r>
        <w:rPr>
          <w:rFonts w:ascii="Arial" w:cs="Arial" w:eastAsia="Arial" w:hAnsi="Arial"/>
          <w:sz w:val="17"/>
          <w:szCs w:val="17"/>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83" w:lineRule="exact"/>
        <w:rPr>
          <w:sz w:val="20"/>
          <w:szCs w:val="20"/>
          <w:color w:val="auto"/>
        </w:rPr>
      </w:pPr>
    </w:p>
    <w:p>
      <w:pPr>
        <w:ind w:right="260" w:firstLine="917"/>
        <w:spacing w:after="0" w:line="274"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ind w:right="40" w:firstLine="917"/>
        <w:spacing w:after="0" w:line="288"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60" w:lineRule="exact"/>
        <w:rPr>
          <w:sz w:val="20"/>
          <w:szCs w:val="20"/>
          <w:color w:val="auto"/>
        </w:rPr>
      </w:pPr>
    </w:p>
    <w:p>
      <w:pPr>
        <w:ind w:right="260" w:firstLine="917"/>
        <w:spacing w:after="0" w:line="27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or other work-related injuries, this insurance may not</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6" w:name="page67"/>
    <w:bookmarkEnd w:id="66"/>
    <w:p>
      <w:pPr>
        <w:ind w:right="140"/>
        <w:spacing w:after="0" w:line="262" w:lineRule="auto"/>
        <w:rPr>
          <w:sz w:val="20"/>
          <w:szCs w:val="20"/>
          <w:color w:val="auto"/>
        </w:rPr>
      </w:pPr>
      <w:r>
        <w:rPr>
          <w:rFonts w:ascii="Arial" w:cs="Arial" w:eastAsia="Arial" w:hAnsi="Arial"/>
          <w:sz w:val="17"/>
          <w:szCs w:val="17"/>
          <w:color w:val="auto"/>
        </w:rPr>
        <w:t>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73" w:lineRule="exact"/>
        <w:rPr>
          <w:sz w:val="20"/>
          <w:szCs w:val="20"/>
          <w:color w:val="auto"/>
        </w:rPr>
      </w:pPr>
    </w:p>
    <w:p>
      <w:pPr>
        <w:ind w:right="200" w:firstLine="917"/>
        <w:spacing w:after="0" w:line="274" w:lineRule="auto"/>
        <w:rPr>
          <w:sz w:val="20"/>
          <w:szCs w:val="20"/>
          <w:color w:val="auto"/>
        </w:rPr>
      </w:pPr>
      <w:r>
        <w:rPr>
          <w:rFonts w:ascii="Arial" w:cs="Arial" w:eastAsia="Arial" w:hAnsi="Arial"/>
          <w:sz w:val="17"/>
          <w:szCs w:val="17"/>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63" w:lineRule="exact"/>
        <w:rPr>
          <w:sz w:val="20"/>
          <w:szCs w:val="20"/>
          <w:color w:val="auto"/>
        </w:rPr>
      </w:pPr>
    </w:p>
    <w:p>
      <w:pPr>
        <w:ind w:right="100" w:firstLine="917"/>
        <w:spacing w:after="0" w:line="254" w:lineRule="auto"/>
        <w:rPr>
          <w:sz w:val="20"/>
          <w:szCs w:val="20"/>
          <w:color w:val="auto"/>
        </w:rPr>
      </w:pPr>
      <w:r>
        <w:rPr>
          <w:rFonts w:ascii="Arial" w:cs="Arial" w:eastAsia="Arial" w:hAnsi="Arial"/>
          <w:sz w:val="17"/>
          <w:szCs w:val="17"/>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tax credit carryforwards may be subject to limitation.</w:t>
      </w:r>
    </w:p>
    <w:p>
      <w:pPr>
        <w:spacing w:after="0" w:line="110" w:lineRule="exact"/>
        <w:rPr>
          <w:sz w:val="20"/>
          <w:szCs w:val="20"/>
          <w:color w:val="auto"/>
        </w:rPr>
      </w:pPr>
    </w:p>
    <w:p>
      <w:pPr>
        <w:ind w:firstLine="917"/>
        <w:spacing w:after="0" w:line="288" w:lineRule="auto"/>
        <w:rPr>
          <w:sz w:val="20"/>
          <w:szCs w:val="20"/>
          <w:color w:val="auto"/>
        </w:rPr>
      </w:pPr>
      <w:r>
        <w:rPr>
          <w:rFonts w:ascii="Arial" w:cs="Arial" w:eastAsia="Arial" w:hAnsi="Arial"/>
          <w:sz w:val="15"/>
          <w:szCs w:val="15"/>
          <w:color w:val="auto"/>
        </w:rPr>
        <w:t>As of December 31, 2021, we had net operating loss carryforwards for U.S. federal and state income tax purposes of $184.7 million and $183.0 million, respectively, some of which will begin to expire in 2035. As of December 31, 2021, we also had available tax credit carryforwards for U.S. federal income tax purposes of $14.1 million, which begin to expire in 2036, and state income tax purposes of $4.1 million, which can be carried forward indefinitely. Under Section</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completed a Section 382 study of transactions in our stock ownership through December 31, 2021 and concluded that we have experienced ownership changes since inception and our utilization of pre-change net operating loss and credit carryforwards will be subject to the limitation.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Risks Related to Our Common Stock</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An active or liquid market for our common stock may not be sustained.</w:t>
      </w:r>
    </w:p>
    <w:p>
      <w:pPr>
        <w:spacing w:after="0" w:line="110" w:lineRule="exact"/>
        <w:rPr>
          <w:sz w:val="20"/>
          <w:szCs w:val="20"/>
          <w:color w:val="auto"/>
        </w:rPr>
      </w:pPr>
    </w:p>
    <w:p>
      <w:pPr>
        <w:jc w:val="both"/>
        <w:ind w:right="480" w:firstLine="917"/>
        <w:spacing w:after="0" w:line="262" w:lineRule="auto"/>
        <w:rPr>
          <w:sz w:val="20"/>
          <w:szCs w:val="20"/>
          <w:color w:val="auto"/>
        </w:rPr>
      </w:pPr>
      <w:r>
        <w:rPr>
          <w:rFonts w:ascii="Arial" w:cs="Arial" w:eastAsia="Arial" w:hAnsi="Arial"/>
          <w:sz w:val="17"/>
          <w:szCs w:val="17"/>
          <w:color w:val="auto"/>
        </w:rPr>
        <w:t>Prior to our initial public offering in June 2020, there was no public market for shares of our common stock. In connection with our initial public offering, our common stock was listed for trading on the Nasdaq Global Select Market. However, an active or liquid market in our common stock may not be sustained.</w:t>
      </w:r>
    </w:p>
    <w:p>
      <w:pPr>
        <w:spacing w:after="0" w:line="73" w:lineRule="exact"/>
        <w:rPr>
          <w:sz w:val="20"/>
          <w:szCs w:val="20"/>
          <w:color w:val="auto"/>
        </w:rPr>
      </w:pPr>
    </w:p>
    <w:p>
      <w:pPr>
        <w:ind w:right="200" w:firstLine="917"/>
        <w:spacing w:after="0" w:line="274" w:lineRule="auto"/>
        <w:rPr>
          <w:sz w:val="20"/>
          <w:szCs w:val="20"/>
          <w:color w:val="auto"/>
        </w:rPr>
      </w:pPr>
      <w:r>
        <w:rPr>
          <w:rFonts w:ascii="Arial" w:cs="Arial" w:eastAsia="Arial" w:hAnsi="Arial"/>
          <w:sz w:val="17"/>
          <w:szCs w:val="17"/>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10" w:lineRule="exact"/>
        <w:rPr>
          <w:sz w:val="20"/>
          <w:szCs w:val="20"/>
          <w:color w:val="auto"/>
        </w:rPr>
      </w:pPr>
    </w:p>
    <w:p>
      <w:pPr>
        <w:ind w:right="20" w:firstLine="917"/>
        <w:spacing w:after="0" w:line="262" w:lineRule="auto"/>
        <w:rPr>
          <w:sz w:val="20"/>
          <w:szCs w:val="20"/>
          <w:color w:val="auto"/>
        </w:rPr>
      </w:pPr>
      <w:r>
        <w:rPr>
          <w:rFonts w:ascii="Arial" w:cs="Arial" w:eastAsia="Arial" w:hAnsi="Arial"/>
          <w:sz w:val="17"/>
          <w:szCs w:val="17"/>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111" w:lineRule="exact"/>
        <w:rPr>
          <w:sz w:val="20"/>
          <w:szCs w:val="20"/>
          <w:color w:val="auto"/>
        </w:rPr>
      </w:pPr>
    </w:p>
    <w:p>
      <w:pPr>
        <w:ind w:left="2140" w:right="320" w:hanging="1062"/>
        <w:spacing w:after="0" w:line="236" w:lineRule="auto"/>
        <w:tabs>
          <w:tab w:leader="none" w:pos="2135" w:val="left"/>
        </w:tabs>
        <w:numPr>
          <w:ilvl w:val="0"/>
          <w:numId w:val="68"/>
        </w:numPr>
        <w:rPr>
          <w:rFonts w:ascii="Arial" w:cs="Arial" w:eastAsia="Arial" w:hAnsi="Arial"/>
          <w:sz w:val="20"/>
          <w:szCs w:val="20"/>
          <w:color w:val="auto"/>
        </w:rPr>
      </w:pPr>
      <w:r>
        <w:rPr>
          <w:rFonts w:ascii="Arial" w:cs="Arial" w:eastAsia="Arial" w:hAnsi="Arial"/>
          <w:sz w:val="17"/>
          <w:szCs w:val="17"/>
          <w:color w:val="auto"/>
        </w:rPr>
        <w:t>the commencement, enrollment or results of our current Phase 2a clinical trials of PLN-74809 and any other clinical trials for our product candidates conducted by us or our collaborators;</w:t>
      </w:r>
    </w:p>
    <w:p>
      <w:pPr>
        <w:spacing w:after="0" w:line="114" w:lineRule="exact"/>
        <w:rPr>
          <w:sz w:val="20"/>
          <w:szCs w:val="20"/>
          <w:color w:val="auto"/>
        </w:rPr>
      </w:pPr>
    </w:p>
    <w:p>
      <w:pPr>
        <w:ind w:left="2140" w:hanging="1062"/>
        <w:spacing w:after="0"/>
        <w:tabs>
          <w:tab w:leader="none" w:pos="2140" w:val="left"/>
        </w:tabs>
        <w:numPr>
          <w:ilvl w:val="0"/>
          <w:numId w:val="69"/>
        </w:numPr>
        <w:rPr>
          <w:rFonts w:ascii="Arial" w:cs="Arial" w:eastAsia="Arial" w:hAnsi="Arial"/>
          <w:sz w:val="20"/>
          <w:szCs w:val="20"/>
          <w:color w:val="auto"/>
        </w:rPr>
      </w:pPr>
      <w:r>
        <w:rPr>
          <w:rFonts w:ascii="Arial" w:cs="Arial" w:eastAsia="Arial" w:hAnsi="Arial"/>
          <w:sz w:val="17"/>
          <w:szCs w:val="17"/>
          <w:color w:val="auto"/>
        </w:rPr>
        <w:t>any delay in identifying and advancing a clinical candidate for our other development programs;</w:t>
      </w:r>
    </w:p>
    <w:p>
      <w:pPr>
        <w:spacing w:after="0" w:line="129" w:lineRule="exact"/>
        <w:rPr>
          <w:sz w:val="20"/>
          <w:szCs w:val="20"/>
          <w:color w:val="auto"/>
        </w:rPr>
      </w:pPr>
    </w:p>
    <w:p>
      <w:pPr>
        <w:ind w:left="2140" w:right="40" w:hanging="1062"/>
        <w:spacing w:after="0" w:line="236" w:lineRule="auto"/>
        <w:tabs>
          <w:tab w:leader="none" w:pos="2135" w:val="left"/>
        </w:tabs>
        <w:numPr>
          <w:ilvl w:val="0"/>
          <w:numId w:val="70"/>
        </w:numPr>
        <w:rPr>
          <w:rFonts w:ascii="Arial" w:cs="Arial" w:eastAsia="Arial" w:hAnsi="Arial"/>
          <w:sz w:val="20"/>
          <w:szCs w:val="20"/>
          <w:color w:val="auto"/>
        </w:rPr>
      </w:pPr>
      <w:r>
        <w:rPr>
          <w:rFonts w:ascii="Arial" w:cs="Arial" w:eastAsia="Arial" w:hAnsi="Arial"/>
          <w:sz w:val="17"/>
          <w:szCs w:val="17"/>
          <w:color w:val="auto"/>
        </w:rPr>
        <w:t>any delay in our regulatory filings for PLN-74809 or our other product candidates and any adverse development or perceived adverse development with respect to the applicable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7" w:name="page68"/>
    <w:bookmarkEnd w:id="67"/>
    <w:p>
      <w:pPr>
        <w:ind w:left="1062" w:right="40"/>
        <w:spacing w:after="0" w:line="274" w:lineRule="auto"/>
        <w:rPr>
          <w:sz w:val="20"/>
          <w:szCs w:val="20"/>
          <w:color w:val="auto"/>
        </w:rPr>
      </w:pPr>
      <w:r>
        <w:rPr>
          <w:rFonts w:ascii="Arial" w:cs="Arial" w:eastAsia="Arial" w:hAnsi="Arial"/>
          <w:sz w:val="17"/>
          <w:szCs w:val="17"/>
          <w:color w:val="auto"/>
        </w:rPr>
        <w:t>regulatory authority’s review of such filings, including without limitation the FDA’s issuance of a “refusal to file” letter or a request for additional information;</w:t>
      </w:r>
    </w:p>
    <w:p>
      <w:pPr>
        <w:spacing w:after="0" w:line="87" w:lineRule="exact"/>
        <w:rPr>
          <w:sz w:val="20"/>
          <w:szCs w:val="20"/>
          <w:color w:val="auto"/>
        </w:rPr>
      </w:pPr>
    </w:p>
    <w:p>
      <w:pPr>
        <w:ind w:left="1062" w:hanging="1062"/>
        <w:spacing w:after="0"/>
        <w:tabs>
          <w:tab w:leader="none" w:pos="1062" w:val="left"/>
        </w:tabs>
        <w:numPr>
          <w:ilvl w:val="0"/>
          <w:numId w:val="71"/>
        </w:numPr>
        <w:rPr>
          <w:rFonts w:ascii="Arial" w:cs="Arial" w:eastAsia="Arial" w:hAnsi="Arial"/>
          <w:sz w:val="20"/>
          <w:szCs w:val="20"/>
          <w:color w:val="auto"/>
        </w:rPr>
      </w:pPr>
      <w:r>
        <w:rPr>
          <w:rFonts w:ascii="Arial" w:cs="Arial" w:eastAsia="Arial" w:hAnsi="Arial"/>
          <w:sz w:val="17"/>
          <w:szCs w:val="17"/>
          <w:color w:val="auto"/>
        </w:rPr>
        <w:t>adverse results or delays in future clinical trials;</w:t>
      </w:r>
    </w:p>
    <w:p>
      <w:pPr>
        <w:spacing w:after="0" w:line="114" w:lineRule="exact"/>
        <w:rPr>
          <w:sz w:val="20"/>
          <w:szCs w:val="20"/>
          <w:color w:val="auto"/>
        </w:rPr>
      </w:pPr>
    </w:p>
    <w:p>
      <w:pPr>
        <w:ind w:left="1062" w:hanging="1062"/>
        <w:spacing w:after="0"/>
        <w:tabs>
          <w:tab w:leader="none" w:pos="1062" w:val="left"/>
        </w:tabs>
        <w:numPr>
          <w:ilvl w:val="0"/>
          <w:numId w:val="72"/>
        </w:numPr>
        <w:rPr>
          <w:rFonts w:ascii="Arial" w:cs="Arial" w:eastAsia="Arial" w:hAnsi="Arial"/>
          <w:sz w:val="20"/>
          <w:szCs w:val="20"/>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125" w:lineRule="exact"/>
        <w:rPr>
          <w:sz w:val="20"/>
          <w:szCs w:val="20"/>
          <w:color w:val="auto"/>
        </w:rPr>
      </w:pPr>
    </w:p>
    <w:p>
      <w:pPr>
        <w:ind w:left="1062" w:hanging="1062"/>
        <w:spacing w:after="0"/>
        <w:tabs>
          <w:tab w:leader="none" w:pos="1062" w:val="left"/>
        </w:tabs>
        <w:numPr>
          <w:ilvl w:val="0"/>
          <w:numId w:val="73"/>
        </w:numPr>
        <w:rPr>
          <w:rFonts w:ascii="Arial" w:cs="Arial" w:eastAsia="Arial" w:hAnsi="Arial"/>
          <w:sz w:val="19"/>
          <w:szCs w:val="19"/>
          <w:color w:val="auto"/>
        </w:rPr>
      </w:pPr>
      <w:r>
        <w:rPr>
          <w:rFonts w:ascii="Arial" w:cs="Arial" w:eastAsia="Arial" w:hAnsi="Arial"/>
          <w:sz w:val="16"/>
          <w:szCs w:val="16"/>
          <w:color w:val="auto"/>
        </w:rPr>
        <w:t>adverse regulatory decisions, including failure to receive regulatory approval of PLN-74809 or any other product candidate;</w:t>
      </w:r>
    </w:p>
    <w:p>
      <w:pPr>
        <w:spacing w:after="0" w:line="129" w:lineRule="exact"/>
        <w:rPr>
          <w:sz w:val="20"/>
          <w:szCs w:val="20"/>
          <w:color w:val="auto"/>
        </w:rPr>
      </w:pPr>
    </w:p>
    <w:p>
      <w:pPr>
        <w:ind w:left="1062" w:right="240" w:hanging="1062"/>
        <w:spacing w:after="0" w:line="236" w:lineRule="auto"/>
        <w:tabs>
          <w:tab w:leader="none" w:pos="1057" w:val="left"/>
        </w:tabs>
        <w:numPr>
          <w:ilvl w:val="0"/>
          <w:numId w:val="74"/>
        </w:numPr>
        <w:rPr>
          <w:rFonts w:ascii="Arial" w:cs="Arial" w:eastAsia="Arial" w:hAnsi="Arial"/>
          <w:sz w:val="20"/>
          <w:szCs w:val="20"/>
          <w:color w:val="auto"/>
        </w:rPr>
      </w:pPr>
      <w:r>
        <w:rPr>
          <w:rFonts w:ascii="Arial" w:cs="Arial" w:eastAsia="Arial" w:hAnsi="Arial"/>
          <w:sz w:val="17"/>
          <w:szCs w:val="17"/>
          <w:color w:val="auto"/>
        </w:rPr>
        <w:t>changes in laws or regulations applicable to PLN-74809 or any other product candidate, including but not limited to clinical trial requirements for approvals;</w:t>
      </w:r>
    </w:p>
    <w:p>
      <w:pPr>
        <w:spacing w:after="0" w:line="114" w:lineRule="exact"/>
        <w:rPr>
          <w:sz w:val="20"/>
          <w:szCs w:val="20"/>
          <w:color w:val="auto"/>
        </w:rPr>
      </w:pPr>
    </w:p>
    <w:p>
      <w:pPr>
        <w:ind w:left="1062" w:hanging="1062"/>
        <w:spacing w:after="0"/>
        <w:tabs>
          <w:tab w:leader="none" w:pos="1062" w:val="left"/>
        </w:tabs>
        <w:numPr>
          <w:ilvl w:val="0"/>
          <w:numId w:val="75"/>
        </w:numPr>
        <w:rPr>
          <w:rFonts w:ascii="Arial" w:cs="Arial" w:eastAsia="Arial" w:hAnsi="Arial"/>
          <w:sz w:val="20"/>
          <w:szCs w:val="20"/>
          <w:color w:val="auto"/>
        </w:rPr>
      </w:pPr>
      <w:r>
        <w:rPr>
          <w:rFonts w:ascii="Arial" w:cs="Arial" w:eastAsia="Arial" w:hAnsi="Arial"/>
          <w:sz w:val="17"/>
          <w:szCs w:val="17"/>
          <w:color w:val="auto"/>
        </w:rPr>
        <w:t>adverse developments concerning our manufacturers;</w:t>
      </w:r>
    </w:p>
    <w:p>
      <w:pPr>
        <w:spacing w:after="0" w:line="114" w:lineRule="exact"/>
        <w:rPr>
          <w:sz w:val="20"/>
          <w:szCs w:val="20"/>
          <w:color w:val="auto"/>
        </w:rPr>
      </w:pPr>
    </w:p>
    <w:p>
      <w:pPr>
        <w:ind w:left="1062" w:hanging="1062"/>
        <w:spacing w:after="0"/>
        <w:tabs>
          <w:tab w:leader="none" w:pos="1062" w:val="left"/>
        </w:tabs>
        <w:numPr>
          <w:ilvl w:val="0"/>
          <w:numId w:val="76"/>
        </w:numPr>
        <w:rPr>
          <w:rFonts w:ascii="Arial" w:cs="Arial" w:eastAsia="Arial" w:hAnsi="Arial"/>
          <w:sz w:val="20"/>
          <w:szCs w:val="20"/>
          <w:color w:val="auto"/>
        </w:rPr>
      </w:pPr>
      <w:r>
        <w:rPr>
          <w:rFonts w:ascii="Arial" w:cs="Arial" w:eastAsia="Arial" w:hAnsi="Arial"/>
          <w:sz w:val="17"/>
          <w:szCs w:val="17"/>
          <w:color w:val="auto"/>
        </w:rPr>
        <w:t>our inability to obtain adequate product supply for any approved product or inability to do so at acceptable prices;</w:t>
      </w:r>
    </w:p>
    <w:p>
      <w:pPr>
        <w:spacing w:after="0" w:line="114" w:lineRule="exact"/>
        <w:rPr>
          <w:sz w:val="20"/>
          <w:szCs w:val="20"/>
          <w:color w:val="auto"/>
        </w:rPr>
      </w:pPr>
    </w:p>
    <w:p>
      <w:pPr>
        <w:ind w:left="1062" w:hanging="1062"/>
        <w:spacing w:after="0"/>
        <w:tabs>
          <w:tab w:leader="none" w:pos="1062" w:val="left"/>
        </w:tabs>
        <w:numPr>
          <w:ilvl w:val="0"/>
          <w:numId w:val="77"/>
        </w:numPr>
        <w:rPr>
          <w:rFonts w:ascii="Arial" w:cs="Arial" w:eastAsia="Arial" w:hAnsi="Arial"/>
          <w:sz w:val="20"/>
          <w:szCs w:val="20"/>
          <w:color w:val="auto"/>
        </w:rPr>
      </w:pPr>
      <w:r>
        <w:rPr>
          <w:rFonts w:ascii="Arial" w:cs="Arial" w:eastAsia="Arial" w:hAnsi="Arial"/>
          <w:sz w:val="17"/>
          <w:szCs w:val="17"/>
          <w:color w:val="auto"/>
        </w:rPr>
        <w:t>our inability to establish collaborations, if needed;</w:t>
      </w:r>
    </w:p>
    <w:p>
      <w:pPr>
        <w:spacing w:after="0" w:line="114" w:lineRule="exact"/>
        <w:rPr>
          <w:sz w:val="20"/>
          <w:szCs w:val="20"/>
          <w:color w:val="auto"/>
        </w:rPr>
      </w:pPr>
    </w:p>
    <w:p>
      <w:pPr>
        <w:ind w:left="1062" w:hanging="1062"/>
        <w:spacing w:after="0"/>
        <w:tabs>
          <w:tab w:leader="none" w:pos="1062" w:val="left"/>
        </w:tabs>
        <w:numPr>
          <w:ilvl w:val="0"/>
          <w:numId w:val="78"/>
        </w:numPr>
        <w:rPr>
          <w:rFonts w:ascii="Arial" w:cs="Arial" w:eastAsia="Arial" w:hAnsi="Arial"/>
          <w:sz w:val="20"/>
          <w:szCs w:val="20"/>
          <w:color w:val="auto"/>
        </w:rPr>
      </w:pPr>
      <w:r>
        <w:rPr>
          <w:rFonts w:ascii="Arial" w:cs="Arial" w:eastAsia="Arial" w:hAnsi="Arial"/>
          <w:sz w:val="17"/>
          <w:szCs w:val="17"/>
          <w:color w:val="auto"/>
        </w:rPr>
        <w:t>our failure to commercialize our product candidates, if approved;</w:t>
      </w:r>
    </w:p>
    <w:p>
      <w:pPr>
        <w:spacing w:after="0" w:line="114" w:lineRule="exact"/>
        <w:rPr>
          <w:sz w:val="20"/>
          <w:szCs w:val="20"/>
          <w:color w:val="auto"/>
        </w:rPr>
      </w:pPr>
    </w:p>
    <w:p>
      <w:pPr>
        <w:ind w:left="1062" w:hanging="1062"/>
        <w:spacing w:after="0"/>
        <w:tabs>
          <w:tab w:leader="none" w:pos="1062" w:val="left"/>
        </w:tabs>
        <w:numPr>
          <w:ilvl w:val="0"/>
          <w:numId w:val="79"/>
        </w:numPr>
        <w:rPr>
          <w:rFonts w:ascii="Arial" w:cs="Arial" w:eastAsia="Arial" w:hAnsi="Arial"/>
          <w:sz w:val="20"/>
          <w:szCs w:val="20"/>
          <w:color w:val="auto"/>
        </w:rPr>
      </w:pPr>
      <w:r>
        <w:rPr>
          <w:rFonts w:ascii="Arial" w:cs="Arial" w:eastAsia="Arial" w:hAnsi="Arial"/>
          <w:sz w:val="17"/>
          <w:szCs w:val="17"/>
          <w:color w:val="auto"/>
        </w:rPr>
        <w:t>additions or departures of key scientific or management personnel;</w:t>
      </w:r>
    </w:p>
    <w:p>
      <w:pPr>
        <w:spacing w:after="0" w:line="114" w:lineRule="exact"/>
        <w:rPr>
          <w:sz w:val="20"/>
          <w:szCs w:val="20"/>
          <w:color w:val="auto"/>
        </w:rPr>
      </w:pPr>
    </w:p>
    <w:p>
      <w:pPr>
        <w:ind w:left="1062" w:hanging="1062"/>
        <w:spacing w:after="0"/>
        <w:tabs>
          <w:tab w:leader="none" w:pos="1062" w:val="left"/>
        </w:tabs>
        <w:numPr>
          <w:ilvl w:val="0"/>
          <w:numId w:val="80"/>
        </w:numPr>
        <w:rPr>
          <w:rFonts w:ascii="Arial" w:cs="Arial" w:eastAsia="Arial" w:hAnsi="Arial"/>
          <w:sz w:val="20"/>
          <w:szCs w:val="20"/>
          <w:color w:val="auto"/>
        </w:rPr>
      </w:pPr>
      <w:r>
        <w:rPr>
          <w:rFonts w:ascii="Arial" w:cs="Arial" w:eastAsia="Arial" w:hAnsi="Arial"/>
          <w:sz w:val="17"/>
          <w:szCs w:val="17"/>
          <w:color w:val="auto"/>
        </w:rPr>
        <w:t>unanticipated serious safety concerns related to the use of PLN-74809 or any other product candidate;</w:t>
      </w:r>
    </w:p>
    <w:p>
      <w:pPr>
        <w:spacing w:after="0" w:line="114" w:lineRule="exact"/>
        <w:rPr>
          <w:sz w:val="20"/>
          <w:szCs w:val="20"/>
          <w:color w:val="auto"/>
        </w:rPr>
      </w:pPr>
    </w:p>
    <w:p>
      <w:pPr>
        <w:ind w:left="1062" w:hanging="1062"/>
        <w:spacing w:after="0"/>
        <w:tabs>
          <w:tab w:leader="none" w:pos="1062" w:val="left"/>
        </w:tabs>
        <w:numPr>
          <w:ilvl w:val="0"/>
          <w:numId w:val="81"/>
        </w:numPr>
        <w:rPr>
          <w:rFonts w:ascii="Arial" w:cs="Arial" w:eastAsia="Arial" w:hAnsi="Arial"/>
          <w:sz w:val="20"/>
          <w:szCs w:val="20"/>
          <w:color w:val="auto"/>
        </w:rPr>
      </w:pPr>
      <w:r>
        <w:rPr>
          <w:rFonts w:ascii="Arial" w:cs="Arial" w:eastAsia="Arial" w:hAnsi="Arial"/>
          <w:sz w:val="17"/>
          <w:szCs w:val="17"/>
          <w:color w:val="auto"/>
        </w:rPr>
        <w:t>introduction of new products or services offered by us or our competitors;</w:t>
      </w:r>
    </w:p>
    <w:p>
      <w:pPr>
        <w:spacing w:after="0" w:line="129" w:lineRule="exact"/>
        <w:rPr>
          <w:sz w:val="20"/>
          <w:szCs w:val="20"/>
          <w:color w:val="auto"/>
        </w:rPr>
      </w:pPr>
    </w:p>
    <w:p>
      <w:pPr>
        <w:ind w:left="1062" w:hanging="1062"/>
        <w:spacing w:after="0"/>
        <w:tabs>
          <w:tab w:leader="none" w:pos="1062" w:val="left"/>
        </w:tabs>
        <w:numPr>
          <w:ilvl w:val="0"/>
          <w:numId w:val="82"/>
        </w:numPr>
        <w:rPr>
          <w:rFonts w:ascii="Arial" w:cs="Arial" w:eastAsia="Arial" w:hAnsi="Arial"/>
          <w:sz w:val="18"/>
          <w:szCs w:val="18"/>
          <w:color w:val="auto"/>
        </w:rPr>
      </w:pPr>
      <w:r>
        <w:rPr>
          <w:rFonts w:ascii="Arial" w:cs="Arial" w:eastAsia="Arial" w:hAnsi="Arial"/>
          <w:sz w:val="15"/>
          <w:szCs w:val="15"/>
          <w:color w:val="auto"/>
        </w:rPr>
        <w:t>announcements of significant acquisitions, strategic partnerships, joint ventures or capital commitments by us or our competitors;</w:t>
      </w:r>
    </w:p>
    <w:p>
      <w:pPr>
        <w:spacing w:after="0" w:line="122" w:lineRule="exact"/>
        <w:rPr>
          <w:sz w:val="20"/>
          <w:szCs w:val="20"/>
          <w:color w:val="auto"/>
        </w:rPr>
      </w:pPr>
    </w:p>
    <w:p>
      <w:pPr>
        <w:ind w:left="1062" w:hanging="1062"/>
        <w:spacing w:after="0"/>
        <w:tabs>
          <w:tab w:leader="none" w:pos="1062" w:val="left"/>
        </w:tabs>
        <w:numPr>
          <w:ilvl w:val="0"/>
          <w:numId w:val="83"/>
        </w:numPr>
        <w:rPr>
          <w:rFonts w:ascii="Arial" w:cs="Arial" w:eastAsia="Arial" w:hAnsi="Arial"/>
          <w:sz w:val="20"/>
          <w:szCs w:val="20"/>
          <w:color w:val="auto"/>
        </w:rPr>
      </w:pPr>
      <w:r>
        <w:rPr>
          <w:rFonts w:ascii="Arial" w:cs="Arial" w:eastAsia="Arial" w:hAnsi="Arial"/>
          <w:sz w:val="17"/>
          <w:szCs w:val="17"/>
          <w:color w:val="auto"/>
        </w:rPr>
        <w:t>our ability to effectively manage our growth;</w:t>
      </w:r>
    </w:p>
    <w:p>
      <w:pPr>
        <w:spacing w:after="0" w:line="114" w:lineRule="exact"/>
        <w:rPr>
          <w:sz w:val="20"/>
          <w:szCs w:val="20"/>
          <w:color w:val="auto"/>
        </w:rPr>
      </w:pPr>
    </w:p>
    <w:p>
      <w:pPr>
        <w:ind w:left="1062" w:hanging="1062"/>
        <w:spacing w:after="0"/>
        <w:tabs>
          <w:tab w:leader="none" w:pos="1062" w:val="left"/>
        </w:tabs>
        <w:numPr>
          <w:ilvl w:val="0"/>
          <w:numId w:val="84"/>
        </w:numPr>
        <w:rPr>
          <w:rFonts w:ascii="Arial" w:cs="Arial" w:eastAsia="Arial" w:hAnsi="Arial"/>
          <w:sz w:val="20"/>
          <w:szCs w:val="20"/>
          <w:color w:val="auto"/>
        </w:rPr>
      </w:pPr>
      <w:r>
        <w:rPr>
          <w:rFonts w:ascii="Arial" w:cs="Arial" w:eastAsia="Arial" w:hAnsi="Arial"/>
          <w:sz w:val="17"/>
          <w:szCs w:val="17"/>
          <w:color w:val="auto"/>
        </w:rPr>
        <w:t>actual or anticipated variations in quarterly operating results;</w:t>
      </w:r>
    </w:p>
    <w:p>
      <w:pPr>
        <w:spacing w:after="0" w:line="114" w:lineRule="exact"/>
        <w:rPr>
          <w:sz w:val="20"/>
          <w:szCs w:val="20"/>
          <w:color w:val="auto"/>
        </w:rPr>
      </w:pPr>
    </w:p>
    <w:p>
      <w:pPr>
        <w:ind w:left="1062" w:hanging="1062"/>
        <w:spacing w:after="0"/>
        <w:tabs>
          <w:tab w:leader="none" w:pos="1062" w:val="left"/>
        </w:tabs>
        <w:numPr>
          <w:ilvl w:val="0"/>
          <w:numId w:val="85"/>
        </w:numPr>
        <w:rPr>
          <w:rFonts w:ascii="Arial" w:cs="Arial" w:eastAsia="Arial" w:hAnsi="Arial"/>
          <w:sz w:val="20"/>
          <w:szCs w:val="20"/>
          <w:color w:val="auto"/>
        </w:rPr>
      </w:pPr>
      <w:r>
        <w:rPr>
          <w:rFonts w:ascii="Arial" w:cs="Arial" w:eastAsia="Arial" w:hAnsi="Arial"/>
          <w:sz w:val="17"/>
          <w:szCs w:val="17"/>
          <w:color w:val="auto"/>
        </w:rPr>
        <w:t>our cash position;</w:t>
      </w:r>
    </w:p>
    <w:p>
      <w:pPr>
        <w:spacing w:after="0" w:line="125" w:lineRule="exact"/>
        <w:rPr>
          <w:sz w:val="20"/>
          <w:szCs w:val="20"/>
          <w:color w:val="auto"/>
        </w:rPr>
      </w:pPr>
    </w:p>
    <w:p>
      <w:pPr>
        <w:ind w:left="1062" w:hanging="1062"/>
        <w:spacing w:after="0"/>
        <w:tabs>
          <w:tab w:leader="none" w:pos="1062" w:val="left"/>
        </w:tabs>
        <w:numPr>
          <w:ilvl w:val="0"/>
          <w:numId w:val="86"/>
        </w:numPr>
        <w:rPr>
          <w:rFonts w:ascii="Arial" w:cs="Arial" w:eastAsia="Arial" w:hAnsi="Arial"/>
          <w:sz w:val="19"/>
          <w:szCs w:val="19"/>
          <w:color w:val="auto"/>
        </w:rPr>
      </w:pPr>
      <w:r>
        <w:rPr>
          <w:rFonts w:ascii="Arial" w:cs="Arial" w:eastAsia="Arial" w:hAnsi="Arial"/>
          <w:sz w:val="16"/>
          <w:szCs w:val="16"/>
          <w:color w:val="auto"/>
        </w:rPr>
        <w:t>our failure to meet the estimates and projections of the investment community or that we may otherwise provide to the public;</w:t>
      </w:r>
    </w:p>
    <w:p>
      <w:pPr>
        <w:spacing w:after="0" w:line="129" w:lineRule="exact"/>
        <w:rPr>
          <w:sz w:val="20"/>
          <w:szCs w:val="20"/>
          <w:color w:val="auto"/>
        </w:rPr>
      </w:pPr>
    </w:p>
    <w:p>
      <w:pPr>
        <w:ind w:left="1062" w:hanging="1062"/>
        <w:spacing w:after="0" w:line="236" w:lineRule="auto"/>
        <w:tabs>
          <w:tab w:leader="none" w:pos="1057" w:val="left"/>
        </w:tabs>
        <w:numPr>
          <w:ilvl w:val="0"/>
          <w:numId w:val="87"/>
        </w:numPr>
        <w:rPr>
          <w:rFonts w:ascii="Arial" w:cs="Arial" w:eastAsia="Arial" w:hAnsi="Arial"/>
          <w:sz w:val="20"/>
          <w:szCs w:val="20"/>
          <w:color w:val="auto"/>
        </w:rPr>
      </w:pPr>
      <w:r>
        <w:rPr>
          <w:rFonts w:ascii="Arial" w:cs="Arial" w:eastAsia="Arial" w:hAnsi="Arial"/>
          <w:sz w:val="17"/>
          <w:szCs w:val="17"/>
          <w:color w:val="auto"/>
        </w:rPr>
        <w:t>publication of research reports about us or our industry, or product candidates in particular, or positive or negative recommendations or withdrawal of research coverage by securities analysts;</w:t>
      </w:r>
    </w:p>
    <w:p>
      <w:pPr>
        <w:spacing w:after="0" w:line="114" w:lineRule="exact"/>
        <w:rPr>
          <w:sz w:val="20"/>
          <w:szCs w:val="20"/>
          <w:color w:val="auto"/>
        </w:rPr>
      </w:pPr>
    </w:p>
    <w:p>
      <w:pPr>
        <w:ind w:left="1062" w:hanging="1062"/>
        <w:spacing w:after="0"/>
        <w:tabs>
          <w:tab w:leader="none" w:pos="1062" w:val="left"/>
        </w:tabs>
        <w:numPr>
          <w:ilvl w:val="0"/>
          <w:numId w:val="88"/>
        </w:numPr>
        <w:rPr>
          <w:rFonts w:ascii="Arial" w:cs="Arial" w:eastAsia="Arial" w:hAnsi="Arial"/>
          <w:sz w:val="20"/>
          <w:szCs w:val="20"/>
          <w:color w:val="auto"/>
        </w:rPr>
      </w:pPr>
      <w:r>
        <w:rPr>
          <w:rFonts w:ascii="Arial" w:cs="Arial" w:eastAsia="Arial" w:hAnsi="Arial"/>
          <w:sz w:val="17"/>
          <w:szCs w:val="17"/>
          <w:color w:val="auto"/>
        </w:rPr>
        <w:t>changes in the market valuations of similar companies;</w:t>
      </w:r>
    </w:p>
    <w:p>
      <w:pPr>
        <w:spacing w:after="0" w:line="114" w:lineRule="exact"/>
        <w:rPr>
          <w:sz w:val="20"/>
          <w:szCs w:val="20"/>
          <w:color w:val="auto"/>
        </w:rPr>
      </w:pPr>
    </w:p>
    <w:p>
      <w:pPr>
        <w:ind w:left="1062" w:hanging="1062"/>
        <w:spacing w:after="0"/>
        <w:tabs>
          <w:tab w:leader="none" w:pos="1062" w:val="left"/>
        </w:tabs>
        <w:numPr>
          <w:ilvl w:val="0"/>
          <w:numId w:val="89"/>
        </w:numPr>
        <w:rPr>
          <w:rFonts w:ascii="Arial" w:cs="Arial" w:eastAsia="Arial" w:hAnsi="Arial"/>
          <w:sz w:val="20"/>
          <w:szCs w:val="20"/>
          <w:color w:val="auto"/>
        </w:rPr>
      </w:pPr>
      <w:r>
        <w:rPr>
          <w:rFonts w:ascii="Arial" w:cs="Arial" w:eastAsia="Arial" w:hAnsi="Arial"/>
          <w:sz w:val="17"/>
          <w:szCs w:val="17"/>
          <w:color w:val="auto"/>
        </w:rPr>
        <w:t>changes in the structure of the healthcare payment systems;</w:t>
      </w:r>
    </w:p>
    <w:p>
      <w:pPr>
        <w:spacing w:after="0" w:line="114" w:lineRule="exact"/>
        <w:rPr>
          <w:sz w:val="20"/>
          <w:szCs w:val="20"/>
          <w:color w:val="auto"/>
        </w:rPr>
      </w:pPr>
    </w:p>
    <w:p>
      <w:pPr>
        <w:ind w:left="1062" w:hanging="1062"/>
        <w:spacing w:after="0"/>
        <w:tabs>
          <w:tab w:leader="none" w:pos="1062" w:val="left"/>
        </w:tabs>
        <w:numPr>
          <w:ilvl w:val="0"/>
          <w:numId w:val="90"/>
        </w:numPr>
        <w:rPr>
          <w:rFonts w:ascii="Arial" w:cs="Arial" w:eastAsia="Arial" w:hAnsi="Arial"/>
          <w:sz w:val="20"/>
          <w:szCs w:val="20"/>
          <w:color w:val="auto"/>
        </w:rPr>
      </w:pPr>
      <w:r>
        <w:rPr>
          <w:rFonts w:ascii="Arial" w:cs="Arial" w:eastAsia="Arial" w:hAnsi="Arial"/>
          <w:sz w:val="17"/>
          <w:szCs w:val="17"/>
          <w:color w:val="auto"/>
        </w:rPr>
        <w:t>overall performance of the equity markets;</w:t>
      </w:r>
    </w:p>
    <w:p>
      <w:pPr>
        <w:spacing w:after="0" w:line="114" w:lineRule="exact"/>
        <w:rPr>
          <w:sz w:val="20"/>
          <w:szCs w:val="20"/>
          <w:color w:val="auto"/>
        </w:rPr>
      </w:pPr>
    </w:p>
    <w:p>
      <w:pPr>
        <w:ind w:left="1062" w:hanging="1062"/>
        <w:spacing w:after="0"/>
        <w:tabs>
          <w:tab w:leader="none" w:pos="1062" w:val="left"/>
        </w:tabs>
        <w:numPr>
          <w:ilvl w:val="0"/>
          <w:numId w:val="91"/>
        </w:numPr>
        <w:rPr>
          <w:rFonts w:ascii="Arial" w:cs="Arial" w:eastAsia="Arial" w:hAnsi="Arial"/>
          <w:sz w:val="20"/>
          <w:szCs w:val="20"/>
          <w:color w:val="auto"/>
        </w:rPr>
      </w:pPr>
      <w:r>
        <w:rPr>
          <w:rFonts w:ascii="Arial" w:cs="Arial" w:eastAsia="Arial" w:hAnsi="Arial"/>
          <w:sz w:val="17"/>
          <w:szCs w:val="17"/>
          <w:color w:val="auto"/>
        </w:rPr>
        <w:t>sales of our common stock by us or our stockholders in the future;</w:t>
      </w:r>
    </w:p>
    <w:p>
      <w:pPr>
        <w:spacing w:after="0" w:line="114" w:lineRule="exact"/>
        <w:rPr>
          <w:sz w:val="20"/>
          <w:szCs w:val="20"/>
          <w:color w:val="auto"/>
        </w:rPr>
      </w:pPr>
    </w:p>
    <w:p>
      <w:pPr>
        <w:ind w:left="1062" w:hanging="1062"/>
        <w:spacing w:after="0"/>
        <w:tabs>
          <w:tab w:leader="none" w:pos="1062" w:val="left"/>
        </w:tabs>
        <w:numPr>
          <w:ilvl w:val="0"/>
          <w:numId w:val="92"/>
        </w:numPr>
        <w:rPr>
          <w:rFonts w:ascii="Arial" w:cs="Arial" w:eastAsia="Arial" w:hAnsi="Arial"/>
          <w:sz w:val="20"/>
          <w:szCs w:val="20"/>
          <w:color w:val="auto"/>
        </w:rPr>
      </w:pPr>
      <w:r>
        <w:rPr>
          <w:rFonts w:ascii="Arial" w:cs="Arial" w:eastAsia="Arial" w:hAnsi="Arial"/>
          <w:sz w:val="17"/>
          <w:szCs w:val="17"/>
          <w:color w:val="auto"/>
        </w:rPr>
        <w:t>trading volume of our common stock;</w:t>
      </w:r>
    </w:p>
    <w:p>
      <w:pPr>
        <w:spacing w:after="0" w:line="114" w:lineRule="exact"/>
        <w:rPr>
          <w:sz w:val="20"/>
          <w:szCs w:val="20"/>
          <w:color w:val="auto"/>
        </w:rPr>
      </w:pPr>
    </w:p>
    <w:p>
      <w:pPr>
        <w:ind w:left="1062" w:hanging="1062"/>
        <w:spacing w:after="0"/>
        <w:tabs>
          <w:tab w:leader="none" w:pos="1062" w:val="left"/>
        </w:tabs>
        <w:numPr>
          <w:ilvl w:val="0"/>
          <w:numId w:val="93"/>
        </w:numPr>
        <w:rPr>
          <w:rFonts w:ascii="Arial" w:cs="Arial" w:eastAsia="Arial" w:hAnsi="Arial"/>
          <w:sz w:val="20"/>
          <w:szCs w:val="20"/>
          <w:color w:val="auto"/>
        </w:rPr>
      </w:pPr>
      <w:r>
        <w:rPr>
          <w:rFonts w:ascii="Arial" w:cs="Arial" w:eastAsia="Arial" w:hAnsi="Arial"/>
          <w:sz w:val="17"/>
          <w:szCs w:val="17"/>
          <w:color w:val="auto"/>
        </w:rPr>
        <w:t>changes in accounting practices;</w:t>
      </w:r>
    </w:p>
    <w:p>
      <w:pPr>
        <w:spacing w:after="0" w:line="114" w:lineRule="exact"/>
        <w:rPr>
          <w:sz w:val="20"/>
          <w:szCs w:val="20"/>
          <w:color w:val="auto"/>
        </w:rPr>
      </w:pPr>
    </w:p>
    <w:p>
      <w:pPr>
        <w:ind w:left="1062" w:hanging="1062"/>
        <w:spacing w:after="0"/>
        <w:tabs>
          <w:tab w:leader="none" w:pos="1062" w:val="left"/>
        </w:tabs>
        <w:numPr>
          <w:ilvl w:val="0"/>
          <w:numId w:val="94"/>
        </w:numPr>
        <w:rPr>
          <w:rFonts w:ascii="Arial" w:cs="Arial" w:eastAsia="Arial" w:hAnsi="Arial"/>
          <w:sz w:val="20"/>
          <w:szCs w:val="20"/>
          <w:color w:val="auto"/>
        </w:rPr>
      </w:pPr>
      <w:r>
        <w:rPr>
          <w:rFonts w:ascii="Arial" w:cs="Arial" w:eastAsia="Arial" w:hAnsi="Arial"/>
          <w:sz w:val="17"/>
          <w:szCs w:val="17"/>
          <w:color w:val="auto"/>
        </w:rPr>
        <w:t>ineffectiveness of our internal controls;</w:t>
      </w:r>
    </w:p>
    <w:p>
      <w:pPr>
        <w:spacing w:after="0" w:line="129" w:lineRule="exact"/>
        <w:rPr>
          <w:sz w:val="20"/>
          <w:szCs w:val="20"/>
          <w:color w:val="auto"/>
        </w:rPr>
      </w:pPr>
    </w:p>
    <w:p>
      <w:pPr>
        <w:ind w:left="1062" w:right="280" w:hanging="1062"/>
        <w:spacing w:after="0" w:line="236" w:lineRule="auto"/>
        <w:tabs>
          <w:tab w:leader="none" w:pos="1057" w:val="left"/>
        </w:tabs>
        <w:numPr>
          <w:ilvl w:val="0"/>
          <w:numId w:val="95"/>
        </w:numPr>
        <w:rPr>
          <w:rFonts w:ascii="Arial" w:cs="Arial" w:eastAsia="Arial" w:hAnsi="Arial"/>
          <w:sz w:val="20"/>
          <w:szCs w:val="20"/>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114" w:lineRule="exact"/>
        <w:rPr>
          <w:sz w:val="20"/>
          <w:szCs w:val="20"/>
          <w:color w:val="auto"/>
        </w:rPr>
      </w:pPr>
    </w:p>
    <w:p>
      <w:pPr>
        <w:ind w:left="1062" w:hanging="1062"/>
        <w:spacing w:after="0"/>
        <w:tabs>
          <w:tab w:leader="none" w:pos="1062" w:val="left"/>
        </w:tabs>
        <w:numPr>
          <w:ilvl w:val="0"/>
          <w:numId w:val="96"/>
        </w:numPr>
        <w:rPr>
          <w:rFonts w:ascii="Arial" w:cs="Arial" w:eastAsia="Arial" w:hAnsi="Arial"/>
          <w:sz w:val="20"/>
          <w:szCs w:val="20"/>
          <w:color w:val="auto"/>
        </w:rPr>
      </w:pPr>
      <w:r>
        <w:rPr>
          <w:rFonts w:ascii="Arial" w:cs="Arial" w:eastAsia="Arial" w:hAnsi="Arial"/>
          <w:sz w:val="17"/>
          <w:szCs w:val="17"/>
          <w:color w:val="auto"/>
        </w:rPr>
        <w:t>significant lawsuits, including patent or stockholder litigation;</w:t>
      </w:r>
    </w:p>
    <w:p>
      <w:pPr>
        <w:spacing w:after="0" w:line="114" w:lineRule="exact"/>
        <w:rPr>
          <w:sz w:val="20"/>
          <w:szCs w:val="20"/>
          <w:color w:val="auto"/>
        </w:rPr>
      </w:pPr>
    </w:p>
    <w:p>
      <w:pPr>
        <w:ind w:left="1062" w:hanging="1062"/>
        <w:spacing w:after="0"/>
        <w:tabs>
          <w:tab w:leader="none" w:pos="1062" w:val="left"/>
        </w:tabs>
        <w:numPr>
          <w:ilvl w:val="0"/>
          <w:numId w:val="97"/>
        </w:numPr>
        <w:rPr>
          <w:rFonts w:ascii="Arial" w:cs="Arial" w:eastAsia="Arial" w:hAnsi="Arial"/>
          <w:sz w:val="20"/>
          <w:szCs w:val="20"/>
          <w:color w:val="auto"/>
        </w:rPr>
      </w:pPr>
      <w:r>
        <w:rPr>
          <w:rFonts w:ascii="Arial" w:cs="Arial" w:eastAsia="Arial" w:hAnsi="Arial"/>
          <w:sz w:val="17"/>
          <w:szCs w:val="17"/>
          <w:color w:val="auto"/>
        </w:rPr>
        <w:t>general political and economic conditions; and</w:t>
      </w:r>
    </w:p>
    <w:p>
      <w:pPr>
        <w:spacing w:after="0" w:line="200" w:lineRule="exact"/>
        <w:rPr>
          <w:sz w:val="20"/>
          <w:szCs w:val="20"/>
          <w:color w:val="auto"/>
        </w:rPr>
      </w:pPr>
    </w:p>
    <w:p>
      <w:pPr>
        <w:spacing w:after="0" w:line="311" w:lineRule="exact"/>
        <w:rPr>
          <w:sz w:val="20"/>
          <w:szCs w:val="20"/>
          <w:color w:val="auto"/>
        </w:rPr>
      </w:pPr>
    </w:p>
    <w:p>
      <w:pPr>
        <w:ind w:left="4462"/>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65405</wp:posOffset>
            </wp:positionV>
            <wp:extent cx="716534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042"/>
          </w:cols>
          <w:pgMar w:left="1398" w:top="955" w:right="459" w:bottom="1440" w:gutter="0" w:footer="0" w:header="0"/>
        </w:sectPr>
      </w:pPr>
    </w:p>
    <w:bookmarkStart w:id="68" w:name="page69"/>
    <w:bookmarkEnd w:id="68"/>
    <w:p>
      <w:pPr>
        <w:ind w:left="2140" w:hanging="1062"/>
        <w:spacing w:after="0"/>
        <w:tabs>
          <w:tab w:leader="none" w:pos="2140" w:val="left"/>
        </w:tabs>
        <w:numPr>
          <w:ilvl w:val="0"/>
          <w:numId w:val="98"/>
        </w:numPr>
        <w:rPr>
          <w:rFonts w:ascii="Arial" w:cs="Arial" w:eastAsia="Arial" w:hAnsi="Arial"/>
          <w:sz w:val="20"/>
          <w:szCs w:val="20"/>
          <w:color w:val="auto"/>
        </w:rPr>
      </w:pPr>
      <w:r>
        <w:rPr>
          <w:rFonts w:ascii="Arial" w:cs="Arial" w:eastAsia="Arial" w:hAnsi="Arial"/>
          <w:sz w:val="17"/>
          <w:szCs w:val="17"/>
          <w:color w:val="auto"/>
        </w:rPr>
        <w:t>other events or factors, many of which are beyond our control.</w:t>
      </w:r>
    </w:p>
    <w:p>
      <w:pPr>
        <w:spacing w:after="0" w:line="90" w:lineRule="exact"/>
        <w:rPr>
          <w:sz w:val="20"/>
          <w:szCs w:val="20"/>
          <w:color w:val="auto"/>
        </w:rPr>
      </w:pPr>
    </w:p>
    <w:p>
      <w:pPr>
        <w:ind w:firstLine="917"/>
        <w:spacing w:after="0" w:line="275" w:lineRule="auto"/>
        <w:rPr>
          <w:sz w:val="20"/>
          <w:szCs w:val="20"/>
          <w:color w:val="auto"/>
        </w:rPr>
      </w:pPr>
      <w:r>
        <w:rPr>
          <w:rFonts w:ascii="Arial" w:cs="Arial" w:eastAsia="Arial" w:hAnsi="Arial"/>
          <w:sz w:val="16"/>
          <w:szCs w:val="16"/>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10" w:lineRule="exact"/>
        <w:rPr>
          <w:sz w:val="20"/>
          <w:szCs w:val="20"/>
          <w:color w:val="auto"/>
        </w:rPr>
      </w:pPr>
    </w:p>
    <w:p>
      <w:pPr>
        <w:jc w:val="both"/>
        <w:ind w:right="200" w:firstLine="917"/>
        <w:spacing w:after="0" w:line="258"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76" w:lineRule="exact"/>
        <w:rPr>
          <w:sz w:val="20"/>
          <w:szCs w:val="20"/>
          <w:color w:val="auto"/>
        </w:rPr>
      </w:pPr>
    </w:p>
    <w:p>
      <w:pPr>
        <w:ind w:right="320" w:firstLine="917"/>
        <w:spacing w:after="0" w:line="274" w:lineRule="auto"/>
        <w:rPr>
          <w:sz w:val="20"/>
          <w:szCs w:val="20"/>
          <w:color w:val="auto"/>
        </w:rPr>
      </w:pPr>
      <w:r>
        <w:rPr>
          <w:rFonts w:ascii="Arial" w:cs="Arial" w:eastAsia="Arial" w:hAnsi="Arial"/>
          <w:sz w:val="17"/>
          <w:szCs w:val="17"/>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63" w:lineRule="exact"/>
        <w:rPr>
          <w:sz w:val="20"/>
          <w:szCs w:val="20"/>
          <w:color w:val="auto"/>
        </w:rPr>
      </w:pPr>
    </w:p>
    <w:p>
      <w:pPr>
        <w:ind w:right="40" w:firstLine="917"/>
        <w:spacing w:after="0" w:line="275" w:lineRule="auto"/>
        <w:rPr>
          <w:sz w:val="20"/>
          <w:szCs w:val="20"/>
          <w:color w:val="auto"/>
        </w:rPr>
      </w:pPr>
      <w:r>
        <w:rPr>
          <w:rFonts w:ascii="Arial" w:cs="Arial" w:eastAsia="Arial" w:hAnsi="Arial"/>
          <w:sz w:val="16"/>
          <w:szCs w:val="16"/>
          <w:color w:val="auto"/>
        </w:rPr>
        <w:t>Based on shares outstanding as of March 31, 2022, our executive officers, directors and their affiliates and our principal stockholders beneficially held, in the aggregate, approximately a quarter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If there are substantial sales of shares of our common stock, the price of our common stock could decline.</w:t>
      </w:r>
    </w:p>
    <w:p>
      <w:pPr>
        <w:spacing w:after="0" w:line="110" w:lineRule="exact"/>
        <w:rPr>
          <w:sz w:val="20"/>
          <w:szCs w:val="20"/>
          <w:color w:val="auto"/>
        </w:rPr>
      </w:pPr>
    </w:p>
    <w:p>
      <w:pPr>
        <w:ind w:firstLine="917"/>
        <w:spacing w:after="0" w:line="290" w:lineRule="auto"/>
        <w:rPr>
          <w:sz w:val="20"/>
          <w:szCs w:val="20"/>
          <w:color w:val="auto"/>
        </w:rPr>
      </w:pPr>
      <w:r>
        <w:rPr>
          <w:rFonts w:ascii="Arial" w:cs="Arial" w:eastAsia="Arial" w:hAnsi="Arial"/>
          <w:sz w:val="15"/>
          <w:szCs w:val="15"/>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60" w:lineRule="exact"/>
        <w:rPr>
          <w:sz w:val="20"/>
          <w:szCs w:val="20"/>
          <w:color w:val="auto"/>
        </w:rPr>
      </w:pPr>
    </w:p>
    <w:p>
      <w:pPr>
        <w:ind w:right="100" w:firstLine="917"/>
        <w:spacing w:after="0" w:line="256" w:lineRule="auto"/>
        <w:rPr>
          <w:sz w:val="20"/>
          <w:szCs w:val="20"/>
          <w:color w:val="auto"/>
        </w:rPr>
      </w:pPr>
      <w:r>
        <w:rPr>
          <w:rFonts w:ascii="Arial" w:cs="Arial" w:eastAsia="Arial" w:hAnsi="Arial"/>
          <w:sz w:val="17"/>
          <w:szCs w:val="17"/>
          <w:color w:val="auto"/>
        </w:rPr>
        <w:t>The holders of a significant number of shares of our common stock are entitled to rights with respect to the registration of their shares under the Securities Act of 1933, as amended, or the Securities Act, as provided under the terms of an investors’ rights agreement between us and certain of our stockholders.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perception that such sales could occur, could have a material adverse effect on the trading price of our common stock.</w:t>
      </w:r>
    </w:p>
    <w:p>
      <w:pPr>
        <w:spacing w:after="0" w:line="78" w:lineRule="exact"/>
        <w:rPr>
          <w:sz w:val="20"/>
          <w:szCs w:val="20"/>
          <w:color w:val="auto"/>
        </w:rPr>
      </w:pPr>
    </w:p>
    <w:p>
      <w:pPr>
        <w:ind w:right="160" w:firstLine="917"/>
        <w:spacing w:after="0" w:line="306"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0" w:lineRule="exact"/>
        <w:rPr>
          <w:sz w:val="20"/>
          <w:szCs w:val="20"/>
          <w:color w:val="auto"/>
        </w:rPr>
      </w:pPr>
    </w:p>
    <w:p>
      <w:pPr>
        <w:ind w:right="120" w:firstLine="917"/>
        <w:spacing w:after="0" w:line="274" w:lineRule="auto"/>
        <w:rPr>
          <w:sz w:val="20"/>
          <w:szCs w:val="20"/>
          <w:color w:val="auto"/>
        </w:rPr>
      </w:pPr>
      <w:r>
        <w:rPr>
          <w:rFonts w:ascii="Arial" w:cs="Arial" w:eastAsia="Arial" w:hAnsi="Arial"/>
          <w:sz w:val="17"/>
          <w:szCs w:val="17"/>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101" w:lineRule="exact"/>
        <w:rPr>
          <w:sz w:val="20"/>
          <w:szCs w:val="20"/>
          <w:color w:val="auto"/>
        </w:rPr>
      </w:pPr>
    </w:p>
    <w:p>
      <w:pPr>
        <w:ind w:left="2140" w:right="440" w:hanging="1062"/>
        <w:spacing w:after="0" w:line="236" w:lineRule="auto"/>
        <w:tabs>
          <w:tab w:leader="none" w:pos="2135" w:val="left"/>
        </w:tabs>
        <w:numPr>
          <w:ilvl w:val="0"/>
          <w:numId w:val="99"/>
        </w:numPr>
        <w:rPr>
          <w:rFonts w:ascii="Arial" w:cs="Arial" w:eastAsia="Arial" w:hAnsi="Arial"/>
          <w:sz w:val="20"/>
          <w:szCs w:val="20"/>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129" w:lineRule="exact"/>
        <w:rPr>
          <w:sz w:val="20"/>
          <w:szCs w:val="20"/>
          <w:color w:val="auto"/>
        </w:rPr>
      </w:pPr>
    </w:p>
    <w:p>
      <w:pPr>
        <w:ind w:left="2140" w:right="180" w:hanging="1062"/>
        <w:spacing w:after="0" w:line="236" w:lineRule="auto"/>
        <w:tabs>
          <w:tab w:leader="none" w:pos="2135" w:val="left"/>
        </w:tabs>
        <w:numPr>
          <w:ilvl w:val="0"/>
          <w:numId w:val="100"/>
        </w:numPr>
        <w:rPr>
          <w:rFonts w:ascii="Arial" w:cs="Arial" w:eastAsia="Arial" w:hAnsi="Arial"/>
          <w:sz w:val="20"/>
          <w:szCs w:val="20"/>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69" w:name="page70"/>
    <w:bookmarkEnd w:id="69"/>
    <w:p>
      <w:pPr>
        <w:ind w:left="2140" w:right="120" w:hanging="1062"/>
        <w:spacing w:after="0" w:line="236" w:lineRule="auto"/>
        <w:tabs>
          <w:tab w:leader="none" w:pos="2135" w:val="left"/>
        </w:tabs>
        <w:numPr>
          <w:ilvl w:val="0"/>
          <w:numId w:val="101"/>
        </w:numPr>
        <w:rPr>
          <w:rFonts w:ascii="Arial" w:cs="Arial" w:eastAsia="Arial" w:hAnsi="Arial"/>
          <w:sz w:val="20"/>
          <w:szCs w:val="20"/>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114" w:lineRule="exact"/>
        <w:rPr>
          <w:sz w:val="20"/>
          <w:szCs w:val="20"/>
          <w:color w:val="auto"/>
        </w:rPr>
      </w:pPr>
    </w:p>
    <w:p>
      <w:pPr>
        <w:ind w:left="2140" w:hanging="1062"/>
        <w:spacing w:after="0"/>
        <w:tabs>
          <w:tab w:leader="none" w:pos="2140" w:val="left"/>
        </w:tabs>
        <w:numPr>
          <w:ilvl w:val="0"/>
          <w:numId w:val="102"/>
        </w:numPr>
        <w:rPr>
          <w:rFonts w:ascii="Arial" w:cs="Arial" w:eastAsia="Arial" w:hAnsi="Arial"/>
          <w:sz w:val="20"/>
          <w:szCs w:val="20"/>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29" w:lineRule="exact"/>
        <w:rPr>
          <w:sz w:val="20"/>
          <w:szCs w:val="20"/>
          <w:color w:val="auto"/>
        </w:rPr>
      </w:pPr>
    </w:p>
    <w:p>
      <w:pPr>
        <w:ind w:left="2140" w:right="80" w:hanging="1062"/>
        <w:spacing w:after="0" w:line="241" w:lineRule="auto"/>
        <w:tabs>
          <w:tab w:leader="none" w:pos="2135" w:val="left"/>
        </w:tabs>
        <w:numPr>
          <w:ilvl w:val="0"/>
          <w:numId w:val="103"/>
        </w:numPr>
        <w:rPr>
          <w:rFonts w:ascii="Arial" w:cs="Arial" w:eastAsia="Arial" w:hAnsi="Arial"/>
          <w:sz w:val="20"/>
          <w:szCs w:val="20"/>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28" w:lineRule="exact"/>
        <w:rPr>
          <w:sz w:val="20"/>
          <w:szCs w:val="20"/>
          <w:color w:val="auto"/>
        </w:rPr>
      </w:pPr>
    </w:p>
    <w:p>
      <w:pPr>
        <w:ind w:left="2140" w:right="780" w:hanging="1062"/>
        <w:spacing w:after="0" w:line="236" w:lineRule="auto"/>
        <w:tabs>
          <w:tab w:leader="none" w:pos="2135" w:val="left"/>
        </w:tabs>
        <w:numPr>
          <w:ilvl w:val="0"/>
          <w:numId w:val="104"/>
        </w:numPr>
        <w:rPr>
          <w:rFonts w:ascii="Arial" w:cs="Arial" w:eastAsia="Arial" w:hAnsi="Arial"/>
          <w:sz w:val="20"/>
          <w:szCs w:val="20"/>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129" w:lineRule="exact"/>
        <w:rPr>
          <w:sz w:val="20"/>
          <w:szCs w:val="20"/>
          <w:color w:val="auto"/>
        </w:rPr>
      </w:pPr>
    </w:p>
    <w:p>
      <w:pPr>
        <w:ind w:left="2140" w:right="360" w:hanging="1062"/>
        <w:spacing w:after="0" w:line="261" w:lineRule="auto"/>
        <w:tabs>
          <w:tab w:leader="none" w:pos="2135" w:val="left"/>
        </w:tabs>
        <w:numPr>
          <w:ilvl w:val="0"/>
          <w:numId w:val="105"/>
        </w:numPr>
        <w:rPr>
          <w:rFonts w:ascii="Arial" w:cs="Arial" w:eastAsia="Arial" w:hAnsi="Arial"/>
          <w:sz w:val="19"/>
          <w:szCs w:val="19"/>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72" w:lineRule="exact"/>
        <w:rPr>
          <w:sz w:val="20"/>
          <w:szCs w:val="20"/>
          <w:color w:val="auto"/>
        </w:rPr>
      </w:pPr>
    </w:p>
    <w:p>
      <w:pPr>
        <w:ind w:right="20" w:firstLine="917"/>
        <w:spacing w:after="0" w:line="27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07" w:lineRule="exact"/>
        <w:rPr>
          <w:sz w:val="20"/>
          <w:szCs w:val="20"/>
          <w:color w:val="auto"/>
        </w:rPr>
      </w:pPr>
    </w:p>
    <w:p>
      <w:pPr>
        <w:ind w:right="140" w:firstLine="917"/>
        <w:spacing w:after="0" w:line="321" w:lineRule="auto"/>
        <w:rPr>
          <w:sz w:val="20"/>
          <w:szCs w:val="20"/>
          <w:color w:val="auto"/>
        </w:rPr>
      </w:pPr>
      <w:r>
        <w:rPr>
          <w:rFonts w:ascii="Arial" w:cs="Arial" w:eastAsia="Arial" w:hAnsi="Arial"/>
          <w:sz w:val="17"/>
          <w:szCs w:val="17"/>
          <w:b w:val="1"/>
          <w:bCs w:val="1"/>
          <w:i w:val="1"/>
          <w:iCs w:val="1"/>
          <w:color w:val="231F20"/>
        </w:rPr>
        <w:t>Our bylaws designate certain courts as the exclusive forum for certain litigation that may be initiated by our stockholders, which could limit our stockholders’ ability to litigate disputes with us in a different judicial forum.</w:t>
      </w:r>
    </w:p>
    <w:p>
      <w:pPr>
        <w:spacing w:after="0" w:line="25" w:lineRule="exact"/>
        <w:rPr>
          <w:sz w:val="20"/>
          <w:szCs w:val="20"/>
          <w:color w:val="auto"/>
        </w:rPr>
      </w:pPr>
    </w:p>
    <w:p>
      <w:pPr>
        <w:ind w:firstLine="917"/>
        <w:spacing w:after="0" w:line="269" w:lineRule="auto"/>
        <w:rPr>
          <w:sz w:val="20"/>
          <w:szCs w:val="20"/>
          <w:color w:val="auto"/>
        </w:rPr>
      </w:pPr>
      <w:r>
        <w:rPr>
          <w:rFonts w:ascii="Arial" w:cs="Arial" w:eastAsia="Arial" w:hAnsi="Arial"/>
          <w:sz w:val="16"/>
          <w:szCs w:val="16"/>
          <w:color w:val="231F20"/>
        </w:rPr>
        <w:t>P</w:t>
      </w:r>
      <w:r>
        <w:rPr>
          <w:rFonts w:ascii="Arial" w:cs="Arial" w:eastAsia="Arial" w:hAnsi="Arial"/>
          <w:sz w:val="16"/>
          <w:szCs w:val="16"/>
          <w:color w:val="000000"/>
        </w:rPr>
        <w:t>ursuant to our bylaws, unless we consent in writing to the selection of an alternative forum, the Court of Chancery of the State of Delaware will be the</w:t>
      </w:r>
      <w:r>
        <w:rPr>
          <w:rFonts w:ascii="Arial" w:cs="Arial" w:eastAsia="Arial" w:hAnsi="Arial"/>
          <w:sz w:val="16"/>
          <w:szCs w:val="16"/>
          <w:color w:val="231F20"/>
        </w:rPr>
        <w:t xml:space="preserve"> </w:t>
      </w:r>
      <w:r>
        <w:rPr>
          <w:rFonts w:ascii="Arial" w:cs="Arial" w:eastAsia="Arial" w:hAnsi="Arial"/>
          <w:sz w:val="16"/>
          <w:szCs w:val="16"/>
          <w:color w:val="000000"/>
        </w:rPr>
        <w:t>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72" w:lineRule="exact"/>
        <w:rPr>
          <w:sz w:val="20"/>
          <w:szCs w:val="20"/>
          <w:color w:val="auto"/>
        </w:rPr>
      </w:pPr>
    </w:p>
    <w:p>
      <w:pPr>
        <w:ind w:right="60" w:firstLine="917"/>
        <w:spacing w:after="0" w:line="271"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93" w:right="359" w:bottom="1440" w:gutter="0" w:footer="0" w:header="0"/>
        </w:sectPr>
      </w:pPr>
    </w:p>
    <w:bookmarkStart w:id="70" w:name="page71"/>
    <w:bookmarkEnd w:id="70"/>
    <w:p>
      <w:pPr>
        <w:ind w:right="100"/>
        <w:spacing w:after="0" w:line="262" w:lineRule="auto"/>
        <w:rPr>
          <w:sz w:val="20"/>
          <w:szCs w:val="20"/>
          <w:color w:val="auto"/>
        </w:rPr>
      </w:pPr>
      <w:r>
        <w:rPr>
          <w:rFonts w:ascii="Arial" w:cs="Arial" w:eastAsia="Arial" w:hAnsi="Arial"/>
          <w:sz w:val="17"/>
          <w:szCs w:val="17"/>
          <w:color w:val="auto"/>
        </w:rPr>
        <w:t>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3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231F20"/>
        </w:rPr>
        <w:t>General Risk Factors</w:t>
      </w:r>
    </w:p>
    <w:p>
      <w:pPr>
        <w:spacing w:after="0" w:line="152" w:lineRule="exact"/>
        <w:rPr>
          <w:sz w:val="20"/>
          <w:szCs w:val="20"/>
          <w:color w:val="auto"/>
        </w:rPr>
      </w:pPr>
    </w:p>
    <w:p>
      <w:pPr>
        <w:ind w:right="40" w:firstLine="917"/>
        <w:spacing w:after="0" w:line="309" w:lineRule="auto"/>
        <w:rPr>
          <w:sz w:val="20"/>
          <w:szCs w:val="20"/>
          <w:color w:val="auto"/>
        </w:rPr>
      </w:pPr>
      <w:r>
        <w:rPr>
          <w:rFonts w:ascii="Arial" w:cs="Arial" w:eastAsia="Arial" w:hAnsi="Arial"/>
          <w:sz w:val="17"/>
          <w:szCs w:val="17"/>
          <w:b w:val="1"/>
          <w:bCs w:val="1"/>
          <w:i w:val="1"/>
          <w:iCs w:val="1"/>
          <w:color w:val="231F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35" w:lineRule="exact"/>
        <w:rPr>
          <w:sz w:val="20"/>
          <w:szCs w:val="20"/>
          <w:color w:val="auto"/>
        </w:rPr>
      </w:pPr>
    </w:p>
    <w:p>
      <w:pPr>
        <w:ind w:right="120" w:firstLine="917"/>
        <w:spacing w:after="0" w:line="254"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231F20"/>
        </w:rPr>
        <w:t>Our disclosure controls and procedures may not prevent or detect all errors or acts of fraud.</w:t>
      </w:r>
    </w:p>
    <w:p>
      <w:pPr>
        <w:spacing w:after="0" w:line="110"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08" w:lineRule="exact"/>
        <w:rPr>
          <w:sz w:val="20"/>
          <w:szCs w:val="20"/>
          <w:color w:val="auto"/>
        </w:rPr>
      </w:pPr>
    </w:p>
    <w:p>
      <w:pPr>
        <w:ind w:right="20" w:firstLine="917"/>
        <w:spacing w:after="0" w:line="321" w:lineRule="auto"/>
        <w:rPr>
          <w:sz w:val="20"/>
          <w:szCs w:val="20"/>
          <w:color w:val="auto"/>
        </w:rPr>
      </w:pPr>
      <w:r>
        <w:rPr>
          <w:rFonts w:ascii="Arial" w:cs="Arial" w:eastAsia="Arial" w:hAnsi="Arial"/>
          <w:sz w:val="17"/>
          <w:szCs w:val="17"/>
          <w:b w:val="1"/>
          <w:bCs w:val="1"/>
          <w:i w:val="1"/>
          <w:iCs w:val="1"/>
          <w:color w:val="231F20"/>
        </w:rPr>
        <w:t>Our issuance of additional capital stock in connection with financings, acquisitions, investments, our stock incentive plans or otherwise will dilute all other stockholders.</w:t>
      </w:r>
    </w:p>
    <w:p>
      <w:pPr>
        <w:spacing w:after="0" w:line="25" w:lineRule="exact"/>
        <w:rPr>
          <w:sz w:val="20"/>
          <w:szCs w:val="20"/>
          <w:color w:val="auto"/>
        </w:rPr>
      </w:pPr>
    </w:p>
    <w:p>
      <w:pPr>
        <w:ind w:firstLine="917"/>
        <w:spacing w:after="0" w:line="24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continue to grant equity awards to employees, directors, and consultants under our stock incentive plans. We may also raise capital through equity financings in the future, including an "at-the-market" offering pursuant to our Controlled Equity Offering</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Sales Agreement with Cantor Fitzgerald &amp; Co.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28" w:lineRule="exact"/>
        <w:rPr>
          <w:sz w:val="20"/>
          <w:szCs w:val="20"/>
          <w:color w:val="auto"/>
        </w:rPr>
      </w:pPr>
    </w:p>
    <w:p>
      <w:pPr>
        <w:ind w:right="220" w:firstLine="917"/>
        <w:spacing w:after="0" w:line="321" w:lineRule="auto"/>
        <w:rPr>
          <w:sz w:val="20"/>
          <w:szCs w:val="20"/>
          <w:color w:val="auto"/>
        </w:rPr>
      </w:pPr>
      <w:r>
        <w:rPr>
          <w:rFonts w:ascii="Arial" w:cs="Arial" w:eastAsia="Arial" w:hAnsi="Arial"/>
          <w:sz w:val="17"/>
          <w:szCs w:val="17"/>
          <w:b w:val="1"/>
          <w:bCs w:val="1"/>
          <w:i w:val="1"/>
          <w:iCs w:val="1"/>
          <w:color w:val="231F20"/>
        </w:rPr>
        <w:t>If securities or industry analysts do not publish research or publish inaccurate or unfavorable research about our business, our stock price and trading volume could decline.</w:t>
      </w:r>
    </w:p>
    <w:p>
      <w:pPr>
        <w:spacing w:after="0" w:line="25" w:lineRule="exact"/>
        <w:rPr>
          <w:sz w:val="20"/>
          <w:szCs w:val="20"/>
          <w:color w:val="auto"/>
        </w:rPr>
      </w:pPr>
    </w:p>
    <w:p>
      <w:pPr>
        <w:ind w:right="40" w:firstLine="917"/>
        <w:spacing w:after="0" w:line="258"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15" w:lineRule="exact"/>
        <w:rPr>
          <w:sz w:val="20"/>
          <w:szCs w:val="20"/>
          <w:color w:val="auto"/>
        </w:rPr>
      </w:pPr>
    </w:p>
    <w:p>
      <w:pPr>
        <w:ind w:right="220" w:firstLine="917"/>
        <w:spacing w:after="0" w:line="321" w:lineRule="auto"/>
        <w:rPr>
          <w:sz w:val="20"/>
          <w:szCs w:val="20"/>
          <w:color w:val="auto"/>
        </w:rPr>
      </w:pPr>
      <w:r>
        <w:rPr>
          <w:rFonts w:ascii="Arial" w:cs="Arial" w:eastAsia="Arial" w:hAnsi="Arial"/>
          <w:sz w:val="17"/>
          <w:szCs w:val="17"/>
          <w:b w:val="1"/>
          <w:bCs w:val="1"/>
          <w:i w:val="1"/>
          <w:iCs w:val="1"/>
          <w:color w:val="231F20"/>
        </w:rPr>
        <w:t>We incur significant increased costs as a result of operating as a public company, and our management is required to devote substantial time to new compliance initiatives.</w:t>
      </w:r>
    </w:p>
    <w:p>
      <w:pPr>
        <w:spacing w:after="0" w:line="25" w:lineRule="exact"/>
        <w:rPr>
          <w:sz w:val="20"/>
          <w:szCs w:val="20"/>
          <w:color w:val="auto"/>
        </w:rPr>
      </w:pPr>
    </w:p>
    <w:p>
      <w:pPr>
        <w:ind w:right="60" w:firstLine="917"/>
        <w:spacing w:after="0" w:line="258" w:lineRule="auto"/>
        <w:rPr>
          <w:sz w:val="20"/>
          <w:szCs w:val="20"/>
          <w:color w:val="auto"/>
        </w:rPr>
      </w:pPr>
      <w:r>
        <w:rPr>
          <w:rFonts w:ascii="Arial" w:cs="Arial" w:eastAsia="Arial" w:hAnsi="Arial"/>
          <w:sz w:val="17"/>
          <w:szCs w:val="17"/>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1" w:name="page72"/>
    <w:bookmarkEnd w:id="71"/>
    <w:p>
      <w:pPr>
        <w:ind w:right="40"/>
        <w:spacing w:after="0" w:line="298" w:lineRule="auto"/>
        <w:rPr>
          <w:sz w:val="20"/>
          <w:szCs w:val="20"/>
          <w:color w:val="auto"/>
        </w:rPr>
      </w:pPr>
      <w:r>
        <w:rPr>
          <w:rFonts w:ascii="Arial" w:cs="Arial" w:eastAsia="Arial" w:hAnsi="Arial"/>
          <w:sz w:val="15"/>
          <w:szCs w:val="15"/>
          <w:color w:val="auto"/>
        </w:rPr>
        <w:t>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50" w:lineRule="exact"/>
        <w:rPr>
          <w:sz w:val="20"/>
          <w:szCs w:val="20"/>
          <w:color w:val="auto"/>
        </w:rPr>
      </w:pPr>
    </w:p>
    <w:p>
      <w:pPr>
        <w:ind w:firstLine="917"/>
        <w:spacing w:after="0" w:line="271"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particularly as we ceased to be an emerging growth company on December 31, 2021.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08" w:lineRule="exact"/>
        <w:rPr>
          <w:sz w:val="20"/>
          <w:szCs w:val="20"/>
          <w:color w:val="auto"/>
        </w:rPr>
      </w:pPr>
    </w:p>
    <w:p>
      <w:pPr>
        <w:ind w:right="300" w:firstLine="917"/>
        <w:spacing w:after="0" w:line="321" w:lineRule="auto"/>
        <w:rPr>
          <w:sz w:val="20"/>
          <w:szCs w:val="20"/>
          <w:color w:val="auto"/>
        </w:rPr>
      </w:pPr>
      <w:r>
        <w:rPr>
          <w:rFonts w:ascii="Arial" w:cs="Arial" w:eastAsia="Arial" w:hAnsi="Arial"/>
          <w:sz w:val="17"/>
          <w:szCs w:val="17"/>
          <w:b w:val="1"/>
          <w:bCs w:val="1"/>
          <w:i w:val="1"/>
          <w:iCs w:val="1"/>
          <w:color w:val="231F20"/>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25" w:lineRule="exact"/>
        <w:rPr>
          <w:sz w:val="20"/>
          <w:szCs w:val="20"/>
          <w:color w:val="auto"/>
        </w:rPr>
      </w:pPr>
    </w:p>
    <w:p>
      <w:pPr>
        <w:ind w:right="120" w:firstLine="917"/>
        <w:spacing w:after="0" w:line="267" w:lineRule="auto"/>
        <w:rPr>
          <w:sz w:val="20"/>
          <w:szCs w:val="20"/>
          <w:color w:val="auto"/>
        </w:rPr>
      </w:pPr>
      <w:r>
        <w:rPr>
          <w:rFonts w:ascii="Arial" w:cs="Arial" w:eastAsia="Arial" w:hAnsi="Arial"/>
          <w:sz w:val="16"/>
          <w:szCs w:val="16"/>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5" w:lineRule="exact"/>
        <w:rPr>
          <w:sz w:val="20"/>
          <w:szCs w:val="20"/>
          <w:color w:val="auto"/>
        </w:rPr>
      </w:pPr>
    </w:p>
    <w:p>
      <w:pPr>
        <w:ind w:firstLine="917"/>
        <w:spacing w:after="0" w:line="250" w:lineRule="auto"/>
        <w:rPr>
          <w:sz w:val="20"/>
          <w:szCs w:val="20"/>
          <w:color w:val="auto"/>
        </w:rPr>
      </w:pPr>
      <w:r>
        <w:rPr>
          <w:rFonts w:ascii="Arial" w:cs="Arial" w:eastAsia="Arial" w:hAnsi="Arial"/>
          <w:sz w:val="16"/>
          <w:szCs w:val="16"/>
          <w:color w:val="auto"/>
        </w:rPr>
        <w:t>Numerous federal and state laws and regulations, including HIPAA and HITECH, which enhanced the privacy, security and enforcement provisions of HIPAA by, among other things, establishing security breach notification requirements,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Additionally, on December 10, 2020, OCR issued a proposed rule aimed at strengthening individuals’ rights to access their own health information, as well as reducing administrative burdens on HIPAA covered health care providers and health plans, among other changes. While a final rule has not yet been issued, if adopted, these proposed changes may require us to update our HIPAA policies and procedures to comply with the new requirements.</w:t>
      </w:r>
    </w:p>
    <w:p>
      <w:pPr>
        <w:spacing w:after="0" w:line="79" w:lineRule="exact"/>
        <w:rPr>
          <w:sz w:val="20"/>
          <w:szCs w:val="20"/>
          <w:color w:val="auto"/>
        </w:rPr>
      </w:pPr>
    </w:p>
    <w:p>
      <w:pPr>
        <w:ind w:right="20" w:firstLine="917"/>
        <w:spacing w:after="0" w:line="279" w:lineRule="auto"/>
        <w:rPr>
          <w:sz w:val="20"/>
          <w:szCs w:val="20"/>
          <w:color w:val="auto"/>
        </w:rPr>
      </w:pPr>
      <w:r>
        <w:rPr>
          <w:rFonts w:ascii="Arial" w:cs="Arial" w:eastAsia="Arial" w:hAnsi="Arial"/>
          <w:sz w:val="16"/>
          <w:szCs w:val="16"/>
          <w:color w:val="auto"/>
        </w:rPr>
        <w:t>California passed the California Consumer Protection Act of 2018, or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Failure to comply with the CCPA risks regulatory fines, and the CCPA grants a private right of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2" w:name="page73"/>
    <w:bookmarkEnd w:id="72"/>
    <w:p>
      <w:pPr>
        <w:spacing w:after="0" w:line="298" w:lineRule="auto"/>
        <w:rPr>
          <w:sz w:val="20"/>
          <w:szCs w:val="20"/>
          <w:color w:val="auto"/>
        </w:rPr>
      </w:pPr>
      <w:r>
        <w:rPr>
          <w:rFonts w:ascii="Arial" w:cs="Arial" w:eastAsia="Arial" w:hAnsi="Arial"/>
          <w:sz w:val="15"/>
          <w:szCs w:val="15"/>
          <w:color w:val="auto"/>
        </w:rPr>
        <w:t>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How this HIPAA exception is enforced and interpreted may also impact our business activities. Additionally, this exception does not apply to the private cause of action afforded to individuals for information security incidents.</w:t>
      </w:r>
    </w:p>
    <w:p>
      <w:pPr>
        <w:spacing w:after="0" w:line="50" w:lineRule="exact"/>
        <w:rPr>
          <w:sz w:val="20"/>
          <w:szCs w:val="20"/>
          <w:color w:val="auto"/>
        </w:rPr>
      </w:pPr>
    </w:p>
    <w:p>
      <w:pPr>
        <w:ind w:firstLine="917"/>
        <w:spacing w:after="0" w:line="254" w:lineRule="auto"/>
        <w:rPr>
          <w:sz w:val="20"/>
          <w:szCs w:val="20"/>
          <w:color w:val="auto"/>
        </w:rPr>
      </w:pPr>
      <w:r>
        <w:rPr>
          <w:rFonts w:ascii="Arial" w:cs="Arial" w:eastAsia="Arial" w:hAnsi="Arial"/>
          <w:sz w:val="17"/>
          <w:szCs w:val="17"/>
          <w:color w:val="auto"/>
        </w:rPr>
        <w:t>In addition, the CCPA will be expanded on January 1, 2023, when the California Privacy Rights Act of 2020, or the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spacing w:after="0" w:line="80" w:lineRule="exact"/>
        <w:rPr>
          <w:sz w:val="20"/>
          <w:szCs w:val="20"/>
          <w:color w:val="auto"/>
        </w:rPr>
      </w:pPr>
    </w:p>
    <w:p>
      <w:pPr>
        <w:ind w:firstLine="917"/>
        <w:spacing w:after="0" w:line="301" w:lineRule="auto"/>
        <w:rPr>
          <w:sz w:val="20"/>
          <w:szCs w:val="20"/>
          <w:color w:val="auto"/>
        </w:rPr>
      </w:pPr>
      <w:r>
        <w:rPr>
          <w:rFonts w:ascii="Arial" w:cs="Arial" w:eastAsia="Arial" w:hAnsi="Arial"/>
          <w:sz w:val="15"/>
          <w:szCs w:val="15"/>
          <w:color w:val="auto"/>
        </w:rPr>
        <w:t>The CCPA and CPRA could mark the beginning of a trend toward more stringent privacy legislation in the United States, as other states or the federal government may follow California’s lead and increase protections for U.S. residents. For example, on March 2, 2021, the Virginia Consumer Data Protection Act, which will take effect on January 1, 2023, was signed into law and on July 8, 2021, the Colorado Privacy Act, which will take effect on July 1, 2023, was signed into</w:t>
      </w:r>
    </w:p>
    <w:p>
      <w:pPr>
        <w:spacing w:after="0" w:line="262" w:lineRule="auto"/>
        <w:rPr>
          <w:sz w:val="20"/>
          <w:szCs w:val="20"/>
          <w:color w:val="auto"/>
        </w:rPr>
      </w:pPr>
      <w:r>
        <w:rPr>
          <w:rFonts w:ascii="Arial" w:cs="Arial" w:eastAsia="Arial" w:hAnsi="Arial"/>
          <w:sz w:val="17"/>
          <w:szCs w:val="17"/>
          <w:color w:val="auto"/>
        </w:rPr>
        <w:t>law. On September 18, 2021, the Uniform Law Commission published the Uniform Personal Data Protection Act, which states may begin to adopt.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73" w:lineRule="exact"/>
        <w:rPr>
          <w:sz w:val="20"/>
          <w:szCs w:val="20"/>
          <w:color w:val="auto"/>
        </w:rPr>
      </w:pPr>
    </w:p>
    <w:p>
      <w:pPr>
        <w:ind w:firstLine="917"/>
        <w:spacing w:after="0" w:line="293" w:lineRule="auto"/>
        <w:rPr>
          <w:sz w:val="20"/>
          <w:szCs w:val="20"/>
          <w:color w:val="auto"/>
        </w:rPr>
      </w:pPr>
      <w:r>
        <w:rPr>
          <w:rFonts w:ascii="Arial" w:cs="Arial" w:eastAsia="Arial" w:hAnsi="Arial"/>
          <w:sz w:val="15"/>
          <w:szCs w:val="15"/>
          <w:color w:val="auto"/>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w:t>
      </w:r>
    </w:p>
    <w:p>
      <w:pPr>
        <w:spacing w:after="0" w:line="54" w:lineRule="exact"/>
        <w:rPr>
          <w:sz w:val="20"/>
          <w:szCs w:val="20"/>
          <w:color w:val="auto"/>
        </w:rPr>
      </w:pPr>
    </w:p>
    <w:p>
      <w:pPr>
        <w:ind w:firstLine="917"/>
        <w:spacing w:after="0" w:line="270" w:lineRule="auto"/>
        <w:rPr>
          <w:sz w:val="20"/>
          <w:szCs w:val="20"/>
          <w:color w:val="auto"/>
        </w:rPr>
      </w:pPr>
      <w:r>
        <w:rPr>
          <w:rFonts w:ascii="Arial" w:cs="Arial" w:eastAsia="Arial" w:hAnsi="Arial"/>
          <w:sz w:val="16"/>
          <w:szCs w:val="16"/>
          <w:color w:val="auto"/>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 in partnership with the Healthcare and Public Health Sector Coordinating Council, recently issued cybersecurity guidelines for healthcare organizations that reflect consensus-based, voluntary practices to cost-effectively reduce cybersecurity risks for organizations of varying sizes. Although these HHS-backed guidelines, entitled “Health Industry Cybersecurity Practices: Managing Threats and Protecting Patients,” are voluntary, they are likely to serve as an important reference point for the healthcare industry, and may cause us to invest additional resources in technology, personnel and programmatic cybersecurity controls as the cybersecurity risks we face continue to evolve.</w:t>
      </w:r>
    </w:p>
    <w:p>
      <w:pPr>
        <w:spacing w:after="0" w:line="73" w:lineRule="exact"/>
        <w:rPr>
          <w:sz w:val="20"/>
          <w:szCs w:val="20"/>
          <w:color w:val="auto"/>
        </w:rPr>
      </w:pPr>
    </w:p>
    <w:p>
      <w:pPr>
        <w:ind w:right="20" w:firstLine="917"/>
        <w:spacing w:after="0" w:line="253" w:lineRule="auto"/>
        <w:rPr>
          <w:sz w:val="20"/>
          <w:szCs w:val="20"/>
          <w:color w:val="auto"/>
        </w:rPr>
      </w:pPr>
      <w:r>
        <w:rPr>
          <w:rFonts w:ascii="Arial" w:cs="Arial" w:eastAsia="Arial" w:hAnsi="Arial"/>
          <w:sz w:val="17"/>
          <w:szCs w:val="17"/>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73" w:name="page74"/>
    <w:bookmarkEnd w:id="73"/>
    <w:p>
      <w:pPr>
        <w:ind w:right="40" w:firstLine="917"/>
        <w:spacing w:after="0" w:line="269" w:lineRule="auto"/>
        <w:rPr>
          <w:sz w:val="20"/>
          <w:szCs w:val="20"/>
          <w:color w:val="auto"/>
        </w:rPr>
      </w:pPr>
      <w:r>
        <w:rPr>
          <w:rFonts w:ascii="Arial" w:cs="Arial" w:eastAsia="Arial" w:hAnsi="Arial"/>
          <w:sz w:val="16"/>
          <w:szCs w:val="16"/>
          <w:color w:val="auto"/>
        </w:rPr>
        <w:t>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The General Data Protection Regulation, (EU) 2016/679, or EU GDPR, became effective on May 25, 2018, and deals with the collection, use, storage, disclosure, transfer or other processing of personal data, including personal health data, regarding individuals in the EEA. The EU GDPR imposes a broad range of strict requirements on companies subject to the EU GDPR, including requirements relating to having legal bases for processing personal data (i.e., data relating to identifiable individuals) and transferring such personal data outside the EEA, including to the United States, and providing details to those individuals regarding the processing of their personal data, keeping personal data secure, having data processing agreements with third parties who process personal data on our behalf,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Further, national laws of member states of the EU may partially deviate from the EU GDPR and impose different obligations from country to country, so that we do not expect to operate in a uniform legal landscape in the EEA. In particular, as it relates to processing and transfer of genetic data and health data, the EU GDPR specifically allows national laws to impose additional and more specific requirements or restrictions, and European laws have historically differed quite substantially in this field, leading to additional uncertainty.</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EU GDPR increases substantially the penalties to which we could be subject in the event of any non-compliance, including fines of up to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€10,000,000 or up to 2% of our total worldwide annual turnover for certain comparatively minor offenses, or up to €20,000,000 or up to 4% of our total worldwide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annual turnover, whichever is greater, for more serious offenses. The EU GDPR also confers a private right of action on data subjects and consumer associations to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lodge complaints with supervisory authorities, seek judicial remedies, and obtain compensation for damages resulting from violations of the EU GDPR. If our efforts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to comply with EU GDPR or other applicable EU laws and regulations are not successful, or are perceived to be unsuccessful, it could adversely affect our business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 the EU.</w:t>
      </w:r>
    </w:p>
    <w:p>
      <w:pPr>
        <w:spacing w:after="0" w:line="99" w:lineRule="exact"/>
        <w:rPr>
          <w:sz w:val="20"/>
          <w:szCs w:val="20"/>
          <w:color w:val="auto"/>
        </w:rPr>
      </w:pPr>
    </w:p>
    <w:p>
      <w:pPr>
        <w:ind w:right="20" w:firstLine="917"/>
        <w:spacing w:after="0" w:line="301" w:lineRule="auto"/>
        <w:rPr>
          <w:sz w:val="20"/>
          <w:szCs w:val="20"/>
          <w:color w:val="auto"/>
        </w:rPr>
      </w:pPr>
      <w:r>
        <w:rPr>
          <w:rFonts w:ascii="Arial" w:cs="Arial" w:eastAsia="Arial" w:hAnsi="Arial"/>
          <w:sz w:val="15"/>
          <w:szCs w:val="15"/>
          <w:color w:val="auto"/>
        </w:rPr>
        <w:t>The EU GDPR also prohibits the transfer of personal data from the EEA to the United States and most other countries that are not recognized as having “adequate” data protection laws by the European Commission unless the parties to the transfer have implemented specific safeguards to protect the transferred personal data. One of the primary safeguards allowing U.S. companies to import personal data from the EEA has been certification to the EU-U.S. Privacy Shield</w:t>
      </w:r>
    </w:p>
    <w:p>
      <w:pPr>
        <w:ind w:right="60"/>
        <w:spacing w:after="0" w:line="271" w:lineRule="auto"/>
        <w:rPr>
          <w:sz w:val="20"/>
          <w:szCs w:val="20"/>
          <w:color w:val="auto"/>
        </w:rPr>
      </w:pPr>
      <w:r>
        <w:rPr>
          <w:rFonts w:ascii="Arial" w:cs="Arial" w:eastAsia="Arial" w:hAnsi="Arial"/>
          <w:sz w:val="16"/>
          <w:szCs w:val="16"/>
          <w:color w:val="auto"/>
        </w:rPr>
        <w:t>framework administered by the U.S. Department of Commerce. However, the European Court of Justice, or the ECJ, issued a decision in July 2020 which invalidated the EU-U.S. Privacy Shield framework for international transfers (Schrems II) and imposed further restrictions on the use of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the SCCs will need to be implemented to ensure an essentially equivalent level of data protection to that afforded in the EU. Following that decision, the Swiss Federal Data Protection and Information Commissioner (FDPIC) took a similar view and considered that data transfers based on the Swiss-U.S. Privacy Shield framework are no longer lawful (despite the fact that Schrems II is not directly applicable in Switzerland (unless the Swiss based company is subject to the EU GDPR) and the Swiss-U.S. Privacy Shield has not been officially invalidated).</w:t>
      </w:r>
    </w:p>
    <w:p>
      <w:pPr>
        <w:spacing w:after="0" w:line="70" w:lineRule="exact"/>
        <w:rPr>
          <w:sz w:val="20"/>
          <w:szCs w:val="20"/>
          <w:color w:val="auto"/>
        </w:rPr>
      </w:pPr>
    </w:p>
    <w:p>
      <w:pPr>
        <w:ind w:right="120" w:firstLine="917"/>
        <w:spacing w:after="0" w:line="258" w:lineRule="auto"/>
        <w:rPr>
          <w:sz w:val="20"/>
          <w:szCs w:val="20"/>
          <w:color w:val="auto"/>
        </w:rPr>
      </w:pPr>
      <w:r>
        <w:rPr>
          <w:rFonts w:ascii="Arial" w:cs="Arial" w:eastAsia="Arial" w:hAnsi="Arial"/>
          <w:sz w:val="17"/>
          <w:szCs w:val="17"/>
          <w:color w:val="auto"/>
        </w:rPr>
        <w:t>Further, the European Commission recently published new EU SCCs, which place onerous obligations on the contracting parties. At present, there are few, if any, viable alternatives to the SCCs. These developments could restrict our activities in the EEA/Switzerland, limit our ability to provide our products and services in the EEA/Switzerland, and/or increase our costs and obligations and impose limitations upon our ability to efficiently transfer personal data from the EEA/Switzerland to the United States.</w:t>
      </w:r>
    </w:p>
    <w:p>
      <w:pPr>
        <w:spacing w:after="0" w:line="76" w:lineRule="exact"/>
        <w:rPr>
          <w:sz w:val="20"/>
          <w:szCs w:val="20"/>
          <w:color w:val="auto"/>
        </w:rPr>
      </w:pPr>
    </w:p>
    <w:p>
      <w:pPr>
        <w:ind w:right="160" w:firstLine="917"/>
        <w:spacing w:after="0" w:line="310" w:lineRule="auto"/>
        <w:rPr>
          <w:sz w:val="20"/>
          <w:szCs w:val="20"/>
          <w:color w:val="auto"/>
        </w:rPr>
      </w:pPr>
      <w:r>
        <w:rPr>
          <w:rFonts w:ascii="Arial" w:cs="Arial" w:eastAsia="Arial" w:hAnsi="Arial"/>
          <w:sz w:val="15"/>
          <w:szCs w:val="15"/>
          <w:color w:val="auto"/>
        </w:rPr>
        <w:t>Following the UK’s departure from the EU (Brexit), the EU GDPR’s data protection obligations continue to apply to the UK in substantially unvaried form under the so-called “UK GDPR”. The UK GDPR exists alongside the UK Data Protection Act 2018 which implements certain derogations in the UK GDPR</w:t>
      </w:r>
    </w:p>
    <w:p>
      <w:pPr>
        <w:jc w:val="both"/>
        <w:ind w:right="20"/>
        <w:spacing w:after="0" w:line="279" w:lineRule="auto"/>
        <w:rPr>
          <w:sz w:val="20"/>
          <w:szCs w:val="20"/>
          <w:color w:val="auto"/>
        </w:rPr>
      </w:pPr>
      <w:r>
        <w:rPr>
          <w:rFonts w:ascii="Arial" w:cs="Arial" w:eastAsia="Arial" w:hAnsi="Arial"/>
          <w:sz w:val="16"/>
          <w:szCs w:val="16"/>
          <w:color w:val="auto"/>
        </w:rPr>
        <w:t>into UK law. 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As a result, we are potentially exposed to two parallel data protection regimes, each of which authorizes fines and the potential for divergent enforcement actions.</w:t>
      </w:r>
    </w:p>
    <w:p>
      <w:pPr>
        <w:spacing w:after="0" w:line="61" w:lineRule="exact"/>
        <w:rPr>
          <w:sz w:val="20"/>
          <w:szCs w:val="20"/>
          <w:color w:val="auto"/>
        </w:rPr>
      </w:pPr>
    </w:p>
    <w:p>
      <w:pPr>
        <w:ind w:firstLine="917"/>
        <w:spacing w:after="0" w:line="275" w:lineRule="auto"/>
        <w:rPr>
          <w:sz w:val="20"/>
          <w:szCs w:val="20"/>
          <w:color w:val="auto"/>
        </w:rPr>
      </w:pPr>
      <w:r>
        <w:rPr>
          <w:rFonts w:ascii="Arial" w:cs="Arial" w:eastAsia="Arial" w:hAnsi="Arial"/>
          <w:sz w:val="16"/>
          <w:szCs w:val="16"/>
          <w:color w:val="auto"/>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individual countries. Compliance with data protection laws in the EEA, the UK and Switzerland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4" w:name="page75"/>
    <w:bookmarkEnd w:id="74"/>
    <w:p>
      <w:pPr>
        <w:ind w:right="80"/>
        <w:spacing w:after="0" w:line="253" w:lineRule="auto"/>
        <w:rPr>
          <w:sz w:val="20"/>
          <w:szCs w:val="20"/>
          <w:color w:val="auto"/>
        </w:rPr>
      </w:pPr>
      <w:r>
        <w:rPr>
          <w:rFonts w:ascii="Arial" w:cs="Arial" w:eastAsia="Arial" w:hAnsi="Arial"/>
          <w:sz w:val="17"/>
          <w:szCs w:val="17"/>
          <w:color w:val="auto"/>
        </w:rPr>
        <w:t>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122" w:lineRule="exact"/>
        <w:rPr>
          <w:sz w:val="20"/>
          <w:szCs w:val="20"/>
          <w:color w:val="auto"/>
        </w:rPr>
      </w:pPr>
    </w:p>
    <w:p>
      <w:pPr>
        <w:ind w:right="240" w:firstLine="917"/>
        <w:spacing w:after="0" w:line="309" w:lineRule="auto"/>
        <w:rPr>
          <w:sz w:val="20"/>
          <w:szCs w:val="20"/>
          <w:color w:val="auto"/>
        </w:rPr>
      </w:pPr>
      <w:r>
        <w:rPr>
          <w:rFonts w:ascii="Arial" w:cs="Arial" w:eastAsia="Arial" w:hAnsi="Arial"/>
          <w:sz w:val="17"/>
          <w:szCs w:val="17"/>
          <w:b w:val="1"/>
          <w:bCs w:val="1"/>
          <w:i w:val="1"/>
          <w:iCs w:val="1"/>
          <w:color w:val="231F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35" w:lineRule="exact"/>
        <w:rPr>
          <w:sz w:val="20"/>
          <w:szCs w:val="20"/>
          <w:color w:val="auto"/>
        </w:rPr>
      </w:pPr>
    </w:p>
    <w:p>
      <w:pPr>
        <w:ind w:right="100" w:firstLine="917"/>
        <w:spacing w:after="0" w:line="256" w:lineRule="auto"/>
        <w:rPr>
          <w:sz w:val="20"/>
          <w:szCs w:val="20"/>
          <w:color w:val="auto"/>
        </w:rPr>
      </w:pPr>
      <w:r>
        <w:rPr>
          <w:rFonts w:ascii="Arial" w:cs="Arial" w:eastAsia="Arial" w:hAnsi="Arial"/>
          <w:sz w:val="17"/>
          <w:szCs w:val="17"/>
          <w:color w:val="auto"/>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spacing w:after="0" w:line="78" w:lineRule="exact"/>
        <w:rPr>
          <w:sz w:val="20"/>
          <w:szCs w:val="20"/>
          <w:color w:val="auto"/>
        </w:rPr>
      </w:pPr>
    </w:p>
    <w:p>
      <w:pPr>
        <w:ind w:right="60" w:firstLine="917"/>
        <w:spacing w:after="0" w:line="270" w:lineRule="auto"/>
        <w:rPr>
          <w:sz w:val="20"/>
          <w:szCs w:val="20"/>
          <w:color w:val="auto"/>
        </w:rPr>
      </w:pPr>
      <w:r>
        <w:rPr>
          <w:rFonts w:ascii="Arial" w:cs="Arial" w:eastAsia="Arial" w:hAnsi="Arial"/>
          <w:sz w:val="16"/>
          <w:szCs w:val="16"/>
          <w:color w:val="auto"/>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European Medicines Agency, or EMA, and a separate process for authorization of drug products, including our product candidates and products in the UK, will be required in Great Britain resulting in an authorization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w:t>
      </w:r>
    </w:p>
    <w:p>
      <w:pPr>
        <w:spacing w:after="0" w:line="69" w:lineRule="exact"/>
        <w:rPr>
          <w:sz w:val="20"/>
          <w:szCs w:val="20"/>
          <w:color w:val="auto"/>
        </w:rPr>
      </w:pPr>
    </w:p>
    <w:p>
      <w:pPr>
        <w:ind w:right="20" w:firstLine="917"/>
        <w:spacing w:after="0" w:line="255" w:lineRule="auto"/>
        <w:rPr>
          <w:sz w:val="20"/>
          <w:szCs w:val="20"/>
          <w:color w:val="auto"/>
        </w:rPr>
      </w:pPr>
      <w:r>
        <w:rPr>
          <w:rFonts w:ascii="Arial" w:cs="Arial" w:eastAsia="Arial" w:hAnsi="Arial"/>
          <w:sz w:val="17"/>
          <w:szCs w:val="17"/>
          <w:color w:val="auto"/>
        </w:rPr>
        <w:t>The UK government is currently trying to renegotiate fundamental aspects of the Northern Ireland Protocol so this is an unpredictable area for companies in the near future. Failed attempts to renegotiate the Northern Ireland Protocol have led to media reports of the UK potentially triggering Article 16 of the Northern Ireland Protocol, a safeguarding measure, that may be engaged unilaterally if the application of the Protocol leads to serious economic, societal or environmental difficulties that are liable to persist, or to diversion of trade. The TCA allows for future deviation from the current regulatory framework and it is not known if and/or when any deviations may occur, which may have an impact on development, manufacture, marketing authorization, commercial sales and distribution of pharmaceutical products.</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7"/>
          <w:szCs w:val="17"/>
          <w:b w:val="1"/>
          <w:bCs w:val="1"/>
          <w:i w:val="1"/>
          <w:iCs w:val="1"/>
          <w:color w:val="231F20"/>
        </w:rPr>
        <w:t>Changes in U.S. tax law could adversely affect our financial condition and results of operations.</w:t>
      </w:r>
    </w:p>
    <w:p>
      <w:pPr>
        <w:spacing w:after="0" w:line="110" w:lineRule="exact"/>
        <w:rPr>
          <w:sz w:val="20"/>
          <w:szCs w:val="20"/>
          <w:color w:val="auto"/>
        </w:rPr>
      </w:pPr>
    </w:p>
    <w:p>
      <w:pPr>
        <w:ind w:right="120" w:firstLine="917"/>
        <w:spacing w:after="0" w:line="275"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105" w:lineRule="exact"/>
        <w:rPr>
          <w:sz w:val="20"/>
          <w:szCs w:val="20"/>
          <w:color w:val="auto"/>
        </w:rPr>
      </w:pPr>
    </w:p>
    <w:p>
      <w:pPr>
        <w:ind w:firstLine="917"/>
        <w:spacing w:after="0" w:line="321" w:lineRule="auto"/>
        <w:rPr>
          <w:sz w:val="20"/>
          <w:szCs w:val="20"/>
          <w:color w:val="auto"/>
        </w:rPr>
      </w:pPr>
      <w:r>
        <w:rPr>
          <w:rFonts w:ascii="Arial" w:cs="Arial" w:eastAsia="Arial" w:hAnsi="Arial"/>
          <w:sz w:val="17"/>
          <w:szCs w:val="17"/>
          <w:b w:val="1"/>
          <w:bCs w:val="1"/>
          <w:i w:val="1"/>
          <w:iCs w:val="1"/>
          <w:color w:val="231F20"/>
        </w:rPr>
        <w:t>Our internal computer systems, or those of our collaborators or other contractors or consultants, may fail or suffer security breaches, which could result in a material disruption of our product development programs.</w:t>
      </w:r>
    </w:p>
    <w:p>
      <w:pPr>
        <w:spacing w:after="0" w:line="25" w:lineRule="exact"/>
        <w:rPr>
          <w:sz w:val="20"/>
          <w:szCs w:val="20"/>
          <w:color w:val="auto"/>
        </w:rPr>
      </w:pPr>
    </w:p>
    <w:p>
      <w:pPr>
        <w:ind w:firstLine="917"/>
        <w:spacing w:after="0" w:line="279" w:lineRule="auto"/>
        <w:rPr>
          <w:sz w:val="20"/>
          <w:szCs w:val="20"/>
          <w:color w:val="auto"/>
        </w:rPr>
      </w:pPr>
      <w:r>
        <w:rPr>
          <w:rFonts w:ascii="Arial" w:cs="Arial" w:eastAsia="Arial" w:hAnsi="Arial"/>
          <w:sz w:val="16"/>
          <w:szCs w:val="16"/>
          <w:color w:val="auto"/>
        </w:rPr>
        <w:t>Our internal computer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5" w:right="359" w:bottom="1440" w:gutter="0" w:footer="0" w:header="0"/>
        </w:sectPr>
      </w:pPr>
    </w:p>
    <w:bookmarkStart w:id="75" w:name="page76"/>
    <w:bookmarkEnd w:id="75"/>
    <w:p>
      <w:pPr>
        <w:ind w:right="100"/>
        <w:spacing w:after="0" w:line="275" w:lineRule="auto"/>
        <w:rPr>
          <w:sz w:val="20"/>
          <w:szCs w:val="20"/>
          <w:color w:val="auto"/>
        </w:rPr>
      </w:pPr>
      <w:r>
        <w:rPr>
          <w:rFonts w:ascii="Arial" w:cs="Arial" w:eastAsia="Arial" w:hAnsi="Arial"/>
          <w:sz w:val="16"/>
          <w:szCs w:val="16"/>
          <w:color w:val="auto"/>
        </w:rPr>
        <w:t>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67" w:lineRule="exact"/>
        <w:rPr>
          <w:sz w:val="20"/>
          <w:szCs w:val="20"/>
          <w:color w:val="auto"/>
        </w:rPr>
      </w:pPr>
    </w:p>
    <w:p>
      <w:pPr>
        <w:ind w:right="80" w:firstLine="917"/>
        <w:spacing w:after="0" w:line="292" w:lineRule="auto"/>
        <w:rPr>
          <w:sz w:val="20"/>
          <w:szCs w:val="20"/>
          <w:color w:val="auto"/>
        </w:rPr>
      </w:pPr>
      <w:r>
        <w:rPr>
          <w:rFonts w:ascii="Arial" w:cs="Arial" w:eastAsia="Arial" w:hAnsi="Arial"/>
          <w:sz w:val="15"/>
          <w:szCs w:val="15"/>
          <w:color w:val="auto"/>
        </w:rPr>
        <w:t>We could be subject to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53" w:lineRule="exact"/>
        <w:rPr>
          <w:sz w:val="20"/>
          <w:szCs w:val="20"/>
          <w:color w:val="auto"/>
        </w:rPr>
      </w:pPr>
    </w:p>
    <w:p>
      <w:pPr>
        <w:ind w:firstLine="917"/>
        <w:spacing w:after="0" w:line="253" w:lineRule="auto"/>
        <w:rPr>
          <w:sz w:val="20"/>
          <w:szCs w:val="20"/>
          <w:color w:val="auto"/>
        </w:rPr>
      </w:pPr>
      <w:r>
        <w:rPr>
          <w:rFonts w:ascii="Arial" w:cs="Arial" w:eastAsia="Arial" w:hAnsi="Arial"/>
          <w:sz w:val="17"/>
          <w:szCs w:val="17"/>
          <w:color w:val="auto"/>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spacing w:after="0" w:line="83" w:lineRule="exact"/>
        <w:rPr>
          <w:sz w:val="20"/>
          <w:szCs w:val="20"/>
          <w:color w:val="auto"/>
        </w:rPr>
      </w:pPr>
    </w:p>
    <w:p>
      <w:pPr>
        <w:ind w:right="160" w:firstLine="917"/>
        <w:spacing w:after="0" w:line="258" w:lineRule="auto"/>
        <w:rPr>
          <w:sz w:val="20"/>
          <w:szCs w:val="20"/>
          <w:color w:val="auto"/>
        </w:rPr>
      </w:pPr>
      <w:r>
        <w:rPr>
          <w:rFonts w:ascii="Arial" w:cs="Arial" w:eastAsia="Arial" w:hAnsi="Arial"/>
          <w:sz w:val="17"/>
          <w:szCs w:val="17"/>
          <w:color w:val="auto"/>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76" w:lineRule="exact"/>
        <w:rPr>
          <w:sz w:val="20"/>
          <w:szCs w:val="20"/>
          <w:color w:val="auto"/>
        </w:rPr>
      </w:pPr>
    </w:p>
    <w:p>
      <w:pPr>
        <w:ind w:firstLine="917"/>
        <w:spacing w:after="0" w:line="275" w:lineRule="auto"/>
        <w:rPr>
          <w:sz w:val="20"/>
          <w:szCs w:val="20"/>
          <w:color w:val="auto"/>
        </w:rPr>
      </w:pPr>
      <w:r>
        <w:rPr>
          <w:rFonts w:ascii="Arial" w:cs="Arial" w:eastAsia="Arial" w:hAnsi="Arial"/>
          <w:sz w:val="16"/>
          <w:szCs w:val="16"/>
          <w:color w:val="auto"/>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231F20"/>
        </w:rPr>
        <w:t>Unfavorable global economic conditions could adversely affect our business, financial condition or results of operations.</w:t>
      </w:r>
    </w:p>
    <w:p>
      <w:pPr>
        <w:spacing w:after="0" w:line="110" w:lineRule="exact"/>
        <w:rPr>
          <w:sz w:val="20"/>
          <w:szCs w:val="20"/>
          <w:color w:val="auto"/>
        </w:rPr>
      </w:pPr>
    </w:p>
    <w:p>
      <w:pPr>
        <w:ind w:right="40" w:firstLine="917"/>
        <w:spacing w:after="0" w:line="25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and rising interest rates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231F20"/>
        </w:rPr>
        <w:t>The increasing use of social media platforms presents new risks and challenges.</w:t>
      </w:r>
    </w:p>
    <w:p>
      <w:pPr>
        <w:spacing w:after="0" w:line="110" w:lineRule="exact"/>
        <w:rPr>
          <w:sz w:val="20"/>
          <w:szCs w:val="20"/>
          <w:color w:val="auto"/>
        </w:rPr>
      </w:pPr>
    </w:p>
    <w:p>
      <w:pPr>
        <w:ind w:firstLine="917"/>
        <w:spacing w:after="0" w:line="262"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6" w:name="page77"/>
    <w:bookmarkEnd w:id="76"/>
    <w:p>
      <w:pPr>
        <w:spacing w:after="0" w:line="285" w:lineRule="auto"/>
        <w:rPr>
          <w:sz w:val="20"/>
          <w:szCs w:val="20"/>
          <w:color w:val="auto"/>
        </w:rPr>
      </w:pPr>
      <w:r>
        <w:rPr>
          <w:rFonts w:ascii="Arial" w:cs="Arial" w:eastAsia="Arial" w:hAnsi="Arial"/>
          <w:sz w:val="15"/>
          <w:szCs w:val="15"/>
          <w:color w:val="auto"/>
        </w:rPr>
        <w:t>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4" w:lineRule="exact"/>
        <w:rPr>
          <w:sz w:val="20"/>
          <w:szCs w:val="20"/>
          <w:color w:val="auto"/>
        </w:rPr>
      </w:pPr>
    </w:p>
    <w:p>
      <w:pPr>
        <w:ind w:firstLine="1087"/>
        <w:spacing w:after="0" w:line="250" w:lineRule="auto"/>
        <w:rPr>
          <w:sz w:val="20"/>
          <w:szCs w:val="20"/>
          <w:color w:val="auto"/>
        </w:rPr>
      </w:pPr>
      <w:r>
        <w:rPr>
          <w:rFonts w:ascii="Arial" w:cs="Arial" w:eastAsia="Arial" w:hAnsi="Arial"/>
          <w:sz w:val="17"/>
          <w:szCs w:val="17"/>
          <w:b w:val="1"/>
          <w:bCs w:val="1"/>
          <w:i w:val="1"/>
          <w:iCs w:val="1"/>
          <w:color w:val="231F20"/>
        </w:rPr>
        <w:t>Our estimates of market opportunity and forecasts of market growth may prove to be inaccurate, and even if the markets in which we compete achieve the forecasted growth, our business may not grow at similar rates, or at all.</w:t>
      </w:r>
    </w:p>
    <w:p>
      <w:pPr>
        <w:spacing w:after="0" w:line="2" w:lineRule="exact"/>
        <w:rPr>
          <w:sz w:val="20"/>
          <w:szCs w:val="20"/>
          <w:color w:val="auto"/>
        </w:rPr>
      </w:pPr>
    </w:p>
    <w:p>
      <w:pPr>
        <w:ind w:right="80" w:firstLine="409"/>
        <w:spacing w:after="0" w:line="256"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314" w:lineRule="exact"/>
        <w:rPr>
          <w:sz w:val="20"/>
          <w:szCs w:val="20"/>
          <w:color w:val="auto"/>
        </w:rPr>
      </w:pPr>
    </w:p>
    <w:p>
      <w:pPr>
        <w:ind w:left="1080" w:right="8020" w:hanging="1078"/>
        <w:spacing w:after="0" w:line="404" w:lineRule="auto"/>
        <w:tabs>
          <w:tab w:leader="none" w:pos="42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Unregistered Sales of Equity Securities </w:t>
      </w:r>
      <w:r>
        <w:rPr>
          <w:rFonts w:ascii="Arial" w:cs="Arial" w:eastAsia="Arial" w:hAnsi="Arial"/>
          <w:sz w:val="17"/>
          <w:szCs w:val="17"/>
          <w:color w:val="auto"/>
        </w:rPr>
        <w:t>None.</w:t>
      </w:r>
    </w:p>
    <w:p>
      <w:pPr>
        <w:spacing w:after="0" w:line="156" w:lineRule="exact"/>
        <w:rPr>
          <w:rFonts w:ascii="Arial" w:cs="Arial" w:eastAsia="Arial" w:hAnsi="Arial"/>
          <w:sz w:val="17"/>
          <w:szCs w:val="17"/>
          <w:b w:val="1"/>
          <w:bCs w:val="1"/>
          <w:color w:val="auto"/>
        </w:rPr>
      </w:pPr>
    </w:p>
    <w:p>
      <w:pPr>
        <w:ind w:left="380" w:hanging="378"/>
        <w:spacing w:after="0"/>
        <w:tabs>
          <w:tab w:leader="none" w:pos="38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 from our Initial Public Offering of Common Stock</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There has been no material change in the planned use of proceeds from our initial public offering from that described in our prospectus (File No.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333-238146), effective on June 2, 2020 filed with the SEC on June 3, 2020 in connection with our IPO.</w:t>
      </w:r>
    </w:p>
    <w:p>
      <w:pPr>
        <w:spacing w:after="0" w:line="283" w:lineRule="exact"/>
        <w:rPr>
          <w:sz w:val="20"/>
          <w:szCs w:val="20"/>
          <w:color w:val="auto"/>
        </w:rPr>
      </w:pPr>
    </w:p>
    <w:p>
      <w:pPr>
        <w:ind w:left="1080" w:right="7100" w:hanging="1078"/>
        <w:spacing w:after="0" w:line="404" w:lineRule="auto"/>
        <w:tabs>
          <w:tab w:leader="none" w:pos="368"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Repurchase of Shares of Company Equity Securities </w:t>
      </w:r>
      <w:r>
        <w:rPr>
          <w:rFonts w:ascii="Arial" w:cs="Arial" w:eastAsia="Arial" w:hAnsi="Arial"/>
          <w:sz w:val="17"/>
          <w:szCs w:val="17"/>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Not applicable.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Not applicable.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Item 6. Exhibits.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920" w:type="dxa"/>
            <w:vAlign w:val="bottom"/>
            <w:gridSpan w:val="2"/>
          </w:tcPr>
          <w:p>
            <w:pPr>
              <w:ind w:left="12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80" w:type="dxa"/>
            <w:vAlign w:val="bottom"/>
            <w:gridSpan w:val="6"/>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7"/>
        </w:trPr>
        <w:tc>
          <w:tcPr>
            <w:tcW w:w="1080" w:type="dxa"/>
            <w:vAlign w:val="bottom"/>
          </w:tcPr>
          <w:p>
            <w:pPr>
              <w:spacing w:after="0"/>
              <w:rPr>
                <w:sz w:val="15"/>
                <w:szCs w:val="15"/>
                <w:color w:val="auto"/>
              </w:rPr>
            </w:pPr>
          </w:p>
        </w:tc>
        <w:tc>
          <w:tcPr>
            <w:tcW w:w="18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60" w:type="dxa"/>
            <w:vAlign w:val="bottom"/>
            <w:tcBorders>
              <w:bottom w:val="single" w:sz="8" w:color="0000FF"/>
            </w:tcBorders>
            <w:gridSpan w:val="6"/>
          </w:tcPr>
          <w:p>
            <w:pPr>
              <w:spacing w:after="0"/>
              <w:rPr>
                <w:rFonts w:ascii="Arial" w:cs="Arial" w:eastAsia="Arial" w:hAnsi="Arial"/>
                <w:sz w:val="17"/>
                <w:szCs w:val="17"/>
                <w:color w:val="0000FF"/>
                <w:w w:val="91"/>
              </w:rPr>
            </w:pPr>
            <w:hyperlink r:id="rId90">
              <w:r>
                <w:rPr>
                  <w:rFonts w:ascii="Arial" w:cs="Arial" w:eastAsia="Arial" w:hAnsi="Arial"/>
                  <w:sz w:val="17"/>
                  <w:szCs w:val="17"/>
                  <w:color w:val="0000FF"/>
                  <w:w w:val="91"/>
                </w:rPr>
                <w:t>Amended and Restated Certificate of Incorporation of the Registrant, as currently in effect (incorporated b</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bottom w:val="single" w:sz="8" w:color="0000FF"/>
            </w:tcBorders>
            <w:gridSpan w:val="7"/>
          </w:tcPr>
          <w:p>
            <w:pPr>
              <w:spacing w:after="0" w:line="145" w:lineRule="exact"/>
              <w:rPr>
                <w:rFonts w:ascii="Arial" w:cs="Arial" w:eastAsia="Arial" w:hAnsi="Arial"/>
                <w:sz w:val="16"/>
                <w:szCs w:val="16"/>
                <w:color w:val="0000FF"/>
                <w:w w:val="97"/>
              </w:rPr>
            </w:pPr>
            <w:hyperlink r:id="rId90">
              <w:r>
                <w:rPr>
                  <w:rFonts w:ascii="Arial" w:cs="Arial" w:eastAsia="Arial" w:hAnsi="Arial"/>
                  <w:sz w:val="16"/>
                  <w:szCs w:val="16"/>
                  <w:color w:val="0000FF"/>
                  <w:w w:val="97"/>
                </w:rPr>
                <w:t>reference to Exhibit 3.1 of the Registrant’s quarterly report on Form 10-Q (File No. 001-39303) filed on August 11,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vMerge w:val="restart"/>
          </w:tcPr>
          <w:p>
            <w:pPr>
              <w:spacing w:after="0"/>
              <w:rPr>
                <w:rFonts w:ascii="Arial" w:cs="Arial" w:eastAsia="Arial" w:hAnsi="Arial"/>
                <w:sz w:val="17"/>
                <w:szCs w:val="17"/>
                <w:color w:val="0000FF"/>
                <w:w w:val="88"/>
              </w:rPr>
            </w:pPr>
            <w:hyperlink r:id="rId91">
              <w:r>
                <w:rPr>
                  <w:rFonts w:ascii="Arial" w:cs="Arial" w:eastAsia="Arial" w:hAnsi="Arial"/>
                  <w:sz w:val="17"/>
                  <w:szCs w:val="17"/>
                  <w:color w:val="0000FF"/>
                  <w:w w:val="88"/>
                </w:rPr>
                <w:t>the Registrant’s</w:t>
              </w:r>
            </w:hyperlink>
          </w:p>
        </w:tc>
        <w:tc>
          <w:tcPr>
            <w:tcW w:w="7280" w:type="dxa"/>
            <w:vAlign w:val="bottom"/>
            <w:gridSpan w:val="7"/>
          </w:tcPr>
          <w:p>
            <w:pPr>
              <w:spacing w:after="0"/>
              <w:rPr>
                <w:rFonts w:ascii="Arial" w:cs="Arial" w:eastAsia="Arial" w:hAnsi="Arial"/>
                <w:sz w:val="17"/>
                <w:szCs w:val="17"/>
                <w:color w:val="0000FF"/>
                <w:w w:val="90"/>
              </w:rPr>
            </w:pPr>
            <w:hyperlink r:id="rId91">
              <w:r>
                <w:rPr>
                  <w:rFonts w:ascii="Arial" w:cs="Arial" w:eastAsia="Arial" w:hAnsi="Arial"/>
                  <w:sz w:val="17"/>
                  <w:szCs w:val="17"/>
                  <w:color w:val="0000FF"/>
                  <w:w w:val="90"/>
                </w:rPr>
                <w:t>Amended and Restated Bylaws of the Registrant, as currently in effect (incorporated by reference to Exhib</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0000FF"/>
            </w:tcBorders>
            <w:vMerge w:val="continue"/>
          </w:tcPr>
          <w:p>
            <w:pPr>
              <w:spacing w:after="0"/>
              <w:rPr>
                <w:sz w:val="12"/>
                <w:szCs w:val="12"/>
                <w:color w:val="auto"/>
              </w:rPr>
            </w:pPr>
          </w:p>
        </w:tc>
        <w:tc>
          <w:tcPr>
            <w:tcW w:w="5520" w:type="dxa"/>
            <w:vAlign w:val="bottom"/>
            <w:tcBorders>
              <w:top w:val="single" w:sz="8" w:color="0000FF"/>
              <w:bottom w:val="single" w:sz="8" w:color="0000FF"/>
            </w:tcBorders>
            <w:gridSpan w:val="5"/>
          </w:tcPr>
          <w:p>
            <w:pPr>
              <w:ind w:left="40"/>
              <w:spacing w:after="0" w:line="145" w:lineRule="exact"/>
              <w:rPr>
                <w:rFonts w:ascii="Arial" w:cs="Arial" w:eastAsia="Arial" w:hAnsi="Arial"/>
                <w:sz w:val="16"/>
                <w:szCs w:val="16"/>
                <w:color w:val="0000FF"/>
                <w:w w:val="97"/>
              </w:rPr>
            </w:pPr>
            <w:hyperlink r:id="rId91">
              <w:r>
                <w:rPr>
                  <w:rFonts w:ascii="Arial" w:cs="Arial" w:eastAsia="Arial" w:hAnsi="Arial"/>
                  <w:sz w:val="16"/>
                  <w:szCs w:val="16"/>
                  <w:color w:val="0000FF"/>
                  <w:w w:val="97"/>
                </w:rPr>
                <w:t>Current Report on Form 8-K (File No. 001-39303) filed on December 15, 2020).</w:t>
              </w:r>
            </w:hyperlink>
          </w:p>
        </w:tc>
        <w:tc>
          <w:tcPr>
            <w:tcW w:w="17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60" w:type="dxa"/>
            <w:vAlign w:val="bottom"/>
            <w:tcBorders>
              <w:bottom w:val="single" w:sz="8" w:color="0000FF"/>
            </w:tcBorders>
            <w:gridSpan w:val="6"/>
          </w:tcPr>
          <w:p>
            <w:pPr>
              <w:spacing w:after="0"/>
              <w:rPr>
                <w:rFonts w:ascii="Arial" w:cs="Arial" w:eastAsia="Arial" w:hAnsi="Arial"/>
                <w:sz w:val="17"/>
                <w:szCs w:val="17"/>
                <w:color w:val="0000FF"/>
                <w:w w:val="91"/>
              </w:rPr>
            </w:pPr>
            <w:hyperlink r:id="rId92">
              <w:r>
                <w:rPr>
                  <w:rFonts w:ascii="Arial" w:cs="Arial" w:eastAsia="Arial" w:hAnsi="Arial"/>
                  <w:sz w:val="17"/>
                  <w:szCs w:val="17"/>
                  <w:color w:val="0000FF"/>
                  <w:w w:val="91"/>
                </w:rPr>
                <w:t>Specimen Common Stock Certificate (incorporated by reference to Exhibit 4.1 of the Registrant’s Registra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gridSpan w:val="7"/>
          </w:tcPr>
          <w:p>
            <w:pPr>
              <w:spacing w:after="0" w:line="145" w:lineRule="exact"/>
              <w:rPr>
                <w:rFonts w:ascii="Arial" w:cs="Arial" w:eastAsia="Arial" w:hAnsi="Arial"/>
                <w:sz w:val="16"/>
                <w:szCs w:val="16"/>
                <w:color w:val="0000FF"/>
              </w:rPr>
            </w:pPr>
            <w:hyperlink r:id="rId92">
              <w:r>
                <w:rPr>
                  <w:rFonts w:ascii="Arial" w:cs="Arial" w:eastAsia="Arial" w:hAnsi="Arial"/>
                  <w:sz w:val="16"/>
                  <w:szCs w:val="16"/>
                  <w:color w:val="0000FF"/>
                </w:rPr>
                <w:t>Statement on Form S-1, as amended (File No. 333-238146) filed on May 26,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vMerge w:val="restart"/>
          </w:tcPr>
          <w:p>
            <w:pPr>
              <w:spacing w:after="0"/>
              <w:rPr>
                <w:rFonts w:ascii="Arial" w:cs="Arial" w:eastAsia="Arial" w:hAnsi="Arial"/>
                <w:sz w:val="17"/>
                <w:szCs w:val="17"/>
                <w:color w:val="0000FF"/>
                <w:w w:val="91"/>
              </w:rPr>
            </w:pPr>
            <w:hyperlink w:anchor="page80">
              <w:r>
                <w:rPr>
                  <w:rFonts w:ascii="Arial" w:cs="Arial" w:eastAsia="Arial" w:hAnsi="Arial"/>
                  <w:sz w:val="17"/>
                  <w:szCs w:val="17"/>
                  <w:color w:val="0000FF"/>
                  <w:w w:val="91"/>
                </w:rPr>
                <w:t>Act of 1934, as</w:t>
              </w:r>
            </w:hyperlink>
          </w:p>
        </w:tc>
        <w:tc>
          <w:tcPr>
            <w:tcW w:w="7280" w:type="dxa"/>
            <w:vAlign w:val="bottom"/>
            <w:gridSpan w:val="7"/>
          </w:tcPr>
          <w:p>
            <w:pPr>
              <w:spacing w:after="0"/>
              <w:rPr>
                <w:rFonts w:ascii="Arial" w:cs="Arial" w:eastAsia="Arial" w:hAnsi="Arial"/>
                <w:sz w:val="17"/>
                <w:szCs w:val="17"/>
                <w:color w:val="0000FF"/>
                <w:w w:val="92"/>
              </w:rPr>
            </w:pPr>
            <w:hyperlink w:anchor="page80">
              <w:r>
                <w:rPr>
                  <w:rFonts w:ascii="Arial" w:cs="Arial" w:eastAsia="Arial" w:hAnsi="Arial"/>
                  <w:sz w:val="17"/>
                  <w:szCs w:val="17"/>
                  <w:color w:val="0000FF"/>
                  <w:w w:val="92"/>
                </w:rPr>
                <w:t>Certification of Chief Executive Officer required by Rule 13a-14(a) or Rule 15d-14(a) of the Securities Ex</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0000FF"/>
            </w:tcBorders>
            <w:vMerge w:val="continue"/>
          </w:tcPr>
          <w:p>
            <w:pPr>
              <w:spacing w:after="0"/>
              <w:rPr>
                <w:sz w:val="12"/>
                <w:szCs w:val="12"/>
                <w:color w:val="auto"/>
              </w:rPr>
            </w:pPr>
          </w:p>
        </w:tc>
        <w:tc>
          <w:tcPr>
            <w:tcW w:w="4680" w:type="dxa"/>
            <w:vAlign w:val="bottom"/>
            <w:tcBorders>
              <w:top w:val="single" w:sz="8" w:color="0000FF"/>
              <w:bottom w:val="single" w:sz="8" w:color="0000FF"/>
            </w:tcBorders>
            <w:gridSpan w:val="4"/>
          </w:tcPr>
          <w:p>
            <w:pPr>
              <w:ind w:left="20"/>
              <w:spacing w:after="0" w:line="145" w:lineRule="exact"/>
              <w:rPr>
                <w:rFonts w:ascii="Arial" w:cs="Arial" w:eastAsia="Arial" w:hAnsi="Arial"/>
                <w:sz w:val="16"/>
                <w:szCs w:val="16"/>
                <w:color w:val="0000FF"/>
                <w:w w:val="95"/>
              </w:rPr>
            </w:pPr>
            <w:hyperlink w:anchor="page80">
              <w:r>
                <w:rPr>
                  <w:rFonts w:ascii="Arial" w:cs="Arial" w:eastAsia="Arial" w:hAnsi="Arial"/>
                  <w:sz w:val="16"/>
                  <w:szCs w:val="16"/>
                  <w:color w:val="0000FF"/>
                  <w:w w:val="95"/>
                </w:rPr>
                <w:t>adopted pursuant to Section 302 of the Sarbanes-Oxley Act of 2002.</w:t>
              </w:r>
            </w:hyperlink>
          </w:p>
        </w:tc>
        <w:tc>
          <w:tcPr>
            <w:tcW w:w="258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vMerge w:val="restart"/>
          </w:tcPr>
          <w:p>
            <w:pPr>
              <w:spacing w:after="0"/>
              <w:rPr>
                <w:rFonts w:ascii="Arial" w:cs="Arial" w:eastAsia="Arial" w:hAnsi="Arial"/>
                <w:sz w:val="17"/>
                <w:szCs w:val="17"/>
                <w:color w:val="0000FF"/>
                <w:w w:val="91"/>
              </w:rPr>
            </w:pPr>
            <w:hyperlink w:anchor="page81">
              <w:r>
                <w:rPr>
                  <w:rFonts w:ascii="Arial" w:cs="Arial" w:eastAsia="Arial" w:hAnsi="Arial"/>
                  <w:sz w:val="17"/>
                  <w:szCs w:val="17"/>
                  <w:color w:val="0000FF"/>
                  <w:w w:val="91"/>
                </w:rPr>
                <w:t>Act of 1934, as</w:t>
              </w:r>
            </w:hyperlink>
          </w:p>
        </w:tc>
        <w:tc>
          <w:tcPr>
            <w:tcW w:w="7280" w:type="dxa"/>
            <w:vAlign w:val="bottom"/>
            <w:gridSpan w:val="7"/>
          </w:tcPr>
          <w:p>
            <w:pPr>
              <w:spacing w:after="0"/>
              <w:rPr>
                <w:rFonts w:ascii="Arial" w:cs="Arial" w:eastAsia="Arial" w:hAnsi="Arial"/>
                <w:sz w:val="17"/>
                <w:szCs w:val="17"/>
                <w:color w:val="0000FF"/>
                <w:w w:val="92"/>
              </w:rPr>
            </w:pPr>
            <w:hyperlink w:anchor="page81">
              <w:r>
                <w:rPr>
                  <w:rFonts w:ascii="Arial" w:cs="Arial" w:eastAsia="Arial" w:hAnsi="Arial"/>
                  <w:sz w:val="17"/>
                  <w:szCs w:val="17"/>
                  <w:color w:val="0000FF"/>
                  <w:w w:val="92"/>
                </w:rPr>
                <w:t>Certification of Chief Financial Officer required by Rule 13a-14(a) or Rule 15d-14(a) of the Securities Exc</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0000FF"/>
            </w:tcBorders>
            <w:vMerge w:val="continue"/>
          </w:tcPr>
          <w:p>
            <w:pPr>
              <w:spacing w:after="0"/>
              <w:rPr>
                <w:sz w:val="12"/>
                <w:szCs w:val="12"/>
                <w:color w:val="auto"/>
              </w:rPr>
            </w:pPr>
          </w:p>
        </w:tc>
        <w:tc>
          <w:tcPr>
            <w:tcW w:w="4660" w:type="dxa"/>
            <w:vAlign w:val="bottom"/>
            <w:tcBorders>
              <w:top w:val="single" w:sz="8" w:color="0000FF"/>
              <w:bottom w:val="single" w:sz="8" w:color="0000FF"/>
            </w:tcBorders>
            <w:gridSpan w:val="3"/>
          </w:tcPr>
          <w:p>
            <w:pPr>
              <w:ind w:left="20"/>
              <w:spacing w:after="0" w:line="145" w:lineRule="exact"/>
              <w:rPr>
                <w:rFonts w:ascii="Arial" w:cs="Arial" w:eastAsia="Arial" w:hAnsi="Arial"/>
                <w:sz w:val="16"/>
                <w:szCs w:val="16"/>
                <w:color w:val="0000FF"/>
                <w:w w:val="95"/>
              </w:rPr>
            </w:pPr>
            <w:hyperlink w:anchor="page81">
              <w:r>
                <w:rPr>
                  <w:rFonts w:ascii="Arial" w:cs="Arial" w:eastAsia="Arial" w:hAnsi="Arial"/>
                  <w:sz w:val="16"/>
                  <w:szCs w:val="16"/>
                  <w:color w:val="0000FF"/>
                  <w:w w:val="95"/>
                </w:rPr>
                <w:t>adopted pursuant to Section 302 of the Sarbanes-Oxley Act of 2002.</w:t>
              </w:r>
            </w:hyperlink>
          </w:p>
        </w:tc>
        <w:tc>
          <w:tcPr>
            <w:tcW w:w="260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32.1*(1)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60" w:type="dxa"/>
            <w:vAlign w:val="bottom"/>
            <w:tcBorders>
              <w:bottom w:val="single" w:sz="8" w:color="0000FF"/>
            </w:tcBorders>
            <w:gridSpan w:val="6"/>
          </w:tcPr>
          <w:p>
            <w:pPr>
              <w:spacing w:after="0"/>
              <w:rPr>
                <w:rFonts w:ascii="Arial" w:cs="Arial" w:eastAsia="Arial" w:hAnsi="Arial"/>
                <w:sz w:val="17"/>
                <w:szCs w:val="17"/>
                <w:color w:val="0000FF"/>
                <w:w w:val="92"/>
              </w:rPr>
            </w:pPr>
            <w:hyperlink w:anchor="page82">
              <w:r>
                <w:rPr>
                  <w:rFonts w:ascii="Arial" w:cs="Arial" w:eastAsia="Arial" w:hAnsi="Arial"/>
                  <w:sz w:val="17"/>
                  <w:szCs w:val="17"/>
                  <w:color w:val="0000FF"/>
                  <w:w w:val="92"/>
                </w:rPr>
                <w:t>Certification of Chief Executive Officer and Chief Financial Officer pursuant to 18 U.S.C. Section 1350, 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bottom w:val="single" w:sz="8" w:color="0000FF"/>
            </w:tcBorders>
            <w:gridSpan w:val="2"/>
          </w:tcPr>
          <w:p>
            <w:pPr>
              <w:spacing w:after="0" w:line="145" w:lineRule="exact"/>
              <w:rPr>
                <w:rFonts w:ascii="Arial" w:cs="Arial" w:eastAsia="Arial" w:hAnsi="Arial"/>
                <w:sz w:val="16"/>
                <w:szCs w:val="16"/>
                <w:color w:val="0000FF"/>
                <w:w w:val="95"/>
              </w:rPr>
            </w:pPr>
            <w:hyperlink w:anchor="page82">
              <w:r>
                <w:rPr>
                  <w:rFonts w:ascii="Arial" w:cs="Arial" w:eastAsia="Arial" w:hAnsi="Arial"/>
                  <w:sz w:val="16"/>
                  <w:szCs w:val="16"/>
                  <w:color w:val="0000FF"/>
                  <w:w w:val="95"/>
                </w:rPr>
                <w:t>pursuant to Section 906 of the Sarbanes-Oxley Act of 2002.</w:t>
              </w:r>
            </w:hyperlink>
          </w:p>
        </w:tc>
        <w:tc>
          <w:tcPr>
            <w:tcW w:w="42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7"/>
          </w:tcPr>
          <w:p>
            <w:pPr>
              <w:spacing w:after="0"/>
              <w:rPr>
                <w:sz w:val="20"/>
                <w:szCs w:val="20"/>
                <w:color w:val="auto"/>
              </w:rPr>
            </w:pPr>
            <w:r>
              <w:rPr>
                <w:rFonts w:ascii="Arial" w:cs="Arial" w:eastAsia="Arial" w:hAnsi="Arial"/>
                <w:sz w:val="17"/>
                <w:szCs w:val="17"/>
                <w:color w:val="auto"/>
                <w:w w:val="90"/>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gridSpan w:val="8"/>
          </w:tcPr>
          <w:p>
            <w:pPr>
              <w:spacing w:after="0"/>
              <w:rPr>
                <w:sz w:val="20"/>
                <w:szCs w:val="20"/>
                <w:color w:val="auto"/>
              </w:rPr>
            </w:pPr>
            <w:r>
              <w:rPr>
                <w:rFonts w:ascii="Arial" w:cs="Arial" w:eastAsia="Arial" w:hAnsi="Arial"/>
                <w:sz w:val="17"/>
                <w:szCs w:val="17"/>
                <w:color w:val="auto"/>
              </w:rPr>
              <w:t>tags are embedded within the Inline XBRL document.</w:t>
            </w:r>
          </w:p>
        </w:tc>
        <w:tc>
          <w:tcPr>
            <w:tcW w:w="0" w:type="dxa"/>
            <w:vAlign w:val="bottom"/>
          </w:tcPr>
          <w:p>
            <w:pPr>
              <w:spacing w:after="0"/>
              <w:rPr>
                <w:sz w:val="1"/>
                <w:szCs w:val="1"/>
                <w:color w:val="auto"/>
              </w:rPr>
            </w:pPr>
          </w:p>
        </w:tc>
      </w:tr>
      <w:tr>
        <w:trPr>
          <w:trHeight w:val="382"/>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7"/>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7"/>
          </w:tcPr>
          <w:p>
            <w:pPr>
              <w:spacing w:after="0"/>
              <w:rPr>
                <w:sz w:val="20"/>
                <w:szCs w:val="20"/>
                <w:color w:val="auto"/>
              </w:rPr>
            </w:pPr>
            <w:r>
              <w:rPr>
                <w:rFonts w:ascii="Arial" w:cs="Arial" w:eastAsia="Arial" w:hAnsi="Arial"/>
                <w:sz w:val="17"/>
                <w:szCs w:val="17"/>
                <w:color w:val="auto"/>
              </w:rPr>
              <w:t>XBRL Taxonomy Calculation Linkbase Document</w:t>
            </w: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7"/>
          </w:tcPr>
          <w:p>
            <w:pPr>
              <w:spacing w:after="0"/>
              <w:rPr>
                <w:sz w:val="20"/>
                <w:szCs w:val="20"/>
                <w:color w:val="auto"/>
              </w:rPr>
            </w:pPr>
            <w:r>
              <w:rPr>
                <w:rFonts w:ascii="Arial" w:cs="Arial" w:eastAsia="Arial" w:hAnsi="Arial"/>
                <w:sz w:val="17"/>
                <w:szCs w:val="17"/>
                <w:color w:val="auto"/>
              </w:rPr>
              <w:t>XBRL Taxonomy Extension Definition Document</w:t>
            </w: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7"/>
          </w:tcPr>
          <w:p>
            <w:pPr>
              <w:spacing w:after="0"/>
              <w:rPr>
                <w:sz w:val="20"/>
                <w:szCs w:val="20"/>
                <w:color w:val="auto"/>
              </w:rPr>
            </w:pPr>
            <w:r>
              <w:rPr>
                <w:rFonts w:ascii="Arial" w:cs="Arial" w:eastAsia="Arial" w:hAnsi="Arial"/>
                <w:sz w:val="17"/>
                <w:szCs w:val="17"/>
                <w:color w:val="auto"/>
              </w:rPr>
              <w:t>XBRL Taxonomy Label Linkbase Document</w:t>
            </w:r>
          </w:p>
        </w:tc>
        <w:tc>
          <w:tcPr>
            <w:tcW w:w="0" w:type="dxa"/>
            <w:vAlign w:val="bottom"/>
          </w:tcPr>
          <w:p>
            <w:pPr>
              <w:spacing w:after="0"/>
              <w:rPr>
                <w:sz w:val="1"/>
                <w:szCs w:val="1"/>
                <w:color w:val="auto"/>
              </w:rPr>
            </w:pPr>
          </w:p>
        </w:tc>
      </w:tr>
      <w:tr>
        <w:trPr>
          <w:trHeight w:val="369"/>
        </w:trPr>
        <w:tc>
          <w:tcPr>
            <w:tcW w:w="1080" w:type="dxa"/>
            <w:vAlign w:val="bottom"/>
          </w:tcPr>
          <w:p>
            <w:pPr>
              <w:spacing w:after="0"/>
              <w:rPr>
                <w:sz w:val="24"/>
                <w:szCs w:val="24"/>
                <w:color w:val="auto"/>
              </w:rPr>
            </w:pPr>
          </w:p>
        </w:tc>
        <w:tc>
          <w:tcPr>
            <w:tcW w:w="1920" w:type="dxa"/>
            <w:vAlign w:val="bottom"/>
            <w:gridSpan w:val="2"/>
          </w:tcPr>
          <w:p>
            <w:pPr>
              <w:ind w:left="1080"/>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7"/>
          </w:tcPr>
          <w:p>
            <w:pPr>
              <w:spacing w:after="0"/>
              <w:rPr>
                <w:sz w:val="20"/>
                <w:szCs w:val="20"/>
                <w:color w:val="auto"/>
              </w:rPr>
            </w:pPr>
            <w:r>
              <w:rPr>
                <w:rFonts w:ascii="Arial" w:cs="Arial" w:eastAsia="Arial" w:hAnsi="Arial"/>
                <w:sz w:val="17"/>
                <w:szCs w:val="17"/>
                <w:color w:val="auto"/>
              </w:rPr>
              <w:t>XBRL Taxonomy Presentation Linkbase Document</w:t>
            </w:r>
          </w:p>
        </w:tc>
        <w:tc>
          <w:tcPr>
            <w:tcW w:w="0" w:type="dxa"/>
            <w:vAlign w:val="bottom"/>
          </w:tcPr>
          <w:p>
            <w:pPr>
              <w:spacing w:after="0"/>
              <w:rPr>
                <w:sz w:val="1"/>
                <w:szCs w:val="1"/>
                <w:color w:val="auto"/>
              </w:rPr>
            </w:pPr>
          </w:p>
        </w:tc>
      </w:tr>
      <w:tr>
        <w:trPr>
          <w:trHeight w:val="369"/>
        </w:trPr>
        <w:tc>
          <w:tcPr>
            <w:tcW w:w="2900" w:type="dxa"/>
            <w:vAlign w:val="bottom"/>
            <w:gridSpan w:val="2"/>
          </w:tcPr>
          <w:p>
            <w:pPr>
              <w:ind w:left="216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gridSpan w:val="7"/>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69"/>
        </w:trPr>
        <w:tc>
          <w:tcPr>
            <w:tcW w:w="2900" w:type="dxa"/>
            <w:vAlign w:val="bottom"/>
            <w:gridSpan w:val="2"/>
          </w:tcPr>
          <w:p>
            <w:pPr>
              <w:spacing w:after="0"/>
              <w:rPr>
                <w:sz w:val="20"/>
                <w:szCs w:val="20"/>
                <w:color w:val="auto"/>
              </w:rPr>
            </w:pPr>
            <w:r>
              <w:rPr>
                <w:rFonts w:ascii="Arial" w:cs="Arial" w:eastAsia="Arial" w:hAnsi="Arial"/>
                <w:sz w:val="17"/>
                <w:szCs w:val="17"/>
                <w:color w:val="auto"/>
              </w:rPr>
              <w:t>______________________________</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000" w:type="dxa"/>
            <w:vAlign w:val="bottom"/>
            <w:gridSpan w:val="3"/>
          </w:tcPr>
          <w:p>
            <w:pPr>
              <w:spacing w:after="0"/>
              <w:rPr>
                <w:sz w:val="20"/>
                <w:szCs w:val="20"/>
                <w:color w:val="auto"/>
              </w:rPr>
            </w:pPr>
            <w:r>
              <w:rPr>
                <w:rFonts w:ascii="Arial" w:cs="Arial" w:eastAsia="Arial" w:hAnsi="Arial"/>
                <w:sz w:val="17"/>
                <w:szCs w:val="17"/>
                <w:color w:val="auto"/>
              </w:rPr>
              <w:t>*  Filed herewith</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20" w:right="100" w:hanging="918"/>
        <w:spacing w:after="0" w:line="255" w:lineRule="auto"/>
        <w:tabs>
          <w:tab w:leader="none" w:pos="36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ind w:right="120" w:firstLine="459"/>
        <w:spacing w:after="0" w:line="274"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Date: May 9, 2022</w:t>
      </w:r>
    </w:p>
    <w:p>
      <w:pPr>
        <w:spacing w:after="0" w:line="136" w:lineRule="exact"/>
        <w:rPr>
          <w:sz w:val="20"/>
          <w:szCs w:val="20"/>
          <w:color w:val="auto"/>
        </w:rPr>
      </w:pPr>
    </w:p>
    <w:tbl>
      <w:tblPr>
        <w:tblLayout w:type="fixed"/>
        <w:tblInd w:w="4920" w:type="dxa"/>
        <w:tblCellMar>
          <w:top w:w="0" w:type="dxa"/>
          <w:left w:w="0" w:type="dxa"/>
          <w:bottom w:w="0" w:type="dxa"/>
          <w:right w:w="0" w:type="dxa"/>
        </w:tblCellMar>
      </w:tblPr>
      <w:tr>
        <w:trPr>
          <w:trHeight w:val="215"/>
        </w:trPr>
        <w:tc>
          <w:tcPr>
            <w:tcW w:w="720" w:type="dxa"/>
            <w:vAlign w:val="bottom"/>
          </w:tcPr>
          <w:p>
            <w:pPr>
              <w:spacing w:after="0"/>
              <w:rPr>
                <w:sz w:val="18"/>
                <w:szCs w:val="18"/>
                <w:color w:val="auto"/>
              </w:rPr>
            </w:pPr>
          </w:p>
        </w:tc>
        <w:tc>
          <w:tcPr>
            <w:tcW w:w="5580" w:type="dxa"/>
            <w:vAlign w:val="bottom"/>
            <w:gridSpan w:val="2"/>
          </w:tcPr>
          <w:p>
            <w:pPr>
              <w:ind w:left="460"/>
              <w:spacing w:after="0"/>
              <w:rPr>
                <w:sz w:val="20"/>
                <w:szCs w:val="20"/>
                <w:color w:val="auto"/>
              </w:rPr>
            </w:pPr>
            <w:r>
              <w:rPr>
                <w:rFonts w:ascii="Arial" w:cs="Arial" w:eastAsia="Arial" w:hAnsi="Arial"/>
                <w:sz w:val="17"/>
                <w:szCs w:val="17"/>
                <w:color w:val="auto"/>
              </w:rPr>
              <w:t>PLIANT THERAPEUTICS, INC.</w:t>
            </w:r>
          </w:p>
        </w:tc>
      </w:tr>
      <w:tr>
        <w:trPr>
          <w:trHeight w:val="306"/>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660" w:type="dxa"/>
            <w:vAlign w:val="bottom"/>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Bernard Coulie</w:t>
            </w:r>
          </w:p>
        </w:tc>
      </w:tr>
      <w:tr>
        <w:trPr>
          <w:trHeight w:val="209"/>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Bernard Coulie, M.D., Ph.D.</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President and Chief Executive Officer</w:t>
            </w:r>
          </w:p>
        </w:tc>
      </w:tr>
      <w:tr>
        <w:trPr>
          <w:trHeight w:val="45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660" w:type="dxa"/>
            <w:vAlign w:val="bottom"/>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Keith Cummings</w:t>
            </w:r>
          </w:p>
        </w:tc>
      </w:tr>
      <w:tr>
        <w:trPr>
          <w:trHeight w:val="209"/>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Keith Cummings, M.D., M.B.A.</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20"/>
          </w:cols>
          <w:pgMar w:left="320" w:top="849" w:right="359" w:bottom="1440" w:gutter="0" w:footer="0" w:header="0"/>
        </w:sectPr>
      </w:pPr>
    </w:p>
    <w:bookmarkStart w:id="79" w:name="page80"/>
    <w:bookmarkEnd w:id="79"/>
    <w:p>
      <w:pPr>
        <w:jc w:val="right"/>
        <w:spacing w:after="0"/>
        <w:rPr>
          <w:sz w:val="20"/>
          <w:szCs w:val="20"/>
          <w:color w:val="auto"/>
        </w:rPr>
      </w:pPr>
      <w:r>
        <w:rPr>
          <w:rFonts w:ascii="Arial" w:cs="Arial" w:eastAsia="Arial" w:hAnsi="Arial"/>
          <w:sz w:val="17"/>
          <w:szCs w:val="17"/>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Bernard Coulie, certify that:</w:t>
      </w:r>
    </w:p>
    <w:p>
      <w:pPr>
        <w:spacing w:after="0" w:line="174" w:lineRule="exact"/>
        <w:rPr>
          <w:sz w:val="20"/>
          <w:szCs w:val="20"/>
          <w:color w:val="auto"/>
        </w:rPr>
      </w:pPr>
    </w:p>
    <w:p>
      <w:pPr>
        <w:ind w:left="1080" w:hanging="1078"/>
        <w:spacing w:after="0"/>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Pliant Therapeutics, Inc.;</w:t>
      </w:r>
    </w:p>
    <w:p>
      <w:pPr>
        <w:spacing w:after="0" w:line="186" w:lineRule="exact"/>
        <w:rPr>
          <w:rFonts w:ascii="Arial" w:cs="Arial" w:eastAsia="Arial" w:hAnsi="Arial"/>
          <w:sz w:val="17"/>
          <w:szCs w:val="17"/>
          <w:color w:val="auto"/>
        </w:rPr>
      </w:pPr>
    </w:p>
    <w:p>
      <w:pPr>
        <w:jc w:val="both"/>
        <w:ind w:left="1080" w:right="300" w:hanging="1078"/>
        <w:spacing w:after="0" w:line="262"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7"/>
          <w:szCs w:val="17"/>
          <w:color w:val="auto"/>
        </w:rPr>
      </w:pPr>
    </w:p>
    <w:p>
      <w:pPr>
        <w:ind w:left="1080" w:right="260" w:hanging="1078"/>
        <w:spacing w:after="0" w:line="30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ind w:left="1080" w:right="300" w:hanging="1078"/>
        <w:spacing w:after="0" w:line="262"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7"/>
          <w:szCs w:val="17"/>
          <w:color w:val="auto"/>
        </w:rPr>
      </w:pPr>
    </w:p>
    <w:p>
      <w:pPr>
        <w:ind w:left="2300" w:right="100" w:hanging="1228"/>
        <w:spacing w:after="0" w:line="286" w:lineRule="auto"/>
        <w:tabs>
          <w:tab w:leader="none" w:pos="229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2300" w:right="400" w:hanging="1228"/>
        <w:spacing w:after="0" w:line="286" w:lineRule="auto"/>
        <w:tabs>
          <w:tab w:leader="none" w:pos="228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left="2300" w:right="60" w:hanging="1228"/>
        <w:spacing w:after="0" w:line="262" w:lineRule="auto"/>
        <w:tabs>
          <w:tab w:leader="none" w:pos="2292" w:val="left"/>
        </w:tabs>
        <w:numPr>
          <w:ilvl w:val="1"/>
          <w:numId w:val="10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2300" w:right="160" w:hanging="1228"/>
        <w:spacing w:after="0" w:line="286" w:lineRule="auto"/>
        <w:tabs>
          <w:tab w:leader="none" w:pos="228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1080" w:right="180" w:hanging="1078"/>
        <w:spacing w:after="0" w:line="30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2300" w:hanging="1228"/>
        <w:spacing w:after="0" w:line="342" w:lineRule="auto"/>
        <w:tabs>
          <w:tab w:leader="none" w:pos="2292" w:val="left"/>
        </w:tabs>
        <w:numPr>
          <w:ilvl w:val="1"/>
          <w:numId w:val="10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5"/>
          <w:szCs w:val="15"/>
          <w:color w:val="auto"/>
        </w:rPr>
      </w:pPr>
    </w:p>
    <w:p>
      <w:pPr>
        <w:ind w:left="2300" w:right="280" w:hanging="1228"/>
        <w:spacing w:after="0" w:line="274" w:lineRule="auto"/>
        <w:tabs>
          <w:tab w:leader="none" w:pos="2288"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Date: May 9, 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Bernard Coulie, M.D., Ph.D.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53"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Keith Cummings, certify that:</w:t>
      </w:r>
    </w:p>
    <w:p>
      <w:pPr>
        <w:spacing w:after="0" w:line="174" w:lineRule="exact"/>
        <w:rPr>
          <w:sz w:val="20"/>
          <w:szCs w:val="20"/>
          <w:color w:val="auto"/>
        </w:rPr>
      </w:pPr>
    </w:p>
    <w:p>
      <w:pPr>
        <w:ind w:left="1220" w:hanging="1218"/>
        <w:spacing w:after="0"/>
        <w:tabs>
          <w:tab w:leader="none" w:pos="1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Pliant Therapeutics, Inc.;</w:t>
      </w:r>
    </w:p>
    <w:p>
      <w:pPr>
        <w:spacing w:after="0" w:line="186" w:lineRule="exact"/>
        <w:rPr>
          <w:rFonts w:ascii="Arial" w:cs="Arial" w:eastAsia="Arial" w:hAnsi="Arial"/>
          <w:sz w:val="17"/>
          <w:szCs w:val="17"/>
          <w:color w:val="auto"/>
        </w:rPr>
      </w:pPr>
    </w:p>
    <w:p>
      <w:pPr>
        <w:jc w:val="both"/>
        <w:ind w:left="1220" w:right="140" w:hanging="1218"/>
        <w:spacing w:after="0" w:line="262" w:lineRule="auto"/>
        <w:tabs>
          <w:tab w:leader="none" w:pos="1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7"/>
          <w:szCs w:val="17"/>
          <w:color w:val="auto"/>
        </w:rPr>
      </w:pPr>
    </w:p>
    <w:p>
      <w:pPr>
        <w:ind w:left="1220" w:right="100" w:hanging="1218"/>
        <w:spacing w:after="0" w:line="306" w:lineRule="auto"/>
        <w:tabs>
          <w:tab w:leader="none" w:pos="12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ind w:left="1220" w:right="140" w:hanging="1218"/>
        <w:spacing w:after="0" w:line="262" w:lineRule="auto"/>
        <w:tabs>
          <w:tab w:leader="none" w:pos="1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7"/>
          <w:szCs w:val="17"/>
          <w:color w:val="auto"/>
        </w:rPr>
      </w:pPr>
    </w:p>
    <w:p>
      <w:pPr>
        <w:ind w:left="2300" w:right="100" w:hanging="1076"/>
        <w:spacing w:after="0" w:line="286" w:lineRule="auto"/>
        <w:tabs>
          <w:tab w:leader="none" w:pos="229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2300" w:right="400" w:hanging="1076"/>
        <w:spacing w:after="0" w:line="269" w:lineRule="auto"/>
        <w:tabs>
          <w:tab w:leader="none" w:pos="228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6"/>
          <w:szCs w:val="16"/>
          <w:color w:val="auto"/>
        </w:rPr>
      </w:pPr>
    </w:p>
    <w:p>
      <w:pPr>
        <w:ind w:left="2300" w:right="60" w:hanging="1076"/>
        <w:spacing w:after="0" w:line="234" w:lineRule="auto"/>
        <w:tabs>
          <w:tab w:leader="none" w:pos="229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7"/>
          <w:szCs w:val="17"/>
          <w:color w:val="auto"/>
        </w:rPr>
      </w:pPr>
    </w:p>
    <w:p>
      <w:pPr>
        <w:ind w:left="2300" w:right="160" w:hanging="1076"/>
        <w:spacing w:after="0" w:line="286" w:lineRule="auto"/>
        <w:tabs>
          <w:tab w:leader="none" w:pos="228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1220" w:right="40" w:hanging="1218"/>
        <w:spacing w:after="0" w:line="306" w:lineRule="auto"/>
        <w:tabs>
          <w:tab w:leader="none" w:pos="12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2300" w:hanging="1076"/>
        <w:spacing w:after="0" w:line="342" w:lineRule="auto"/>
        <w:tabs>
          <w:tab w:leader="none" w:pos="2292" w:val="left"/>
        </w:tabs>
        <w:numPr>
          <w:ilvl w:val="1"/>
          <w:numId w:val="11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5"/>
          <w:szCs w:val="15"/>
          <w:color w:val="auto"/>
        </w:rPr>
      </w:pPr>
    </w:p>
    <w:p>
      <w:pPr>
        <w:ind w:left="2300" w:right="280" w:hanging="1076"/>
        <w:spacing w:after="0" w:line="274" w:lineRule="auto"/>
        <w:tabs>
          <w:tab w:leader="none" w:pos="228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Date: May 9, 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Keith Cummings, M.D., MBA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53"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7"/>
          <w:szCs w:val="17"/>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spacing w:after="0" w:line="175" w:lineRule="exact"/>
        <w:rPr>
          <w:sz w:val="20"/>
          <w:szCs w:val="20"/>
          <w:color w:val="auto"/>
        </w:rPr>
      </w:pPr>
    </w:p>
    <w:p>
      <w:pPr>
        <w:ind w:left="920" w:right="500" w:hanging="918"/>
        <w:spacing w:after="0" w:line="306" w:lineRule="auto"/>
        <w:tabs>
          <w:tab w:leader="none" w:pos="9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142" w:lineRule="exact"/>
        <w:rPr>
          <w:rFonts w:ascii="Arial" w:cs="Arial" w:eastAsia="Arial" w:hAnsi="Arial"/>
          <w:sz w:val="16"/>
          <w:szCs w:val="16"/>
          <w:color w:val="auto"/>
        </w:rPr>
      </w:pPr>
    </w:p>
    <w:p>
      <w:pPr>
        <w:ind w:left="920" w:right="600" w:hanging="918"/>
        <w:spacing w:after="0" w:line="274" w:lineRule="auto"/>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Dated: May 9, 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Bernard Coulie, M.D., Ph.D.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4034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40347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Keith Cummings, M.D., MBA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301" w:lineRule="exact"/>
        <w:rPr>
          <w:sz w:val="20"/>
          <w:szCs w:val="20"/>
          <w:color w:val="auto"/>
        </w:rPr>
      </w:pPr>
    </w:p>
    <w:p>
      <w:pPr>
        <w:ind w:right="40" w:firstLine="611"/>
        <w:spacing w:after="0" w:line="262" w:lineRule="auto"/>
        <w:rPr>
          <w:sz w:val="20"/>
          <w:szCs w:val="20"/>
          <w:color w:val="auto"/>
        </w:rPr>
      </w:pPr>
      <w:r>
        <w:rPr>
          <w:rFonts w:ascii="Arial" w:cs="Arial" w:eastAsia="Arial" w:hAnsi="Arial"/>
          <w:sz w:val="17"/>
          <w:szCs w:val="17"/>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1."/>
      <w:numFmt w:val="decimal"/>
      <w:start w:val="2"/>
    </w:lvl>
  </w:abstractNum>
  <w:abstractNum w:abstractNumId="11">
    <w:nsid w:val="3F6AB60F"/>
    <w:multiLevelType w:val="hybridMultilevel"/>
    <w:lvl w:ilvl="0">
      <w:lvlJc w:val="left"/>
      <w:lvlText w:val="%1."/>
      <w:numFmt w:val="decimal"/>
      <w:start w:val="14"/>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
      <w:numFmt w:val="bullet"/>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
      <w:numFmt w:val="bullet"/>
      <w:start w:val="1"/>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
      <w:numFmt w:val="bullet"/>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1)"/>
      <w:numFmt w:val="lowerLetter"/>
      <w:start w:val="1"/>
    </w:lvl>
  </w:abstractNum>
  <w:abstractNum w:abstractNumId="106">
    <w:nsid w:val="1D9F6E5F"/>
    <w:multiLevelType w:val="hybridMultilevel"/>
    <w:lvl w:ilvl="0">
      <w:lvlJc w:val="left"/>
      <w:lvlText w:val="(%1)"/>
      <w:numFmt w:val="lowerLetter"/>
      <w:start w:val="3"/>
    </w:lvl>
  </w:abstractNum>
  <w:abstractNum w:abstractNumId="107">
    <w:nsid w:val="97E1B4E"/>
    <w:multiLevelType w:val="hybridMultilevel"/>
    <w:lvl w:ilvl="0">
      <w:lvlJc w:val="left"/>
      <w:lvlText w:val="(%1)"/>
      <w:numFmt w:val="decimal"/>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0" Type="http://schemas.openxmlformats.org/officeDocument/2006/relationships/hyperlink" Target="https://www.sec.gov/Archives/edgar/data/0001746473/000156459020039327/plrx-ex31_301.htm" TargetMode="External"/><Relationship Id="rId91" Type="http://schemas.openxmlformats.org/officeDocument/2006/relationships/hyperlink" Target="https://www.sec.gov/Archives/edgar/data/0001746473/000119312520322128/d61993dex31.htm" TargetMode="External"/><Relationship Id="rId92" Type="http://schemas.openxmlformats.org/officeDocument/2006/relationships/hyperlink" Target="https://www.sec.gov/Archives/edgar/data/0001746473/000119312520150643/d72925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2022-05-09T15:40:33Z</dcterms:created>
  <dcterms:modified xsi:type="dcterms:W3CDTF">2022-05-09T15:40:33Z</dcterms:modified>
</cp:coreProperties>
</file>