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24" w:lineRule="exact"/>
        <w:rPr>
          <w:sz w:val="24"/>
          <w:szCs w:val="24"/>
          <w:color w:val="auto"/>
        </w:rPr>
      </w:pPr>
    </w:p>
    <w:p>
      <w:pPr>
        <w:ind w:left="3920" w:right="1580" w:hanging="3912"/>
        <w:spacing w:after="0" w:line="377" w:lineRule="auto"/>
        <w:tabs>
          <w:tab w:leader="none" w:pos="51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2020</w:t>
      </w:r>
    </w:p>
    <w:p>
      <w:pPr>
        <w:spacing w:after="0" w:line="25"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4140"/>
        <w:spacing w:after="0"/>
        <w:tabs>
          <w:tab w:leader="none" w:pos="69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4109720</wp:posOffset>
            </wp:positionH>
            <wp:positionV relativeFrom="paragraph">
              <wp:posOffset>-5080</wp:posOffset>
            </wp:positionV>
            <wp:extent cx="7232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001-39303</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PLIANT THERAPEUTICS,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20" w:type="dxa"/>
            <w:vAlign w:val="bottom"/>
          </w:tcPr>
          <w:p>
            <w:pPr>
              <w:jc w:val="center"/>
              <w:ind w:left="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Pr>
          <w:p>
            <w:pPr>
              <w:spacing w:after="0"/>
              <w:rPr>
                <w:sz w:val="18"/>
                <w:szCs w:val="18"/>
                <w:color w:val="auto"/>
              </w:rPr>
            </w:pPr>
          </w:p>
        </w:tc>
        <w:tc>
          <w:tcPr>
            <w:tcW w:w="4480" w:type="dxa"/>
            <w:vAlign w:val="bottom"/>
          </w:tcPr>
          <w:p>
            <w:pPr>
              <w:jc w:val="right"/>
              <w:ind w:right="2239"/>
              <w:spacing w:after="0"/>
              <w:rPr>
                <w:sz w:val="20"/>
                <w:szCs w:val="20"/>
                <w:color w:val="auto"/>
              </w:rPr>
            </w:pPr>
            <w:r>
              <w:rPr>
                <w:rFonts w:ascii="Times New Roman" w:cs="Times New Roman" w:eastAsia="Times New Roman" w:hAnsi="Times New Roman"/>
                <w:sz w:val="18"/>
                <w:szCs w:val="18"/>
                <w:b w:val="1"/>
                <w:bCs w:val="1"/>
                <w:color w:val="auto"/>
              </w:rPr>
              <w:t>47-4272481</w:t>
            </w:r>
          </w:p>
        </w:tc>
      </w:tr>
      <w:tr>
        <w:trPr>
          <w:trHeight w:val="148"/>
        </w:trPr>
        <w:tc>
          <w:tcPr>
            <w:tcW w:w="4520" w:type="dxa"/>
            <w:vAlign w:val="bottom"/>
          </w:tcPr>
          <w:p>
            <w:pPr>
              <w:jc w:val="center"/>
              <w:ind w:left="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4480" w:type="dxa"/>
            <w:vAlign w:val="bottom"/>
          </w:tcPr>
          <w:p>
            <w:pPr>
              <w:jc w:val="center"/>
              <w:ind w:right="919"/>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520" w:type="dxa"/>
            <w:vAlign w:val="bottom"/>
          </w:tcPr>
          <w:p>
            <w:pPr>
              <w:jc w:val="center"/>
              <w:ind w:left="91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3"/>
                <w:szCs w:val="13"/>
                <w:color w:val="auto"/>
              </w:rPr>
            </w:pPr>
          </w:p>
        </w:tc>
        <w:tc>
          <w:tcPr>
            <w:tcW w:w="4480" w:type="dxa"/>
            <w:vAlign w:val="bottom"/>
          </w:tcPr>
          <w:p>
            <w:pPr>
              <w:jc w:val="center"/>
              <w:ind w:right="939"/>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520" w:type="dxa"/>
            <w:vAlign w:val="bottom"/>
          </w:tcPr>
          <w:p>
            <w:pPr>
              <w:jc w:val="center"/>
              <w:ind w:left="919"/>
              <w:spacing w:after="0"/>
              <w:rPr>
                <w:sz w:val="20"/>
                <w:szCs w:val="20"/>
                <w:color w:val="auto"/>
              </w:rPr>
            </w:pPr>
            <w:r>
              <w:rPr>
                <w:rFonts w:ascii="Times New Roman" w:cs="Times New Roman" w:eastAsia="Times New Roman" w:hAnsi="Times New Roman"/>
                <w:sz w:val="18"/>
                <w:szCs w:val="18"/>
                <w:b w:val="1"/>
                <w:bCs w:val="1"/>
                <w:color w:val="auto"/>
                <w:w w:val="98"/>
              </w:rPr>
              <w:t>260 Littlefield Avenue</w:t>
            </w:r>
          </w:p>
        </w:tc>
        <w:tc>
          <w:tcPr>
            <w:tcW w:w="224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14"/>
        </w:trPr>
        <w:tc>
          <w:tcPr>
            <w:tcW w:w="4520" w:type="dxa"/>
            <w:vAlign w:val="bottom"/>
          </w:tcPr>
          <w:p>
            <w:pPr>
              <w:jc w:val="center"/>
              <w:ind w:left="919"/>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2240" w:type="dxa"/>
            <w:vAlign w:val="bottom"/>
          </w:tcPr>
          <w:p>
            <w:pPr>
              <w:spacing w:after="0"/>
              <w:rPr>
                <w:sz w:val="18"/>
                <w:szCs w:val="18"/>
                <w:color w:val="auto"/>
              </w:rPr>
            </w:pPr>
          </w:p>
        </w:tc>
        <w:tc>
          <w:tcPr>
            <w:tcW w:w="4480" w:type="dxa"/>
            <w:vAlign w:val="bottom"/>
          </w:tcPr>
          <w:p>
            <w:pPr>
              <w:jc w:val="right"/>
              <w:ind w:right="2439"/>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520" w:type="dxa"/>
            <w:vAlign w:val="bottom"/>
          </w:tcPr>
          <w:p>
            <w:pPr>
              <w:jc w:val="center"/>
              <w:ind w:left="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4480" w:type="dxa"/>
            <w:vAlign w:val="bottom"/>
          </w:tcPr>
          <w:p>
            <w:pPr>
              <w:jc w:val="center"/>
              <w:ind w:right="93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70"/>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(650) 481-6770</w:t>
            </w:r>
          </w:p>
        </w:tc>
      </w:tr>
      <w:tr>
        <w:trPr>
          <w:trHeight w:val="307"/>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122"/>
        </w:trPr>
        <w:tc>
          <w:tcPr>
            <w:tcW w:w="45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r>
      <w:tr>
        <w:trPr>
          <w:trHeight w:val="187"/>
        </w:trPr>
        <w:tc>
          <w:tcPr>
            <w:tcW w:w="4520" w:type="dxa"/>
            <w:vAlign w:val="bottom"/>
            <w:tcBorders>
              <w:left w:val="single" w:sz="8" w:color="auto"/>
              <w:right w:val="single" w:sz="8" w:color="auto"/>
            </w:tcBorders>
          </w:tcPr>
          <w:p>
            <w:pPr>
              <w:spacing w:after="0"/>
              <w:rPr>
                <w:sz w:val="16"/>
                <w:szCs w:val="16"/>
                <w:color w:val="auto"/>
              </w:rPr>
            </w:pPr>
          </w:p>
        </w:tc>
        <w:tc>
          <w:tcPr>
            <w:tcW w:w="224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4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Name of Each Exchange on which Securities are</w:t>
            </w:r>
          </w:p>
        </w:tc>
      </w:tr>
      <w:tr>
        <w:trPr>
          <w:trHeight w:val="238"/>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Each Class of Securities Registered</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PLRX</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spacing w:after="0" w:line="103" w:lineRule="exact"/>
        <w:rPr>
          <w:sz w:val="24"/>
          <w:szCs w:val="24"/>
          <w:color w:val="auto"/>
        </w:rPr>
      </w:pPr>
    </w:p>
    <w:p>
      <w:pPr>
        <w:ind w:right="60"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8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78" w:lineRule="exact"/>
        <w:rPr>
          <w:sz w:val="24"/>
          <w:szCs w:val="24"/>
          <w:color w:val="auto"/>
        </w:rPr>
      </w:pPr>
    </w:p>
    <w:p>
      <w:pPr>
        <w:ind w:firstLine="51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40" w:firstLine="51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November 7, 2020, the registrant had 35,479,853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9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040" w:type="dxa"/>
            <w:vAlign w:val="bottom"/>
          </w:tcPr>
          <w:p>
            <w:pPr>
              <w:spacing w:after="0"/>
              <w:rPr>
                <w:sz w:val="18"/>
                <w:szCs w:val="18"/>
                <w:color w:val="auto"/>
              </w:rPr>
            </w:pP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Condensed Balance Sheets as September 30, 2020 (Unaudited) and December 31, 2019</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4"/>
        </w:trPr>
        <w:tc>
          <w:tcPr>
            <w:tcW w:w="1040" w:type="dxa"/>
            <w:vAlign w:val="bottom"/>
          </w:tcPr>
          <w:p>
            <w:pPr>
              <w:spacing w:after="0"/>
              <w:rPr>
                <w:sz w:val="16"/>
                <w:szCs w:val="16"/>
                <w:color w:val="auto"/>
              </w:rPr>
            </w:pPr>
          </w:p>
        </w:tc>
        <w:tc>
          <w:tcPr>
            <w:tcW w:w="936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Condensed Statements of Operations and Comprehensive Loss for the three and nine months ended September 30, 2020 and 2019</w:t>
              </w:r>
            </w:hyperlink>
          </w:p>
        </w:tc>
        <w:tc>
          <w:tcPr>
            <w:tcW w:w="16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040" w:type="dxa"/>
            <w:vAlign w:val="bottom"/>
          </w:tcPr>
          <w:p>
            <w:pPr>
              <w:spacing w:after="0"/>
              <w:rPr>
                <w:sz w:val="17"/>
                <w:szCs w:val="17"/>
                <w:color w:val="auto"/>
              </w:rPr>
            </w:pPr>
          </w:p>
        </w:tc>
        <w:tc>
          <w:tcPr>
            <w:tcW w:w="9520" w:type="dxa"/>
            <w:vAlign w:val="bottom"/>
            <w:gridSpan w:val="4"/>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(Unaudited)</w:t>
              </w:r>
            </w:hyperlink>
          </w:p>
        </w:tc>
        <w:tc>
          <w:tcPr>
            <w:tcW w:w="62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Statements of Redeemable Convertible Preferred Stock and Stockholders’ Equity (Deficit) for the three and nine months</w:t>
              </w:r>
            </w:hyperlink>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040" w:type="dxa"/>
            <w:vAlign w:val="bottom"/>
          </w:tcPr>
          <w:p>
            <w:pPr>
              <w:spacing w:after="0"/>
              <w:rPr>
                <w:sz w:val="17"/>
                <w:szCs w:val="17"/>
                <w:color w:val="auto"/>
              </w:rPr>
            </w:pPr>
          </w:p>
        </w:tc>
        <w:tc>
          <w:tcPr>
            <w:tcW w:w="35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ended September 30, 2020 and 2019 (Unaudited)</w:t>
              </w:r>
            </w:hyperlink>
          </w:p>
        </w:tc>
        <w:tc>
          <w:tcPr>
            <w:tcW w:w="59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r>
      <w:tr>
        <w:trPr>
          <w:trHeight w:val="218"/>
        </w:trPr>
        <w:tc>
          <w:tcPr>
            <w:tcW w:w="1040" w:type="dxa"/>
            <w:vAlign w:val="bottom"/>
          </w:tcPr>
          <w:p>
            <w:pPr>
              <w:spacing w:after="0"/>
              <w:rPr>
                <w:sz w:val="18"/>
                <w:szCs w:val="18"/>
                <w:color w:val="auto"/>
              </w:rPr>
            </w:pP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Condensed Statements of Cash Flows for the nine months ended September 30, 2020 and 2019 (Unaudited)</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40" w:type="dxa"/>
            <w:vAlign w:val="bottom"/>
          </w:tcPr>
          <w:p>
            <w:pPr>
              <w:spacing w:after="0"/>
              <w:rPr>
                <w:sz w:val="18"/>
                <w:szCs w:val="18"/>
                <w:color w:val="auto"/>
              </w:rPr>
            </w:pP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Condensed Financial Statements (Unaudited)</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29">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40">
              <w:r>
                <w:rPr>
                  <w:rFonts w:ascii="Times New Roman" w:cs="Times New Roman" w:eastAsia="Times New Roman" w:hAnsi="Times New Roman"/>
                  <w:sz w:val="18"/>
                  <w:szCs w:val="18"/>
                  <w:u w:val="single" w:color="auto"/>
                  <w:color w:val="0000EE"/>
                </w:rPr>
                <w:t>Quantitative and Qualitative Disclosures About Market Risk</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41">
              <w:r>
                <w:rPr>
                  <w:rFonts w:ascii="Times New Roman" w:cs="Times New Roman" w:eastAsia="Times New Roman" w:hAnsi="Times New Roman"/>
                  <w:sz w:val="18"/>
                  <w:szCs w:val="18"/>
                  <w:u w:val="single" w:color="auto"/>
                  <w:color w:val="0000EE"/>
                </w:rPr>
                <w:t>Controls and Procedures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Other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9"/>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Legal Proceedings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42">
              <w:r>
                <w:rPr>
                  <w:rFonts w:ascii="Times New Roman" w:cs="Times New Roman" w:eastAsia="Times New Roman" w:hAnsi="Times New Roman"/>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Unregistered Sales of Equity Securities and Use of Proceeds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Defaults Upon Senior Securities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Mine Safety Disclosures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Other Information</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4"/>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Exhibits</w:t>
              </w:r>
            </w:hyperlink>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338"/>
        </w:trPr>
        <w:tc>
          <w:tcPr>
            <w:tcW w:w="1040" w:type="dxa"/>
            <w:vAlign w:val="bottom"/>
          </w:tcPr>
          <w:p>
            <w:pPr>
              <w:spacing w:after="0"/>
              <w:rPr>
                <w:rFonts w:ascii="Times New Roman" w:cs="Times New Roman" w:eastAsia="Times New Roman" w:hAnsi="Times New Roman"/>
                <w:sz w:val="18"/>
                <w:szCs w:val="18"/>
                <w:u w:val="single" w:color="auto"/>
                <w:color w:val="0000EE"/>
              </w:rPr>
            </w:pPr>
            <w:hyperlink w:anchor="page87">
              <w:r>
                <w:rPr>
                  <w:rFonts w:ascii="Times New Roman" w:cs="Times New Roman" w:eastAsia="Times New Roman" w:hAnsi="Times New Roman"/>
                  <w:sz w:val="18"/>
                  <w:szCs w:val="18"/>
                  <w:u w:val="single" w:color="auto"/>
                  <w:color w:val="0000EE"/>
                </w:rPr>
                <w:t>Signatures</w:t>
              </w:r>
            </w:hyperlink>
          </w:p>
        </w:tc>
        <w:tc>
          <w:tcPr>
            <w:tcW w:w="8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231" w:lineRule="auto"/>
        <w:rPr>
          <w:sz w:val="20"/>
          <w:szCs w:val="20"/>
          <w:color w:val="auto"/>
        </w:rPr>
      </w:pPr>
      <w:r>
        <w:rPr>
          <w:rFonts w:ascii="Times New Roman" w:cs="Times New Roman" w:eastAsia="Times New Roman" w:hAnsi="Times New Roman"/>
          <w:sz w:val="14"/>
          <w:szCs w:val="14"/>
          <w:b w:val="1"/>
          <w:bCs w:val="1"/>
          <w:color w:val="auto"/>
        </w:rPr>
        <w:t>Item 1. Financial Statements.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Pliant Therapeutics, Inc.</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Condensed Balance Sheets</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i w:val="1"/>
          <w:iCs w:val="1"/>
          <w:color w:val="auto"/>
        </w:rPr>
        <w:t>(In thousands, except number of shares and per share amounts)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55,224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85,807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238,776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Tax credit receivable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307,729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312,324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119,064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Redeemable Convertible Preferred Stock and Stockholders’ Equity (Deficit)</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28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liabilities (Note 5)</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7,886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11,026</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long-term liabilities (Note 5)</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720" w:type="dxa"/>
            <w:vAlign w:val="bottom"/>
            <w:tcBorders>
              <w:bottom w:val="single" w:sz="8" w:color="CFF0FC"/>
            </w:tcBorders>
          </w:tcPr>
          <w:p>
            <w:pPr>
              <w:ind w:left="62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11,978</w:t>
            </w:r>
          </w:p>
        </w:tc>
        <w:tc>
          <w:tcPr>
            <w:tcW w:w="2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$0.0001 par value; 10,000,000 shares and 0 shares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authorized at September 30, 2020 and December 31, 2019, respectively;</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0 shares issued and outstanding at September 30, 2020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and December 31, 2019;</w:t>
            </w: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Series A redeemable convertible preferred stock, $0.0001 par value;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0 and 56,000,000 shares authorized at September 30, 2020</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and December 31, 2019, respectively; 0 and 56,000,000 shares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issued and outstanding, at September 30, 2020 and December 31, 2019,</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respectively; aggregate liquidation preference of $0 and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$62,468 at September 30, 2020 and December 31, 2019, respectively;</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Series B redeemable convertible preferred stock, $0.0001 par value;</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0 shares and 49,501,221 shares authorized at September 30, 2020 and</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December 31, 2019, respectively; 0 shares and 49,501,221 shares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issued and outstanding at September 30, 2020 and December 31, 2019,</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 aggregate liquidation preference of $0 and $75,860</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at September 30, 2020 and December 31, 2019, respectively;</w:t>
            </w: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Series C redeemable convertible preferred stock, $0.0001 par value;</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0 shares and 44,000,000 shares authorized at September 30, 2020 and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December 31, 2019, respectively; 0 shares and 26,360,745 shares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issued and outstanding at September 30, 2020 and December 31, 2019,</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respectively; aggregate liquidation preference of $0 and $47,947</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at September 30, 2020 and December 31, 2019, respectively;</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47,947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Common stock, $0.0001 par value; 300,000,000 and 181,000,000 shares authorized</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at September 30, 2020 and December 31, 2019; and 35,465,715 and 1,846,024 shares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issued and outstanding at September 30, 2020 and December 31, 2019, respectively;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399,162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(98,801)</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(76,295)</w:t>
            </w: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7720" w:type="dxa"/>
            <w:vAlign w:val="bottom"/>
            <w:tcBorders>
              <w:top w:val="single" w:sz="8" w:color="CFF0FC"/>
            </w:tcBorders>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300,346</w:t>
            </w:r>
          </w:p>
        </w:tc>
        <w:tc>
          <w:tcPr>
            <w:tcW w:w="2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(76,295)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redeemable convertible preferred stock and stockholders’ equity (deficit)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312,324</w:t>
            </w:r>
          </w:p>
        </w:tc>
        <w:tc>
          <w:tcPr>
            <w:tcW w:w="28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520" w:right="1740" w:hanging="2512"/>
        <w:spacing w:after="0" w:line="407" w:lineRule="auto"/>
        <w:tabs>
          <w:tab w:leader="none" w:pos="5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balance sheet as of December 31, 2019 has been derived from the audited financial statements as of that date</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accompanying notes are an integral part of these condensed financial statements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Pliant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number of shares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4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 related party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(16,884)</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(10,779)</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(48,339)</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(35,626)</w:t>
            </w: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(4,591)</w:t>
            </w: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(2,583)</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(11,642)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(7,827)</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(21,475)</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Accretion to redemption value and cumulative dividends on</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(1,375)</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3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8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Shares used in computing net loss per share attributable</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 common stockholders:</w:t>
            </w: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35,445,504</w:t>
            </w:r>
          </w:p>
        </w:tc>
        <w:tc>
          <w:tcPr>
            <w:tcW w:w="2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1,714,285</w:t>
            </w:r>
          </w:p>
        </w:tc>
        <w:tc>
          <w:tcPr>
            <w:tcW w:w="24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16,592,746</w:t>
            </w:r>
          </w:p>
        </w:tc>
        <w:tc>
          <w:tcPr>
            <w:tcW w:w="24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1,561,242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35,445,504</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1,714,285</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16,592,746</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1,561,242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(16,534)</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(13,255)</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(22,506)</w:t>
            </w:r>
          </w:p>
        </w:tc>
        <w:tc>
          <w:tcPr>
            <w:tcW w:w="360" w:type="dxa"/>
            <w:vAlign w:val="bottom"/>
            <w:gridSpan w:val="2"/>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(42,800)</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unrealized gain (loss) on short-term investments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(16,522)</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(13,265)</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Pliant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Redeemable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except number of shares and per share amounts)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gridSpan w:val="9"/>
          </w:tcPr>
          <w:p>
            <w:pPr>
              <w:jc w:val="right"/>
              <w:ind w:right="740"/>
              <w:spacing w:after="0"/>
              <w:rPr>
                <w:sz w:val="20"/>
                <w:szCs w:val="20"/>
                <w:color w:val="auto"/>
              </w:rPr>
            </w:pPr>
            <w:r>
              <w:rPr>
                <w:rFonts w:ascii="Times New Roman" w:cs="Times New Roman" w:eastAsia="Times New Roman" w:hAnsi="Times New Roman"/>
                <w:sz w:val="13"/>
                <w:szCs w:val="13"/>
                <w:b w:val="1"/>
                <w:bCs w:val="1"/>
                <w:color w:val="auto"/>
              </w:rPr>
              <w:t>Redeemable Convertible Preferred Stock</w:t>
            </w: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3"/>
                <w:szCs w:val="13"/>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right"/>
              <w:ind w:right="28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10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Series B</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Series C</w:t>
            </w:r>
          </w:p>
        </w:tc>
        <w:tc>
          <w:tcPr>
            <w:tcW w:w="48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17"/>
              <w:spacing w:after="0" w:line="14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02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88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900" w:type="dxa"/>
            <w:vAlign w:val="bottom"/>
            <w:gridSpan w:val="2"/>
          </w:tcPr>
          <w:p>
            <w:pPr>
              <w:jc w:val="right"/>
              <w:ind w:right="48"/>
              <w:spacing w:after="0" w:line="14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42"/>
        </w:trPr>
        <w:tc>
          <w:tcPr>
            <w:tcW w:w="104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58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right w:val="single" w:sz="8" w:color="auto"/>
            </w:tcBorders>
          </w:tcPr>
          <w:p>
            <w:pPr>
              <w:spacing w:after="0"/>
              <w:rPr>
                <w:sz w:val="12"/>
                <w:szCs w:val="12"/>
                <w:color w:val="auto"/>
              </w:rPr>
            </w:pPr>
          </w:p>
        </w:tc>
        <w:tc>
          <w:tcPr>
            <w:tcW w:w="740" w:type="dxa"/>
            <w:vAlign w:val="bottom"/>
          </w:tcPr>
          <w:p>
            <w:pPr>
              <w:jc w:val="right"/>
              <w:ind w:right="12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2"/>
                <w:szCs w:val="12"/>
                <w:color w:val="auto"/>
              </w:rPr>
            </w:pPr>
          </w:p>
        </w:tc>
        <w:tc>
          <w:tcPr>
            <w:tcW w:w="9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Gain (Loss)</w:t>
            </w:r>
          </w:p>
        </w:tc>
        <w:tc>
          <w:tcPr>
            <w:tcW w:w="120" w:type="dxa"/>
            <w:vAlign w:val="bottom"/>
          </w:tcPr>
          <w:p>
            <w:pPr>
              <w:spacing w:after="0"/>
              <w:rPr>
                <w:sz w:val="12"/>
                <w:szCs w:val="12"/>
                <w:color w:val="auto"/>
              </w:rPr>
            </w:pPr>
          </w:p>
        </w:tc>
        <w:tc>
          <w:tcPr>
            <w:tcW w:w="76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9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w w:val="99"/>
              </w:rPr>
              <w:t>Equity (Deficit)</w:t>
            </w:r>
          </w:p>
        </w:tc>
        <w:tc>
          <w:tcPr>
            <w:tcW w:w="0" w:type="dxa"/>
            <w:vAlign w:val="bottom"/>
          </w:tcPr>
          <w:p>
            <w:pPr>
              <w:spacing w:after="0"/>
              <w:rPr>
                <w:sz w:val="1"/>
                <w:szCs w:val="1"/>
                <w:color w:val="auto"/>
              </w:rPr>
            </w:pPr>
          </w:p>
        </w:tc>
      </w:tr>
      <w:tr>
        <w:trPr>
          <w:trHeight w:val="131"/>
        </w:trPr>
        <w:tc>
          <w:tcPr>
            <w:tcW w:w="1040" w:type="dxa"/>
            <w:vAlign w:val="bottom"/>
            <w:tcBorders>
              <w:top w:val="single" w:sz="8" w:color="CFF0FC"/>
            </w:tcBorders>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8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right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right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right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right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56,000,000</w:t>
            </w:r>
          </w:p>
        </w:tc>
        <w:tc>
          <w:tcPr>
            <w:tcW w:w="14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62,468</w:t>
            </w:r>
          </w:p>
        </w:tc>
        <w:tc>
          <w:tcPr>
            <w:tcW w:w="14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49,501,221</w:t>
            </w: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75,860</w:t>
            </w:r>
          </w:p>
        </w:tc>
        <w:tc>
          <w:tcPr>
            <w:tcW w:w="14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26,360,745</w:t>
            </w:r>
          </w:p>
        </w:tc>
        <w:tc>
          <w:tcPr>
            <w:tcW w:w="14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47,947</w:t>
            </w: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1,846,024</w:t>
            </w:r>
          </w:p>
        </w:tc>
        <w:tc>
          <w:tcPr>
            <w:tcW w:w="460" w:type="dxa"/>
            <w:vAlign w:val="bottom"/>
            <w:gridSpan w:val="2"/>
            <w:vMerge w:val="restart"/>
            <w:shd w:val="clear" w:color="auto" w:fill="CFF0FC"/>
          </w:tcPr>
          <w:p>
            <w:pPr>
              <w:jc w:val="right"/>
              <w:ind w:right="15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gridSpan w:val="2"/>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(76,295)</w:t>
            </w: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(76,295)</w:t>
            </w:r>
          </w:p>
        </w:tc>
        <w:tc>
          <w:tcPr>
            <w:tcW w:w="0" w:type="dxa"/>
            <w:vAlign w:val="bottom"/>
          </w:tcPr>
          <w:p>
            <w:pPr>
              <w:spacing w:after="0"/>
              <w:rPr>
                <w:sz w:val="1"/>
                <w:szCs w:val="1"/>
                <w:color w:val="auto"/>
              </w:rPr>
            </w:pPr>
          </w:p>
        </w:tc>
      </w:tr>
      <w:tr>
        <w:trPr>
          <w:trHeight w:val="173"/>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140" w:type="dxa"/>
            <w:vAlign w:val="bottom"/>
            <w:tcBorders>
              <w:right w:val="single" w:sz="8" w:color="CFF0FC"/>
            </w:tcBorders>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460" w:type="dxa"/>
            <w:vAlign w:val="bottom"/>
            <w:gridSpan w:val="2"/>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240" w:type="dxa"/>
            <w:vAlign w:val="bottom"/>
            <w:gridSpan w:val="2"/>
            <w:vMerge w:val="continue"/>
            <w:shd w:val="clear" w:color="auto" w:fill="CFF0FC"/>
          </w:tcPr>
          <w:p>
            <w:pPr>
              <w:spacing w:after="0"/>
              <w:rPr>
                <w:sz w:val="15"/>
                <w:szCs w:val="15"/>
                <w:color w:val="auto"/>
              </w:rPr>
            </w:pPr>
          </w:p>
        </w:tc>
        <w:tc>
          <w:tcPr>
            <w:tcW w:w="680" w:type="dxa"/>
            <w:vAlign w:val="bottom"/>
            <w:tcBorders>
              <w:right w:val="single" w:sz="8" w:color="CFF0FC"/>
            </w:tcBorders>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92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74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C</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 net of</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28,527,313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52,038</w:t>
            </w:r>
          </w:p>
        </w:tc>
        <w:tc>
          <w:tcPr>
            <w:tcW w:w="220" w:type="dxa"/>
            <w:vAlign w:val="bottom"/>
            <w:tcBorders>
              <w:right w:val="single" w:sz="8" w:color="auto"/>
            </w:tcBorders>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costs of $167</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Vesting of</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founders’</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and</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52,093</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1"/>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awards</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Option</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exercises</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425</w:t>
            </w:r>
          </w:p>
        </w:tc>
        <w:tc>
          <w:tcPr>
            <w:tcW w:w="0" w:type="dxa"/>
            <w:vAlign w:val="bottom"/>
          </w:tcPr>
          <w:p>
            <w:pPr>
              <w:spacing w:after="0"/>
              <w:rPr>
                <w:sz w:val="1"/>
                <w:szCs w:val="1"/>
                <w:color w:val="auto"/>
              </w:rPr>
            </w:pPr>
          </w:p>
        </w:tc>
      </w:tr>
      <w:tr>
        <w:trPr>
          <w:trHeight w:val="171"/>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expense</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Net unrealized</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short-term</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11,029</w:t>
            </w:r>
          </w:p>
        </w:tc>
        <w:tc>
          <w:tcPr>
            <w:tcW w:w="16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right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11,029</w:t>
            </w:r>
          </w:p>
        </w:tc>
        <w:tc>
          <w:tcPr>
            <w:tcW w:w="0" w:type="dxa"/>
            <w:vAlign w:val="bottom"/>
          </w:tcPr>
          <w:p>
            <w:pPr>
              <w:spacing w:after="0"/>
              <w:rPr>
                <w:sz w:val="1"/>
                <w:szCs w:val="1"/>
                <w:color w:val="auto"/>
              </w:rPr>
            </w:pPr>
          </w:p>
        </w:tc>
      </w:tr>
      <w:tr>
        <w:trPr>
          <w:trHeight w:val="131"/>
        </w:trPr>
        <w:tc>
          <w:tcPr>
            <w:tcW w:w="104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56,000,000</w:t>
            </w: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62,468</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49,501,221</w:t>
            </w: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75,860</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54,888,058</w:t>
            </w: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99,985</w:t>
            </w:r>
          </w:p>
        </w:tc>
        <w:tc>
          <w:tcPr>
            <w:tcW w:w="220" w:type="dxa"/>
            <w:vAlign w:val="bottom"/>
            <w:tcBorders>
              <w:right w:val="single" w:sz="8" w:color="auto"/>
            </w:tcBorders>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1,906,349</w:t>
            </w:r>
          </w:p>
        </w:tc>
        <w:tc>
          <w:tcPr>
            <w:tcW w:w="460" w:type="dxa"/>
            <w:vAlign w:val="bottom"/>
            <w:gridSpan w:val="2"/>
            <w:vMerge w:val="restart"/>
          </w:tcPr>
          <w:p>
            <w:pPr>
              <w:jc w:val="right"/>
              <w:ind w:right="157"/>
              <w:spacing w:after="0" w:line="304"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8"/>
                <w:szCs w:val="28"/>
                <w:color w:val="auto"/>
                <w:vertAlign w:val="subscript"/>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160" w:type="dxa"/>
            <w:vAlign w:val="bottom"/>
          </w:tcPr>
          <w:p>
            <w:pPr>
              <w:spacing w:after="0"/>
              <w:rPr>
                <w:sz w:val="11"/>
                <w:szCs w:val="1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6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(65,266)</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(64,751)</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March 31, 2020</w:t>
            </w: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7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Issuance of</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upon</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initial public</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offering, net of</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10,350,000</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148,399</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148,400</w:t>
            </w:r>
          </w:p>
        </w:tc>
        <w:tc>
          <w:tcPr>
            <w:tcW w:w="0" w:type="dxa"/>
            <w:vAlign w:val="bottom"/>
          </w:tcPr>
          <w:p>
            <w:pPr>
              <w:spacing w:after="0"/>
              <w:rPr>
                <w:sz w:val="1"/>
                <w:szCs w:val="1"/>
                <w:color w:val="auto"/>
              </w:rPr>
            </w:pPr>
          </w:p>
        </w:tc>
      </w:tr>
      <w:tr>
        <w:trPr>
          <w:trHeight w:val="171"/>
        </w:trPr>
        <w:tc>
          <w:tcPr>
            <w:tcW w:w="1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issuance costs</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Issuance of</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upon</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private</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625,000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placement</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Vesting of</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founders’</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and</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40,102</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awards</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Option</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73,719</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exercises</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Conversion of</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Series A, B, C</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9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(56,000,000)</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(62,468)</w:t>
            </w:r>
          </w:p>
        </w:tc>
        <w:tc>
          <w:tcPr>
            <w:tcW w:w="940" w:type="dxa"/>
            <w:vAlign w:val="bottom"/>
            <w:tcBorders>
              <w:right w:val="single" w:sz="8" w:color="CFF0FC"/>
            </w:tcBorders>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(49,501,221)</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(75,860)</w:t>
            </w:r>
          </w:p>
        </w:tc>
        <w:tc>
          <w:tcPr>
            <w:tcW w:w="9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(54,888,058)</w:t>
            </w:r>
          </w:p>
        </w:tc>
        <w:tc>
          <w:tcPr>
            <w:tcW w:w="100" w:type="dxa"/>
            <w:vAlign w:val="bottom"/>
            <w:shd w:val="clear" w:color="auto" w:fill="CFF0FC"/>
          </w:tcPr>
          <w:p>
            <w:pPr>
              <w:spacing w:after="0"/>
              <w:rPr>
                <w:sz w:val="12"/>
                <w:szCs w:val="12"/>
                <w:color w:val="auto"/>
              </w:rPr>
            </w:pPr>
          </w:p>
        </w:tc>
        <w:tc>
          <w:tcPr>
            <w:tcW w:w="70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(99,985)</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22,432,029</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238,292</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238,293</w:t>
            </w:r>
          </w:p>
        </w:tc>
        <w:tc>
          <w:tcPr>
            <w:tcW w:w="0" w:type="dxa"/>
            <w:vAlign w:val="bottom"/>
          </w:tcPr>
          <w:p>
            <w:pPr>
              <w:spacing w:after="0"/>
              <w:rPr>
                <w:sz w:val="1"/>
                <w:szCs w:val="1"/>
                <w:color w:val="auto"/>
              </w:rPr>
            </w:pPr>
          </w:p>
        </w:tc>
      </w:tr>
      <w:tr>
        <w:trPr>
          <w:trHeight w:val="171"/>
        </w:trPr>
        <w:tc>
          <w:tcPr>
            <w:tcW w:w="1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786</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expense</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Net unrealized</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loss on</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short-term</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71"/>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right w:val="single" w:sz="8" w:color="auto"/>
            </w:tcBorders>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(17,001)</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(17,001)</w:t>
            </w:r>
          </w:p>
        </w:tc>
        <w:tc>
          <w:tcPr>
            <w:tcW w:w="0" w:type="dxa"/>
            <w:vAlign w:val="bottom"/>
          </w:tcPr>
          <w:p>
            <w:pPr>
              <w:spacing w:after="0"/>
              <w:rPr>
                <w:sz w:val="1"/>
                <w:szCs w:val="1"/>
                <w:color w:val="auto"/>
              </w:rPr>
            </w:pPr>
          </w:p>
        </w:tc>
      </w:tr>
      <w:tr>
        <w:trPr>
          <w:trHeight w:val="20"/>
        </w:trPr>
        <w:tc>
          <w:tcPr>
            <w:tcW w:w="1040" w:type="dxa"/>
            <w:vAlign w:val="bottom"/>
            <w:vMerge w:val="restart"/>
            <w:shd w:val="clear" w:color="auto" w:fill="CFF0FC"/>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June</w:t>
            </w: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040" w:type="dxa"/>
            <w:vAlign w:val="bottom"/>
            <w:vMerge w:val="continue"/>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right w:val="single" w:sz="8" w:color="CFF0FC"/>
            </w:tcBorders>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35,427,199</w:t>
            </w:r>
          </w:p>
        </w:tc>
        <w:tc>
          <w:tcPr>
            <w:tcW w:w="460" w:type="dxa"/>
            <w:vAlign w:val="bottom"/>
            <w:gridSpan w:val="2"/>
            <w:vMerge w:val="restart"/>
            <w:shd w:val="clear" w:color="auto" w:fill="CFF0FC"/>
          </w:tcPr>
          <w:p>
            <w:pPr>
              <w:jc w:val="right"/>
              <w:ind w:right="15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vMerge w:val="restart"/>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398,110</w:t>
            </w:r>
          </w:p>
        </w:tc>
        <w:tc>
          <w:tcPr>
            <w:tcW w:w="160" w:type="dxa"/>
            <w:vAlign w:val="bottom"/>
            <w:tcBorders>
              <w:right w:val="single" w:sz="8" w:color="CFF0FC"/>
            </w:tcBorders>
            <w:shd w:val="clear" w:color="auto" w:fill="CFF0FC"/>
          </w:tcPr>
          <w:p>
            <w:pPr>
              <w:spacing w:after="0"/>
              <w:rPr>
                <w:sz w:val="11"/>
                <w:szCs w:val="11"/>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(82,267)</w:t>
            </w: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315,816</w:t>
            </w:r>
          </w:p>
        </w:tc>
        <w:tc>
          <w:tcPr>
            <w:tcW w:w="0" w:type="dxa"/>
            <w:vAlign w:val="bottom"/>
          </w:tcPr>
          <w:p>
            <w:pPr>
              <w:spacing w:after="0"/>
              <w:rPr>
                <w:sz w:val="1"/>
                <w:szCs w:val="1"/>
                <w:color w:val="auto"/>
              </w:rPr>
            </w:pPr>
          </w:p>
        </w:tc>
      </w:tr>
      <w:tr>
        <w:trPr>
          <w:trHeight w:val="173"/>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30, 2020</w:t>
            </w:r>
          </w:p>
        </w:tc>
        <w:tc>
          <w:tcPr>
            <w:tcW w:w="80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48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140" w:type="dxa"/>
            <w:vAlign w:val="bottom"/>
            <w:tcBorders>
              <w:right w:val="single" w:sz="8" w:color="CFF0FC"/>
            </w:tcBorders>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620" w:type="dxa"/>
            <w:vAlign w:val="bottom"/>
            <w:gridSpan w:val="2"/>
            <w:vMerge w:val="continue"/>
            <w:shd w:val="clear" w:color="auto" w:fill="CFF0FC"/>
          </w:tcPr>
          <w:p>
            <w:pPr>
              <w:spacing w:after="0"/>
              <w:rPr>
                <w:sz w:val="15"/>
                <w:szCs w:val="15"/>
                <w:color w:val="auto"/>
              </w:rPr>
            </w:pPr>
          </w:p>
        </w:tc>
        <w:tc>
          <w:tcPr>
            <w:tcW w:w="940" w:type="dxa"/>
            <w:vAlign w:val="bottom"/>
            <w:gridSpan w:val="2"/>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700" w:type="dxa"/>
            <w:vAlign w:val="bottom"/>
            <w:tcBorders>
              <w:right w:val="single" w:sz="8" w:color="auto"/>
            </w:tcBorders>
            <w:gridSpan w:val="2"/>
            <w:vMerge w:val="continue"/>
            <w:shd w:val="clear" w:color="auto" w:fill="CFF0FC"/>
          </w:tcPr>
          <w:p>
            <w:pPr>
              <w:spacing w:after="0"/>
              <w:rPr>
                <w:sz w:val="15"/>
                <w:szCs w:val="15"/>
                <w:color w:val="auto"/>
              </w:rPr>
            </w:pPr>
          </w:p>
        </w:tc>
        <w:tc>
          <w:tcPr>
            <w:tcW w:w="740" w:type="dxa"/>
            <w:vAlign w:val="bottom"/>
            <w:vMerge w:val="continue"/>
            <w:shd w:val="clear" w:color="auto" w:fill="CFF0FC"/>
          </w:tcPr>
          <w:p>
            <w:pPr>
              <w:spacing w:after="0"/>
              <w:rPr>
                <w:sz w:val="15"/>
                <w:szCs w:val="15"/>
                <w:color w:val="auto"/>
              </w:rPr>
            </w:pPr>
          </w:p>
        </w:tc>
        <w:tc>
          <w:tcPr>
            <w:tcW w:w="460" w:type="dxa"/>
            <w:vAlign w:val="bottom"/>
            <w:gridSpan w:val="2"/>
            <w:vMerge w:val="continue"/>
            <w:shd w:val="clear" w:color="auto" w:fill="CFF0FC"/>
          </w:tcPr>
          <w:p>
            <w:pPr>
              <w:spacing w:after="0"/>
              <w:rPr>
                <w:sz w:val="15"/>
                <w:szCs w:val="15"/>
                <w:color w:val="auto"/>
              </w:rPr>
            </w:pPr>
          </w:p>
        </w:tc>
        <w:tc>
          <w:tcPr>
            <w:tcW w:w="220" w:type="dxa"/>
            <w:vAlign w:val="bottom"/>
            <w:vMerge w:val="continue"/>
            <w:shd w:val="clear" w:color="auto" w:fill="CFF0FC"/>
          </w:tcPr>
          <w:p>
            <w:pPr>
              <w:spacing w:after="0"/>
              <w:rPr>
                <w:sz w:val="15"/>
                <w:szCs w:val="15"/>
                <w:color w:val="auto"/>
              </w:rPr>
            </w:pPr>
          </w:p>
        </w:tc>
        <w:tc>
          <w:tcPr>
            <w:tcW w:w="240" w:type="dxa"/>
            <w:vAlign w:val="bottom"/>
            <w:gridSpan w:val="2"/>
            <w:vMerge w:val="continue"/>
            <w:shd w:val="clear" w:color="auto" w:fill="CFF0FC"/>
          </w:tcPr>
          <w:p>
            <w:pPr>
              <w:spacing w:after="0"/>
              <w:rPr>
                <w:sz w:val="15"/>
                <w:szCs w:val="15"/>
                <w:color w:val="auto"/>
              </w:rPr>
            </w:pPr>
          </w:p>
        </w:tc>
        <w:tc>
          <w:tcPr>
            <w:tcW w:w="520" w:type="dxa"/>
            <w:vAlign w:val="bottom"/>
            <w:vMerge w:val="continue"/>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920" w:type="dxa"/>
            <w:vAlign w:val="bottom"/>
            <w:gridSpan w:val="2"/>
            <w:vMerge w:val="continue"/>
            <w:shd w:val="clear" w:color="auto" w:fill="CFF0FC"/>
          </w:tcPr>
          <w:p>
            <w:pPr>
              <w:spacing w:after="0"/>
              <w:rPr>
                <w:sz w:val="15"/>
                <w:szCs w:val="15"/>
                <w:color w:val="auto"/>
              </w:rPr>
            </w:pPr>
          </w:p>
        </w:tc>
        <w:tc>
          <w:tcPr>
            <w:tcW w:w="120" w:type="dxa"/>
            <w:vAlign w:val="bottom"/>
            <w:vMerge w:val="continue"/>
            <w:shd w:val="clear" w:color="auto" w:fill="CFF0FC"/>
          </w:tcPr>
          <w:p>
            <w:pPr>
              <w:spacing w:after="0"/>
              <w:rPr>
                <w:sz w:val="15"/>
                <w:szCs w:val="15"/>
                <w:color w:val="auto"/>
              </w:rPr>
            </w:pPr>
          </w:p>
        </w:tc>
        <w:tc>
          <w:tcPr>
            <w:tcW w:w="760" w:type="dxa"/>
            <w:vAlign w:val="bottom"/>
            <w:gridSpan w:val="2"/>
            <w:vMerge w:val="continue"/>
            <w:shd w:val="clear" w:color="auto" w:fill="CFF0FC"/>
          </w:tcPr>
          <w:p>
            <w:pPr>
              <w:spacing w:after="0"/>
              <w:rPr>
                <w:sz w:val="15"/>
                <w:szCs w:val="15"/>
                <w:color w:val="auto"/>
              </w:rPr>
            </w:pPr>
          </w:p>
        </w:tc>
        <w:tc>
          <w:tcPr>
            <w:tcW w:w="160" w:type="dxa"/>
            <w:vAlign w:val="bottom"/>
            <w:vMerge w:val="continue"/>
            <w:shd w:val="clear" w:color="auto" w:fill="CFF0FC"/>
          </w:tcPr>
          <w:p>
            <w:pPr>
              <w:spacing w:after="0"/>
              <w:rPr>
                <w:sz w:val="15"/>
                <w:szCs w:val="15"/>
                <w:color w:val="auto"/>
              </w:rPr>
            </w:pPr>
          </w:p>
        </w:tc>
        <w:tc>
          <w:tcPr>
            <w:tcW w:w="740" w:type="dxa"/>
            <w:vAlign w:val="bottom"/>
            <w:tcBorders>
              <w:right w:val="single" w:sz="8" w:color="CFF0FC"/>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Additional</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costs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related to</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initial public</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offering</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Vesting of</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founders’</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and</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restricted stock</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38,058</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awards</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Option</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exercises</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Stock-based</w:t>
            </w: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FF0FC"/>
            </w:tcBorders>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2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740" w:type="dxa"/>
            <w:vAlign w:val="bottom"/>
            <w:tcBorders>
              <w:right w:val="single" w:sz="8" w:color="CFF0FC"/>
            </w:tcBorders>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1,169</w:t>
            </w:r>
          </w:p>
        </w:tc>
        <w:tc>
          <w:tcPr>
            <w:tcW w:w="0" w:type="dxa"/>
            <w:vAlign w:val="bottom"/>
          </w:tcPr>
          <w:p>
            <w:pPr>
              <w:spacing w:after="0"/>
              <w:rPr>
                <w:sz w:val="1"/>
                <w:szCs w:val="1"/>
                <w:color w:val="auto"/>
              </w:rPr>
            </w:pPr>
          </w:p>
        </w:tc>
      </w:tr>
      <w:tr>
        <w:trPr>
          <w:trHeight w:val="171"/>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expense</w:t>
            </w: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tcBorders>
              <w:right w:val="single" w:sz="8" w:color="CFF0FC"/>
            </w:tcBorders>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Net unrealized</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short-term</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investments</w:t>
            </w: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Borders>
              <w:right w:val="single" w:sz="8" w:color="auto"/>
            </w:tcBorders>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700" w:type="dxa"/>
            <w:vAlign w:val="bottom"/>
            <w:tcBorders>
              <w:right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(16,534)</w:t>
            </w:r>
          </w:p>
        </w:tc>
        <w:tc>
          <w:tcPr>
            <w:tcW w:w="160" w:type="dxa"/>
            <w:vAlign w:val="bottom"/>
            <w:shd w:val="clear" w:color="auto" w:fill="CFF0FC"/>
          </w:tcPr>
          <w:p>
            <w:pPr>
              <w:spacing w:after="0"/>
              <w:rPr>
                <w:sz w:val="14"/>
                <w:szCs w:val="14"/>
                <w:color w:val="auto"/>
              </w:rPr>
            </w:pPr>
          </w:p>
        </w:tc>
        <w:tc>
          <w:tcPr>
            <w:tcW w:w="7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(16,534)</w:t>
            </w:r>
          </w:p>
        </w:tc>
        <w:tc>
          <w:tcPr>
            <w:tcW w:w="0" w:type="dxa"/>
            <w:vAlign w:val="bottom"/>
          </w:tcPr>
          <w:p>
            <w:pPr>
              <w:spacing w:after="0"/>
              <w:rPr>
                <w:sz w:val="1"/>
                <w:szCs w:val="1"/>
                <w:color w:val="auto"/>
              </w:rPr>
            </w:pPr>
          </w:p>
        </w:tc>
      </w:tr>
      <w:tr>
        <w:trPr>
          <w:trHeight w:val="131"/>
        </w:trPr>
        <w:tc>
          <w:tcPr>
            <w:tcW w:w="104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35,465,715</w:t>
            </w:r>
          </w:p>
        </w:tc>
        <w:tc>
          <w:tcPr>
            <w:tcW w:w="460" w:type="dxa"/>
            <w:vAlign w:val="bottom"/>
            <w:gridSpan w:val="2"/>
            <w:vMerge w:val="restart"/>
          </w:tcPr>
          <w:p>
            <w:pPr>
              <w:jc w:val="right"/>
              <w:ind w:right="15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399,162</w:t>
            </w:r>
          </w:p>
        </w:tc>
        <w:tc>
          <w:tcPr>
            <w:tcW w:w="16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(98,801)</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300,346</w:t>
            </w:r>
          </w:p>
        </w:tc>
        <w:tc>
          <w:tcPr>
            <w:tcW w:w="0" w:type="dxa"/>
            <w:vAlign w:val="bottom"/>
          </w:tcPr>
          <w:p>
            <w:pPr>
              <w:spacing w:after="0"/>
              <w:rPr>
                <w:sz w:val="1"/>
                <w:szCs w:val="1"/>
                <w:color w:val="auto"/>
              </w:rPr>
            </w:pPr>
          </w:p>
        </w:tc>
      </w:tr>
      <w:tr>
        <w:trPr>
          <w:trHeight w:val="173"/>
        </w:trPr>
        <w:tc>
          <w:tcPr>
            <w:tcW w:w="1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2020</w:t>
            </w:r>
          </w:p>
        </w:tc>
        <w:tc>
          <w:tcPr>
            <w:tcW w:w="9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tcBorders>
              <w:right w:val="single" w:sz="8" w:color="auto"/>
            </w:tcBorders>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share amounts do not add up due to rounding.</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financial statements.</w:t>
      </w:r>
    </w:p>
    <w:p>
      <w:pPr>
        <w:sectPr>
          <w:pgSz w:w="11900" w:h="16838" w:orient="portrait"/>
          <w:cols w:equalWidth="0" w:num="1">
            <w:col w:w="11240"/>
          </w:cols>
          <w:pgMar w:left="320" w:top="347" w:right="339" w:bottom="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7" w:right="339" w:bottom="0" w:gutter="0" w:footer="0" w:header="0"/>
          <w:type w:val="continuous"/>
        </w:sectPr>
      </w:pPr>
    </w:p>
    <w:bookmarkStart w:id="5" w:name="page6"/>
    <w:bookmarkEnd w:id="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Pliant Therapeutics,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Statements of Redeemable Convertible Preferred Stock and Stockholders’ Equity (Deficit)</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(In thousands, except number of shares and per share amounts)</w:t>
      </w:r>
    </w:p>
    <w:p>
      <w:pPr>
        <w:sectPr>
          <w:pgSz w:w="11900" w:h="16838" w:orient="portrait"/>
          <w:cols w:equalWidth="0" w:num="1">
            <w:col w:w="11180"/>
          </w:cols>
          <w:pgMar w:left="320" w:top="117" w:right="399" w:bottom="1440" w:gutter="0" w:footer="0" w:header="0"/>
        </w:sect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4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3"/>
                <w:szCs w:val="13"/>
                <w:b w:val="1"/>
                <w:bCs w:val="1"/>
                <w:color w:val="auto"/>
                <w:w w:val="95"/>
              </w:rPr>
              <w:t>Redeemable Convertible Preferred Stock</w:t>
            </w:r>
          </w:p>
        </w:tc>
        <w:tc>
          <w:tcPr>
            <w:tcW w:w="4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420" w:type="dxa"/>
            <w:vAlign w:val="bottom"/>
          </w:tcPr>
          <w:p>
            <w:pPr>
              <w:spacing w:after="0"/>
              <w:rPr>
                <w:sz w:val="12"/>
                <w:szCs w:val="12"/>
                <w:color w:val="auto"/>
              </w:rPr>
            </w:pPr>
          </w:p>
        </w:tc>
        <w:tc>
          <w:tcPr>
            <w:tcW w:w="1040" w:type="dxa"/>
            <w:vAlign w:val="bottom"/>
            <w:tcBorders>
              <w:bottom w:val="single" w:sz="8" w:color="auto"/>
            </w:tcBorders>
            <w:gridSpan w:val="3"/>
          </w:tcPr>
          <w:p>
            <w:pPr>
              <w:jc w:val="right"/>
              <w:ind w:right="17"/>
              <w:spacing w:after="0" w:line="142" w:lineRule="exact"/>
              <w:rPr>
                <w:sz w:val="20"/>
                <w:szCs w:val="20"/>
                <w:color w:val="auto"/>
              </w:rPr>
            </w:pPr>
            <w:r>
              <w:rPr>
                <w:rFonts w:ascii="Times New Roman" w:cs="Times New Roman" w:eastAsia="Times New Roman" w:hAnsi="Times New Roman"/>
                <w:sz w:val="13"/>
                <w:szCs w:val="13"/>
                <w:b w:val="1"/>
                <w:bCs w:val="1"/>
                <w:color w:val="auto"/>
              </w:rPr>
              <w:t>Series A</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Borders>
              <w:bottom w:val="single" w:sz="8" w:color="auto"/>
            </w:tcBorders>
            <w:gridSpan w:val="3"/>
          </w:tcPr>
          <w:p>
            <w:pPr>
              <w:jc w:val="right"/>
              <w:ind w:right="17"/>
              <w:spacing w:after="0" w:line="142" w:lineRule="exact"/>
              <w:rPr>
                <w:sz w:val="20"/>
                <w:szCs w:val="20"/>
                <w:color w:val="auto"/>
              </w:rPr>
            </w:pPr>
            <w:r>
              <w:rPr>
                <w:rFonts w:ascii="Times New Roman" w:cs="Times New Roman" w:eastAsia="Times New Roman" w:hAnsi="Times New Roman"/>
                <w:sz w:val="13"/>
                <w:szCs w:val="13"/>
                <w:b w:val="1"/>
                <w:bCs w:val="1"/>
                <w:color w:val="auto"/>
              </w:rPr>
              <w:t>Series B</w:t>
            </w:r>
          </w:p>
        </w:tc>
        <w:tc>
          <w:tcPr>
            <w:tcW w:w="4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320"/>
              <w:spacing w:after="0" w:line="142" w:lineRule="exact"/>
              <w:rPr>
                <w:sz w:val="20"/>
                <w:szCs w:val="20"/>
                <w:color w:val="auto"/>
              </w:rPr>
            </w:pPr>
            <w:r>
              <w:rPr>
                <w:rFonts w:ascii="Times New Roman" w:cs="Times New Roman" w:eastAsia="Times New Roman" w:hAnsi="Times New Roman"/>
                <w:sz w:val="13"/>
                <w:szCs w:val="13"/>
                <w:b w:val="1"/>
                <w:bCs w:val="1"/>
                <w:color w:val="auto"/>
              </w:rPr>
              <w:t>Series C</w:t>
            </w:r>
          </w:p>
        </w:tc>
        <w:tc>
          <w:tcPr>
            <w:tcW w:w="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at December</w:t>
            </w:r>
          </w:p>
        </w:tc>
        <w:tc>
          <w:tcPr>
            <w:tcW w:w="760" w:type="dxa"/>
            <w:vAlign w:val="bottom"/>
            <w:tcBorders>
              <w:bottom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2"/>
                <w:szCs w:val="12"/>
                <w:color w:val="auto"/>
              </w:rPr>
            </w:pPr>
          </w:p>
        </w:tc>
        <w:tc>
          <w:tcPr>
            <w:tcW w:w="58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8"/>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2"/>
                <w:szCs w:val="12"/>
                <w:color w:val="auto"/>
              </w:rPr>
            </w:pPr>
          </w:p>
        </w:tc>
        <w:tc>
          <w:tcPr>
            <w:tcW w:w="54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31"/>
        </w:trPr>
        <w:tc>
          <w:tcPr>
            <w:tcW w:w="1420" w:type="dxa"/>
            <w:vAlign w:val="bottom"/>
            <w:vMerge w:val="continue"/>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56,000,000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61,516</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49,501,221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70,587</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4"/>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31, 2018</w:t>
            </w:r>
          </w:p>
        </w:tc>
        <w:tc>
          <w:tcPr>
            <w:tcW w:w="76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founders’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and restricted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to</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 value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cumulative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unrealized gain 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investments</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1"/>
        </w:trPr>
        <w:tc>
          <w:tcPr>
            <w:tcW w:w="142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at March 31,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56,000,000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61,516</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49,501,221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71,931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4"/>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founders’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and restricted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Option exercises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to</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 value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cumulative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unrealized gains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on short-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investments</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1"/>
        </w:trPr>
        <w:tc>
          <w:tcPr>
            <w:tcW w:w="142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at June 30,</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56,000,000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61,516</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49,501,221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73,290</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4"/>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founders’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and restricted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stock awards</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Option exercises</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Accretion to</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 value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cumulative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dividends 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redeemable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unrealized loss 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short-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62"/>
        </w:trPr>
        <w:tc>
          <w:tcPr>
            <w:tcW w:w="1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term investments</w:t>
            </w: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1"/>
        </w:trPr>
        <w:tc>
          <w:tcPr>
            <w:tcW w:w="142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56,000,000</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61,516</w:t>
            </w:r>
          </w:p>
        </w:tc>
        <w:tc>
          <w:tcPr>
            <w:tcW w:w="1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49,501,221</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74,665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vMerge w:val="restart"/>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7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-6377305</wp:posOffset>
            </wp:positionV>
            <wp:extent cx="7132320" cy="637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377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w w:val="96"/>
              </w:rPr>
              <w:t>Other</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55"/>
        </w:trPr>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ind w:right="33"/>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0" w:type="dxa"/>
            <w:vAlign w:val="bottom"/>
            <w:gridSpan w:val="3"/>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Stockholders’</w:t>
            </w:r>
          </w:p>
        </w:tc>
      </w:tr>
      <w:tr>
        <w:trPr>
          <w:trHeight w:val="142"/>
        </w:trPr>
        <w:tc>
          <w:tcPr>
            <w:tcW w:w="7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13"/>
              <w:spacing w:after="0" w:line="142" w:lineRule="exact"/>
              <w:rPr>
                <w:sz w:val="20"/>
                <w:szCs w:val="20"/>
                <w:color w:val="auto"/>
              </w:rPr>
            </w:pPr>
            <w:r>
              <w:rPr>
                <w:rFonts w:ascii="Times New Roman" w:cs="Times New Roman" w:eastAsia="Times New Roman" w:hAnsi="Times New Roman"/>
                <w:sz w:val="13"/>
                <w:szCs w:val="13"/>
                <w:b w:val="1"/>
                <w:bCs w:val="1"/>
                <w:color w:val="auto"/>
                <w:w w:val="94"/>
              </w:rPr>
              <w:t>Gain</w:t>
            </w:r>
          </w:p>
        </w:tc>
        <w:tc>
          <w:tcPr>
            <w:tcW w:w="180" w:type="dxa"/>
            <w:vAlign w:val="bottom"/>
          </w:tcPr>
          <w:p>
            <w:pPr>
              <w:spacing w:after="0"/>
              <w:rPr>
                <w:sz w:val="12"/>
                <w:szCs w:val="12"/>
                <w:color w:val="auto"/>
              </w:rPr>
            </w:pPr>
          </w:p>
        </w:tc>
        <w:tc>
          <w:tcPr>
            <w:tcW w:w="72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40" w:type="dxa"/>
            <w:vAlign w:val="bottom"/>
          </w:tcPr>
          <w:p>
            <w:pPr>
              <w:spacing w:after="0"/>
              <w:rPr>
                <w:sz w:val="12"/>
                <w:szCs w:val="12"/>
                <w:color w:val="auto"/>
              </w:rPr>
            </w:pPr>
          </w:p>
        </w:tc>
      </w:tr>
      <w:tr>
        <w:trPr>
          <w:trHeight w:val="321"/>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1,363,000</w:t>
            </w:r>
          </w:p>
        </w:tc>
        <w:tc>
          <w:tcPr>
            <w:tcW w:w="48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tcPr>
          <w:p>
            <w:pPr>
              <w:jc w:val="right"/>
              <w:ind w:right="37"/>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(71,470)</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(71,469)</w:t>
            </w:r>
          </w:p>
        </w:tc>
      </w:tr>
      <w:tr>
        <w:trPr>
          <w:trHeight w:val="60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126,057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ind w:left="520"/>
              <w:spacing w:after="0"/>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(320)</w:t>
            </w:r>
          </w:p>
        </w:tc>
        <w:tc>
          <w:tcPr>
            <w:tcW w:w="3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(1,024)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(1,344)</w:t>
            </w:r>
          </w:p>
        </w:tc>
      </w:tr>
      <w:tr>
        <w:trPr>
          <w:trHeight w:val="31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40" w:type="dxa"/>
            <w:vAlign w:val="bottom"/>
          </w:tcPr>
          <w:p>
            <w:pPr>
              <w:spacing w:after="0"/>
              <w:rPr>
                <w:sz w:val="24"/>
                <w:szCs w:val="24"/>
                <w:color w:val="auto"/>
              </w:rPr>
            </w:pPr>
          </w:p>
        </w:tc>
      </w:tr>
      <w:tr>
        <w:trPr>
          <w:trHeight w:val="433"/>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24"/>
                <w:szCs w:val="24"/>
                <w:color w:val="auto"/>
              </w:rPr>
            </w:pPr>
          </w:p>
        </w:tc>
      </w:tr>
      <w:tr>
        <w:trPr>
          <w:trHeight w:val="171"/>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(14,023)</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(14,023)</w:t>
            </w:r>
          </w:p>
        </w:tc>
      </w:tr>
      <w:tr>
        <w:trPr>
          <w:trHeight w:val="20"/>
        </w:trPr>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1"/>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1,489,057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(86,517)</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(86,513)</w:t>
            </w:r>
          </w:p>
        </w:tc>
      </w:tr>
      <w:tr>
        <w:trPr>
          <w:trHeight w:val="581"/>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139,363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40" w:type="dxa"/>
            <w:vAlign w:val="bottom"/>
          </w:tcPr>
          <w:p>
            <w:pPr>
              <w:spacing w:after="0"/>
              <w:rPr>
                <w:sz w:val="24"/>
                <w:szCs w:val="24"/>
                <w:color w:val="auto"/>
              </w:rPr>
            </w:pPr>
          </w:p>
        </w:tc>
      </w:tr>
      <w:tr>
        <w:trPr>
          <w:trHeight w:val="18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(647)</w:t>
            </w:r>
          </w:p>
        </w:tc>
        <w:tc>
          <w:tcPr>
            <w:tcW w:w="3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(712)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(1,359)</w:t>
            </w:r>
          </w:p>
        </w:tc>
      </w:tr>
      <w:tr>
        <w:trPr>
          <w:trHeight w:val="311"/>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40" w:type="dxa"/>
            <w:vAlign w:val="bottom"/>
          </w:tcPr>
          <w:p>
            <w:pPr>
              <w:spacing w:after="0"/>
              <w:rPr>
                <w:sz w:val="24"/>
                <w:szCs w:val="24"/>
                <w:color w:val="auto"/>
              </w:rPr>
            </w:pPr>
          </w:p>
        </w:tc>
      </w:tr>
      <w:tr>
        <w:trPr>
          <w:trHeight w:val="433"/>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4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24"/>
                <w:szCs w:val="24"/>
                <w:color w:val="auto"/>
              </w:rPr>
            </w:pPr>
          </w:p>
        </w:tc>
      </w:tr>
      <w:tr>
        <w:trPr>
          <w:trHeight w:val="171"/>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(15,522)</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(15,522)</w:t>
            </w:r>
          </w:p>
        </w:tc>
      </w:tr>
      <w:tr>
        <w:trPr>
          <w:trHeight w:val="20"/>
        </w:trPr>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1"/>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1,650,360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  (102,751)</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(102,739)</w:t>
            </w:r>
          </w:p>
        </w:tc>
      </w:tr>
      <w:tr>
        <w:trPr>
          <w:trHeight w:val="581"/>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116,865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24"/>
                <w:szCs w:val="24"/>
                <w:color w:val="auto"/>
              </w:rPr>
            </w:pPr>
          </w:p>
        </w:tc>
      </w:tr>
      <w:tr>
        <w:trPr>
          <w:trHeight w:val="18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(501)</w:t>
            </w:r>
          </w:p>
        </w:tc>
        <w:tc>
          <w:tcPr>
            <w:tcW w:w="36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(874)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(1,375)</w:t>
            </w:r>
          </w:p>
        </w:tc>
      </w:tr>
      <w:tr>
        <w:trPr>
          <w:trHeight w:val="310"/>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40" w:type="dxa"/>
            <w:vAlign w:val="bottom"/>
          </w:tcPr>
          <w:p>
            <w:pPr>
              <w:spacing w:after="0"/>
              <w:rPr>
                <w:sz w:val="24"/>
                <w:szCs w:val="24"/>
                <w:color w:val="auto"/>
              </w:rPr>
            </w:pPr>
          </w:p>
        </w:tc>
      </w:tr>
      <w:tr>
        <w:trPr>
          <w:trHeight w:val="433"/>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2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24"/>
                <w:szCs w:val="24"/>
                <w:color w:val="auto"/>
              </w:rPr>
            </w:pPr>
          </w:p>
        </w:tc>
        <w:tc>
          <w:tcPr>
            <w:tcW w:w="104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71"/>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(13,255)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(13,255)</w:t>
            </w:r>
          </w:p>
        </w:tc>
      </w:tr>
      <w:tr>
        <w:trPr>
          <w:trHeight w:val="20"/>
        </w:trPr>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1,773,999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10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color w:val="auto"/>
              </w:rPr>
              <w:t>$  (116,880)  $</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(116,878)</w:t>
            </w:r>
          </w:p>
        </w:tc>
      </w:tr>
      <w:tr>
        <w:trPr>
          <w:trHeight w:val="20"/>
        </w:trPr>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2">
            <w:col w:w="5940" w:space="220"/>
            <w:col w:w="5020"/>
          </w:cols>
          <w:pgMar w:left="320" w:top="117" w:right="399" w:bottom="1440" w:gutter="0" w:footer="0" w:header="0"/>
          <w:type w:val="continuous"/>
        </w:sectPr>
      </w:pPr>
    </w:p>
    <w:p>
      <w:pPr>
        <w:ind w:left="272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Pliant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7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(22,506)</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(42,800)</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Tax credit receivable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5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(4,774)</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(267,818)</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(34,751)</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short-term investments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(222,772)</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initial public offering, net</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issuance costs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150,751</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issuance of common stock upon completion of private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placement</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Series C preferred stock, net of issuance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52,019</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restricted common stock</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(1,438)</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212,975</w:t>
            </w:r>
          </w:p>
        </w:tc>
        <w:tc>
          <w:tcPr>
            <w:tcW w:w="280" w:type="dxa"/>
            <w:vAlign w:val="bottom"/>
            <w:tcBorders>
              <w:bottom w:val="single" w:sz="8" w:color="CFF0FC"/>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(30,583)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85,807</w:t>
            </w:r>
          </w:p>
        </w:tc>
        <w:tc>
          <w:tcPr>
            <w:tcW w:w="28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55,224</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liabilities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restricted stock awards from liabilities to common stock</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upon vesting</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Accretion to redemption value and cumulative dividends on redeemable convertible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 accounts payable and accrued liabilities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(loss) gain on short-term investments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Pliant Therapeutics,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21" w:lineRule="exact"/>
        <w:rPr>
          <w:sz w:val="20"/>
          <w:szCs w:val="20"/>
          <w:color w:val="auto"/>
        </w:rPr>
      </w:pPr>
    </w:p>
    <w:p>
      <w:pPr>
        <w:ind w:right="20" w:firstLine="482"/>
        <w:spacing w:after="0" w:line="258" w:lineRule="auto"/>
        <w:rPr>
          <w:sz w:val="20"/>
          <w:szCs w:val="20"/>
          <w:color w:val="auto"/>
        </w:rPr>
      </w:pPr>
      <w:r>
        <w:rPr>
          <w:rFonts w:ascii="Times New Roman" w:cs="Times New Roman" w:eastAsia="Times New Roman" w:hAnsi="Times New Roman"/>
          <w:sz w:val="18"/>
          <w:szCs w:val="18"/>
          <w:color w:val="auto"/>
        </w:rPr>
        <w:t>Pliant Therapeutics, Inc. (the “Company”) is a clinical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100" w:firstLine="482"/>
        <w:spacing w:after="0" w:line="255" w:lineRule="auto"/>
        <w:rPr>
          <w:sz w:val="20"/>
          <w:szCs w:val="20"/>
          <w:color w:val="auto"/>
        </w:rPr>
      </w:pPr>
      <w:r>
        <w:rPr>
          <w:rFonts w:ascii="Times New Roman" w:cs="Times New Roman" w:eastAsia="Times New Roman" w:hAnsi="Times New Roman"/>
          <w:sz w:val="18"/>
          <w:szCs w:val="18"/>
          <w:color w:val="auto"/>
        </w:rPr>
        <w:t>On May 22, 2020, the Company implemented a 1-for-7.15 reverse stock split of the Company’s common stock. Stockholders entitled to fractional shares as a result of the reverse stock split received a cash payment in lieu of receiving fractional shares. All share and per share data shown in the accompanying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 As of June 3, 2020, all outstanding preferred stock have been converted into common stock.</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121" w:lineRule="exact"/>
        <w:rPr>
          <w:sz w:val="20"/>
          <w:szCs w:val="20"/>
          <w:color w:val="auto"/>
        </w:rPr>
      </w:pPr>
    </w:p>
    <w:p>
      <w:pPr>
        <w:ind w:right="180" w:firstLine="482"/>
        <w:spacing w:after="0" w:line="254" w:lineRule="auto"/>
        <w:rPr>
          <w:sz w:val="20"/>
          <w:szCs w:val="20"/>
          <w:color w:val="auto"/>
        </w:rPr>
      </w:pPr>
      <w:r>
        <w:rPr>
          <w:rFonts w:ascii="Times New Roman" w:cs="Times New Roman" w:eastAsia="Times New Roman" w:hAnsi="Times New Roman"/>
          <w:sz w:val="18"/>
          <w:szCs w:val="18"/>
          <w:color w:val="auto"/>
        </w:rPr>
        <w:t>On June 3, 2019, the Company’s registration statement on Form S-1 was declared effective by the United States Securities and Exchange Commission (“SEC”), for its initial public offering (“IPO”) of its common stock. The Company’s shares of common stock started trading on the Nasdaq Select Global Market on June 3, 2020 and the transaction closed on June 5, 2020. In connection with the IPO, the Company sold an aggregate of 10,350,000 shares of common stock, which included 9,000,000 shares of common stock and 1,350,000 shares of common stock sold pursuant to the underwriters’ exercise of their option to purchase additional shares, at a public offering price of $16.00 per share. The aggregate net proceeds received by the Company from the offering were $148.3 million, net of underwriting discounts, commissions and offering expenses of $5.7 million, of which $2.6 million were paid in 2019 and $3.1 million paid in the current year. Upon the closing of the IPO, 160,389,279 shares of the Company’s outstanding convertible preferred stock were automatically converted to common stock on a 7.15:1 basis and the related carrying amount of $238.3 million was reclassified to common stock and additional paid-in capital within stockholders’ equity (deficit).</w:t>
      </w:r>
    </w:p>
    <w:p>
      <w:pPr>
        <w:spacing w:after="0" w:line="188" w:lineRule="exact"/>
        <w:rPr>
          <w:sz w:val="20"/>
          <w:szCs w:val="20"/>
          <w:color w:val="auto"/>
        </w:rPr>
      </w:pPr>
    </w:p>
    <w:p>
      <w:pPr>
        <w:ind w:right="420" w:firstLine="482"/>
        <w:spacing w:after="0" w:line="266" w:lineRule="auto"/>
        <w:rPr>
          <w:sz w:val="20"/>
          <w:szCs w:val="20"/>
          <w:color w:val="auto"/>
        </w:rPr>
      </w:pPr>
      <w:r>
        <w:rPr>
          <w:rFonts w:ascii="Times New Roman" w:cs="Times New Roman" w:eastAsia="Times New Roman" w:hAnsi="Times New Roman"/>
          <w:sz w:val="18"/>
          <w:szCs w:val="18"/>
          <w:color w:val="auto"/>
        </w:rPr>
        <w:t>Concurrent with the completion of the IPO, the Company also issued 625,000 shares of its common stock to Novartis (“Novartis”), a strategic partner and existing stockholder of the Company, in a private placement at a price of $16.00 per share for proceeds of $10.0 million, which resulted in Novartis owning approximately 6.1% of the Company’s outstanding shares of common stock (Note 6).</w:t>
      </w:r>
    </w:p>
    <w:p>
      <w:pPr>
        <w:spacing w:after="0" w:line="280" w:lineRule="exact"/>
        <w:rPr>
          <w:sz w:val="20"/>
          <w:szCs w:val="20"/>
          <w:color w:val="auto"/>
        </w:rPr>
      </w:pPr>
    </w:p>
    <w:p>
      <w:pPr>
        <w:ind w:left="240" w:right="7680" w:hanging="232"/>
        <w:spacing w:after="0" w:line="378"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i w:val="1"/>
          <w:iCs w:val="1"/>
          <w:color w:val="auto"/>
        </w:rPr>
        <w:t>Basis of Presentation</w:t>
      </w:r>
    </w:p>
    <w:p>
      <w:pPr>
        <w:ind w:right="420" w:firstLine="482"/>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(“U.S. GAAP”).</w:t>
      </w:r>
    </w:p>
    <w:p>
      <w:pPr>
        <w:spacing w:after="0" w:line="162"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The accompanying condensed balance sheet as of September 30, 2020, condensed statements of operations and comprehensive loss, condensed statements of cash flows, and the condensed statements of redeemable convertible preferred stock and stockholders’ equity (deficit) for the three and nine months ended September 30, 2020 and 2019, are unaudited. The balance sheet as of December 31, 2019 was derived from audited financial statements as of and for the year ended December 31, 2019. The unaudited interim financial statements have been prepared on the same basis as the audited annual financial statements as of and for the year ended December 31, 2019, and, in the opinion of management, reflect all adjustments, which include only normal recurring adjustments, necessary for the fair statement of the Company’s financial position as of September 30, 2020, and the results of its operations and its cash flows for the three and nine months ended September 30, 2020 and 2019. The financial data and other information disclosed in these notes related to the three and nine months ended September 30, 2020 and 2019, are also unaudited.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useful lives assigned to property and equipment, the fair values of common and redeemable convertible preferred stock, stock-based compensation expense, accruals for research and development costs, income taxes and uncertain tax positions. The Company assesses estimates on an ongoing basis; however, actual results could materially differ from those estimates.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120" w:firstLine="482"/>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its total revenue under Accounting Standards Update or ASU, ASU 2014-09,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(“Topic 606”), which was adopted by the Company using the full retrospective transition method. ASU 2014-09 provides a single,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comprehensive revenue recognition model for all contracts with customers. This standard contains principles for the determination of the measurement of revenue and the timing of when such revenue is recognized. Revenue recognition will reflect the transfer of goods or services to customers at an amount that is expected to be earned in exchange for those goods or services. Subsequently, the FASB has issued the following guidance to amend ASU 2014-09: ASU No. 2015-14, Revenue from Contracts with Customers (Topic 606): </w:t>
      </w:r>
      <w:r>
        <w:rPr>
          <w:rFonts w:ascii="Times New Roman" w:cs="Times New Roman" w:eastAsia="Times New Roman" w:hAnsi="Times New Roman"/>
          <w:sz w:val="18"/>
          <w:szCs w:val="18"/>
          <w:i w:val="1"/>
          <w:iCs w:val="1"/>
          <w:color w:val="auto"/>
        </w:rPr>
        <w:t>Deferral of the Effective Date</w:t>
      </w:r>
      <w:r>
        <w:rPr>
          <w:rFonts w:ascii="Times New Roman" w:cs="Times New Roman" w:eastAsia="Times New Roman" w:hAnsi="Times New Roman"/>
          <w:sz w:val="18"/>
          <w:szCs w:val="18"/>
          <w:color w:val="auto"/>
        </w:rPr>
        <w:t xml:space="preserve">; ASU No. 2016-08,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w:t>
      </w: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18"/>
          <w:szCs w:val="18"/>
          <w:i w:val="1"/>
          <w:iCs w:val="1"/>
          <w:color w:val="auto"/>
        </w:rPr>
        <w:t xml:space="preserve"> Principal versus Agent Considerations (Reporting Revenue Gross versus Net)</w:t>
      </w:r>
      <w:r>
        <w:rPr>
          <w:rFonts w:ascii="Times New Roman" w:cs="Times New Roman" w:eastAsia="Times New Roman" w:hAnsi="Times New Roman"/>
          <w:sz w:val="18"/>
          <w:szCs w:val="18"/>
          <w:color w:val="auto"/>
        </w:rPr>
        <w:t>; ASU No. 2016-10,</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18"/>
          <w:szCs w:val="18"/>
          <w:i w:val="1"/>
          <w:iCs w:val="1"/>
          <w:color w:val="auto"/>
        </w:rPr>
        <w:t xml:space="preserve"> Identifying Performance Obligations and Licensing; </w:t>
      </w:r>
      <w:r>
        <w:rPr>
          <w:rFonts w:ascii="Times New Roman" w:cs="Times New Roman" w:eastAsia="Times New Roman" w:hAnsi="Times New Roman"/>
          <w:sz w:val="18"/>
          <w:szCs w:val="18"/>
          <w:color w:val="auto"/>
        </w:rPr>
        <w:t>ASU No. 2016-12,</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(Topic 606):</w:t>
      </w:r>
      <w:r>
        <w:rPr>
          <w:rFonts w:ascii="Times New Roman" w:cs="Times New Roman" w:eastAsia="Times New Roman" w:hAnsi="Times New Roman"/>
          <w:sz w:val="18"/>
          <w:szCs w:val="18"/>
          <w:i w:val="1"/>
          <w:iCs w:val="1"/>
          <w:color w:val="auto"/>
        </w:rPr>
        <w:t xml:space="preserve"> Narrow-Scope Improvements and Practical Expedients</w:t>
      </w:r>
      <w:r>
        <w:rPr>
          <w:rFonts w:ascii="Times New Roman" w:cs="Times New Roman" w:eastAsia="Times New Roman" w:hAnsi="Times New Roman"/>
          <w:sz w:val="18"/>
          <w:szCs w:val="18"/>
          <w:color w:val="auto"/>
        </w:rPr>
        <w:t>; and ASU No. 2016-20,</w:t>
      </w:r>
      <w:r>
        <w:rPr>
          <w:rFonts w:ascii="Times New Roman" w:cs="Times New Roman" w:eastAsia="Times New Roman" w:hAnsi="Times New Roman"/>
          <w:sz w:val="18"/>
          <w:szCs w:val="18"/>
          <w:i w:val="1"/>
          <w:iCs w:val="1"/>
          <w:color w:val="auto"/>
        </w:rPr>
        <w:t xml:space="preserve"> Technical Corrections and Improvements to Topic 606</w:t>
      </w:r>
      <w:r>
        <w:rPr>
          <w:rFonts w:ascii="Times New Roman" w:cs="Times New Roman" w:eastAsia="Times New Roman" w:hAnsi="Times New Roman"/>
          <w:sz w:val="18"/>
          <w:szCs w:val="18"/>
          <w:color w:val="auto"/>
        </w:rPr>
        <w:t>, which clarifies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narrow aspects of Topic 606 or corrects unintended application of the guidance. The Company adopted ASU No. 2015-14, ASU No. 2016-08, ASU No. 2016-10, ASU No. 2016-12, and ASU No. 2016-20 with ASU No. 2014-09, which are referred to collectively as the “Topic 606”.</w:t>
      </w:r>
    </w:p>
    <w:p>
      <w:pPr>
        <w:spacing w:after="0" w:line="19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FASB issued ASU No. 2018-18, “Collaborative Arrangements (Topic 808)” issued in November 2018. The Company assessed and concluded that they are not under Topic 808 and as the Novartis Agreement is not considered a collaboration under its provisions.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date all revenue has been generated from the Company’s Collaboration and License Agreement with Novartis (the “Novartis Agreement”).</w:t>
      </w:r>
    </w:p>
    <w:p>
      <w:pPr>
        <w:spacing w:after="0" w:line="225"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Company’s revenue is generated solely from the Novartis Agreement. The Company’s licensing agreement includes upfront signing fees, cost reimbursements, research and development services, milestone payments and royalties on future licensee’s product sales. The Company has both fixed and variable consideration. Non-refundable upfront fees are considered fixed, while funding of research and development activities and milestone payments are identified as variable consideration. A contract liability is an obligation to transfer goods or services for which the Company has received consideration, or for which an amount of consideration is due from the customer. A contract asset is a right to consideration in exchange for goods or services that the Company has transferred to a customer when that right is conditional on something other than the passage of time. A receivable will be recorded on the balance sheet when the Company has unconditional rights to consideration (i.e., only the passage of time is required before payment becomes due). Receivables cannot be netted against contract liabilities and are presented separately from contract assets. Contract assets and contract liabilities are netted at the contract level and are then aggregated and presented separately each reporting period.</w:t>
      </w:r>
    </w:p>
    <w:p>
      <w:pPr>
        <w:spacing w:after="0" w:line="188" w:lineRule="exact"/>
        <w:rPr>
          <w:sz w:val="20"/>
          <w:szCs w:val="20"/>
          <w:color w:val="auto"/>
        </w:rPr>
      </w:pPr>
    </w:p>
    <w:p>
      <w:pPr>
        <w:ind w:right="500" w:firstLine="486"/>
        <w:spacing w:after="0" w:line="261" w:lineRule="auto"/>
        <w:rPr>
          <w:sz w:val="20"/>
          <w:szCs w:val="20"/>
          <w:color w:val="auto"/>
        </w:rPr>
      </w:pPr>
      <w:r>
        <w:rPr>
          <w:rFonts w:ascii="Times New Roman" w:cs="Times New Roman" w:eastAsia="Times New Roman" w:hAnsi="Times New Roman"/>
          <w:sz w:val="18"/>
          <w:szCs w:val="18"/>
          <w:color w:val="auto"/>
        </w:rPr>
        <w:t>In determining the appropriate amount of revenue to be recognized as the Company fulfills its obligations under its agreements, the Company performs the following steps: (i) identification of the contract with a customer; (ii) identification of the performance obligations in the contract;</w:t>
      </w:r>
    </w:p>
    <w:p>
      <w:pPr>
        <w:ind w:right="380" w:firstLine="8"/>
        <w:spacing w:after="0" w:line="260"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 (iv) allocation of the transaction price to the performance obligations in the contract; and (v) recognition of revenue when (or as) we satisfy each performance obligation.</w:t>
      </w:r>
    </w:p>
    <w:p>
      <w:pPr>
        <w:spacing w:after="0" w:line="181"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The Company’s performance obligations include providing the worldwide license rights to compound PLN-1474, provide research and development services for PLN-1474 through Phase 1 of its development and provide research and development services on initial candidate targets, which services are combined with a non-exclusive license to the initial candidate targets. The Company concluded that the worldwide license was distinct because the customer can benefit from the license on its own or together with other resources that are readily available, and the research and development services are not transformative in nature. The Company concluded the research and development services on initial candidate targets were not distinct from a non-exclusive license for the initial candidate targets, primarily as a result of (i) Pliant being unable to benefit on its own or together with other resources that are readily available as the license and (ii) the research and development services, including manufacturing in support of such services, were expected to significantly modify the initial license. Therefore, the promised goods and services were considered a single performance obligation. Significant management judgment is required in the identification of performance obligations and to determine the level of effort required under an arrangement and the period over which the Company expects to complete our performance obligations under the arrangement. If the Company cannot reasonably estimate when the performance obligations either are completed or become inconsequential, then revenue recognition is deferred until the Company can reasonably make such estimates. The Company estimates the transaction price and records revenue in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adjusts its estimate of the overall transaction price. Revenue is then recognized over the remaining estimated period of performance using the cumulative catch-up method. The estimated period of performance and project costs are reviewed quarterly and adjusted, as needed, to reflect the Company’s current assumptions regarding the timing of our deliverables.</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9" w:name="page10"/>
    <w:bookmarkEnd w:id="9"/>
    <w:p>
      <w:pPr>
        <w:ind w:right="20" w:firstLine="482"/>
        <w:spacing w:after="0" w:line="256" w:lineRule="auto"/>
        <w:rPr>
          <w:sz w:val="20"/>
          <w:szCs w:val="20"/>
          <w:color w:val="auto"/>
        </w:rPr>
      </w:pPr>
      <w:r>
        <w:rPr>
          <w:rFonts w:ascii="Times New Roman" w:cs="Times New Roman" w:eastAsia="Times New Roman" w:hAnsi="Times New Roman"/>
          <w:sz w:val="18"/>
          <w:szCs w:val="18"/>
          <w:color w:val="auto"/>
        </w:rPr>
        <w:t>As part of the accounting for these arrangements, the Company must develop assumptions that require judgment to determine the stand-alone selling price of each performance obligation identified in the contract. The Company has never sold the performance obligations separately; therefore, an observable stand-alone selling price does not exist. Accordingly, the Company estimates a stand-alone selling price through maximizing the use of observable inputs such as market data, project cost estimates, and targeted margins. The Company determined that each of the performance obligations is priced and delivered at the stand-alone selling price. Therefore, no reallocations are needed since there is no material right and the license and services are provided at the stand-alone selling price.</w:t>
      </w:r>
    </w:p>
    <w:p>
      <w:pPr>
        <w:spacing w:after="0" w:line="187" w:lineRule="exact"/>
        <w:rPr>
          <w:sz w:val="20"/>
          <w:szCs w:val="20"/>
          <w:color w:val="auto"/>
        </w:rPr>
      </w:pPr>
    </w:p>
    <w:p>
      <w:pPr>
        <w:jc w:val="both"/>
        <w:ind w:right="200" w:firstLine="482"/>
        <w:spacing w:after="0" w:line="272" w:lineRule="auto"/>
        <w:rPr>
          <w:sz w:val="20"/>
          <w:szCs w:val="20"/>
          <w:color w:val="auto"/>
        </w:rPr>
      </w:pPr>
      <w:r>
        <w:rPr>
          <w:rFonts w:ascii="Times New Roman" w:cs="Times New Roman" w:eastAsia="Times New Roman" w:hAnsi="Times New Roman"/>
          <w:sz w:val="17"/>
          <w:szCs w:val="17"/>
          <w:color w:val="auto"/>
        </w:rPr>
        <w:t>During the three and nine months ended September 30, 2020, the entirety of the Company’s revenue—related party is related to the Collaboration and License Agreement with Novartis. The Company did not have any prior revenue agreements and did not recognize revenue during the three and nine months ended September 30, 2019. Receivables from collaborations are typically unsecured and are concentrated in the biopharmaceutical industry.</w:t>
      </w:r>
    </w:p>
    <w:p>
      <w:pPr>
        <w:spacing w:after="0" w:line="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Accordingly, the Company may be exposed to credit risk generally associated with biopharmaceutical companies or specific to the Novartis Agreement. An allowance on the receivables will be recorded if circumstances indicate collection is doubtful for a particular receivables balance. To date, the Company has not experienced any losses related to these receivables.</w:t>
      </w:r>
    </w:p>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60" w:firstLine="482"/>
        <w:spacing w:after="0" w:line="255"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the Company considers the principal or most advantageous market in which to transact and the market-based risk. Fair value accounting is applied for all financial assets and liabilities and non-financial assets and liabilities that are recognized or disclosed at fair value in the financial statements on a recurring basis. The carrying amount of the Company’s financial instruments, including cash and cash equivalents, short-term investments, tax credit receivable, accounts receivable, prepaid expenses and other current assets, accounts payable and accrued liabilities approximate fair value due to their short-term maturities.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21"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of cash and cash equivalents, short-term investments and accounts receivable. The Company invests in money market funds, treasury bill and notes, government notes and corporate debt securities. The Company limits its credit risk associated with its cash and cash equivalents by placing them with banks and institutions it believes are highly credit worthy and in highly rated investments. The Company performs credit evaluations of its customer, and the risk with respect to accounts receivable is further mitigated by the short duration of customer payment terms, generally within 60 days, and the pedigree of the customer base. During the three and nine months ended September 30, 2020, Novartis accounted for 100% of the Company’s revenue—related party and accounts receivable.</w:t>
      </w:r>
    </w:p>
    <w:p>
      <w:pPr>
        <w:spacing w:after="0" w:line="187" w:lineRule="exact"/>
        <w:rPr>
          <w:sz w:val="20"/>
          <w:szCs w:val="20"/>
          <w:color w:val="auto"/>
        </w:rPr>
      </w:pPr>
    </w:p>
    <w:p>
      <w:pPr>
        <w:ind w:right="240" w:firstLine="482"/>
        <w:spacing w:after="0" w:line="258" w:lineRule="auto"/>
        <w:rPr>
          <w:sz w:val="20"/>
          <w:szCs w:val="20"/>
          <w:color w:val="auto"/>
        </w:rPr>
      </w:pPr>
      <w:r>
        <w:rPr>
          <w:rFonts w:ascii="Times New Roman" w:cs="Times New Roman" w:eastAsia="Times New Roman" w:hAnsi="Times New Roman"/>
          <w:sz w:val="18"/>
          <w:szCs w:val="18"/>
          <w:color w:val="auto"/>
        </w:rPr>
        <w:t>The Company’s future results of operations involve several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product candidates, uncertainty of market acceptance of the Company’s product candidates, competition from substitute products, including those that may be developed or marketed by larger companies, securing and protecting intellectual property, strategic relationships and dependence on key individuals and sole source suppliers.</w:t>
      </w:r>
    </w:p>
    <w:p>
      <w:pPr>
        <w:spacing w:after="0" w:line="183" w:lineRule="exact"/>
        <w:rPr>
          <w:sz w:val="20"/>
          <w:szCs w:val="20"/>
          <w:color w:val="auto"/>
        </w:rPr>
      </w:pPr>
    </w:p>
    <w:p>
      <w:pPr>
        <w:ind w:firstLine="482"/>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jc w:val="both"/>
        <w:ind w:right="20" w:firstLine="482"/>
        <w:spacing w:after="0" w:line="266"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developing and commercializing novel therapies for fibrotic diseases. The Company’s chief executive officer, who is the chief operating decision maker, reviews financial information on an aggregate basis for allocating and evaluating financial performance. All long-lived assets are maintained in the United States of America.</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jc w:val="both"/>
        <w:ind w:right="180" w:firstLine="482"/>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from the purchase date to be cash equivalents. Cash equivalents consist primarily of amounts invested in Money Market Funds, United States (“U.S.”) treasury securities, U.S. government agency securities and corporate debt securities and are stated at fair value.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 w:name="page11"/>
    <w:bookmarkEnd w:id="10"/>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120" w:firstLine="482"/>
        <w:spacing w:after="0" w:line="255" w:lineRule="auto"/>
        <w:rPr>
          <w:sz w:val="20"/>
          <w:szCs w:val="20"/>
          <w:color w:val="auto"/>
        </w:rPr>
      </w:pPr>
      <w:r>
        <w:rPr>
          <w:rFonts w:ascii="Times New Roman" w:cs="Times New Roman" w:eastAsia="Times New Roman" w:hAnsi="Times New Roman"/>
          <w:sz w:val="18"/>
          <w:szCs w:val="18"/>
          <w:color w:val="auto"/>
        </w:rPr>
        <w:t>The Company’s short-term investments consist of U.S. Treasury securities, U.S. government agency securities and corporate debt securities with remaining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As of September 30, 2020 and December 31, 2019, all of the Company’s short-term investments were classified as available-for-sale and were carried at fair market value with unrealized losses or income recorded in “other comprehensive income and loss” (“OCI”) in the statements of operations and comprehensive loss. See Note 3 for further details.</w:t>
      </w:r>
    </w:p>
    <w:p>
      <w:pPr>
        <w:spacing w:after="0" w:line="189" w:lineRule="exact"/>
        <w:rPr>
          <w:sz w:val="20"/>
          <w:szCs w:val="20"/>
          <w:color w:val="auto"/>
        </w:rPr>
      </w:pPr>
    </w:p>
    <w:p>
      <w:pPr>
        <w:ind w:right="60" w:firstLine="482"/>
        <w:spacing w:after="0" w:line="255" w:lineRule="auto"/>
        <w:rPr>
          <w:sz w:val="20"/>
          <w:szCs w:val="20"/>
          <w:color w:val="auto"/>
        </w:rPr>
      </w:pPr>
      <w:r>
        <w:rPr>
          <w:rFonts w:ascii="Times New Roman" w:cs="Times New Roman" w:eastAsia="Times New Roman" w:hAnsi="Times New Roman"/>
          <w:sz w:val="18"/>
          <w:szCs w:val="18"/>
          <w:color w:val="auto"/>
        </w:rPr>
        <w:t>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 Once a decline in fair value is determined to be other-than-temporary, an impairment charge will be recorded to other expense, net, in the statements of operations and comprehensive loss and a new cost basis in the short-term investment will be established. As of September 30, 2020, the Company had not recorded any impairment related to other-than-temporary declines in the fair value of short-term investments.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21" w:lineRule="exact"/>
        <w:rPr>
          <w:sz w:val="20"/>
          <w:szCs w:val="20"/>
          <w:color w:val="auto"/>
        </w:rPr>
      </w:pPr>
    </w:p>
    <w:p>
      <w:pPr>
        <w:ind w:right="280" w:firstLine="482"/>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net of accumulated depreciation and amortization. Property and equipment are depreciated using the straight-line method over the estimated useful lives of the assets. The useful lives of property and equipment are as follows:</w:t>
      </w:r>
    </w:p>
    <w:p>
      <w:pPr>
        <w:spacing w:after="0" w:line="180"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64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64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20" w:type="dxa"/>
            <w:vAlign w:val="bottom"/>
          </w:tcPr>
          <w:p>
            <w:pPr>
              <w:spacing w:after="0"/>
              <w:rPr>
                <w:sz w:val="18"/>
                <w:szCs w:val="18"/>
                <w:color w:val="auto"/>
              </w:rPr>
            </w:pPr>
          </w:p>
        </w:tc>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4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Shorter of remaining lease term or estimated useful life</w:t>
            </w:r>
          </w:p>
        </w:tc>
      </w:tr>
    </w:tbl>
    <w:p>
      <w:pPr>
        <w:spacing w:after="0" w:line="238" w:lineRule="exact"/>
        <w:rPr>
          <w:sz w:val="20"/>
          <w:szCs w:val="20"/>
          <w:color w:val="auto"/>
        </w:rPr>
      </w:pPr>
    </w:p>
    <w:p>
      <w:pPr>
        <w:ind w:right="220" w:firstLine="482"/>
        <w:spacing w:after="0" w:line="282" w:lineRule="auto"/>
        <w:rPr>
          <w:sz w:val="20"/>
          <w:szCs w:val="20"/>
          <w:color w:val="auto"/>
        </w:rPr>
      </w:pPr>
      <w:r>
        <w:rPr>
          <w:rFonts w:ascii="Times New Roman" w:cs="Times New Roman" w:eastAsia="Times New Roman" w:hAnsi="Times New Roman"/>
          <w:sz w:val="18"/>
          <w:szCs w:val="18"/>
          <w:color w:val="auto"/>
        </w:rPr>
        <w:t>Upon retirement or sale of the assets, the cost and related accumulated depreciation and amortization are removed from the balance sheets and the resulting gain or loss is recorded to the statements of operations and comprehensive loss. Repairs and maintenance are expensed as incurred.</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482"/>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net cash flows expected to be generated by the asset. If the carrying amount of an asset exceeds its estimated future cash flows, an impairment charge is recognized by the amount by which the carrying amount of the asset exceeds the fair value of the asset. There was no impairment of long-lived assets during the three and nine months ended September 30, 2020 and 2019.</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All preferred stock was automatically converted into common stock upon the Company’s IPO in June 2020. Prior to this conversion, the Company classified redeemable convertible preferred stock outside of stockholders’ equity (deficit) because, upon the occurrence of certain change in control events that were outside the Company’s control, including liquidation, sale or transfer of the Company’s assets, holders of the redeemable convertible preferred stock could have caused redemption for cash. At any time on or after December 19, 2024, the holders of a majority of the outstanding redeemable convertible preferred stock could also have required the Company to redeem the redeemable convertible preferred stock by providing the Company a written notice requesting such redemption. The Company recognized changes in the redemption value immediately as they occurred, for example changes in fair value of preferred stock, and adjustments in the carrying amount of the redeemable convertible preferred stock to equal the redemption value at the end of each reporting period up through December 19, 2019, when the Company entered into the Series C Preferred Stock Purchase Agreement. See Note 9 for further details. In the absence of retained earnings these accretion charges were recorded against additional paid in capital, if any, and then to accumulated deficit. The Company analyzed all embedded derivatives and beneficial conversion features for its redeemable convertible preferred stock and concluded that none required bifurcation.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1" w:name="page12"/>
    <w:bookmarkEnd w:id="11"/>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460" w:firstLine="482"/>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primarily of personnel costs for the Company’s research and product development employees. Also included are non-personnel costs such as fees paid to consultants and third parties for preclinical and clinical studies, research and development services, laboratory supplies and equipment maintenance costs, license costs, contract manufacturing costs and allocations of facility related costs.</w:t>
      </w:r>
    </w:p>
    <w:p>
      <w:pPr>
        <w:spacing w:after="0" w:line="180" w:lineRule="exact"/>
        <w:rPr>
          <w:sz w:val="20"/>
          <w:szCs w:val="20"/>
          <w:color w:val="auto"/>
        </w:rPr>
      </w:pPr>
    </w:p>
    <w:p>
      <w:pPr>
        <w:ind w:right="40" w:firstLine="482"/>
        <w:spacing w:after="0" w:line="256" w:lineRule="auto"/>
        <w:rPr>
          <w:sz w:val="20"/>
          <w:szCs w:val="20"/>
          <w:color w:val="auto"/>
        </w:rPr>
      </w:pPr>
      <w:r>
        <w:rPr>
          <w:rFonts w:ascii="Times New Roman" w:cs="Times New Roman" w:eastAsia="Times New Roman" w:hAnsi="Times New Roman"/>
          <w:sz w:val="18"/>
          <w:szCs w:val="18"/>
          <w:color w:val="auto"/>
        </w:rPr>
        <w:t>The Company estimates preclinical and clinical studies and research expenses based on the services performed, pursuant to contracts with research institutions that conduct and manage preclinical and clinical studies and research services on its behalf. The Company estimates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the Company will adjust the accrual accordingly. Payments made to third parties under these arrangements in advance of the performance of the related services are recorded as prepaid expenses and are expensed as services are rendered.</w:t>
      </w:r>
    </w:p>
    <w:p>
      <w:pPr>
        <w:spacing w:after="0" w:line="187" w:lineRule="exact"/>
        <w:rPr>
          <w:sz w:val="20"/>
          <w:szCs w:val="20"/>
          <w:color w:val="auto"/>
        </w:rPr>
      </w:pPr>
    </w:p>
    <w:p>
      <w:pPr>
        <w:ind w:right="60" w:firstLine="482"/>
        <w:spacing w:after="0" w:line="282" w:lineRule="auto"/>
        <w:rPr>
          <w:sz w:val="20"/>
          <w:szCs w:val="20"/>
          <w:color w:val="auto"/>
        </w:rPr>
      </w:pPr>
      <w:r>
        <w:rPr>
          <w:rFonts w:ascii="Times New Roman" w:cs="Times New Roman" w:eastAsia="Times New Roman" w:hAnsi="Times New Roman"/>
          <w:sz w:val="18"/>
          <w:szCs w:val="18"/>
          <w:color w:val="auto"/>
        </w:rPr>
        <w:t>Payments associated with licensing agreements to acquire exclusive licenses to develop, use, manufacture and commercialize products that have not reached technological feasibility and do not have alternate commercial use are expensed as incurred.</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Tax Credit Receivable</w:t>
      </w:r>
    </w:p>
    <w:p>
      <w:pPr>
        <w:spacing w:after="0" w:line="121" w:lineRule="exact"/>
        <w:rPr>
          <w:sz w:val="20"/>
          <w:szCs w:val="20"/>
          <w:color w:val="auto"/>
        </w:rPr>
      </w:pPr>
    </w:p>
    <w:p>
      <w:pPr>
        <w:ind w:right="80" w:firstLine="482"/>
        <w:spacing w:after="0" w:line="256" w:lineRule="auto"/>
        <w:rPr>
          <w:sz w:val="20"/>
          <w:szCs w:val="20"/>
          <w:color w:val="auto"/>
        </w:rPr>
      </w:pPr>
      <w:r>
        <w:rPr>
          <w:rFonts w:ascii="Times New Roman" w:cs="Times New Roman" w:eastAsia="Times New Roman" w:hAnsi="Times New Roman"/>
          <w:sz w:val="18"/>
          <w:szCs w:val="18"/>
          <w:color w:val="auto"/>
        </w:rPr>
        <w:t>The Company was eligible for federal and California research and development credits for its research and development activities performed within the United States and California, respectively. The Company was eligible to apply up to $250,000 of the federal R&amp;D credits to offset the Federal Insurance Contribution Act (“FICA”) portion of its payroll taxes each year prior to fiscal year 2019. Starting in the fourth quarter of 2019, the Company was no longer eligible to apply its federal R&amp;D credits to offset its FICA taxes as it generated revenue in excess of $5 million of gross receipts during that year. The Company, however, is still eligible for future federal research and development credits for its research and development activities performed within the United States and California.</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482"/>
        <w:spacing w:after="0" w:line="256" w:lineRule="auto"/>
        <w:rPr>
          <w:sz w:val="20"/>
          <w:szCs w:val="20"/>
          <w:color w:val="auto"/>
        </w:rPr>
      </w:pPr>
      <w:r>
        <w:rPr>
          <w:rFonts w:ascii="Times New Roman" w:cs="Times New Roman" w:eastAsia="Times New Roman" w:hAnsi="Times New Roman"/>
          <w:sz w:val="18"/>
          <w:szCs w:val="18"/>
          <w:color w:val="auto"/>
        </w:rPr>
        <w:t>The Company’s stock-based equity awards include restricted stock awards, stock options and shares that will be issued under the Company’s 2020 Employee Stock Purchase Plan (“ESPP”). Stock-based compensation for awards that are granted to employees is accounted at fair value on the award grant date and the expense is recognized over the period the employee is required to provide service in exchange for the award, which is generally on a straight-line basis over the vesting period of the award. The expense is recorded in either research and development or general and administrative expenses in the statements of operations and comprehensive loss based on the function to which the related services are provided. Forfeitures are accounted for as they occur.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Black-Scholes option-pricing model, used to estimate fair value of stock-based awards, requires the use of the following assumptions:</w:t>
      </w:r>
    </w:p>
    <w:p>
      <w:pPr>
        <w:spacing w:after="0" w:line="115" w:lineRule="exact"/>
        <w:rPr>
          <w:sz w:val="20"/>
          <w:szCs w:val="20"/>
          <w:color w:val="auto"/>
        </w:rPr>
      </w:pPr>
    </w:p>
    <w:p>
      <w:pPr>
        <w:ind w:left="960" w:right="140" w:hanging="480"/>
        <w:spacing w:after="0" w:line="267"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stock-based awards are expected to be outstanding. The expected term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stock options was calculated based on the weighted-average vesting term of the awards and the contract period, or simplified method. The expected term for the ESPP is the offering period.</w:t>
      </w:r>
    </w:p>
    <w:p>
      <w:pPr>
        <w:spacing w:after="0" w:line="65" w:lineRule="exact"/>
        <w:rPr>
          <w:rFonts w:ascii="Times New Roman" w:cs="Times New Roman" w:eastAsia="Times New Roman" w:hAnsi="Times New Roman"/>
          <w:sz w:val="18"/>
          <w:szCs w:val="18"/>
          <w:color w:val="auto"/>
        </w:rPr>
      </w:pPr>
    </w:p>
    <w:p>
      <w:pPr>
        <w:ind w:left="960" w:hanging="480"/>
        <w:spacing w:after="0" w:line="258"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—Prior to the Company being public, the Company did not have any trading history for its common stock,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As the Company went public in June 2020, we will continue to apply this process for stock options and ESPP awards until enough historical information regarding the volatility of its stock price becomes available.</w:t>
      </w:r>
    </w:p>
    <w:p>
      <w:pPr>
        <w:spacing w:after="0" w:line="75" w:lineRule="exact"/>
        <w:rPr>
          <w:rFonts w:ascii="Times New Roman" w:cs="Times New Roman" w:eastAsia="Times New Roman" w:hAnsi="Times New Roman"/>
          <w:sz w:val="18"/>
          <w:szCs w:val="18"/>
          <w:color w:val="auto"/>
        </w:rPr>
      </w:pPr>
    </w:p>
    <w:p>
      <w:pPr>
        <w:ind w:left="960" w:right="540" w:hanging="480"/>
        <w:spacing w:after="0" w:line="28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in effect at the time of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maturities approximately equal to the expected term of the awards.</w:t>
      </w:r>
    </w:p>
    <w:p>
      <w:pPr>
        <w:spacing w:after="0" w:line="50" w:lineRule="exact"/>
        <w:rPr>
          <w:rFonts w:ascii="Times New Roman" w:cs="Times New Roman" w:eastAsia="Times New Roman" w:hAnsi="Times New Roman"/>
          <w:sz w:val="18"/>
          <w:szCs w:val="18"/>
          <w:color w:val="auto"/>
        </w:rPr>
      </w:pPr>
    </w:p>
    <w:p>
      <w:pPr>
        <w:ind w:left="960" w:right="220" w:hanging="480"/>
        <w:spacing w:after="0" w:line="284"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—The Company has never paid dividends on the common stock and has no plans to pay dividends on the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the Company used an expected dividend yield of zero.</w:t>
      </w:r>
    </w:p>
    <w:p>
      <w:pPr>
        <w:spacing w:after="0" w:line="160" w:lineRule="exact"/>
        <w:rPr>
          <w:sz w:val="20"/>
          <w:szCs w:val="20"/>
          <w:color w:val="auto"/>
        </w:rPr>
      </w:pPr>
    </w:p>
    <w:p>
      <w:pPr>
        <w:ind w:right="80" w:firstLine="482"/>
        <w:spacing w:after="0" w:line="256" w:lineRule="auto"/>
        <w:rPr>
          <w:sz w:val="20"/>
          <w:szCs w:val="20"/>
          <w:color w:val="auto"/>
        </w:rPr>
      </w:pPr>
      <w:r>
        <w:rPr>
          <w:rFonts w:ascii="Times New Roman" w:cs="Times New Roman" w:eastAsia="Times New Roman" w:hAnsi="Times New Roman"/>
          <w:sz w:val="18"/>
          <w:szCs w:val="18"/>
          <w:color w:val="auto"/>
        </w:rPr>
        <w:t xml:space="preserve">Prior to our IPO, the fair value of our common stock has been determined using independent third-party valuations based on relevant valuation methodologies as outlined in the American Institute of Certified Public Accountants (AICPA) Practice Aid, </w:t>
      </w:r>
      <w:r>
        <w:rPr>
          <w:rFonts w:ascii="Times New Roman" w:cs="Times New Roman" w:eastAsia="Times New Roman" w:hAnsi="Times New Roman"/>
          <w:sz w:val="18"/>
          <w:szCs w:val="18"/>
          <w:i w:val="1"/>
          <w:iCs w:val="1"/>
          <w:color w:val="auto"/>
        </w:rPr>
        <w:t>“Valuation of Privately-Held-Company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Issued as Compensation</w:t>
      </w:r>
      <w:r>
        <w:rPr>
          <w:rFonts w:ascii="Times New Roman" w:cs="Times New Roman" w:eastAsia="Times New Roman" w:hAnsi="Times New Roman"/>
          <w:sz w:val="18"/>
          <w:szCs w:val="18"/>
          <w:color w:val="auto"/>
        </w:rPr>
        <w:t>”. The Company also considered the amount of time between the independent third-party valuation dates and the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dates and used interpolation of the fair value between the two valuation dates to estimate common stock fair value at each grant date. This determination included an evaluation of whether the subsequent valuation indicated that any significant change in valuation had occurred between the previous valuation and the grant date. Following our IPO, we use our stock price traded on NASAQ to determine its fair value.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2" w:name="page13"/>
    <w:bookmarkEnd w:id="12"/>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121" w:lineRule="exact"/>
        <w:rPr>
          <w:sz w:val="20"/>
          <w:szCs w:val="20"/>
          <w:color w:val="auto"/>
        </w:rPr>
      </w:pPr>
    </w:p>
    <w:p>
      <w:pPr>
        <w:ind w:right="200" w:firstLine="482"/>
        <w:spacing w:after="0" w:line="281" w:lineRule="auto"/>
        <w:rPr>
          <w:sz w:val="20"/>
          <w:szCs w:val="20"/>
          <w:color w:val="auto"/>
        </w:rPr>
      </w:pPr>
      <w:r>
        <w:rPr>
          <w:rFonts w:ascii="Times New Roman" w:cs="Times New Roman" w:eastAsia="Times New Roman" w:hAnsi="Times New Roman"/>
          <w:sz w:val="18"/>
          <w:szCs w:val="18"/>
          <w:color w:val="auto"/>
        </w:rPr>
        <w:t>Deferred offering costs, consisting of direct legal, accounting, filing and other fees directly related to the Company’s IPO were capitalized and reclassified to additional paid in capital upon completion of the IPO in June 2020. As of December 31, 2019, $2.7 million in deferred offering costs were recorded as other non-current assets in the Balance Sheets.</w:t>
      </w:r>
    </w:p>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Leases and Rent Expense</w:t>
      </w:r>
    </w:p>
    <w:p>
      <w:pPr>
        <w:spacing w:after="0" w:line="121" w:lineRule="exact"/>
        <w:rPr>
          <w:sz w:val="20"/>
          <w:szCs w:val="20"/>
          <w:color w:val="auto"/>
        </w:rPr>
      </w:pPr>
    </w:p>
    <w:p>
      <w:pPr>
        <w:ind w:right="60" w:firstLine="482"/>
        <w:spacing w:after="0" w:line="261" w:lineRule="auto"/>
        <w:rPr>
          <w:sz w:val="20"/>
          <w:szCs w:val="20"/>
          <w:color w:val="auto"/>
        </w:rPr>
      </w:pPr>
      <w:r>
        <w:rPr>
          <w:rFonts w:ascii="Times New Roman" w:cs="Times New Roman" w:eastAsia="Times New Roman" w:hAnsi="Times New Roman"/>
          <w:sz w:val="18"/>
          <w:szCs w:val="18"/>
          <w:color w:val="auto"/>
        </w:rPr>
        <w:t>The Company records rent expense on a straight-line basis over the life of the lease. In cases where there is a free rent period or future fixed rent escalations, the Company records a deferred rent liability. Additionally, the receipt of any lease incentives is recorded as a deferred rent liability which is amortized over the lease term as a reduction of rent expense. Building improvements made with the lease incentives or tenant allowances are capitalized as leasehold improvements and included in property and equipment, net in the Balance Sheets.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40" w:firstLine="482"/>
        <w:spacing w:after="0" w:line="258" w:lineRule="auto"/>
        <w:rPr>
          <w:sz w:val="20"/>
          <w:szCs w:val="20"/>
          <w:color w:val="auto"/>
        </w:rPr>
      </w:pPr>
      <w:r>
        <w:rPr>
          <w:rFonts w:ascii="Times New Roman" w:cs="Times New Roman" w:eastAsia="Times New Roman" w:hAnsi="Times New Roman"/>
          <w:sz w:val="18"/>
          <w:szCs w:val="18"/>
          <w:color w:val="auto"/>
        </w:rPr>
        <w:t>The Company provides for income taxes under the asset and liability method. Current income tax expense or benefit represents the amount of income taxes expected to be payable or refundable for the current year. Deferred income tax assets and liabilities are determined based on differences between the financial statement reporting and tax basis of assets and liabilities and net operating loss and credit carryforwards and are measured using the enacted tax rates and laws that will be in effect when such items are expected to reverse. Deferred income tax assets are reduced, as necessary, by a valuation allowance when management determines it is more likely than not that some or all the tax benefits will not be realized.</w:t>
      </w:r>
    </w:p>
    <w:p>
      <w:pPr>
        <w:spacing w:after="0" w:line="181"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No. 740-10</w:t>
      </w:r>
      <w:r>
        <w:rPr>
          <w:rFonts w:ascii="Times New Roman" w:cs="Times New Roman" w:eastAsia="Times New Roman" w:hAnsi="Times New Roman"/>
          <w:sz w:val="18"/>
          <w:szCs w:val="18"/>
          <w:i w:val="1"/>
          <w:iCs w:val="1"/>
          <w:color w:val="auto"/>
        </w:rPr>
        <w:t>, Accounting for Uncertainty in Income Taxes</w:t>
      </w:r>
      <w:r>
        <w:rPr>
          <w:rFonts w:ascii="Times New Roman" w:cs="Times New Roman" w:eastAsia="Times New Roman" w:hAnsi="Times New Roman"/>
          <w:sz w:val="18"/>
          <w:szCs w:val="18"/>
          <w:color w:val="auto"/>
        </w:rPr>
        <w:t>. 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includes any penalties and interest expense related to income taxes as a component of income tax expense, as necessary.</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ind w:right="180" w:firstLine="482"/>
        <w:spacing w:after="0" w:line="261"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deficit that result from transactions and economic events other than those with stockholders. For the three and nine months ended September 30, 2020, the Company had a $12,000 net unrealized gain and a $17,000 net unrealized loss, respectively, on short-term investments. For the three and nine months ended September 30, 2019, the Company had a $10,000 net unrealized loss and a $1,000 net unrealized gain, respectively, on short-term investments.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right="140" w:firstLine="482"/>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net loss attributed to common stockholders by the weighted-average number of shares of common stock outstanding during the period. Diluted net loss per share is computed using the weighted-average number of shares of common stock outstanding during the period and, if dilutive, the weighted-average number of potential shares of common stock.</w:t>
      </w:r>
    </w:p>
    <w:p>
      <w:pPr>
        <w:spacing w:after="0" w:line="176" w:lineRule="exact"/>
        <w:rPr>
          <w:sz w:val="20"/>
          <w:szCs w:val="20"/>
          <w:color w:val="auto"/>
        </w:rPr>
      </w:pPr>
    </w:p>
    <w:p>
      <w:pPr>
        <w:ind w:right="80" w:firstLine="482"/>
        <w:spacing w:after="0" w:line="253" w:lineRule="auto"/>
        <w:rPr>
          <w:sz w:val="20"/>
          <w:szCs w:val="20"/>
          <w:color w:val="auto"/>
        </w:rPr>
      </w:pPr>
      <w:r>
        <w:rPr>
          <w:rFonts w:ascii="Times New Roman" w:cs="Times New Roman" w:eastAsia="Times New Roman" w:hAnsi="Times New Roman"/>
          <w:sz w:val="18"/>
          <w:szCs w:val="18"/>
          <w:color w:val="auto"/>
        </w:rPr>
        <w:t>Prior to the conversion of our preferred stock in our IPO, net loss or income per share attributable to common stockholders was calculated using the two-class method, which is based on an earnings allocation formula that determines net loss or income per share for the Company’s common stockholders and holders of participating securities. The holders of preferred stock were entitled to receive dividends prior and in preference to any declaration or payment of any dividend on the common stock. Under this method, net loss or income is increased or reduced by the amount of any dividends earned and accretion of redeemable convertible preferred stock to its redemption value, if any, during the period. The undistributed earnings are allocated to common stock and each series of redeemable convertible preferred stock to the extent that each preferred security may share in the earnings as if all of the earnings for the period had been distributed. Net loss or income attributable to common stockholders and participating preferred shares are allocated to each share on an as-converted basis as if all the earnings for the period had been distributed. The participating securities do not include a contractual obligation to share in losses of the Company and are not included in the calculation of net loss per share in the periods in which a net loss is recorded. Diluted net loss or income per share is computed using the more dilutive of (a) the two-class method or (b) the as-converted method. The Company allocated earnings first to redeemable convertible preferred shares stockholders based on dividend rights and then to common and preferred stockholders based on ownership interests. The weighted-average number of shares of common stock included in the computation of diluted net loss or income gives effect to all potentially dilutive common equivalent shares, including outstanding stock options and preferred stock.</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3" w:name="page14"/>
    <w:bookmarkEnd w:id="13"/>
    <w:p>
      <w:pPr>
        <w:ind w:right="20" w:firstLine="482"/>
        <w:spacing w:after="0" w:line="261"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or income per share if their effect is antidilutive. In periods in which the Company reports a net loss attributable to common stockholders, diluted net loss per share attributable to common stockholders is generally the same as basic net loss per share attributable to common stockholders since dilutive common shares are not assumed to have been issued if their effect is antidilutive. The Company reported a net loss attributable to common stockholders for the three and nine months ended September 30, 2020 and 2019.</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40" w:firstLine="482"/>
        <w:spacing w:after="0" w:line="255"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 Update (“ASU”) No. 2016-02, </w:t>
      </w:r>
      <w:r>
        <w:rPr>
          <w:rFonts w:ascii="Times New Roman" w:cs="Times New Roman" w:eastAsia="Times New Roman" w:hAnsi="Times New Roman"/>
          <w:sz w:val="18"/>
          <w:szCs w:val="18"/>
          <w:i w:val="1"/>
          <w:iCs w:val="1"/>
          <w:color w:val="auto"/>
        </w:rPr>
        <w:t>Leases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842”</w:t>
      </w:r>
      <w:r>
        <w:rPr>
          <w:rFonts w:ascii="Times New Roman" w:cs="Times New Roman" w:eastAsia="Times New Roman" w:hAnsi="Times New Roman"/>
          <w:sz w:val="18"/>
          <w:szCs w:val="18"/>
          <w:color w:val="auto"/>
        </w:rPr>
        <w:t>), which requires an entity to recognize assets and liabilities arising from a lease for both financing and operating leases. For public entities,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2016-02 is effective for fiscal years beginning after December 15, 2018. The ASU will also require new qualitative and quantitative disclosures to help investors and other financial statement users better understand the amount, timing, and uncertainty of cash flows arising from leases. As a result of the Company having elected the extended transition period for complying with new or revised accounting standards pursuant to Section 107(b) of the JOBS Act, ASU No. 2016-02 is effective for the Company in the fiscal years beginning after December 15, 2021, and interim periods within fiscal years beginning after December 15, 2022, with early adoption permitted. The Company is currently in the process of evaluating the impact of the adoption of ASU No. 2016-02 on the Company’s financial statements.</w:t>
      </w:r>
    </w:p>
    <w:p>
      <w:pPr>
        <w:spacing w:after="0" w:line="185"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w:t>
      </w:r>
      <w:r>
        <w:rPr>
          <w:rFonts w:ascii="Times New Roman" w:cs="Times New Roman" w:eastAsia="Times New Roman" w:hAnsi="Times New Roman"/>
          <w:sz w:val="18"/>
          <w:szCs w:val="18"/>
          <w:color w:val="auto"/>
        </w:rPr>
        <w:t>. The new standard amends guidance on measuring and reporting credit losses for financial assets held at amortized cost basis,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and investments classified as available for sale, such as our debt securities. This ASU requires a new forward-looking model based on expected credit losses rather than the current one based on incurred losses. In November 2019, the FASB issued ASU 2019-10, which deferred the effective date for certain ASUs including ASU 2016-13. This standard is effective for the Company’s fiscal year beginning after December 15, 2022. Early adoption is permitted for all entities. The Company is currently in the process of evaluating the impact of the adoption of ASU 2016-13 on the Company’s financial statements.</w:t>
      </w:r>
    </w:p>
    <w:p>
      <w:pPr>
        <w:spacing w:after="0" w:line="183" w:lineRule="exact"/>
        <w:rPr>
          <w:sz w:val="20"/>
          <w:szCs w:val="20"/>
          <w:color w:val="auto"/>
        </w:rPr>
      </w:pPr>
    </w:p>
    <w:p>
      <w:pPr>
        <w:ind w:right="160" w:firstLine="482"/>
        <w:spacing w:after="0" w:line="256" w:lineRule="auto"/>
        <w:rPr>
          <w:sz w:val="20"/>
          <w:szCs w:val="20"/>
          <w:color w:val="auto"/>
        </w:rPr>
      </w:pPr>
      <w:r>
        <w:rPr>
          <w:rFonts w:ascii="Times New Roman" w:cs="Times New Roman" w:eastAsia="Times New Roman" w:hAnsi="Times New Roman"/>
          <w:sz w:val="18"/>
          <w:szCs w:val="18"/>
          <w:color w:val="auto"/>
        </w:rPr>
        <w:t xml:space="preserve">In December 2019, the FASB issued Accounting Standards Update 2019-12 (“ASU 2019-12”), </w:t>
      </w:r>
      <w:r>
        <w:rPr>
          <w:rFonts w:ascii="Times New Roman" w:cs="Times New Roman" w:eastAsia="Times New Roman" w:hAnsi="Times New Roman"/>
          <w:sz w:val="18"/>
          <w:szCs w:val="18"/>
          <w:i w:val="1"/>
          <w:iCs w:val="1"/>
          <w:color w:val="auto"/>
        </w:rPr>
        <w:t>Income Taxes (topic 740): Simplifying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The amendments in ASU 2019-12 simplify the accounting for income taxes by removing certain exceptions to the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principles in Topic 740. The amendments also improve consistent application of and simplify GAAP for other areas of Topic 740 by clarifying and amending existing guidance. ASU 2019-12 removes the exception for intraperiod tax allocations when there is a loss from continuing operations and income or a gain from other items (other comprehensive income). ASU 2019-12 is effective beginning on January 1, 2021. Early adoption of the amendments is permitted. The Company has early adopted the new standard effective January 1, 2020, and its adoption did not have a material impact on our condensed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Financial Instruments</w:t>
      </w:r>
    </w:p>
    <w:p>
      <w:pPr>
        <w:spacing w:after="0" w:line="121" w:lineRule="exact"/>
        <w:rPr>
          <w:sz w:val="20"/>
          <w:szCs w:val="20"/>
          <w:color w:val="auto"/>
        </w:rPr>
      </w:pPr>
    </w:p>
    <w:p>
      <w:pPr>
        <w:ind w:right="120" w:firstLine="482"/>
        <w:spacing w:after="0" w:line="256" w:lineRule="auto"/>
        <w:rPr>
          <w:sz w:val="20"/>
          <w:szCs w:val="20"/>
          <w:color w:val="auto"/>
        </w:rPr>
      </w:pPr>
      <w:r>
        <w:rPr>
          <w:rFonts w:ascii="Times New Roman" w:cs="Times New Roman" w:eastAsia="Times New Roman" w:hAnsi="Times New Roman"/>
          <w:sz w:val="18"/>
          <w:szCs w:val="18"/>
          <w:color w:val="auto"/>
        </w:rPr>
        <w:t>The Company’s short-term investments consist of U.S. Treasury securities, U.S. Government agency securities and corporate debt securities with remaining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losses or income recognized in other comprehensive income (loss).</w:t>
      </w:r>
    </w:p>
    <w:p>
      <w:pPr>
        <w:spacing w:after="0" w:line="187" w:lineRule="exact"/>
        <w:rPr>
          <w:sz w:val="20"/>
          <w:szCs w:val="20"/>
          <w:color w:val="auto"/>
        </w:rPr>
      </w:pPr>
    </w:p>
    <w:p>
      <w:pPr>
        <w:ind w:right="100" w:firstLine="482"/>
        <w:spacing w:after="0" w:line="254"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82" w:lineRule="exact"/>
        <w:rPr>
          <w:sz w:val="20"/>
          <w:szCs w:val="20"/>
          <w:color w:val="auto"/>
        </w:rPr>
      </w:pPr>
    </w:p>
    <w:p>
      <w:pPr>
        <w:ind w:left="960" w:hanging="480"/>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—Inputs are unadjusted, quoted prices in active markets for identical assets or liabilities at the measurement date;</w:t>
      </w:r>
    </w:p>
    <w:p>
      <w:pPr>
        <w:spacing w:after="0" w:line="117" w:lineRule="exact"/>
        <w:rPr>
          <w:rFonts w:ascii="Times New Roman" w:cs="Times New Roman" w:eastAsia="Times New Roman" w:hAnsi="Times New Roman"/>
          <w:sz w:val="18"/>
          <w:szCs w:val="18"/>
          <w:color w:val="auto"/>
        </w:rPr>
      </w:pPr>
    </w:p>
    <w:p>
      <w:pPr>
        <w:ind w:left="960" w:right="140" w:hanging="480"/>
        <w:spacing w:after="0" w:line="267"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Inputs are observable, unadjusted quoted prices in active markets for similar assets or liabilities, unadjusted quoted prices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identical or similar assets or liabilities in markets that are not active, or other inputs that are observable or can be corroborated by observable market data for substantially the full term of the related assets or liabilities; and</w:t>
      </w:r>
    </w:p>
    <w:p>
      <w:pPr>
        <w:spacing w:after="0" w:line="65" w:lineRule="exact"/>
        <w:rPr>
          <w:rFonts w:ascii="Times New Roman" w:cs="Times New Roman" w:eastAsia="Times New Roman" w:hAnsi="Times New Roman"/>
          <w:sz w:val="18"/>
          <w:szCs w:val="18"/>
          <w:color w:val="auto"/>
        </w:rPr>
      </w:pPr>
    </w:p>
    <w:p>
      <w:pPr>
        <w:ind w:left="960" w:right="100" w:hanging="480"/>
        <w:spacing w:after="0" w:line="284" w:lineRule="auto"/>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significant to the measurement of the fair value of the assets or liabilities that are supported by little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market data.</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4" w:name="page15"/>
    <w:bookmarkEnd w:id="14"/>
    <w:p>
      <w:pPr>
        <w:ind w:right="20" w:firstLine="482"/>
        <w:spacing w:after="0" w:line="255" w:lineRule="auto"/>
        <w:rPr>
          <w:sz w:val="20"/>
          <w:szCs w:val="20"/>
          <w:color w:val="auto"/>
        </w:rPr>
      </w:pPr>
      <w:r>
        <w:rPr>
          <w:rFonts w:ascii="Times New Roman" w:cs="Times New Roman" w:eastAsia="Times New Roman" w:hAnsi="Times New Roman"/>
          <w:sz w:val="18"/>
          <w:szCs w:val="18"/>
          <w:color w:val="auto"/>
        </w:rPr>
        <w:t>The Company’s cash equivalent Money Market Funds are classified as Level 1 because they are valued using quoted market prices. The fair value of the Company’s U.S. Treasury securities, U.S. government agency securities and corporate debt securities are classified as Level 2 because they are valued using observable inputs to quoted market prices, benchmark yields, reported trades, broker/dealer quotes or alternative pricing sources with reasonable levels of price transparency and include U.S. government agency securities, U.S. Treasury securities and corporate debt securities. These Level 2 instruments require more management judgment and subjectivity compared to Level 1 instruments which include determining which instruments are most similar to the instrument being priced, determining whether the market is active and determining which model-derived valuations are to be used when calculating fair value. The Company performs its analysis with the assistance of investment advisors.</w:t>
      </w:r>
    </w:p>
    <w:p>
      <w:pPr>
        <w:spacing w:after="0" w:line="189" w:lineRule="exact"/>
        <w:rPr>
          <w:sz w:val="20"/>
          <w:szCs w:val="20"/>
          <w:color w:val="auto"/>
        </w:rPr>
      </w:pPr>
    </w:p>
    <w:p>
      <w:pPr>
        <w:ind w:right="300" w:firstLine="482"/>
        <w:spacing w:after="0" w:line="282" w:lineRule="auto"/>
        <w:rPr>
          <w:sz w:val="20"/>
          <w:szCs w:val="20"/>
          <w:color w:val="auto"/>
        </w:rPr>
      </w:pPr>
      <w:r>
        <w:rPr>
          <w:rFonts w:ascii="Times New Roman" w:cs="Times New Roman" w:eastAsia="Times New Roman" w:hAnsi="Times New Roman"/>
          <w:sz w:val="18"/>
          <w:szCs w:val="18"/>
          <w:color w:val="auto"/>
        </w:rPr>
        <w:t>The following tables show the Company’s cash and cash equivalents, Money Market Funds and short-term investments by significant investment category as of September 30, 2020 and December 31, 2019 (in thousands):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As of September 30, 2020</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1"/>
                <w:szCs w:val="11"/>
                <w:color w:val="auto"/>
              </w:rPr>
            </w:pPr>
          </w:p>
        </w:tc>
        <w:tc>
          <w:tcPr>
            <w:tcW w:w="86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 included in short-term</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 included in cash</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cash equivalents and short-term investments</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 included in cash</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and cash equivalents and short-term investments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273,734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273,716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400"/>
              <w:spacing w:after="0" w:line="131"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112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1"/>
                <w:szCs w:val="11"/>
                <w:color w:val="auto"/>
              </w:rPr>
            </w:pPr>
          </w:p>
        </w:tc>
        <w:tc>
          <w:tcPr>
            <w:tcW w:w="860" w:type="dxa"/>
            <w:vAlign w:val="bottom"/>
          </w:tcPr>
          <w:p>
            <w:pPr>
              <w:jc w:val="center"/>
              <w:ind w:right="116"/>
              <w:spacing w:after="0" w:line="131" w:lineRule="exact"/>
              <w:rPr>
                <w:sz w:val="20"/>
                <w:szCs w:val="20"/>
                <w:color w:val="auto"/>
              </w:rPr>
            </w:pPr>
            <w:r>
              <w:rPr>
                <w:rFonts w:ascii="Times New Roman" w:cs="Times New Roman" w:eastAsia="Times New Roman" w:hAnsi="Times New Roman"/>
                <w:sz w:val="14"/>
                <w:szCs w:val="14"/>
                <w:b w:val="1"/>
                <w:bCs w:val="1"/>
                <w:color w:val="auto"/>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Treasury securities included in short-term</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2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 included in</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82"/>
        <w:spacing w:after="0" w:line="282" w:lineRule="auto"/>
        <w:rPr>
          <w:sz w:val="20"/>
          <w:szCs w:val="20"/>
          <w:color w:val="auto"/>
        </w:rPr>
      </w:pPr>
      <w:r>
        <w:rPr>
          <w:rFonts w:ascii="Times New Roman" w:cs="Times New Roman" w:eastAsia="Times New Roman" w:hAnsi="Times New Roman"/>
          <w:sz w:val="18"/>
          <w:szCs w:val="18"/>
          <w:color w:val="auto"/>
        </w:rPr>
        <w:t>The Company may sell certain of its short-term securities prior to their stated maturities for reasons including, but not limited to, managing liquidity, credit risk, duration and asset allocation.</w:t>
      </w:r>
    </w:p>
    <w:p>
      <w:pPr>
        <w:spacing w:after="0" w:line="162" w:lineRule="exact"/>
        <w:rPr>
          <w:sz w:val="20"/>
          <w:szCs w:val="20"/>
          <w:color w:val="auto"/>
        </w:rPr>
      </w:pPr>
    </w:p>
    <w:p>
      <w:pPr>
        <w:jc w:val="both"/>
        <w:ind w:firstLine="482"/>
        <w:spacing w:after="0" w:line="266" w:lineRule="auto"/>
        <w:rPr>
          <w:sz w:val="20"/>
          <w:szCs w:val="20"/>
          <w:color w:val="auto"/>
        </w:rPr>
      </w:pPr>
      <w:r>
        <w:rPr>
          <w:rFonts w:ascii="Times New Roman" w:cs="Times New Roman" w:eastAsia="Times New Roman" w:hAnsi="Times New Roman"/>
          <w:sz w:val="18"/>
          <w:szCs w:val="18"/>
          <w:color w:val="auto"/>
        </w:rPr>
        <w:t>There were no liabilities measured at fair value on a recurring basis as of September 30, 2020 and December 31, 2019. There have been no transfers between fair value measurement levels during the nine months ended September 30, 2020 and 2019. In addition, there were no assets or liabilities measured at fair value on a non-recurring basis as of September 30, 2020 and December 31, 2019.</w:t>
      </w:r>
    </w:p>
    <w:p>
      <w:pPr>
        <w:spacing w:after="0" w:line="176" w:lineRule="exact"/>
        <w:rPr>
          <w:sz w:val="20"/>
          <w:szCs w:val="20"/>
          <w:color w:val="auto"/>
        </w:rPr>
      </w:pPr>
    </w:p>
    <w:p>
      <w:pPr>
        <w:ind w:firstLine="482"/>
        <w:spacing w:after="0" w:line="258" w:lineRule="auto"/>
        <w:rPr>
          <w:sz w:val="20"/>
          <w:szCs w:val="20"/>
          <w:color w:val="auto"/>
        </w:rPr>
      </w:pPr>
      <w:r>
        <w:rPr>
          <w:rFonts w:ascii="Times New Roman" w:cs="Times New Roman" w:eastAsia="Times New Roman" w:hAnsi="Times New Roman"/>
          <w:sz w:val="18"/>
          <w:szCs w:val="18"/>
          <w:color w:val="auto"/>
        </w:rPr>
        <w:t>As of September 30, 2020, the Company had not recorded any impairment related to other-than-temporary declines in the fair value of short-term investments. Short-term investments are considered impaired when a decline in fair value is judged to be other-than-temporary. The Company consults with its investment managers and considers available quantitative and qualitative evidence in evaluating potential impairment of its short-term investments on a quarterly basis. If the cost of an individual investment exceeds its fair value, the Company evaluates, among other factors, general market conditions, the duration and extent to which the fair value is less than cost and its intent and ability to hold the investment.</w:t>
      </w:r>
    </w:p>
    <w:p>
      <w:pPr>
        <w:spacing w:after="0" w:line="183" w:lineRule="exact"/>
        <w:rPr>
          <w:sz w:val="20"/>
          <w:szCs w:val="20"/>
          <w:color w:val="auto"/>
        </w:rPr>
      </w:pPr>
    </w:p>
    <w:p>
      <w:pPr>
        <w:ind w:right="560" w:firstLine="482"/>
        <w:spacing w:after="0" w:line="282" w:lineRule="auto"/>
        <w:rPr>
          <w:sz w:val="20"/>
          <w:szCs w:val="20"/>
          <w:color w:val="auto"/>
        </w:rPr>
      </w:pPr>
      <w:r>
        <w:rPr>
          <w:rFonts w:ascii="Times New Roman" w:cs="Times New Roman" w:eastAsia="Times New Roman" w:hAnsi="Times New Roman"/>
          <w:sz w:val="18"/>
          <w:szCs w:val="18"/>
          <w:color w:val="auto"/>
        </w:rPr>
        <w:t>The Company records interest income and accretion income earned on Money Market Funds and U.S. Treasury, U.S. government agency and corporate debt securities to interest income in its statement of operations and comprehensive loss.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8"/>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7,294</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(2,188)</w:t>
            </w:r>
          </w:p>
        </w:tc>
      </w:tr>
      <w:tr>
        <w:trPr>
          <w:trHeight w:val="223"/>
        </w:trPr>
        <w:tc>
          <w:tcPr>
            <w:tcW w:w="53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60" w:firstLine="482"/>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2020 and 2019 was $0.3 million. Depreciation expense for the nine months ended September 30, 2020 and 2019 was $1.0 million and $0.8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Liabilities and Other Long-Term Liabilities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8"/>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Accrued compensation and benefits consist primarily of accrued bonuses and accrued vacation.</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Other Long-Term Liabilities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long-term liabilities consisted of the following (in thousands):</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8"/>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36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Leasehold incentive obligation</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 deposits</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Novartis Agreement</w:t>
      </w:r>
    </w:p>
    <w:p>
      <w:pPr>
        <w:spacing w:after="0" w:line="121" w:lineRule="exact"/>
        <w:rPr>
          <w:sz w:val="20"/>
          <w:szCs w:val="20"/>
          <w:color w:val="auto"/>
        </w:rPr>
      </w:pPr>
    </w:p>
    <w:p>
      <w:pPr>
        <w:ind w:right="20" w:firstLine="482"/>
        <w:spacing w:after="0" w:line="258" w:lineRule="auto"/>
        <w:rPr>
          <w:sz w:val="20"/>
          <w:szCs w:val="20"/>
          <w:color w:val="auto"/>
        </w:rPr>
      </w:pPr>
      <w:r>
        <w:rPr>
          <w:rFonts w:ascii="Times New Roman" w:cs="Times New Roman" w:eastAsia="Times New Roman" w:hAnsi="Times New Roman"/>
          <w:sz w:val="18"/>
          <w:szCs w:val="18"/>
          <w:color w:val="auto"/>
        </w:rPr>
        <w:t>In October 2019, the Company entered into a Collaboration and License Agreement with Novartis (the “Novartis Agreement”), for the development and commercialization of our preclinical product candidate, PLN-1474 and up to three additional integrin research targets. PLN-1474 is an internally discovered small molecule selective inhibitor of integrin α</w:t>
      </w:r>
      <w:r>
        <w:rPr>
          <w:rFonts w:ascii="Times New Roman" w:cs="Times New Roman" w:eastAsia="Times New Roman" w:hAnsi="Times New Roman"/>
          <w:sz w:val="15"/>
          <w:szCs w:val="15"/>
          <w:color w:val="auto"/>
        </w:rPr>
        <w:t>v</w:t>
      </w:r>
      <w:r>
        <w:rPr>
          <w:rFonts w:ascii="Times New Roman" w:cs="Times New Roman" w:eastAsia="Times New Roman" w:hAnsi="Times New Roman"/>
          <w:sz w:val="18"/>
          <w:szCs w:val="18"/>
          <w:color w:val="auto"/>
        </w:rPr>
        <w:t>ß</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currently being developed for the treatment of liver fibrosis associated with nonalcoholic steatohepatitis (“NASH”). In accordance with the Novartis Agreement, on December 7, 2019, Novartis paid to Pliant an upfront non-refundable license fee of $50.0 million for the worldwide exclusive license to PLN-1474.</w:t>
      </w:r>
    </w:p>
    <w:p>
      <w:pPr>
        <w:spacing w:after="0" w:line="183"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Novartis will fund the Company’s research and development services for PLN-1474 through Phase 1 after which Novartis will assume responsibility for all future development, manufacturing and commercialization costs of PLN-1474. Novartis will also fund the research and development services associated with integrin research targets as outlined in the Novartis Agreement. The Company is scheduled to receive up to $19.6 million in funding for PLN-1474 development services through Phase 1 of its development, which is expected to go through 2020. The Company is initially obligated to perform research and development services on the integrin research targets for sixty days. Novartis has the option to continue the research and development services through 2022, with the option to terminate the services with 60 days’ notice. If any of the targets achieves target validation and are deemed a research target, Novartis holds the rights to exercise its license options to obtain</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6" w:name="page17"/>
    <w:bookmarkEnd w:id="16"/>
    <w:p>
      <w:pPr>
        <w:ind w:right="20"/>
        <w:spacing w:after="0" w:line="258" w:lineRule="auto"/>
        <w:rPr>
          <w:sz w:val="20"/>
          <w:szCs w:val="20"/>
          <w:color w:val="auto"/>
        </w:rPr>
      </w:pPr>
      <w:r>
        <w:rPr>
          <w:rFonts w:ascii="Times New Roman" w:cs="Times New Roman" w:eastAsia="Times New Roman" w:hAnsi="Times New Roman"/>
          <w:sz w:val="18"/>
          <w:szCs w:val="18"/>
          <w:color w:val="auto"/>
        </w:rPr>
        <w:t>an exclusive license for those deemed research targets on a research target-by-research target basis by paying an option exercise fee for each target (up to three in total), including all license compounds that are the subject of the applicable research program. Novartis will also pay the Company a certain specified target validation fee of $4.0 million for each candidate target that achieves target validation and is deemed a research target, for up to three candidate targets. Upon exercise of an option, Novartis will be responsible for global clinical development and commercialization of each licensed research target.</w:t>
      </w:r>
    </w:p>
    <w:p>
      <w:pPr>
        <w:spacing w:after="0" w:line="183" w:lineRule="exact"/>
        <w:rPr>
          <w:sz w:val="20"/>
          <w:szCs w:val="20"/>
          <w:color w:val="auto"/>
        </w:rPr>
      </w:pPr>
    </w:p>
    <w:p>
      <w:pPr>
        <w:ind w:firstLine="482"/>
        <w:spacing w:after="0" w:line="266" w:lineRule="auto"/>
        <w:rPr>
          <w:sz w:val="20"/>
          <w:szCs w:val="20"/>
          <w:color w:val="auto"/>
        </w:rPr>
      </w:pPr>
      <w:r>
        <w:rPr>
          <w:rFonts w:ascii="Times New Roman" w:cs="Times New Roman" w:eastAsia="Times New Roman" w:hAnsi="Times New Roman"/>
          <w:sz w:val="18"/>
          <w:szCs w:val="18"/>
          <w:color w:val="auto"/>
        </w:rPr>
        <w:t>Under the Novartis Agreement, the Company is eligible for developmental, regulatory and commercial milestone payments related to PLN-1474 and the integrin research targets of up to $416.0 million if defined development and commercialization milestones are achieved and tiered royalties ranging from the mid-single digits to low teens on product sales upon commercialization.</w:t>
      </w:r>
    </w:p>
    <w:p>
      <w:pPr>
        <w:spacing w:after="0" w:line="176" w:lineRule="exact"/>
        <w:rPr>
          <w:sz w:val="20"/>
          <w:szCs w:val="20"/>
          <w:color w:val="auto"/>
        </w:rPr>
      </w:pPr>
    </w:p>
    <w:p>
      <w:pPr>
        <w:ind w:right="20" w:firstLine="482"/>
        <w:spacing w:after="0" w:line="253" w:lineRule="auto"/>
        <w:rPr>
          <w:sz w:val="20"/>
          <w:szCs w:val="20"/>
          <w:color w:val="auto"/>
        </w:rPr>
      </w:pPr>
      <w:r>
        <w:rPr>
          <w:rFonts w:ascii="Times New Roman" w:cs="Times New Roman" w:eastAsia="Times New Roman" w:hAnsi="Times New Roman"/>
          <w:sz w:val="18"/>
          <w:szCs w:val="18"/>
          <w:color w:val="auto"/>
        </w:rPr>
        <w:t>Upon execution of the Novartis Agreement, Pliant also entered into a Financing Side Letter with Novartis (the “Financing Side Letter”), whereby Novartis committed to provide up to $30.0 million in equity financing of which $20.0 million was satisfied by the issuance of 10,928,962 shares of Series C Redeemable Convertible Preferred Stock on December 19, 2019 and the remaining $10.0 million was satisfied by the issuance of shares of common stock through a concurrent private placement with the Company’s IPO. The Company determined that the Novartis Agreement and the Financing Side Letter are separate agreements and should not be combined as they were not entered into for a single commercial objective and the consideration in each agreement are tied to separate and different types of obligations. The Series C Redeemable Preferred Stock was issued to Novartis at fair value of $1.83 per share in conjunction with its issuance to other investors at the same price. In addition, the contingent issuance of shares upon an Initial Public Offering would also be at fair value. Further, Novartis became a related party to the Company following its purchase of 10.9 million shares of our Series C Redeemable Convertible Stock on December 19, 2019, representing holdings of 6.1% and 7.4% of our outstanding shares of common stock on a fully diluted basis as of September 30, 2020 and December 31, 2019, respectively. See Notes 9 and 14 to these financial statements for additional information.</w:t>
      </w:r>
    </w:p>
    <w:p>
      <w:pPr>
        <w:spacing w:after="0" w:line="194" w:lineRule="exact"/>
        <w:rPr>
          <w:sz w:val="20"/>
          <w:szCs w:val="20"/>
          <w:color w:val="auto"/>
        </w:rPr>
      </w:pPr>
    </w:p>
    <w:p>
      <w:pPr>
        <w:ind w:right="280" w:firstLine="482"/>
        <w:spacing w:after="0" w:line="282" w:lineRule="auto"/>
        <w:rPr>
          <w:sz w:val="20"/>
          <w:szCs w:val="20"/>
          <w:color w:val="auto"/>
        </w:rPr>
      </w:pPr>
      <w:r>
        <w:rPr>
          <w:rFonts w:ascii="Times New Roman" w:cs="Times New Roman" w:eastAsia="Times New Roman" w:hAnsi="Times New Roman"/>
          <w:sz w:val="18"/>
          <w:szCs w:val="18"/>
          <w:color w:val="auto"/>
        </w:rPr>
        <w:t>The Company evaluated the Novartis Agreement under the revenue standard Topic 606 and concluded that Novartis is a customer. The Company identified the following performance obligations at the inception of the contract.</w:t>
      </w:r>
    </w:p>
    <w:p>
      <w:pPr>
        <w:spacing w:after="0" w:line="54" w:lineRule="exact"/>
        <w:rPr>
          <w:sz w:val="20"/>
          <w:szCs w:val="20"/>
          <w:color w:val="auto"/>
        </w:rPr>
      </w:pPr>
    </w:p>
    <w:p>
      <w:pPr>
        <w:ind w:left="960" w:hanging="48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Novartis worldwide license rights to PLN-1474.</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research and development services for PLN-1474 through Phase 1 of its development.</w:t>
      </w:r>
    </w:p>
    <w:p>
      <w:pPr>
        <w:spacing w:after="0" w:line="117" w:lineRule="exact"/>
        <w:rPr>
          <w:rFonts w:ascii="Times New Roman" w:cs="Times New Roman" w:eastAsia="Times New Roman" w:hAnsi="Times New Roman"/>
          <w:sz w:val="18"/>
          <w:szCs w:val="18"/>
          <w:color w:val="auto"/>
        </w:rPr>
      </w:pPr>
    </w:p>
    <w:p>
      <w:pPr>
        <w:ind w:left="960" w:right="180" w:hanging="480"/>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non-exclusive license rights to integrin research targets and research and development services on integrin research targets, together as a single performance obligation.</w:t>
      </w:r>
    </w:p>
    <w:p>
      <w:pPr>
        <w:spacing w:after="0" w:line="162"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The Company determined the transaction price at inception of the Novartis Agreement is the $69.6 million consisting of the license fee of $50.0 million and research and development funding of $19.6 million payment to be allocated to the various performance obligations. The Novartis Agreement includes variable consideration for the funding of research and development services and potential future milestones and royalties that were contingent on future success factors for development programs. The Company used the “most likely” method to determine the variable consideration. None of the regulatory or development milestones were included in the transaction price. The Company will re-evaluate the transaction price in each reporting period as uncertain events are resolved or other changes in circumstances occur.</w:t>
      </w:r>
    </w:p>
    <w:p>
      <w:pPr>
        <w:spacing w:after="0" w:line="187" w:lineRule="exact"/>
        <w:rPr>
          <w:sz w:val="20"/>
          <w:szCs w:val="20"/>
          <w:color w:val="auto"/>
        </w:rPr>
      </w:pPr>
    </w:p>
    <w:p>
      <w:pPr>
        <w:ind w:right="60" w:firstLine="482"/>
        <w:spacing w:after="0" w:line="261" w:lineRule="auto"/>
        <w:rPr>
          <w:sz w:val="20"/>
          <w:szCs w:val="20"/>
          <w:color w:val="auto"/>
        </w:rPr>
      </w:pPr>
      <w:r>
        <w:rPr>
          <w:rFonts w:ascii="Times New Roman" w:cs="Times New Roman" w:eastAsia="Times New Roman" w:hAnsi="Times New Roman"/>
          <w:sz w:val="18"/>
          <w:szCs w:val="18"/>
          <w:color w:val="auto"/>
        </w:rPr>
        <w:t>The Company considered the license to PLN-1474 as functional intellectual property, as when control of the license was transferred to Novartis at the inception of the Novartis Agreement, Novartis had the right to access its technology and it was functional. The Company determined the $50.0 million was the standalone selling price PLN-1474 license and was recognized as revenue when control of the license transferred to Novartis, which was at or near inception of the Novartis Agreement.</w:t>
      </w:r>
    </w:p>
    <w:p>
      <w:pPr>
        <w:spacing w:after="0" w:line="180" w:lineRule="exact"/>
        <w:rPr>
          <w:sz w:val="20"/>
          <w:szCs w:val="20"/>
          <w:color w:val="auto"/>
        </w:rPr>
      </w:pPr>
    </w:p>
    <w:p>
      <w:pPr>
        <w:ind w:right="220" w:firstLine="482"/>
        <w:spacing w:after="0" w:line="255" w:lineRule="auto"/>
        <w:rPr>
          <w:sz w:val="20"/>
          <w:szCs w:val="20"/>
          <w:color w:val="auto"/>
        </w:rPr>
      </w:pPr>
      <w:r>
        <w:rPr>
          <w:rFonts w:ascii="Times New Roman" w:cs="Times New Roman" w:eastAsia="Times New Roman" w:hAnsi="Times New Roman"/>
          <w:sz w:val="18"/>
          <w:szCs w:val="18"/>
          <w:color w:val="auto"/>
        </w:rPr>
        <w:t>The Company estimated the standalone selling price of each research program based on internal and external costs to perform the research plus a reasonable profit margin. The total estimated cost of the research and development services reflects the nature of the services to be performed and the Company’s best estimate of the length of time required to perform the services. The Company selected an input method of costs incurred to measure progress toward complete satisfaction of its performance obligation to provide research and development services as such method faithfully depicts the Company’s performance in transferring control of the research and development service to Novartis. Changes in estimates of total internal and external costs expected to be incurred are recognized in the period of change as a cumulative catch-up adjustment. There have been no changes to the Company’s estimates to date.</w:t>
      </w:r>
    </w:p>
    <w:p>
      <w:pPr>
        <w:spacing w:after="0" w:line="189" w:lineRule="exact"/>
        <w:rPr>
          <w:sz w:val="20"/>
          <w:szCs w:val="20"/>
          <w:color w:val="auto"/>
        </w:rPr>
      </w:pPr>
    </w:p>
    <w:p>
      <w:pPr>
        <w:ind w:right="120" w:firstLine="482"/>
        <w:spacing w:after="0" w:line="263"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recognized revenue—related party of $4.8 million and $37.4 million, respectively. Revenue-related party for the three months ended September 30, 2020 consists of $4.8 million generated from research and development services performed during the period. Revenue-related party for the nine months ended September 30, 2020, consists of $25.0 million of revenue from the achievement of the first patient dosing milestone of the Novartis agreement in the first quarter of 2020 and $12.4 million of revenue generated from research and development services performed during the nine months ended September 30, 2020. The Company recognized no revenue during the three and nine months ended September 30, 2019.</w:t>
      </w:r>
    </w:p>
    <w:p>
      <w:pPr>
        <w:spacing w:after="0" w:line="178" w:lineRule="exact"/>
        <w:rPr>
          <w:sz w:val="20"/>
          <w:szCs w:val="20"/>
          <w:color w:val="auto"/>
        </w:rPr>
      </w:pPr>
    </w:p>
    <w:p>
      <w:pPr>
        <w:ind w:right="200" w:firstLine="482"/>
        <w:spacing w:after="0" w:line="282" w:lineRule="auto"/>
        <w:rPr>
          <w:sz w:val="20"/>
          <w:szCs w:val="20"/>
          <w:color w:val="auto"/>
        </w:rPr>
      </w:pPr>
      <w:r>
        <w:rPr>
          <w:rFonts w:ascii="Times New Roman" w:cs="Times New Roman" w:eastAsia="Times New Roman" w:hAnsi="Times New Roman"/>
          <w:sz w:val="18"/>
          <w:szCs w:val="18"/>
          <w:color w:val="auto"/>
        </w:rPr>
        <w:t>As of September 30, 2020 and December 31, 2019, there is a receivable of $7.1 million related to the Novartis Agreement. There were no contract assets or contract liabilities as of September 30, 2020 and December 31, 2019.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7. License Agreements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UC Regents</w:t>
      </w:r>
    </w:p>
    <w:p>
      <w:pPr>
        <w:spacing w:after="0" w:line="121" w:lineRule="exact"/>
        <w:rPr>
          <w:sz w:val="20"/>
          <w:szCs w:val="20"/>
          <w:color w:val="auto"/>
        </w:rPr>
      </w:pPr>
    </w:p>
    <w:p>
      <w:pPr>
        <w:ind w:right="80" w:firstLine="482"/>
        <w:spacing w:after="0" w:line="253" w:lineRule="auto"/>
        <w:rPr>
          <w:sz w:val="20"/>
          <w:szCs w:val="20"/>
          <w:color w:val="auto"/>
        </w:rPr>
      </w:pPr>
      <w:r>
        <w:rPr>
          <w:rFonts w:ascii="Times New Roman" w:cs="Times New Roman" w:eastAsia="Times New Roman" w:hAnsi="Times New Roman"/>
          <w:sz w:val="18"/>
          <w:szCs w:val="18"/>
          <w:color w:val="auto"/>
        </w:rPr>
        <w:t>In August 2015, the Company entered into an exclusive, worldwide license agreement (the “UC Agreement”) with the Regents of the University of California (the “UC Regents”) relating to the use of certain patents and technology relating to α</w:t>
      </w:r>
      <w:r>
        <w:rPr>
          <w:rFonts w:ascii="Times New Roman" w:cs="Times New Roman" w:eastAsia="Times New Roman" w:hAnsi="Times New Roman"/>
          <w:sz w:val="15"/>
          <w:szCs w:val="15"/>
          <w:color w:val="auto"/>
        </w:rPr>
        <w:t>v</w:t>
      </w:r>
      <w:r>
        <w:rPr>
          <w:rFonts w:ascii="Times New Roman" w:cs="Times New Roman" w:eastAsia="Times New Roman" w:hAnsi="Times New Roman"/>
          <w:sz w:val="18"/>
          <w:szCs w:val="18"/>
          <w:color w:val="auto"/>
        </w:rPr>
        <w:t>ß</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compound in fibrosis indications. Pursuant to the UC Agreement, the Company is obligated to (i) make a non-refundable upfront license fee payment of $0.4 million and annual license maintenance fee payments of $10,000 per year beginning on the first anniversary of the UC Agreement escalating to $25,000 per year thereafter (ii) make royalty payments to the UC Regents of 3% of net sales of a therapeutic licensed product or 1% of net sales of a method of use licensed product, subject to an annual minimum of $1.0 million, (iii) make milestone payments up to an aggregate of $18.2 million to the UC Regents upon the occurrence of certain events,</w:t>
      </w:r>
    </w:p>
    <w:p>
      <w:pPr>
        <w:spacing w:after="0" w:line="5" w:lineRule="exact"/>
        <w:rPr>
          <w:sz w:val="20"/>
          <w:szCs w:val="20"/>
          <w:color w:val="auto"/>
        </w:rPr>
      </w:pPr>
    </w:p>
    <w:p>
      <w:pPr>
        <w:ind w:firstLine="8"/>
        <w:spacing w:after="0" w:line="251" w:lineRule="auto"/>
        <w:tabs>
          <w:tab w:leader="none" w:pos="3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milestone payment based on the number of outstanding shares and a price per share as defined in the UC Agreement within 30 days of the closing of an IPO or change of control, and (v) reimburse the UC Regents for prosecution and maintenance expenses of the licensed patents without limitation. As a result of the IPO on June 3, 2020, the Company made a $2.4 million milestone payment to the UC Regents. The Company will expense any payments for milestones to research and development expenses prior to receiving FDA approval for any of its product candidates. These costs will be capitalized when FDA approval is obtained for any products being selected for commercialization and amortized over the remaining life of the patent. If the Company sublicenses its rights under the UC Agreement, it is obligated to pay the UC Regents a percentage of the total gross proceeds received in consideration of the grant of the sublicense, which total amount would be first reduced by the aggregate amount of certain research and development related expense incurred by the Company.</w:t>
      </w:r>
    </w:p>
    <w:p>
      <w:pPr>
        <w:spacing w:after="0" w:line="194" w:lineRule="exact"/>
        <w:rPr>
          <w:sz w:val="20"/>
          <w:szCs w:val="20"/>
          <w:color w:val="auto"/>
        </w:rPr>
      </w:pPr>
    </w:p>
    <w:p>
      <w:pPr>
        <w:ind w:firstLine="482"/>
        <w:spacing w:after="0" w:line="261" w:lineRule="auto"/>
        <w:rPr>
          <w:sz w:val="20"/>
          <w:szCs w:val="20"/>
          <w:color w:val="auto"/>
        </w:rPr>
      </w:pPr>
      <w:r>
        <w:rPr>
          <w:rFonts w:ascii="Times New Roman" w:cs="Times New Roman" w:eastAsia="Times New Roman" w:hAnsi="Times New Roman"/>
          <w:sz w:val="18"/>
          <w:szCs w:val="18"/>
          <w:color w:val="auto"/>
        </w:rPr>
        <w:t>The UC Agreement can be terminated at any time upon the material breach of contract terms by either party to the agreement. The Company has the right to terminate the agreement at any time upon providing written notice to the UC Regents. Unless terminated early, the UC Agreement will remain in effect from the effective date until the later of (i) the expiration or abandonment of the patent rights licensed under the UC Agreement, or (ii) ten years from the date of the first commercial sale of the first licensed product under the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Research Agreement</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Adimab Development and Option Agreement</w:t>
      </w:r>
    </w:p>
    <w:p>
      <w:pPr>
        <w:spacing w:after="0" w:line="121" w:lineRule="exact"/>
        <w:rPr>
          <w:sz w:val="20"/>
          <w:szCs w:val="20"/>
          <w:color w:val="auto"/>
        </w:rPr>
      </w:pPr>
    </w:p>
    <w:p>
      <w:pPr>
        <w:ind w:right="160" w:firstLine="482"/>
        <w:spacing w:after="0" w:line="261" w:lineRule="auto"/>
        <w:rPr>
          <w:sz w:val="20"/>
          <w:szCs w:val="20"/>
          <w:color w:val="auto"/>
        </w:rPr>
      </w:pPr>
      <w:r>
        <w:rPr>
          <w:rFonts w:ascii="Times New Roman" w:cs="Times New Roman" w:eastAsia="Times New Roman" w:hAnsi="Times New Roman"/>
          <w:sz w:val="18"/>
          <w:szCs w:val="18"/>
          <w:color w:val="auto"/>
        </w:rPr>
        <w:t>In October 2018, the Company and Adimab LLC (“Adimab”) entered into a development and option agreement (the “Adimab Agreement”) for the discovery and optimization of proprietary antibodies as potential therapeutic product candidates. Under the Adimab Agreement, the Company will select biological targets against which Adimab will use its proprietary platform technology to research and develop antibody proteins using a mutually agreed upon research plan.</w:t>
      </w:r>
    </w:p>
    <w:p>
      <w:pPr>
        <w:spacing w:after="0" w:line="180"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Upon the Company’s selection of a target, the Company and Adimab will initiate a research plan and the discovery term begins. During the discovery term, Adimab will grant the Company a non-exclusive, non-sublicensable license under its technology with respect to the target, to research, design and preclinically develop and use antibodies that were modified or derived using Adimab technology, solely to evaluate such antibodies, perform the Company’s responsibilities under the research plan and use such antibodies for certain diagnostic purposes. The Company will also grant to Adimab a non-exclusive, non-sublicensable and non-transferable license with respect to the target under the Company’s technology that covers or relates to such target, solely to perform its responsibilities under the research plan during the discovery period. The Company is required to pay Adimab at an agreed upon rate for its full-time employees during the discovery period while Adimab performs research on each target under the applicable research plan.</w:t>
      </w:r>
    </w:p>
    <w:p>
      <w:pPr>
        <w:spacing w:after="0" w:line="189"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Adimab granted the Company an exclusive option to obtain a worldwide, royalty-bearing, sublicensable license under Adimab platform patents and other Adimab technology to research, develop and commercialize up to twenty-four antibodies selected by the Company (the “Program Antibodies”) against specific biological targets (the “Commercialization Option”). Upon the exercise of a Commercialization Option, and payment of the applicable option fee to Adimab, Adimab will assign the patents that cover the Program Antibodies to Company. The Company will be required to use commercially reasonable efforts to develop, seek market approval of, and commercialize at least one antibody against the target covered by the Commercialization Option in specified markets upon the exercise of a Commercialization Option.</w:t>
      </w:r>
    </w:p>
    <w:p>
      <w:pPr>
        <w:spacing w:after="0" w:line="187"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Pursuant to the Adimab Agreement, the Company is obligated to (i) make a nonrefundable upfront license fee payment for access to Adimab’s technology; (ii) pay Adimab at an agreed upon rate for each full-time employee (“FTE”) during the research period; (iii) make additional payments upon the Company making other research related elections; (iv) pay up to a dollar amount in the low double digit millions for the achievement of certain research and development milestones for each research target program which can vary by target type; (v) make royalty payments to Adimab on Company net sales of its products covered under the Adimab Agreement, subject to varying royalty payments on certain product types. Currently, no product types have been selected by the Company.</w:t>
      </w:r>
    </w:p>
    <w:p>
      <w:pPr>
        <w:spacing w:after="0" w:line="187" w:lineRule="exact"/>
        <w:rPr>
          <w:sz w:val="20"/>
          <w:szCs w:val="20"/>
          <w:color w:val="auto"/>
        </w:rPr>
      </w:pPr>
    </w:p>
    <w:p>
      <w:pPr>
        <w:ind w:right="520" w:firstLine="482"/>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2020, the Company recognized research and development expenses under the Adimab Agreement of $0.1 million related to FTE costs.</w:t>
      </w:r>
    </w:p>
    <w:p>
      <w:pPr>
        <w:spacing w:after="0" w:line="162" w:lineRule="exact"/>
        <w:rPr>
          <w:sz w:val="20"/>
          <w:szCs w:val="20"/>
          <w:color w:val="auto"/>
        </w:rPr>
      </w:pPr>
    </w:p>
    <w:p>
      <w:pPr>
        <w:ind w:right="600" w:firstLine="482"/>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Company recognized research and development expense under the Adimab Agreement of nil and $0.4 million, respectively, related to antibody discovery fees and FTE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9. Redeemable Convertible Preferred Stock</w:t>
      </w:r>
    </w:p>
    <w:p>
      <w:pPr>
        <w:spacing w:after="0" w:line="121" w:lineRule="exact"/>
        <w:rPr>
          <w:sz w:val="20"/>
          <w:szCs w:val="20"/>
          <w:color w:val="auto"/>
        </w:rPr>
      </w:pPr>
    </w:p>
    <w:p>
      <w:pPr>
        <w:ind w:right="60" w:firstLine="482"/>
        <w:spacing w:after="0" w:line="258" w:lineRule="auto"/>
        <w:rPr>
          <w:sz w:val="20"/>
          <w:szCs w:val="20"/>
          <w:color w:val="auto"/>
        </w:rPr>
      </w:pPr>
      <w:r>
        <w:rPr>
          <w:rFonts w:ascii="Times New Roman" w:cs="Times New Roman" w:eastAsia="Times New Roman" w:hAnsi="Times New Roman"/>
          <w:sz w:val="18"/>
          <w:szCs w:val="18"/>
          <w:color w:val="auto"/>
        </w:rPr>
        <w:t>Under the Company’s Amended and Restated Certificate of Incorporation (“Certificate of Incorporation”), the Company is authorized to issue two classes of shares: preferred and common stock. The preferred stock may be issued in series, and the Company’s board of directors is authorized to determine the rights, preferences, and terms of each series. As a result of the IPO in June 2020, in which all convertible preferred stock was converted into common shares of the Company, there was no outstanding redeemable convertible preferred stock as of September 30, 2020. The following is a summary of the Company’s redeemable convertible preferred stock as of December 31, 2019 (in thousands except share amounts):</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6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56,000,000</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56,000,000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62,468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49,501,221</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49,501,221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C</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44,000,000</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26,360,745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47,947</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149,501,221</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131,861,966</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186,275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w:t>
      </w:r>
    </w:p>
    <w:p>
      <w:pPr>
        <w:spacing w:after="0" w:line="121"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In August 2015, the Company entered into a Series A Preferred Stock Purchase Agreement (the “Series A Purchase Agreement”) pursuant to which it agreed to sell, and the purchasers agreed to purchase up to $45.0 million of Series A Redeemable Convertible Preferred Stock (“Series A Preferred”) in three anticipated tranches based on the achievement of defined performance milestones. The Series A Preferred stockholders may not assign the rights to purchase shares of Series A Preferred at any future milestone closing tranches separately without a transfer of already purchased shares. The Company determined that these future tranche obligations did not meet the definition of a freestanding financial instrument because, while separately exercisable, they were not legally detachable. Further, the Company determined that the embedded future tranche obligation did not require bifurcation for accounting purposes as it was clearly and closely related to the economic characteristics and risks of the Series A Preferred and would not meet the definition of a derivative on a standalone basis.</w:t>
      </w:r>
    </w:p>
    <w:p>
      <w:pPr>
        <w:spacing w:after="0" w:line="192" w:lineRule="exact"/>
        <w:rPr>
          <w:sz w:val="20"/>
          <w:szCs w:val="20"/>
          <w:color w:val="auto"/>
        </w:rPr>
      </w:pPr>
    </w:p>
    <w:p>
      <w:pPr>
        <w:ind w:firstLine="482"/>
        <w:spacing w:after="0" w:line="266" w:lineRule="auto"/>
        <w:rPr>
          <w:sz w:val="20"/>
          <w:szCs w:val="20"/>
          <w:color w:val="auto"/>
        </w:rPr>
      </w:pPr>
      <w:r>
        <w:rPr>
          <w:rFonts w:ascii="Times New Roman" w:cs="Times New Roman" w:eastAsia="Times New Roman" w:hAnsi="Times New Roman"/>
          <w:sz w:val="18"/>
          <w:szCs w:val="18"/>
          <w:color w:val="auto"/>
        </w:rPr>
        <w:t>Under the Series A Purchase Agreement, as part of the initial closing, the Company issued 6.5 million shares of Series A Preferred at $1.00 per share in exchange for cash proceeds of $6.4 million and the conversion of convertible promissory notes in the amount of $0.1 million representing outstanding principal and accrued interest.</w:t>
      </w:r>
    </w:p>
    <w:p>
      <w:pPr>
        <w:spacing w:after="0" w:line="176" w:lineRule="exact"/>
        <w:rPr>
          <w:sz w:val="20"/>
          <w:szCs w:val="20"/>
          <w:color w:val="auto"/>
        </w:rPr>
      </w:pPr>
    </w:p>
    <w:p>
      <w:pPr>
        <w:ind w:firstLine="482"/>
        <w:spacing w:after="0" w:line="266" w:lineRule="auto"/>
        <w:rPr>
          <w:sz w:val="20"/>
          <w:szCs w:val="20"/>
          <w:color w:val="auto"/>
        </w:rPr>
      </w:pPr>
      <w:r>
        <w:rPr>
          <w:rFonts w:ascii="Times New Roman" w:cs="Times New Roman" w:eastAsia="Times New Roman" w:hAnsi="Times New Roman"/>
          <w:sz w:val="18"/>
          <w:szCs w:val="18"/>
          <w:color w:val="auto"/>
        </w:rPr>
        <w:t>In April 2016, the Company issued 5.0 million shares of Series A Preferred at $1.00 per share in exchange for cash proceeds of $5.0 million in an additional closing of the first tranche. The final closing of the first tranche occurred in September of 2016, when the Company issued 5.0 million additional shares of Series A Preferred at $1.00 per share in exchange for cash proceeds of $5.0 million.</w:t>
      </w:r>
    </w:p>
    <w:p>
      <w:pPr>
        <w:spacing w:after="0" w:line="176" w:lineRule="exact"/>
        <w:rPr>
          <w:sz w:val="20"/>
          <w:szCs w:val="20"/>
          <w:color w:val="auto"/>
        </w:rPr>
      </w:pPr>
    </w:p>
    <w:p>
      <w:pPr>
        <w:ind w:right="40" w:firstLine="482"/>
        <w:spacing w:after="0" w:line="282" w:lineRule="auto"/>
        <w:rPr>
          <w:sz w:val="20"/>
          <w:szCs w:val="20"/>
          <w:color w:val="auto"/>
        </w:rPr>
      </w:pPr>
      <w:r>
        <w:rPr>
          <w:rFonts w:ascii="Times New Roman" w:cs="Times New Roman" w:eastAsia="Times New Roman" w:hAnsi="Times New Roman"/>
          <w:sz w:val="18"/>
          <w:szCs w:val="18"/>
          <w:color w:val="auto"/>
        </w:rPr>
        <w:t>In February 2017, the Company issued 8.0 million shares of Series A Preferred at $1.00 per share in exchange for cash proceeds of $8.0 million in a closing of the second tranche.</w:t>
      </w:r>
    </w:p>
    <w:p>
      <w:pPr>
        <w:spacing w:after="0" w:line="162" w:lineRule="exact"/>
        <w:rPr>
          <w:sz w:val="20"/>
          <w:szCs w:val="20"/>
          <w:color w:val="auto"/>
        </w:rPr>
      </w:pPr>
    </w:p>
    <w:p>
      <w:pPr>
        <w:ind w:right="120" w:firstLine="482"/>
        <w:spacing w:after="0" w:line="282" w:lineRule="auto"/>
        <w:rPr>
          <w:sz w:val="20"/>
          <w:szCs w:val="20"/>
          <w:color w:val="auto"/>
        </w:rPr>
      </w:pPr>
      <w:r>
        <w:rPr>
          <w:rFonts w:ascii="Times New Roman" w:cs="Times New Roman" w:eastAsia="Times New Roman" w:hAnsi="Times New Roman"/>
          <w:sz w:val="18"/>
          <w:szCs w:val="18"/>
          <w:color w:val="auto"/>
        </w:rPr>
        <w:t>In July 2017, the Company issued 12.0 million shares of Series A Preferred at $1.00 per share in exchange for cash proceeds of $12.0 million in an initial closing of the third tranche.</w:t>
      </w:r>
    </w:p>
    <w:p>
      <w:pPr>
        <w:spacing w:after="0" w:line="162" w:lineRule="exact"/>
        <w:rPr>
          <w:sz w:val="20"/>
          <w:szCs w:val="20"/>
          <w:color w:val="auto"/>
        </w:rPr>
      </w:pPr>
    </w:p>
    <w:p>
      <w:pPr>
        <w:ind w:right="40" w:firstLine="482"/>
        <w:spacing w:after="0" w:line="282" w:lineRule="auto"/>
        <w:rPr>
          <w:sz w:val="20"/>
          <w:szCs w:val="20"/>
          <w:color w:val="auto"/>
        </w:rPr>
      </w:pPr>
      <w:r>
        <w:rPr>
          <w:rFonts w:ascii="Times New Roman" w:cs="Times New Roman" w:eastAsia="Times New Roman" w:hAnsi="Times New Roman"/>
          <w:sz w:val="18"/>
          <w:szCs w:val="18"/>
          <w:color w:val="auto"/>
        </w:rPr>
        <w:t>In January 2018, the Company issued 8.5 million shares of Series A Preferred at $1.00 per share in exchange for cash proceeds of $8.5 million in an additional closing of the third tranche.</w:t>
      </w:r>
    </w:p>
    <w:p>
      <w:pPr>
        <w:spacing w:after="0" w:line="162" w:lineRule="exact"/>
        <w:rPr>
          <w:sz w:val="20"/>
          <w:szCs w:val="20"/>
          <w:color w:val="auto"/>
        </w:rPr>
      </w:pPr>
    </w:p>
    <w:p>
      <w:pPr>
        <w:ind w:right="540" w:firstLine="482"/>
        <w:spacing w:after="0" w:line="282" w:lineRule="auto"/>
        <w:rPr>
          <w:sz w:val="20"/>
          <w:szCs w:val="20"/>
          <w:color w:val="auto"/>
        </w:rPr>
      </w:pPr>
      <w:r>
        <w:rPr>
          <w:rFonts w:ascii="Times New Roman" w:cs="Times New Roman" w:eastAsia="Times New Roman" w:hAnsi="Times New Roman"/>
          <w:sz w:val="18"/>
          <w:szCs w:val="18"/>
          <w:color w:val="auto"/>
        </w:rPr>
        <w:t>In March 2018, based on the amendment to the Series A Purchase Agreement, the Company issued 11.0 million additional shares of Series A Preferred at $1.00 per share in exchange for cash proceeds of $11.0 million in the final closing of the third tranche.</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w:t>
      </w:r>
    </w:p>
    <w:p>
      <w:pPr>
        <w:spacing w:after="0" w:line="121" w:lineRule="exact"/>
        <w:rPr>
          <w:sz w:val="20"/>
          <w:szCs w:val="20"/>
          <w:color w:val="auto"/>
        </w:rPr>
      </w:pPr>
    </w:p>
    <w:p>
      <w:pPr>
        <w:ind w:firstLine="482"/>
        <w:spacing w:after="0" w:line="261" w:lineRule="auto"/>
        <w:rPr>
          <w:sz w:val="20"/>
          <w:szCs w:val="20"/>
          <w:color w:val="auto"/>
        </w:rPr>
      </w:pPr>
      <w:r>
        <w:rPr>
          <w:rFonts w:ascii="Times New Roman" w:cs="Times New Roman" w:eastAsia="Times New Roman" w:hAnsi="Times New Roman"/>
          <w:sz w:val="18"/>
          <w:szCs w:val="18"/>
          <w:color w:val="auto"/>
        </w:rPr>
        <w:t>In July 2018, the Company entered into a Series B Preferred Stock Purchase Agreement (the “Series B Purchase Agreement”) in which it agreed to sell, and the purchasers agreed to purchase, up to $70.0 million of Series B Redeemable Convertible Preferred Stock (“Series B Preferred”). Under the Series B Purchase Agreement, the Company initially issued 45.1 million shares of Series B Preferred at $1.3767 per share in exchange for cash proceeds of approximately $62.1 million.</w:t>
      </w:r>
    </w:p>
    <w:p>
      <w:pPr>
        <w:spacing w:after="0" w:line="180" w:lineRule="exact"/>
        <w:rPr>
          <w:sz w:val="20"/>
          <w:szCs w:val="20"/>
          <w:color w:val="auto"/>
        </w:rPr>
      </w:pPr>
    </w:p>
    <w:p>
      <w:pPr>
        <w:ind w:right="240" w:firstLine="482"/>
        <w:spacing w:after="0" w:line="282" w:lineRule="auto"/>
        <w:rPr>
          <w:sz w:val="20"/>
          <w:szCs w:val="20"/>
          <w:color w:val="auto"/>
        </w:rPr>
      </w:pPr>
      <w:r>
        <w:rPr>
          <w:rFonts w:ascii="Times New Roman" w:cs="Times New Roman" w:eastAsia="Times New Roman" w:hAnsi="Times New Roman"/>
          <w:sz w:val="18"/>
          <w:szCs w:val="18"/>
          <w:color w:val="auto"/>
        </w:rPr>
        <w:t>In November 2018, the Company issued 4.4 million additional shares of Series B Preferred at $1.3767 per share in exchange for cash proceeds of approximately $6.0 million.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19" w:name="page20"/>
    <w:bookmarkEnd w:id="19"/>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w:t>
      </w:r>
    </w:p>
    <w:p>
      <w:pPr>
        <w:spacing w:after="0" w:line="121" w:lineRule="exact"/>
        <w:rPr>
          <w:sz w:val="20"/>
          <w:szCs w:val="20"/>
          <w:color w:val="auto"/>
        </w:rPr>
      </w:pPr>
    </w:p>
    <w:p>
      <w:pPr>
        <w:ind w:right="380" w:firstLine="482"/>
        <w:spacing w:after="0" w:line="255" w:lineRule="auto"/>
        <w:rPr>
          <w:sz w:val="20"/>
          <w:szCs w:val="20"/>
          <w:color w:val="auto"/>
        </w:rPr>
      </w:pPr>
      <w:r>
        <w:rPr>
          <w:rFonts w:ascii="Times New Roman" w:cs="Times New Roman" w:eastAsia="Times New Roman" w:hAnsi="Times New Roman"/>
          <w:sz w:val="18"/>
          <w:szCs w:val="18"/>
          <w:color w:val="auto"/>
        </w:rPr>
        <w:t>In December 2019, the Company entered into a Series C Preferred Stock Purchase Agreement (the “Series C Purchase Agreement”) in which it agreed to sell, and the purchasers agreed to purchase, up to $80.5 million of Series C Redeemable Convertible Preferred Stock (“Series C Preferred”). Under the Series C Purchase Agreement, the Company initially issued 26.4 million shares of Series C Preferred at $1.83 per share in exchange for aggregate cash proceeds of $48.2 million. Novartis purchased 10.9 million shares of this allotment of Series C Preferred at $1.83 per share for cash proceeds of $20.0 million. Novartis became a related party following its purchase of 10.9 million shares of our Series C Preferred. Novartis holdings represent of 6.1% and 7.4% of our outstanding shares of common stock on a fully diluted basis as of September 30, 2020 and December 31, 2019, respectively. See Note 14 for additional information.</w:t>
      </w:r>
    </w:p>
    <w:p>
      <w:pPr>
        <w:spacing w:after="0" w:line="189" w:lineRule="exact"/>
        <w:rPr>
          <w:sz w:val="20"/>
          <w:szCs w:val="20"/>
          <w:color w:val="auto"/>
        </w:rPr>
      </w:pPr>
    </w:p>
    <w:p>
      <w:pPr>
        <w:ind w:right="280" w:firstLine="482"/>
        <w:spacing w:after="0" w:line="282" w:lineRule="auto"/>
        <w:rPr>
          <w:sz w:val="20"/>
          <w:szCs w:val="20"/>
          <w:color w:val="auto"/>
        </w:rPr>
      </w:pPr>
      <w:r>
        <w:rPr>
          <w:rFonts w:ascii="Times New Roman" w:cs="Times New Roman" w:eastAsia="Times New Roman" w:hAnsi="Times New Roman"/>
          <w:sz w:val="18"/>
          <w:szCs w:val="18"/>
          <w:color w:val="auto"/>
        </w:rPr>
        <w:t>In February 2020, the Company issued an additional 28.5 million additional shares of Series C Preferred at $1.83 per share in exchange for gross cash proceeds of $52.2 million and incurred $0.2 of issuance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Series A Preferred, Series B Preferred and Series C Preferred (collectively, the “Preferred Stock”) had the following rights and privileges:</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firstLine="482"/>
        <w:spacing w:after="0" w:line="261" w:lineRule="auto"/>
        <w:rPr>
          <w:sz w:val="20"/>
          <w:szCs w:val="20"/>
          <w:color w:val="auto"/>
        </w:rPr>
      </w:pPr>
      <w:r>
        <w:rPr>
          <w:rFonts w:ascii="Times New Roman" w:cs="Times New Roman" w:eastAsia="Times New Roman" w:hAnsi="Times New Roman"/>
          <w:sz w:val="18"/>
          <w:szCs w:val="18"/>
          <w:color w:val="auto"/>
        </w:rPr>
        <w:t>Each holder of shares of Preferred Stock were entitled to the number of votes equal to the number of shares of common stock into which such shares could have been converted and had voting rights and powers equal to the voting rights and powers of the common stock, and except as provided by law or by other provisions of the Company’s Certificate of Incorporation, as amended, could have voted together with the common stock as a single class on an as-converted basis on all matters as to which holders of common stock have the right to vote.</w:t>
      </w:r>
    </w:p>
    <w:p>
      <w:pPr>
        <w:spacing w:after="0" w:line="180" w:lineRule="exact"/>
        <w:rPr>
          <w:sz w:val="20"/>
          <w:szCs w:val="20"/>
          <w:color w:val="auto"/>
        </w:rPr>
      </w:pPr>
    </w:p>
    <w:p>
      <w:pPr>
        <w:ind w:firstLine="482"/>
        <w:spacing w:after="0" w:line="258" w:lineRule="auto"/>
        <w:rPr>
          <w:sz w:val="20"/>
          <w:szCs w:val="20"/>
          <w:color w:val="auto"/>
        </w:rPr>
      </w:pPr>
      <w:r>
        <w:rPr>
          <w:rFonts w:ascii="Times New Roman" w:cs="Times New Roman" w:eastAsia="Times New Roman" w:hAnsi="Times New Roman"/>
          <w:sz w:val="18"/>
          <w:szCs w:val="18"/>
          <w:color w:val="auto"/>
        </w:rPr>
        <w:t>The holders of Series A Preferred, voting separately as a single class, were entitled to elect two members of the Company’s board of directors. At any time when at least 12.5 million shares of Series B Preferred were outstanding, the holders of Series B Preferred were entitled to elect one member of the Company’s board of directors. The holders of shares of common stock, voting separately as a single class, were entitled to elect one member of the Company’s board of directors. All remaining members of the Company’s board of directors were elected by the holders of the common stock and Preferred Stock voting together as a single class.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ind w:right="40" w:firstLine="482"/>
        <w:spacing w:after="0" w:line="261" w:lineRule="auto"/>
        <w:rPr>
          <w:sz w:val="20"/>
          <w:szCs w:val="20"/>
          <w:color w:val="auto"/>
        </w:rPr>
      </w:pPr>
      <w:r>
        <w:rPr>
          <w:rFonts w:ascii="Times New Roman" w:cs="Times New Roman" w:eastAsia="Times New Roman" w:hAnsi="Times New Roman"/>
          <w:sz w:val="18"/>
          <w:szCs w:val="18"/>
          <w:color w:val="auto"/>
        </w:rPr>
        <w:t>Shares of the Preferred Stock were convertible at any time at the option of the holder into such number of shares as is determined by dividing the original issuance price by the conversion price in effect at the time. The conversion price was the original issuance price for each series of Preferred Stock, as adjusted for the 1-for-7.15 reverse stock split of the Common Stock. Following such adjustment, the per-share conversion price was $7.15 for Series A Preferred, $9.843405 for Series B Preferred and $13.0845 for Series C Preferred, subject to certain adjustments.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All outstanding shares of Preferred Stock converted to shares of common stock upon the completion of the Company’s IPO.</w:t>
      </w:r>
    </w:p>
    <w:p>
      <w:pPr>
        <w:spacing w:after="0" w:line="3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20" w:firstLine="482"/>
        <w:spacing w:after="0" w:line="266" w:lineRule="auto"/>
        <w:rPr>
          <w:sz w:val="20"/>
          <w:szCs w:val="20"/>
          <w:color w:val="auto"/>
        </w:rPr>
      </w:pPr>
      <w:r>
        <w:rPr>
          <w:rFonts w:ascii="Times New Roman" w:cs="Times New Roman" w:eastAsia="Times New Roman" w:hAnsi="Times New Roman"/>
          <w:sz w:val="18"/>
          <w:szCs w:val="18"/>
          <w:color w:val="auto"/>
        </w:rPr>
        <w:t>The holders of Series A Preferred were originally entitled to receive cumulative dividends from their respective dates of issuance at the rate of 8.0% on their original issue price. In July 2018, in conjunction with the execution of the Series B Purchase Agreement, the Series A Preferred accreted dividends were cancelled.</w:t>
      </w:r>
    </w:p>
    <w:p>
      <w:pPr>
        <w:spacing w:after="0" w:line="176" w:lineRule="exact"/>
        <w:rPr>
          <w:sz w:val="20"/>
          <w:szCs w:val="20"/>
          <w:color w:val="auto"/>
        </w:rPr>
      </w:pPr>
    </w:p>
    <w:p>
      <w:pPr>
        <w:ind w:right="20" w:firstLine="482"/>
        <w:spacing w:after="0" w:line="256" w:lineRule="auto"/>
        <w:rPr>
          <w:sz w:val="20"/>
          <w:szCs w:val="20"/>
          <w:color w:val="auto"/>
        </w:rPr>
      </w:pPr>
      <w:r>
        <w:rPr>
          <w:rFonts w:ascii="Times New Roman" w:cs="Times New Roman" w:eastAsia="Times New Roman" w:hAnsi="Times New Roman"/>
          <w:sz w:val="18"/>
          <w:szCs w:val="18"/>
          <w:color w:val="auto"/>
        </w:rPr>
        <w:t>Under the Series B Purchase Agreement, the holders of both shares of Series A and Series B Preferred were entitled to receive cumulative dividends commencing on July 10, 2018, the issuance date of Series B Preferred, at an annual rate of 8.0% on their original issuance price. The Series A Preferred and Series B Preferred dividends accrue from day-to-day, whether declared or not, and were payable only when and if declared by the Company’s board of directors. As such, the Company recorded accretion charges to adjust the carrying values of the Series A Preferred and Series B Preferred to their redemption values up until the date the Series C Purchase Agreement was executed. In December 2019, in conjunction with the execution of the Series C Purchase agreement, the Series A preferred and Series B preferred accreted dividends were cancelled.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0" w:name="page21"/>
    <w:bookmarkEnd w:id="20"/>
    <w:p>
      <w:pPr>
        <w:ind w:right="100" w:firstLine="482"/>
        <w:spacing w:after="0" w:line="261" w:lineRule="auto"/>
        <w:rPr>
          <w:sz w:val="20"/>
          <w:szCs w:val="20"/>
          <w:color w:val="auto"/>
        </w:rPr>
      </w:pPr>
      <w:r>
        <w:rPr>
          <w:rFonts w:ascii="Times New Roman" w:cs="Times New Roman" w:eastAsia="Times New Roman" w:hAnsi="Times New Roman"/>
          <w:sz w:val="18"/>
          <w:szCs w:val="18"/>
          <w:color w:val="auto"/>
        </w:rPr>
        <w:t>Under the Series C Purchase Agreement, the holders of Series A, Series B and Series C Preferred were entitled to receive non-cumulative dividends commencing on December 19, 2019 at an annual rate of 8.0% on their original issuance price. The Series A, Series B and Series C Preferred dividends accrue from day-to-day, whether declared or not, and were payable only when and if declared by the Company’s board of directors. Since inception, the Company has never declared or paid any dividends.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Preferences</w:t>
      </w:r>
    </w:p>
    <w:p>
      <w:pPr>
        <w:spacing w:after="0" w:line="121" w:lineRule="exact"/>
        <w:rPr>
          <w:sz w:val="20"/>
          <w:szCs w:val="20"/>
          <w:color w:val="auto"/>
        </w:rPr>
      </w:pPr>
    </w:p>
    <w:p>
      <w:pPr>
        <w:ind w:right="120" w:firstLine="482"/>
        <w:spacing w:after="0" w:line="282" w:lineRule="auto"/>
        <w:rPr>
          <w:sz w:val="20"/>
          <w:szCs w:val="20"/>
          <w:color w:val="auto"/>
        </w:rPr>
      </w:pPr>
      <w:r>
        <w:rPr>
          <w:rFonts w:ascii="Times New Roman" w:cs="Times New Roman" w:eastAsia="Times New Roman" w:hAnsi="Times New Roman"/>
          <w:sz w:val="18"/>
          <w:szCs w:val="18"/>
          <w:color w:val="auto"/>
        </w:rPr>
        <w:t>The holders of all shares of preferred stock were entitled to receive dividends prior and in preference to any declaration or payment of any dividend on the common stock.</w:t>
      </w:r>
    </w:p>
    <w:p>
      <w:pPr>
        <w:spacing w:after="0" w:line="162" w:lineRule="exact"/>
        <w:rPr>
          <w:sz w:val="20"/>
          <w:szCs w:val="20"/>
          <w:color w:val="auto"/>
        </w:rPr>
      </w:pPr>
    </w:p>
    <w:p>
      <w:pPr>
        <w:ind w:right="20" w:firstLine="482"/>
        <w:spacing w:after="0" w:line="253" w:lineRule="auto"/>
        <w:rPr>
          <w:sz w:val="20"/>
          <w:szCs w:val="20"/>
          <w:color w:val="auto"/>
        </w:rPr>
      </w:pPr>
      <w:r>
        <w:rPr>
          <w:rFonts w:ascii="Times New Roman" w:cs="Times New Roman" w:eastAsia="Times New Roman" w:hAnsi="Times New Roman"/>
          <w:sz w:val="18"/>
          <w:szCs w:val="18"/>
          <w:color w:val="auto"/>
        </w:rPr>
        <w:t>Upon liquidation, dissolution, or winding up of the Company or a deemed liquidation event as defined in the Company’s Certificate of Incorporation, the holders of shares of Series C and Series B Preferred Stock were entitled to receive, on a pari passu basis, a per share amount equal to the Series C purchase price of $1.83 (plus any declared but unpaid dividends) and equal to the original Series B purchase of $1.3767 (plus any declared but unpaid dividends), collectively (the “Series C and Series B Liquidation Preference”) or such amount per share as would have been payable had all shares of Series C and Series B been converted into common stock immediately prior to such liquidation event. The payment of Series C and Series B Liquidation Preference was to be made before any payment made to the holders of Series A Preferred Stock and Common Stock. Thereafter, the Series A Preferred holders were entitled to receive their liquidation preference before any distributions were made to common stockholders, a per share amount equal to $1.00 (plus any declared but unpaid dividends) (the “Series A Liquidation Preference”) or such amount per share as would have been payable had all shares of Series A had been converted into common stock immediately prior to such liquidation event. After payments of the full liquidation preferences of the Series C and Series B Liquidation Preference and the Series A Liquidation Preference described above, any remaining assets of the Company would have been distributed to the holders of the common stock in proportion to the number of shares of common stock that they held.</w:t>
      </w:r>
    </w:p>
    <w:p>
      <w:pPr>
        <w:spacing w:after="0" w:line="2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right="120" w:firstLine="482"/>
        <w:spacing w:after="0" w:line="258" w:lineRule="auto"/>
        <w:rPr>
          <w:sz w:val="20"/>
          <w:szCs w:val="20"/>
          <w:color w:val="auto"/>
        </w:rPr>
      </w:pPr>
      <w:r>
        <w:rPr>
          <w:rFonts w:ascii="Times New Roman" w:cs="Times New Roman" w:eastAsia="Times New Roman" w:hAnsi="Times New Roman"/>
          <w:sz w:val="18"/>
          <w:szCs w:val="18"/>
          <w:color w:val="auto"/>
        </w:rPr>
        <w:t>The Series A Preferred were redeemable at any time on or after five years from August 19, 2015, the original issuance date of the 6.5 million shares of Series A Preferred, upon receipt of a written notice from the holders of a majority of the shares of Series A Preferred. The initial redemption price was the greater of (i) the Series A Preferred original issuance price per share, plus any accrued and unpaid dividends, whether or not declared by the board of directors, and (ii) the fair market value of Series A Preferred as mutually agreed upon by the Company and the holders of a majority of the shares of Series A Preferred then outstanding.</w:t>
      </w:r>
    </w:p>
    <w:p>
      <w:pPr>
        <w:spacing w:after="0" w:line="183" w:lineRule="exact"/>
        <w:rPr>
          <w:sz w:val="20"/>
          <w:szCs w:val="20"/>
          <w:color w:val="auto"/>
        </w:rPr>
      </w:pPr>
    </w:p>
    <w:p>
      <w:pPr>
        <w:ind w:right="400" w:firstLine="482"/>
        <w:spacing w:after="0" w:line="282" w:lineRule="auto"/>
        <w:rPr>
          <w:sz w:val="20"/>
          <w:szCs w:val="20"/>
          <w:color w:val="auto"/>
        </w:rPr>
      </w:pPr>
      <w:r>
        <w:rPr>
          <w:rFonts w:ascii="Times New Roman" w:cs="Times New Roman" w:eastAsia="Times New Roman" w:hAnsi="Times New Roman"/>
          <w:sz w:val="18"/>
          <w:szCs w:val="18"/>
          <w:color w:val="auto"/>
        </w:rPr>
        <w:t>In July 2018, in conjunction with the execution of the Series B Preferred Purchase Agreement, the Series A Preferred redemption provision was amended as follows:</w:t>
      </w:r>
    </w:p>
    <w:p>
      <w:pPr>
        <w:spacing w:after="0" w:line="162" w:lineRule="exact"/>
        <w:rPr>
          <w:sz w:val="20"/>
          <w:szCs w:val="20"/>
          <w:color w:val="auto"/>
        </w:rPr>
      </w:pPr>
    </w:p>
    <w:p>
      <w:pPr>
        <w:ind w:firstLine="482"/>
        <w:spacing w:after="0" w:line="261" w:lineRule="auto"/>
        <w:rPr>
          <w:sz w:val="20"/>
          <w:szCs w:val="20"/>
          <w:color w:val="auto"/>
        </w:rPr>
      </w:pPr>
      <w:r>
        <w:rPr>
          <w:rFonts w:ascii="Times New Roman" w:cs="Times New Roman" w:eastAsia="Times New Roman" w:hAnsi="Times New Roman"/>
          <w:sz w:val="18"/>
          <w:szCs w:val="18"/>
          <w:color w:val="auto"/>
        </w:rPr>
        <w:t>All outstanding shares of Preferred Stock shall be redeemed by the Company at a price equal to the original issuance price per share, plus any accrued and unpaid dividends, whether or not declared, together with any other dividends declared but unpaid in three annual installments commencing not more than sixty (60) days after receipt by the Company at any time on or after five years from the Series B Preferred original issuance date, July 10, 2018, a written notice from the holders of a majority of the shares of Preferred Stock.</w:t>
      </w:r>
    </w:p>
    <w:p>
      <w:pPr>
        <w:spacing w:after="0" w:line="180" w:lineRule="exact"/>
        <w:rPr>
          <w:sz w:val="20"/>
          <w:szCs w:val="20"/>
          <w:color w:val="auto"/>
        </w:rPr>
      </w:pPr>
    </w:p>
    <w:p>
      <w:pPr>
        <w:ind w:right="460" w:firstLine="482"/>
        <w:spacing w:after="0" w:line="282" w:lineRule="auto"/>
        <w:rPr>
          <w:sz w:val="20"/>
          <w:szCs w:val="20"/>
          <w:color w:val="auto"/>
        </w:rPr>
      </w:pPr>
      <w:r>
        <w:rPr>
          <w:rFonts w:ascii="Times New Roman" w:cs="Times New Roman" w:eastAsia="Times New Roman" w:hAnsi="Times New Roman"/>
          <w:sz w:val="18"/>
          <w:szCs w:val="18"/>
          <w:color w:val="auto"/>
        </w:rPr>
        <w:t>The Company accounted for the changes in Series A Preferred redemption provision as a modification as there was no significant difference in Series A Preferred fair value before and after the modification.</w:t>
      </w:r>
    </w:p>
    <w:p>
      <w:pPr>
        <w:spacing w:after="0" w:line="162" w:lineRule="exact"/>
        <w:rPr>
          <w:sz w:val="20"/>
          <w:szCs w:val="20"/>
          <w:color w:val="auto"/>
        </w:rPr>
      </w:pPr>
    </w:p>
    <w:p>
      <w:pPr>
        <w:ind w:right="200" w:firstLine="482"/>
        <w:spacing w:after="0" w:line="282" w:lineRule="auto"/>
        <w:rPr>
          <w:sz w:val="20"/>
          <w:szCs w:val="20"/>
          <w:color w:val="auto"/>
        </w:rPr>
      </w:pPr>
      <w:r>
        <w:rPr>
          <w:rFonts w:ascii="Times New Roman" w:cs="Times New Roman" w:eastAsia="Times New Roman" w:hAnsi="Times New Roman"/>
          <w:sz w:val="18"/>
          <w:szCs w:val="18"/>
          <w:color w:val="auto"/>
        </w:rPr>
        <w:t>In December 2019, in conjunction with the execution of the Series C Preferred Purchase Agreement, the Series A Preferred and Series B Preferred redemption provisions were modified as follows:</w:t>
      </w:r>
    </w:p>
    <w:p>
      <w:pPr>
        <w:spacing w:after="0" w:line="162" w:lineRule="exact"/>
        <w:rPr>
          <w:sz w:val="20"/>
          <w:szCs w:val="20"/>
          <w:color w:val="auto"/>
        </w:rPr>
      </w:pPr>
    </w:p>
    <w:p>
      <w:pPr>
        <w:ind w:right="80" w:firstLine="482"/>
        <w:spacing w:after="0" w:line="261" w:lineRule="auto"/>
        <w:rPr>
          <w:sz w:val="20"/>
          <w:szCs w:val="20"/>
          <w:color w:val="auto"/>
        </w:rPr>
      </w:pPr>
      <w:r>
        <w:rPr>
          <w:rFonts w:ascii="Times New Roman" w:cs="Times New Roman" w:eastAsia="Times New Roman" w:hAnsi="Times New Roman"/>
          <w:sz w:val="18"/>
          <w:szCs w:val="18"/>
          <w:color w:val="auto"/>
        </w:rPr>
        <w:t>All outstanding shares of Preferred Stock shall be redeemed by the Company at a price equal to the original issuance price per share, plus any dividends declared but unpaid, in three annual installments commencing not more than sixty (60) days after receipt by the Company at any time on or after five years from the Series C Preferred original issuance date, December 19, 2019, a written notice from the holders of a majority of the shares of Preferred Stock.</w:t>
      </w:r>
    </w:p>
    <w:p>
      <w:pPr>
        <w:spacing w:after="0" w:line="180" w:lineRule="exact"/>
        <w:rPr>
          <w:sz w:val="20"/>
          <w:szCs w:val="20"/>
          <w:color w:val="auto"/>
        </w:rPr>
      </w:pPr>
    </w:p>
    <w:p>
      <w:pPr>
        <w:ind w:right="180" w:firstLine="482"/>
        <w:spacing w:after="0" w:line="282" w:lineRule="auto"/>
        <w:rPr>
          <w:sz w:val="20"/>
          <w:szCs w:val="20"/>
          <w:color w:val="auto"/>
        </w:rPr>
      </w:pPr>
      <w:r>
        <w:rPr>
          <w:rFonts w:ascii="Times New Roman" w:cs="Times New Roman" w:eastAsia="Times New Roman" w:hAnsi="Times New Roman"/>
          <w:sz w:val="18"/>
          <w:szCs w:val="18"/>
          <w:color w:val="auto"/>
        </w:rPr>
        <w:t>The Company accounted for the changes in Series A Preferred redemption and Series B Preferred redemption provisions as a modification as there was no significant difference in Series A Preferred and Series B Preferred fair values before and after the modification.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jc w:val="both"/>
        <w:ind w:right="20" w:firstLine="482"/>
        <w:spacing w:after="0" w:line="266" w:lineRule="auto"/>
        <w:rPr>
          <w:sz w:val="20"/>
          <w:szCs w:val="20"/>
          <w:color w:val="auto"/>
        </w:rPr>
      </w:pPr>
      <w:r>
        <w:rPr>
          <w:rFonts w:ascii="Times New Roman" w:cs="Times New Roman" w:eastAsia="Times New Roman" w:hAnsi="Times New Roman"/>
          <w:sz w:val="18"/>
          <w:szCs w:val="18"/>
          <w:color w:val="auto"/>
        </w:rPr>
        <w:t>The voting, dividend, and liquidation rights of the holders of the common stock are subject to and qualified by the rights, powers, and preferences of the holders of the Preferred Stock. As of September 30, 2020 and December 31, 2019, the Company had 300,000,000 and 181,000,000 authorized shares of common stock, respectively, at a par value of $0.0001 per share. The common stock has the following rights and privileges: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1" w:name="page22"/>
    <w:bookmarkEnd w:id="21"/>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ind w:right="120" w:firstLine="482"/>
        <w:spacing w:after="0" w:line="282"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for each share of common stock held at any meeting of stockholders and at the time of any written action in lieu of a meeting.</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60" w:firstLine="482"/>
        <w:spacing w:after="0" w:line="266" w:lineRule="auto"/>
        <w:rPr>
          <w:sz w:val="20"/>
          <w:szCs w:val="20"/>
          <w:color w:val="auto"/>
        </w:rPr>
      </w:pPr>
      <w:r>
        <w:rPr>
          <w:rFonts w:ascii="Times New Roman" w:cs="Times New Roman" w:eastAsia="Times New Roman" w:hAnsi="Times New Roman"/>
          <w:sz w:val="18"/>
          <w:szCs w:val="18"/>
          <w:color w:val="auto"/>
        </w:rPr>
        <w:t>The holders of shares of common stock are entitled to receive dividends, when declared by the Company’s board of directors. Cash dividends may not be declared or paid to holders of shares of common stock until all unpaid dividends on the Preferred Stock have been paid in accordance with their terms. No dividends have been declared or paid by the Company since its inception.</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121" w:lineRule="exact"/>
        <w:rPr>
          <w:sz w:val="20"/>
          <w:szCs w:val="20"/>
          <w:color w:val="auto"/>
        </w:rPr>
      </w:pPr>
    </w:p>
    <w:p>
      <w:pPr>
        <w:jc w:val="both"/>
        <w:ind w:right="520" w:firstLine="482"/>
        <w:spacing w:after="0" w:line="266" w:lineRule="auto"/>
        <w:rPr>
          <w:sz w:val="20"/>
          <w:szCs w:val="20"/>
          <w:color w:val="auto"/>
        </w:rPr>
      </w:pPr>
      <w:r>
        <w:rPr>
          <w:rFonts w:ascii="Times New Roman" w:cs="Times New Roman" w:eastAsia="Times New Roman" w:hAnsi="Times New Roman"/>
          <w:sz w:val="18"/>
          <w:szCs w:val="18"/>
          <w:color w:val="auto"/>
        </w:rPr>
        <w:t>After payment of the respective liquidation preferences to the holders of shares of Preferred Stock, the holders of shares of common stock are entitled to share ratably in the Company’s remaining assets available for distribution to its stockholders in the event of any voluntary or involuntary liquidation, dissolution or winding up of the Company or upon occurrence of a deemed liquidation event.</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22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49"/>
        </w:trPr>
        <w:tc>
          <w:tcPr>
            <w:tcW w:w="514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40" w:type="dxa"/>
            <w:vAlign w:val="bottom"/>
            <w:tcBorders>
              <w:bottom w:val="single" w:sz="8" w:color="CFF0FC"/>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FF0FC"/>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5"/>
                <w:szCs w:val="15"/>
                <w:color w:val="auto"/>
              </w:rPr>
            </w:pPr>
          </w:p>
        </w:tc>
      </w:tr>
      <w:tr>
        <w:trPr>
          <w:trHeight w:val="22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of redeemable convertible preferred stock</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18,442,233</w:t>
            </w:r>
          </w:p>
        </w:tc>
        <w:tc>
          <w:tcPr>
            <w:tcW w:w="80" w:type="dxa"/>
            <w:vAlign w:val="bottom"/>
            <w:shd w:val="clear" w:color="auto" w:fill="CFF0FC"/>
          </w:tcPr>
          <w:p>
            <w:pPr>
              <w:spacing w:after="0"/>
              <w:rPr>
                <w:sz w:val="19"/>
                <w:szCs w:val="19"/>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Exercises of outstanding stock option awards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2,808,477</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1,337,501</w:t>
            </w:r>
          </w:p>
        </w:tc>
        <w:tc>
          <w:tcPr>
            <w:tcW w:w="80" w:type="dxa"/>
            <w:vAlign w:val="bottom"/>
          </w:tcPr>
          <w:p>
            <w:pPr>
              <w:spacing w:after="0"/>
              <w:rPr>
                <w:sz w:val="19"/>
                <w:szCs w:val="19"/>
                <w:color w:val="auto"/>
              </w:rPr>
            </w:pPr>
          </w:p>
        </w:tc>
      </w:tr>
      <w:tr>
        <w:trPr>
          <w:trHeight w:val="211"/>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available for future grants</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under the 2015 Equity Incentive Plan, as amended</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567,110</w:t>
            </w:r>
          </w:p>
        </w:tc>
        <w:tc>
          <w:tcPr>
            <w:tcW w:w="80" w:type="dxa"/>
            <w:vAlign w:val="bottom"/>
            <w:shd w:val="clear" w:color="auto" w:fill="CFF0FC"/>
          </w:tcPr>
          <w:p>
            <w:pPr>
              <w:spacing w:after="0"/>
              <w:rPr>
                <w:sz w:val="20"/>
                <w:szCs w:val="20"/>
                <w:color w:val="auto"/>
              </w:rPr>
            </w:pPr>
          </w:p>
        </w:tc>
      </w:tr>
      <w:tr>
        <w:trPr>
          <w:trHeight w:val="21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available for future grants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under the 2020 Equity Incentive Plan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3,907,999</w:t>
            </w:r>
          </w:p>
        </w:tc>
        <w:tc>
          <w:tcPr>
            <w:tcW w:w="18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of common stock available for future issuance</w:t>
            </w: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under the 2020 ESPP</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700,000</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reserved for future issuance</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7,416,476</w:t>
            </w:r>
          </w:p>
        </w:tc>
        <w:tc>
          <w:tcPr>
            <w:tcW w:w="1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20,346,844</w:t>
            </w:r>
          </w:p>
        </w:tc>
        <w:tc>
          <w:tcPr>
            <w:tcW w:w="8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Founders’ Common Stock Awards</w:t>
      </w:r>
    </w:p>
    <w:p>
      <w:pPr>
        <w:spacing w:after="0" w:line="121" w:lineRule="exact"/>
        <w:rPr>
          <w:sz w:val="20"/>
          <w:szCs w:val="20"/>
          <w:color w:val="auto"/>
        </w:rPr>
      </w:pPr>
    </w:p>
    <w:p>
      <w:pPr>
        <w:ind w:firstLine="482"/>
        <w:spacing w:after="0" w:line="261" w:lineRule="auto"/>
        <w:rPr>
          <w:sz w:val="20"/>
          <w:szCs w:val="20"/>
          <w:color w:val="auto"/>
        </w:rPr>
      </w:pPr>
      <w:r>
        <w:rPr>
          <w:rFonts w:ascii="Times New Roman" w:cs="Times New Roman" w:eastAsia="Times New Roman" w:hAnsi="Times New Roman"/>
          <w:sz w:val="18"/>
          <w:szCs w:val="18"/>
          <w:color w:val="auto"/>
        </w:rPr>
        <w:t>During 2015, the Company’s board of directors granted common stock awards to the Company’s founders in exchange for services provided to the Company. The purchase price of the common stock awards was the estimated fair value at the issuance date. The shares vest from one to four years and vesting could be accelerated upon a change in control. The vesting of certain performance-based grants of restricted stock awards were contingent upon the filing of an Investigational New Drug Application by the Company with the FDA.</w:t>
      </w:r>
    </w:p>
    <w:p>
      <w:pPr>
        <w:spacing w:after="0" w:line="180" w:lineRule="exact"/>
        <w:rPr>
          <w:sz w:val="20"/>
          <w:szCs w:val="20"/>
          <w:color w:val="auto"/>
        </w:rPr>
      </w:pPr>
    </w:p>
    <w:p>
      <w:pPr>
        <w:ind w:right="180" w:firstLine="482"/>
        <w:spacing w:after="0" w:line="256" w:lineRule="auto"/>
        <w:rPr>
          <w:sz w:val="20"/>
          <w:szCs w:val="20"/>
          <w:color w:val="auto"/>
        </w:rPr>
      </w:pPr>
      <w:r>
        <w:rPr>
          <w:rFonts w:ascii="Times New Roman" w:cs="Times New Roman" w:eastAsia="Times New Roman" w:hAnsi="Times New Roman"/>
          <w:sz w:val="18"/>
          <w:szCs w:val="18"/>
          <w:color w:val="auto"/>
        </w:rPr>
        <w:t>If the holder of founders’ common stock award terminates their relationship with the Company during the vesting period, the Company may repurchase any unvested restricted common stock held by these individuals at their original purchase price. During the vesting term, holders of founders’ common stock awards are deemed to be common stockholders and have dividend and voting rights. The Company issued 745,244 shares of founders’ common stock during 2015. No founders’ common stock awards were granted in subsequent years. Total compensation expense was $25,000 for these founders’ common stock awards, which are recorded to operating expenses in the statements of operations over their respective vesting period. As of September 30, 2020 and December 31, 2019, all shares of founders’ common stock awards were fully vested.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 and Stock-Based Compensation</w:t>
      </w:r>
    </w:p>
    <w:p>
      <w:pPr>
        <w:spacing w:after="0" w:line="135" w:lineRule="exact"/>
        <w:rPr>
          <w:sz w:val="20"/>
          <w:szCs w:val="20"/>
          <w:color w:val="auto"/>
        </w:rPr>
      </w:pPr>
    </w:p>
    <w:p>
      <w:pPr>
        <w:ind w:right="20" w:firstLine="482"/>
        <w:spacing w:after="0" w:line="253" w:lineRule="auto"/>
        <w:rPr>
          <w:sz w:val="20"/>
          <w:szCs w:val="20"/>
          <w:color w:val="auto"/>
        </w:rPr>
      </w:pPr>
      <w:r>
        <w:rPr>
          <w:rFonts w:ascii="Times New Roman" w:cs="Times New Roman" w:eastAsia="Times New Roman" w:hAnsi="Times New Roman"/>
          <w:sz w:val="18"/>
          <w:szCs w:val="18"/>
          <w:color w:val="auto"/>
        </w:rPr>
        <w:t>In May 2020, the board of directors adopted the 2020 Stock Options and Incentive Plan, (the “2020 Plan”), which provides for the grant of incentive stock options, nonqualified stock options or other awards including stock appreciation rights, restricted stock awards and restricted stock units to the Company’s employees, officers, directors, advisors, and consultants for the purchase of up to 4.2 million shares of the Company’s common stock. In addition, to the extent that awards outstanding under the 2020 Plan or the 2015 Plan are cancelled, forfeited or held back upon exercise or settlement of an award to satisfy the exercise price or tax withholding, reacquired by the registrant prior to vesting, satisfied without any issuance of stock, expire or are otherwise terminated (other than by exercise) subsequent to May 2020, the shares of common stock reserved for issuance pursuant to such awards will become available for issuance as shares of common stock under the 2020 Plan. The 2020 Plan provides that an additional number of shares will automatically be added to the shares authorized for issuance under the 2020 Plan on January 1 of each year beginning January 1, 2021. The number of shares added each January 1 will be equal to the lesser of: (i) 5% of the outstanding shares on the immediately preceding December 31 or (ii) such amount as determined by the administrator of the 2020 Plan, which is the compensation committee of the board of directors. As of September 30, 2020, 3.9 million shares remained available for issuance under the 2020 Plan.</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2" w:name="page23"/>
    <w:bookmarkEnd w:id="22"/>
    <w:p>
      <w:pPr>
        <w:jc w:val="both"/>
        <w:ind w:right="420" w:firstLine="482"/>
        <w:spacing w:after="0" w:line="261" w:lineRule="auto"/>
        <w:rPr>
          <w:sz w:val="20"/>
          <w:szCs w:val="20"/>
          <w:color w:val="auto"/>
        </w:rPr>
      </w:pPr>
      <w:r>
        <w:rPr>
          <w:rFonts w:ascii="Times New Roman" w:cs="Times New Roman" w:eastAsia="Times New Roman" w:hAnsi="Times New Roman"/>
          <w:sz w:val="18"/>
          <w:szCs w:val="18"/>
          <w:color w:val="auto"/>
        </w:rPr>
        <w:t>Options under the 2020 Plan may be granted for periods of up to 10 years and at prices no less than the market price of the Company’s common stock on the date of grant, provided, however, that the exercise price of an incentive stock option granted to a 10.0% shareholder shall not be less than 110.0% of the estimated fair value of the shares on the date of grant and the option is not exercisable after the expiration of five years from the date of grant.</w:t>
      </w:r>
    </w:p>
    <w:p>
      <w:pPr>
        <w:spacing w:after="0" w:line="180"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In August 2015, the board of directors adopted the 2015 Equity Incentive Plan, as amended (the “2015 Plan”), which provides for the grant of incentive stock options, nonqualified stock options or other awards including stock appreciation rights and restricted stock awards to the Company’s employees, officers, directors, advisors, and consultants for the purchase of up to 1.5 million shares of the Company’s common stock. In July 2018, the 2015 Plan was amended to increase the number of shares reserved thereunder by 1.0 million shares. In January 2019, the Company’s board of directors and stockholders voted to increase the number of shares reserved for issuance under the 2015 Equity Incentive Plan by 0.4 million shares. In March 2020, the Company’s board of directors and stockholders voted to increase the number of shares reserved for issuance under the 2015 Plan by 1.4 million shares. In May 2020, the board of directors voted to adopt the 2020 Plan and not to issue any further grants under the 2015 Plan. As of September 30, 2020, 2.5 million shares remained available for issuance upon the exercise of previously granted stock options under the 2015 Plan.</w:t>
      </w:r>
    </w:p>
    <w:p>
      <w:pPr>
        <w:spacing w:after="0" w:line="192" w:lineRule="exact"/>
        <w:rPr>
          <w:sz w:val="20"/>
          <w:szCs w:val="20"/>
          <w:color w:val="auto"/>
        </w:rPr>
      </w:pPr>
    </w:p>
    <w:p>
      <w:pPr>
        <w:jc w:val="both"/>
        <w:ind w:right="100" w:firstLine="482"/>
        <w:spacing w:after="0" w:line="261" w:lineRule="auto"/>
        <w:rPr>
          <w:sz w:val="20"/>
          <w:szCs w:val="20"/>
          <w:color w:val="auto"/>
        </w:rPr>
      </w:pPr>
      <w:r>
        <w:rPr>
          <w:rFonts w:ascii="Times New Roman" w:cs="Times New Roman" w:eastAsia="Times New Roman" w:hAnsi="Times New Roman"/>
          <w:sz w:val="18"/>
          <w:szCs w:val="18"/>
          <w:color w:val="auto"/>
        </w:rPr>
        <w:t>Prior to the adoption of the 2020 Plan, options under the 2015 Plan could be granted for periods of up to 10 years and at prices no less than 100% of the estimated fair value of the shares on the date of grant as determined by the board of directors, provided, however, that the exercise price of an incentive stock option granted to a 10.0% shareholder could not be less than 110.0% of the estimated fair value of the shares on the date of grant and the option was not exercisable after the expiration of five years from the date of grant.</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 Awards</w:t>
      </w:r>
    </w:p>
    <w:p>
      <w:pPr>
        <w:spacing w:after="0" w:line="121" w:lineRule="exact"/>
        <w:rPr>
          <w:sz w:val="20"/>
          <w:szCs w:val="20"/>
          <w:color w:val="auto"/>
        </w:rPr>
      </w:pPr>
    </w:p>
    <w:p>
      <w:pPr>
        <w:ind w:right="60" w:firstLine="482"/>
        <w:spacing w:after="0" w:line="256" w:lineRule="auto"/>
        <w:rPr>
          <w:sz w:val="20"/>
          <w:szCs w:val="20"/>
          <w:color w:val="auto"/>
        </w:rPr>
      </w:pPr>
      <w:r>
        <w:rPr>
          <w:rFonts w:ascii="Times New Roman" w:cs="Times New Roman" w:eastAsia="Times New Roman" w:hAnsi="Times New Roman"/>
          <w:sz w:val="18"/>
          <w:szCs w:val="18"/>
          <w:color w:val="auto"/>
        </w:rPr>
        <w:t>The Company granted restricted stock awards under the 2015 Plan. The purchase price of the restricted common stock awards was the estimated fair value as determined by the board of directors at the issuance date. The shares vest from one to four years and vesting could be accelerated upon a change in control. A holder of an award may pay a total purchase price or a part of the purchase price for granted shares at any time during the vesting periods. Upon termination of employment, the Company has the right to repurchase any unvested restricted shares. The repurchase price for unvested shares of common stock will be the lower of (i) the fair market value on the date of repurchase or (ii) their original purchase price. During the vesting term, holders of restricted stock awards are deemed to be a common stock shareholder and have dividends and voting rights.</w:t>
      </w:r>
    </w:p>
    <w:p>
      <w:pPr>
        <w:spacing w:after="0" w:line="187" w:lineRule="exact"/>
        <w:rPr>
          <w:sz w:val="20"/>
          <w:szCs w:val="20"/>
          <w:color w:val="auto"/>
        </w:rPr>
      </w:pPr>
    </w:p>
    <w:p>
      <w:pPr>
        <w:ind w:right="160" w:firstLine="482"/>
        <w:spacing w:after="0" w:line="261" w:lineRule="auto"/>
        <w:rPr>
          <w:sz w:val="20"/>
          <w:szCs w:val="20"/>
          <w:color w:val="auto"/>
        </w:rPr>
      </w:pPr>
      <w:r>
        <w:rPr>
          <w:rFonts w:ascii="Times New Roman" w:cs="Times New Roman" w:eastAsia="Times New Roman" w:hAnsi="Times New Roman"/>
          <w:sz w:val="18"/>
          <w:szCs w:val="18"/>
          <w:color w:val="auto"/>
        </w:rPr>
        <w:t>The Company accounted for restricted stock awards as early exercised options and recognized a liability in other liabilities when cash was received for the purchase of shares of restricted stock. As shares of restricted stock vested, the Company reclassified the liability to common stock and additional paid in capital. As of September 30, 2020 and December 31, 2019, the Company recorded a liability included in accrued expenses and other liabilities of $13,000 and $22,000, respectively.</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have been no grants of restricted stock awards granted for the nine months ended September 30, 2020 and 2019.</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nine months ended September 30, 2020:</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unvested, as of December 31, 2019</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302,211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(130,257)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Repurchases</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(12,121)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unvested, as of September 30, 2020</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159,833</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restricted stock activity during the nine months ended September 30,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8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and unvested, as of December 31, 2018</w:t>
            </w:r>
          </w:p>
        </w:tc>
        <w:tc>
          <w:tcPr>
            <w:tcW w:w="12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703,188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w:t>
            </w:r>
          </w:p>
        </w:tc>
        <w:tc>
          <w:tcPr>
            <w:tcW w:w="128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26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(335,610)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8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Repurchases</w:t>
            </w:r>
          </w:p>
        </w:tc>
        <w:tc>
          <w:tcPr>
            <w:tcW w:w="26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(7,051)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Outstanding and unvested, as of September 30, 2019</w:t>
            </w:r>
          </w:p>
        </w:tc>
        <w:tc>
          <w:tcPr>
            <w:tcW w:w="12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360,890</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17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2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99"/>
              </w:rPr>
              <w:t>23</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3" w:name="page24"/>
    <w:bookmarkEnd w:id="23"/>
    <w:p>
      <w:pPr>
        <w:ind w:right="20" w:firstLine="482"/>
        <w:spacing w:after="0" w:line="282" w:lineRule="auto"/>
        <w:rPr>
          <w:sz w:val="20"/>
          <w:szCs w:val="20"/>
          <w:color w:val="auto"/>
        </w:rPr>
      </w:pPr>
      <w:r>
        <w:rPr>
          <w:rFonts w:ascii="Times New Roman" w:cs="Times New Roman" w:eastAsia="Times New Roman" w:hAnsi="Times New Roman"/>
          <w:sz w:val="18"/>
          <w:szCs w:val="18"/>
          <w:color w:val="auto"/>
        </w:rPr>
        <w:t>Restricted stock awards of 4,195 shares with a weighted-average grant date fair value of $0.08 per share, were not purchased by the award holders as of September 30, 2020. As these shares of the restricted common stock awards were not issued, they are not included in the table above.</w:t>
      </w:r>
    </w:p>
    <w:p>
      <w:pPr>
        <w:spacing w:after="0" w:line="162" w:lineRule="exact"/>
        <w:rPr>
          <w:sz w:val="20"/>
          <w:szCs w:val="20"/>
          <w:color w:val="auto"/>
        </w:rPr>
      </w:pPr>
    </w:p>
    <w:p>
      <w:pPr>
        <w:jc w:val="both"/>
        <w:ind w:right="100" w:firstLine="482"/>
        <w:spacing w:after="0" w:line="266" w:lineRule="auto"/>
        <w:rPr>
          <w:sz w:val="20"/>
          <w:szCs w:val="20"/>
          <w:color w:val="auto"/>
        </w:rPr>
      </w:pPr>
      <w:r>
        <w:rPr>
          <w:rFonts w:ascii="Times New Roman" w:cs="Times New Roman" w:eastAsia="Times New Roman" w:hAnsi="Times New Roman"/>
          <w:sz w:val="18"/>
          <w:szCs w:val="18"/>
          <w:color w:val="auto"/>
        </w:rPr>
        <w:t>The aggregate fair value of restricted stock awards vested during the nine months ended September 30, 2020 and 2019 was $161,000 and $336,000, respectively. Total intrinsic value of outstanding unvested restricted stock awards as of September 30, 2020 and December 31, 2019 was $3.6 million and $3.3 million, respectively.</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 and Nonqualified Stock Options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Stock options issued under either the 2015 Plan or the 2020 Plan generally vest over a four-year period and expire ten years from the date of grant.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options provide for accelerated vesting if there is a change in control, as defined in the respective plans.</w:t>
      </w:r>
    </w:p>
    <w:p>
      <w:pPr>
        <w:spacing w:after="0" w:line="207" w:lineRule="exact"/>
        <w:rPr>
          <w:sz w:val="20"/>
          <w:szCs w:val="20"/>
          <w:color w:val="auto"/>
        </w:rPr>
      </w:pPr>
    </w:p>
    <w:p>
      <w:pPr>
        <w:ind w:right="200" w:firstLine="482"/>
        <w:spacing w:after="0" w:line="282" w:lineRule="auto"/>
        <w:rPr>
          <w:sz w:val="20"/>
          <w:szCs w:val="20"/>
          <w:color w:val="auto"/>
        </w:rPr>
      </w:pPr>
      <w:r>
        <w:rPr>
          <w:rFonts w:ascii="Times New Roman" w:cs="Times New Roman" w:eastAsia="Times New Roman" w:hAnsi="Times New Roman"/>
          <w:sz w:val="18"/>
          <w:szCs w:val="18"/>
          <w:color w:val="auto"/>
        </w:rPr>
        <w:t>The Company used Black-Scholes option pricing model to estimate stock-based compensation expense for stock option awards with the following assumptions: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35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6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420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gridSpan w:val="2"/>
          </w:tcPr>
          <w:p>
            <w:pPr>
              <w:jc w:val="right"/>
              <w:ind w:right="57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top w:val="single" w:sz="8" w:color="auto"/>
              <w:bottom w:val="single" w:sz="8" w:color="CFF0FC"/>
            </w:tcBorders>
          </w:tcPr>
          <w:p>
            <w:pPr>
              <w:spacing w:after="0"/>
              <w:rPr>
                <w:sz w:val="13"/>
                <w:szCs w:val="13"/>
                <w:color w:val="auto"/>
              </w:rPr>
            </w:pPr>
          </w:p>
        </w:tc>
        <w:tc>
          <w:tcPr>
            <w:tcW w:w="14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gridSpan w:val="2"/>
          </w:tcPr>
          <w:p>
            <w:pPr>
              <w:jc w:val="right"/>
              <w:ind w:right="55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520" w:type="dxa"/>
            <w:vAlign w:val="bottom"/>
            <w:tcBorders>
              <w:top w:val="single" w:sz="8" w:color="auto"/>
              <w:bottom w:val="single" w:sz="8" w:color="auto"/>
            </w:tcBorders>
            <w:gridSpan w:val="2"/>
          </w:tcPr>
          <w:p>
            <w:pPr>
              <w:jc w:val="right"/>
              <w:ind w:right="53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- 74.79%</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81.10%</w:t>
            </w:r>
          </w:p>
        </w:tc>
        <w:tc>
          <w:tcPr>
            <w:tcW w:w="2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72.10%</w:t>
            </w:r>
          </w:p>
        </w:tc>
        <w:tc>
          <w:tcPr>
            <w:tcW w:w="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- 77.50%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- 82.55%</w:t>
            </w:r>
          </w:p>
        </w:tc>
        <w:tc>
          <w:tcPr>
            <w:tcW w:w="10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- 0.38%</w:t>
            </w:r>
          </w:p>
        </w:tc>
        <w:tc>
          <w:tcPr>
            <w:tcW w:w="2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- 0.82%</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- 2.59%</w:t>
            </w:r>
          </w:p>
        </w:tc>
        <w:tc>
          <w:tcPr>
            <w:tcW w:w="10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w:t>
            </w:r>
          </w:p>
        </w:tc>
        <w:tc>
          <w:tcPr>
            <w:tcW w:w="7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- 6.08</w:t>
            </w:r>
          </w:p>
        </w:tc>
        <w:tc>
          <w:tcPr>
            <w:tcW w:w="26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5.83 - 6.06</w:t>
            </w: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- 6.75</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- 6.08</w:t>
            </w:r>
          </w:p>
        </w:tc>
        <w:tc>
          <w:tcPr>
            <w:tcW w:w="10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Underlying common stock fair value</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- 24.64</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rPr>
              <w:t>7.08</w:t>
            </w:r>
          </w:p>
        </w:tc>
        <w:tc>
          <w:tcPr>
            <w:tcW w:w="2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6.22 - 24.64</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- 7.08</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granted 292,001 stock options under the 2020 Plan during the three months ended September 30, 2020.</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 summary of option activity under the 2015 Plan and the 2020 Plan is as follows:</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1,337,501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1,567,198</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(82,454)</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(13,768)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2020</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2,808,477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2020</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629,988</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vMerge w:val="continue"/>
          </w:tcPr>
          <w:p>
            <w:pPr>
              <w:spacing w:after="0"/>
              <w:rPr>
                <w:sz w:val="21"/>
                <w:szCs w:val="21"/>
                <w:color w:val="auto"/>
              </w:rPr>
            </w:pPr>
          </w:p>
        </w:tc>
        <w:tc>
          <w:tcPr>
            <w:tcW w:w="9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as of September 30,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2,808,477</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45,033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1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3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2018</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113,174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1,220,104</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(28,714)</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30, 2019</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1,300,106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3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September 30, 2019</w:t>
            </w: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FF0FC"/>
            </w:tcBorders>
            <w:vMerge w:val="continue"/>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118,835</w:t>
            </w:r>
          </w:p>
        </w:tc>
        <w:tc>
          <w:tcPr>
            <w:tcW w:w="20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vMerge w:val="continue"/>
          </w:tcPr>
          <w:p>
            <w:pPr>
              <w:spacing w:after="0"/>
              <w:rPr>
                <w:sz w:val="21"/>
                <w:szCs w:val="21"/>
                <w:color w:val="auto"/>
              </w:rPr>
            </w:pPr>
          </w:p>
        </w:tc>
        <w:tc>
          <w:tcPr>
            <w:tcW w:w="9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vMerge w:val="continue"/>
          </w:tcPr>
          <w:p>
            <w:pPr>
              <w:spacing w:after="0"/>
              <w:rPr>
                <w:sz w:val="21"/>
                <w:szCs w:val="21"/>
                <w:color w:val="auto"/>
              </w:rPr>
            </w:pPr>
          </w:p>
        </w:tc>
        <w:tc>
          <w:tcPr>
            <w:tcW w:w="360" w:type="dxa"/>
            <w:vAlign w:val="bottom"/>
            <w:tcBorders>
              <w:bottom w:val="single" w:sz="8" w:color="CFF0FC"/>
            </w:tcBorders>
            <w:gridSpan w:val="2"/>
            <w:vMerge w:val="continue"/>
          </w:tcPr>
          <w:p>
            <w:pPr>
              <w:spacing w:after="0"/>
              <w:rPr>
                <w:sz w:val="21"/>
                <w:szCs w:val="21"/>
                <w:color w:val="auto"/>
              </w:rPr>
            </w:pPr>
          </w:p>
        </w:tc>
        <w:tc>
          <w:tcPr>
            <w:tcW w:w="88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 and expected to vest as of September 30, 2019</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1,300,106</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3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0" w:firstLine="482"/>
        <w:spacing w:after="0" w:line="266" w:lineRule="auto"/>
        <w:rPr>
          <w:sz w:val="20"/>
          <w:szCs w:val="20"/>
          <w:color w:val="auto"/>
        </w:rPr>
      </w:pPr>
      <w:r>
        <w:rPr>
          <w:rFonts w:ascii="Times New Roman" w:cs="Times New Roman" w:eastAsia="Times New Roman" w:hAnsi="Times New Roman"/>
          <w:sz w:val="18"/>
          <w:szCs w:val="18"/>
          <w:color w:val="auto"/>
        </w:rPr>
        <w:t>Aggregate intrinsic value represents the difference between the fair value of the underlying common stock and the exercise price as of September 30, 2020 and December 31, 2019. The weighted-average grant date fair value of options granted during the nine months ended September 30, 2020 and 2019, was $5.14 per share and $4.37 per share, respectively.</w:t>
      </w:r>
    </w:p>
    <w:p>
      <w:pPr>
        <w:spacing w:after="0" w:line="176" w:lineRule="exact"/>
        <w:rPr>
          <w:sz w:val="20"/>
          <w:szCs w:val="20"/>
          <w:color w:val="auto"/>
        </w:rPr>
      </w:pPr>
    </w:p>
    <w:p>
      <w:pPr>
        <w:ind w:right="300" w:firstLine="482"/>
        <w:spacing w:after="0" w:line="282" w:lineRule="auto"/>
        <w:rPr>
          <w:sz w:val="20"/>
          <w:szCs w:val="20"/>
          <w:color w:val="auto"/>
        </w:rPr>
      </w:pPr>
      <w:r>
        <w:rPr>
          <w:rFonts w:ascii="Times New Roman" w:cs="Times New Roman" w:eastAsia="Times New Roman" w:hAnsi="Times New Roman"/>
          <w:sz w:val="18"/>
          <w:szCs w:val="18"/>
          <w:color w:val="auto"/>
        </w:rPr>
        <w:t>In March 2020 the Company granted 26,573 stock options with a grant date fair value of $0.1 million to a partner at Third Rock Ventures, who is also serving as a non-employee director on the Company’s Board of Directors. The common shares subject to these options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right="20"/>
        <w:spacing w:after="0" w:line="261" w:lineRule="auto"/>
        <w:rPr>
          <w:sz w:val="20"/>
          <w:szCs w:val="20"/>
          <w:color w:val="auto"/>
        </w:rPr>
      </w:pPr>
      <w:r>
        <w:rPr>
          <w:rFonts w:ascii="Times New Roman" w:cs="Times New Roman" w:eastAsia="Times New Roman" w:hAnsi="Times New Roman"/>
          <w:sz w:val="18"/>
          <w:szCs w:val="18"/>
          <w:color w:val="auto"/>
        </w:rPr>
        <w:t>vest 1/12th on the last day of each calendar quarter over a three-year period and commenced vesting upon the Company’s IPO in June 2020. Lastly, in order to vest at each calendar quarter end date, the shareholder must be providing continuous service to the Company through such vesting date. The stock-based compensation expense related to these options was immaterial during the three and nine months ended September 30, 2020. See Note 14 for additional information.</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120" w:firstLine="482"/>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and classification of stock-based compensation expense for the Company’s stock-based awards for the three and nine months ended September 30, 2020 and 2019 (in thousands):</w:t>
      </w:r>
    </w:p>
    <w:p>
      <w:pPr>
        <w:spacing w:after="0" w:line="15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3"/>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 and founders’ common stock awards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Stock options and ESPP</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tcPr>
          <w:p>
            <w:pPr>
              <w:spacing w:after="0"/>
              <w:rPr>
                <w:sz w:val="18"/>
                <w:szCs w:val="18"/>
                <w:color w:val="auto"/>
              </w:rPr>
            </w:pPr>
          </w:p>
        </w:tc>
        <w:tc>
          <w:tcPr>
            <w:tcW w:w="700" w:type="dxa"/>
            <w:vAlign w:val="bottom"/>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38"/>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80" w:firstLine="482"/>
        <w:spacing w:after="0" w:line="266" w:lineRule="auto"/>
        <w:rPr>
          <w:sz w:val="20"/>
          <w:szCs w:val="20"/>
          <w:color w:val="auto"/>
        </w:rPr>
      </w:pPr>
      <w:r>
        <w:rPr>
          <w:rFonts w:ascii="Times New Roman" w:cs="Times New Roman" w:eastAsia="Times New Roman" w:hAnsi="Times New Roman"/>
          <w:sz w:val="18"/>
          <w:szCs w:val="18"/>
          <w:color w:val="auto"/>
        </w:rPr>
        <w:t>As of September 30, 2020, there was $0.3 million of unrecognized compensation costs that is expected to be recognized over the weighted-average periods of 1.46 years related to restricted stock awards. As of September 30, 2020, there was $11.4 million of unrecognized compensation costs that is expected to be recognized over the weighted-average periods of 2.68 years related to stock options.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121" w:lineRule="exact"/>
        <w:rPr>
          <w:sz w:val="20"/>
          <w:szCs w:val="20"/>
          <w:color w:val="auto"/>
        </w:rPr>
      </w:pPr>
    </w:p>
    <w:p>
      <w:pPr>
        <w:ind w:right="60" w:firstLine="482"/>
        <w:spacing w:after="0" w:line="258" w:lineRule="auto"/>
        <w:rPr>
          <w:sz w:val="20"/>
          <w:szCs w:val="20"/>
          <w:color w:val="auto"/>
        </w:rPr>
      </w:pPr>
      <w:r>
        <w:rPr>
          <w:rFonts w:ascii="Times New Roman" w:cs="Times New Roman" w:eastAsia="Times New Roman" w:hAnsi="Times New Roman"/>
          <w:sz w:val="18"/>
          <w:szCs w:val="18"/>
          <w:color w:val="auto"/>
        </w:rPr>
        <w:t>In June 2020, the Company adopted the 2020 ESPP. The Company reserved 700,000 shares of common stock for future issuance under the plan.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w:t>
      </w:r>
    </w:p>
    <w:p>
      <w:pPr>
        <w:spacing w:after="0" w:line="183" w:lineRule="exact"/>
        <w:rPr>
          <w:sz w:val="20"/>
          <w:szCs w:val="20"/>
          <w:color w:val="auto"/>
        </w:rPr>
      </w:pPr>
    </w:p>
    <w:p>
      <w:pPr>
        <w:ind w:right="100" w:firstLine="482"/>
        <w:spacing w:after="0" w:line="254" w:lineRule="auto"/>
        <w:rPr>
          <w:sz w:val="20"/>
          <w:szCs w:val="20"/>
          <w:color w:val="auto"/>
        </w:rPr>
      </w:pPr>
      <w:r>
        <w:rPr>
          <w:rFonts w:ascii="Times New Roman" w:cs="Times New Roman" w:eastAsia="Times New Roman" w:hAnsi="Times New Roman"/>
          <w:sz w:val="18"/>
          <w:szCs w:val="18"/>
          <w:color w:val="auto"/>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$0.2 million in stock-based compensation expense for the three and nine months ended September 30, 2020. There was no stock-based compensation expense attributed to the 2020 ESPP for the three and nine months ended September 30, 2019 as the 2020 ESPP was adopted in 2020. As of September 30, 2020, no shares of common stock were issued under the 2020 ESPP. The Company used Black-Scholes option pricing model to estimate stock-based compensation expense for the 2020 ESPP with the following assumptions: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5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3"/>
                <w:szCs w:val="13"/>
                <w:color w:val="auto"/>
              </w:rPr>
            </w:pPr>
          </w:p>
        </w:tc>
      </w:tr>
      <w:tr>
        <w:trPr>
          <w:trHeight w:val="173"/>
        </w:trPr>
        <w:tc>
          <w:tcPr>
            <w:tcW w:w="5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20" w:type="dxa"/>
            <w:vAlign w:val="bottom"/>
            <w:tcBorders>
              <w:bottom w:val="single" w:sz="8" w:color="auto"/>
            </w:tcBorders>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Borders>
              <w:bottom w:val="single" w:sz="8" w:color="auto"/>
            </w:tcBorders>
            <w:gridSpan w:val="3"/>
          </w:tcPr>
          <w:p>
            <w:pPr>
              <w:jc w:val="center"/>
              <w:ind w:left="5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74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right"/>
              <w:ind w:right="30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7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0.11%</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of options (in years)</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27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83.72%</w:t>
            </w:r>
          </w:p>
        </w:tc>
        <w:tc>
          <w:tcPr>
            <w:tcW w:w="3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83.72%</w:t>
            </w:r>
          </w:p>
        </w:tc>
        <w:tc>
          <w:tcPr>
            <w:tcW w:w="3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400" w:type="dxa"/>
            <w:vAlign w:val="bottom"/>
          </w:tcPr>
          <w:p>
            <w:pPr>
              <w:spacing w:after="0"/>
              <w:rPr>
                <w:sz w:val="20"/>
                <w:szCs w:val="20"/>
                <w:color w:val="auto"/>
              </w:rPr>
            </w:pPr>
          </w:p>
        </w:tc>
        <w:tc>
          <w:tcPr>
            <w:tcW w:w="16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r>
      <w:tr>
        <w:trPr>
          <w:trHeight w:val="427"/>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right="80" w:firstLine="482"/>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2020 and 2019,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no items that are either estimated or discrete items would impact the tax provision.</w:t>
      </w:r>
    </w:p>
    <w:p>
      <w:pPr>
        <w:spacing w:after="0" w:line="180" w:lineRule="exact"/>
        <w:rPr>
          <w:sz w:val="20"/>
          <w:szCs w:val="20"/>
          <w:color w:val="auto"/>
        </w:rPr>
      </w:pPr>
    </w:p>
    <w:p>
      <w:pPr>
        <w:ind w:right="40" w:firstLine="482"/>
        <w:spacing w:after="0" w:line="254"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enacted and signed into law and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annual deduction limitation of 80% of taxable income from net operating losses generated in a tax year beginning after December 31, 2017 through December 31, 2020, changes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pandemic. The Company evaluated the impact of the CARES Act and determined that its adoption did not have a material impact to the income tax provision for the three and nine months ended September 30, 2020.</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460" w:firstLine="482"/>
        <w:spacing w:after="0" w:line="282" w:lineRule="auto"/>
        <w:rPr>
          <w:sz w:val="20"/>
          <w:szCs w:val="20"/>
          <w:color w:val="auto"/>
        </w:rPr>
      </w:pPr>
      <w:r>
        <w:rPr>
          <w:rFonts w:ascii="Times New Roman" w:cs="Times New Roman" w:eastAsia="Times New Roman" w:hAnsi="Times New Roman"/>
          <w:sz w:val="18"/>
          <w:szCs w:val="18"/>
          <w:color w:val="auto"/>
        </w:rPr>
        <w:t>The Company has contractual arrangements with research and development organizations and suppliers; however, these contracts are generally cancelable on 30 days’ notice and the obligations under these contracts are largely based on services performed.</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License and Collaboration Agreements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Potential payments related to the Company’s license and research agreements, including milestone and royalty payments, are detailed in Notes 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3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In February 2018, the Company entered into a non-cancelable lease agreement (the “Lease”) for premises consisting of approximately 32,974 square feet located in South San Francisco, California (the “Premises”). The Company moved into the Premises in July 2018. The Premises is being used for the Company’s corporate headquarters and principal operating facility. The term of the Lease is eighty-four months, which commenced on July 1, 2018. Base rent was abated for the first two months of the lease term and thereafter is $0.2 million per month during the first year of the lease term, with specified annual increases thereafter. The Company paid a refundable security deposit of approximately $0.4 million, which is included in other non-current assets in the Balance Sheets at September 30, 2020 and December 31, 2019. The Company has the right to extend the lease term by seven years upon written notice not more than twelve months nor less than nine months prior to the expiration of the original lease term, with monthly payments equal to the “fair rental value” as defined in the Lease.</w:t>
      </w:r>
    </w:p>
    <w:p>
      <w:pPr>
        <w:spacing w:after="0" w:line="192" w:lineRule="exact"/>
        <w:rPr>
          <w:sz w:val="20"/>
          <w:szCs w:val="20"/>
          <w:color w:val="auto"/>
        </w:rPr>
      </w:pPr>
    </w:p>
    <w:p>
      <w:pPr>
        <w:ind w:right="80" w:firstLine="482"/>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2020 and 2019, rent expense, including common area maintenance expense, was $0.6 million. For the nine months ended September 30, 2020 and 2019 rent expense was $1.9 million.</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minimum lease payments under the Lease as of September 30, 2020 were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226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20" w:type="dxa"/>
            <w:vAlign w:val="bottom"/>
            <w:gridSpan w:val="2"/>
            <w:vMerge w:val="continue"/>
          </w:tcPr>
          <w:p>
            <w:pPr>
              <w:spacing w:after="0"/>
              <w:rPr>
                <w:sz w:val="15"/>
                <w:szCs w:val="15"/>
                <w:color w:val="auto"/>
              </w:rPr>
            </w:pPr>
          </w:p>
        </w:tc>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Lease</w:t>
            </w: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2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2020 (remainder of the year)</w:t>
            </w:r>
          </w:p>
        </w:tc>
        <w:tc>
          <w:tcPr>
            <w:tcW w:w="27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and beyond</w:t>
            </w:r>
          </w:p>
        </w:tc>
        <w:tc>
          <w:tcPr>
            <w:tcW w:w="2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Total</w:t>
            </w:r>
          </w:p>
        </w:tc>
        <w:tc>
          <w:tcPr>
            <w:tcW w:w="2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10,184</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20" w:type="dxa"/>
            <w:vAlign w:val="bottom"/>
            <w:vMerge w:val="restart"/>
          </w:tcPr>
          <w:p>
            <w:pPr>
              <w:jc w:val="right"/>
              <w:ind w:right="183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26" w:name="page27"/>
    <w:bookmarkEnd w:id="26"/>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40" w:firstLine="482"/>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from the ordinary course of business. We record a liability for such matters when it is probable that future losses will be incurred and that such losses can be reasonably estimated. Significant judgment by us is required to determine both probability and the estimated amount. Management is currently not aware of any legal matters that could have a material adverse effect on our financial position, results of operations or cash flows.</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20" w:firstLine="482"/>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48" w:lineRule="exact"/>
        <w:rPr>
          <w:sz w:val="20"/>
          <w:szCs w:val="20"/>
          <w:color w:val="auto"/>
        </w:rPr>
      </w:pPr>
    </w:p>
    <w:p>
      <w:pPr>
        <w:ind w:firstLine="482"/>
        <w:spacing w:after="0" w:line="258" w:lineRule="auto"/>
        <w:rPr>
          <w:sz w:val="20"/>
          <w:szCs w:val="20"/>
          <w:color w:val="auto"/>
        </w:rPr>
      </w:pPr>
      <w:r>
        <w:rPr>
          <w:rFonts w:ascii="Times New Roman" w:cs="Times New Roman" w:eastAsia="Times New Roman" w:hAnsi="Times New Roman"/>
          <w:sz w:val="18"/>
          <w:szCs w:val="18"/>
          <w:color w:val="auto"/>
        </w:rPr>
        <w:t>In 2019, certain employees of Third Rock Ventures, a stockholder of the Company, provided consulting services to the Company. Commencing January 2020, Third Rock Ventures ceased providing management consulting services to the Company, The Company recorded no consulting expenses for consulting services provided by Third Rock Ventures during the three and nine months ended September 30, 2020. The Company recorded Third Rock Ventures consulting expenses to general and administrative expense of $6,000 and $32,000, respectively for the three and nine months ended September 30, 2019.</w:t>
      </w:r>
    </w:p>
    <w:p>
      <w:pPr>
        <w:spacing w:after="0" w:line="183" w:lineRule="exact"/>
        <w:rPr>
          <w:sz w:val="20"/>
          <w:szCs w:val="20"/>
          <w:color w:val="auto"/>
        </w:rPr>
      </w:pPr>
    </w:p>
    <w:p>
      <w:pPr>
        <w:ind w:right="220" w:firstLine="482"/>
        <w:spacing w:after="0" w:line="261" w:lineRule="auto"/>
        <w:rPr>
          <w:sz w:val="20"/>
          <w:szCs w:val="20"/>
          <w:color w:val="auto"/>
        </w:rPr>
      </w:pPr>
      <w:r>
        <w:rPr>
          <w:rFonts w:ascii="Times New Roman" w:cs="Times New Roman" w:eastAsia="Times New Roman" w:hAnsi="Times New Roman"/>
          <w:sz w:val="18"/>
          <w:szCs w:val="18"/>
          <w:color w:val="auto"/>
        </w:rPr>
        <w:t>In March 2020, the Company granted 26,573 stock options with a grant date fair value of $0.1 million to a partner at Third Rock Ventures, who is also serving as a non-employee director on the Company’s Board of Directors. The common shares subject to these options vest 1/12th on the last day of each calendar quarter over a three-year period and commenced vesting upon our IPO. Lastly, in order to vest at each calendar quarter end date, the shareholder must be providing continuous service to the Company through such vesting date. See Note 11 for additional information.</w:t>
      </w:r>
    </w:p>
    <w:p>
      <w:pPr>
        <w:spacing w:after="0" w:line="180" w:lineRule="exact"/>
        <w:rPr>
          <w:sz w:val="20"/>
          <w:szCs w:val="20"/>
          <w:color w:val="auto"/>
        </w:rPr>
      </w:pPr>
    </w:p>
    <w:p>
      <w:pPr>
        <w:ind w:right="320" w:firstLine="482"/>
        <w:spacing w:after="0" w:line="258" w:lineRule="auto"/>
        <w:rPr>
          <w:sz w:val="20"/>
          <w:szCs w:val="20"/>
          <w:color w:val="auto"/>
        </w:rPr>
      </w:pPr>
      <w:r>
        <w:rPr>
          <w:rFonts w:ascii="Times New Roman" w:cs="Times New Roman" w:eastAsia="Times New Roman" w:hAnsi="Times New Roman"/>
          <w:sz w:val="18"/>
          <w:szCs w:val="18"/>
          <w:color w:val="auto"/>
        </w:rPr>
        <w:t>From time to time, the Company makes charitable contributions to the University of California, San Francisco Foundation (the “UCSF Foundation”), which are directed to support research performed in the laboratories of two of the Company’s scientific founders. The Company made no charitable contributions to the UCSF Foundation during the three months ended September 30, 2020 and 2019. The Company made charitable contributions to the UCSF Foundation in the amount of $0.7 million and $0.4 million during the nine months ended September 30, 2020 and 2019, respectively.</w:t>
      </w:r>
    </w:p>
    <w:p>
      <w:pPr>
        <w:spacing w:after="0" w:line="183"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In October 2019, the Company entered into the Novartis Agreement with Novartis covering the development and commercialization of Pliant’s preclinical product candidate, PLN-1474 and up to three additional targets. Upon execution of the Agreement, Pliant also entered into a financing side letter with Novartis, whereby Novartis committed to provide up to $30.0 million in equity financing of which $20.0 million was provided for preferred shares as a part of a Series C equity offering and the remaining $10.0 million was completed in a private placement for common shares upon the Company’s IPO. As of September 30, 2020 and December 31, 2019, Novartis owned approximately 6.1% and 7.4 %, respectively, of our outstanding shares of common stock on a fully diluted basis. See Notes 6 and Note 9 for additional information.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15. Defined Contribution Plan</w:t>
      </w:r>
    </w:p>
    <w:p>
      <w:pPr>
        <w:spacing w:after="0" w:line="121" w:lineRule="exact"/>
        <w:rPr>
          <w:sz w:val="20"/>
          <w:szCs w:val="20"/>
          <w:color w:val="auto"/>
        </w:rPr>
      </w:pPr>
    </w:p>
    <w:p>
      <w:pPr>
        <w:ind w:firstLine="482"/>
        <w:spacing w:after="0" w:line="271" w:lineRule="auto"/>
        <w:rPr>
          <w:sz w:val="20"/>
          <w:szCs w:val="20"/>
          <w:color w:val="auto"/>
        </w:rPr>
      </w:pPr>
      <w:r>
        <w:rPr>
          <w:rFonts w:ascii="Times New Roman" w:cs="Times New Roman" w:eastAsia="Times New Roman" w:hAnsi="Times New Roman"/>
          <w:sz w:val="18"/>
          <w:szCs w:val="18"/>
          <w:color w:val="auto"/>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$0.1 million for the three months ended September 30, 2020 and 2019, and $0.3 million and $0.2 million for the nine months ended September 30, 2020 and 2019, respectively.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Share Attributable to Common Stockholders</w:t>
      </w:r>
    </w:p>
    <w:p>
      <w:pPr>
        <w:spacing w:after="0" w:line="121" w:lineRule="exact"/>
        <w:rPr>
          <w:sz w:val="20"/>
          <w:szCs w:val="20"/>
          <w:color w:val="auto"/>
        </w:rPr>
      </w:pPr>
    </w:p>
    <w:p>
      <w:pPr>
        <w:ind w:right="40" w:firstLine="482"/>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35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6540" w:type="dxa"/>
            <w:vAlign w:val="bottom"/>
            <w:tcBorders>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Redeemable convertible preferred stock (on an as-converted basis)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14,755,415</w:t>
            </w:r>
          </w:p>
        </w:tc>
        <w:tc>
          <w:tcPr>
            <w:tcW w:w="120" w:type="dxa"/>
            <w:vAlign w:val="bottom"/>
            <w:shd w:val="clear" w:color="auto" w:fill="CFF0FC"/>
          </w:tcPr>
          <w:p>
            <w:pPr>
              <w:spacing w:after="0"/>
              <w:rPr>
                <w:sz w:val="19"/>
                <w:szCs w:val="19"/>
                <w:color w:val="auto"/>
              </w:rPr>
            </w:pPr>
          </w:p>
        </w:tc>
      </w:tr>
      <w:tr>
        <w:trPr>
          <w:trHeight w:val="22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2,808,477</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1,304,302</w:t>
            </w:r>
          </w:p>
        </w:tc>
        <w:tc>
          <w:tcPr>
            <w:tcW w:w="120" w:type="dxa"/>
            <w:vAlign w:val="bottom"/>
          </w:tcPr>
          <w:p>
            <w:pPr>
              <w:spacing w:after="0"/>
              <w:rPr>
                <w:sz w:val="19"/>
                <w:szCs w:val="19"/>
                <w:color w:val="auto"/>
              </w:rPr>
            </w:pPr>
          </w:p>
        </w:tc>
      </w:tr>
      <w:tr>
        <w:trPr>
          <w:trHeight w:val="230"/>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 granted and not purchased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w:t>
            </w:r>
          </w:p>
        </w:tc>
        <w:tc>
          <w:tcPr>
            <w:tcW w:w="120" w:type="dxa"/>
            <w:vAlign w:val="bottom"/>
            <w:shd w:val="clear" w:color="auto" w:fill="CFF0FC"/>
          </w:tcPr>
          <w:p>
            <w:pPr>
              <w:spacing w:after="0"/>
              <w:rPr>
                <w:sz w:val="19"/>
                <w:szCs w:val="19"/>
                <w:color w:val="auto"/>
              </w:rPr>
            </w:pPr>
          </w:p>
        </w:tc>
      </w:tr>
      <w:tr>
        <w:trPr>
          <w:trHeight w:val="229"/>
        </w:trPr>
        <w:tc>
          <w:tcPr>
            <w:tcW w:w="6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restricted shares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159,833</w:t>
            </w:r>
          </w:p>
        </w:tc>
        <w:tc>
          <w:tcPr>
            <w:tcW w:w="280" w:type="dxa"/>
            <w:vAlign w:val="bottom"/>
            <w:tcBorders>
              <w:bottom w:val="single" w:sz="8" w:color="CFF0FC"/>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360,890</w:t>
            </w:r>
          </w:p>
        </w:tc>
        <w:tc>
          <w:tcPr>
            <w:tcW w:w="120" w:type="dxa"/>
            <w:vAlign w:val="bottom"/>
            <w:tcBorders>
              <w:bottom w:val="single" w:sz="8" w:color="CFF0FC"/>
            </w:tcBorders>
          </w:tcPr>
          <w:p>
            <w:pPr>
              <w:spacing w:after="0"/>
              <w:rPr>
                <w:sz w:val="19"/>
                <w:szCs w:val="19"/>
                <w:color w:val="auto"/>
              </w:rPr>
            </w:pPr>
          </w:p>
        </w:tc>
      </w:tr>
      <w:tr>
        <w:trPr>
          <w:trHeight w:val="223"/>
        </w:trPr>
        <w:tc>
          <w:tcPr>
            <w:tcW w:w="65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2,972,505</w:t>
            </w:r>
          </w:p>
        </w:tc>
        <w:tc>
          <w:tcPr>
            <w:tcW w:w="28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16,424,802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480" w:firstLine="482"/>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used in the calculation of the basic and diluted net loss per share attributable to common stockholders is as follows (in thousands, except share and per share amounts):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56"/>
        </w:trPr>
        <w:tc>
          <w:tcPr>
            <w:tcW w:w="478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(16,534)</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(13,255)</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(22,506)</w:t>
            </w: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(42,800)</w:t>
            </w:r>
          </w:p>
        </w:tc>
        <w:tc>
          <w:tcPr>
            <w:tcW w:w="0" w:type="dxa"/>
            <w:vAlign w:val="bottom"/>
          </w:tcPr>
          <w:p>
            <w:pPr>
              <w:spacing w:after="0"/>
              <w:rPr>
                <w:sz w:val="1"/>
                <w:szCs w:val="1"/>
                <w:color w:val="auto"/>
              </w:rPr>
            </w:pPr>
          </w:p>
        </w:tc>
      </w:tr>
      <w:tr>
        <w:trPr>
          <w:trHeight w:val="211"/>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Add: accretion to redemption value and cumulative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on redeemable convertible preferred shares</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(4,078)</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used to</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calculate net loss per share attributable to common</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stockholders:</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35,445,504</w:t>
            </w:r>
          </w:p>
        </w:tc>
        <w:tc>
          <w:tcPr>
            <w:tcW w:w="14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1,714,285</w:t>
            </w:r>
          </w:p>
        </w:tc>
        <w:tc>
          <w:tcPr>
            <w:tcW w:w="140" w:type="dxa"/>
            <w:vAlign w:val="bottom"/>
            <w:tcBorders>
              <w:bottom w:val="single" w:sz="8" w:color="CFF0FC"/>
            </w:tcBorders>
          </w:tcPr>
          <w:p>
            <w:pPr>
              <w:spacing w:after="0"/>
              <w:rPr>
                <w:sz w:val="23"/>
                <w:szCs w:val="23"/>
                <w:color w:val="auto"/>
              </w:rPr>
            </w:pPr>
          </w:p>
        </w:tc>
        <w:tc>
          <w:tcPr>
            <w:tcW w:w="6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16,592,746</w:t>
            </w:r>
          </w:p>
        </w:tc>
        <w:tc>
          <w:tcPr>
            <w:tcW w:w="220" w:type="dxa"/>
            <w:vAlign w:val="bottom"/>
            <w:tcBorders>
              <w:bottom w:val="single" w:sz="8" w:color="CFF0FC"/>
            </w:tcBorders>
          </w:tcPr>
          <w:p>
            <w:pPr>
              <w:spacing w:after="0"/>
              <w:rPr>
                <w:sz w:val="23"/>
                <w:szCs w:val="23"/>
                <w:color w:val="auto"/>
              </w:rPr>
            </w:pPr>
          </w:p>
        </w:tc>
        <w:tc>
          <w:tcPr>
            <w:tcW w:w="2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1,561,242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35,445,504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1,714,285</w:t>
            </w:r>
          </w:p>
        </w:tc>
        <w:tc>
          <w:tcPr>
            <w:tcW w:w="1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16,592,746</w:t>
            </w:r>
          </w:p>
        </w:tc>
        <w:tc>
          <w:tcPr>
            <w:tcW w:w="2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1,561,242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(0.47)</w:t>
            </w: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(8.53)</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gridSpan w:val="2"/>
            <w:shd w:val="clear" w:color="auto" w:fill="CFF0FC"/>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(30.03)</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right="240" w:firstLine="482"/>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for financial statement purposes occurring through November 10, 2020, the date these financial statements were issued.</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657" w:right="5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audited consolidated financial statements and notes for the year ended December 31, 2019, included in the Company’s final prospectus filed with the SEC pursuant to Rule 424(b) under the Securities Act of 1933, as amended, on June 3, 2020 (the “Prospectus”), the Quarterly Report for the second quarter of 2020 filed with the SEC on Form 10-Q on August 11, 2020 and other financial information appearing elsewhere in this Quarterly Report on Form 10-Q.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below. In some cases, you can identify forward-looking statements by terminology such as “anticipate,” “believe,” “continue,” “could,” “estimate,” “expect,” “intend,” “may,” “plan,” “potentially,” “predict,” “should,” “will” or the negative of these terms or other similar expressions.</w:t>
      </w:r>
    </w:p>
    <w:p>
      <w:pPr>
        <w:spacing w:after="0" w:line="188" w:lineRule="exact"/>
        <w:rPr>
          <w:sz w:val="20"/>
          <w:szCs w:val="20"/>
          <w:color w:val="auto"/>
        </w:rPr>
      </w:pPr>
    </w:p>
    <w:p>
      <w:pPr>
        <w:ind w:right="40" w:firstLine="482"/>
        <w:spacing w:after="0" w:line="258" w:lineRule="auto"/>
        <w:rPr>
          <w:sz w:val="20"/>
          <w:szCs w:val="20"/>
          <w:color w:val="auto"/>
        </w:rPr>
      </w:pPr>
      <w:r>
        <w:rPr>
          <w:rFonts w:ascii="Times New Roman" w:cs="Times New Roman" w:eastAsia="Times New Roman" w:hAnsi="Times New Roman"/>
          <w:sz w:val="18"/>
          <w:szCs w:val="18"/>
          <w:i w:val="1"/>
          <w:iCs w:val="1"/>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482"/>
        <w:spacing w:after="0" w:line="253"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discovering and developing novel therapies for the treatment of fibrosis. Our initial focus is on treating fibrosis by inhibiting integrin-mediated activation of TGF-ß. We have applied our deep understanding of fibrosis biology, along with our medicinal chemistry and translational medicine expertise to develop a set of proprietary tools designed to discover and de-risk product candidates quickly and efficiently. Our wholly-owned lead product candidate, PLN-74809, is an oral small-molecule dual selective inhibitor of α</w:t>
      </w:r>
      <w:r>
        <w:rPr>
          <w:rFonts w:ascii="Times New Roman" w:cs="Times New Roman" w:eastAsia="Times New Roman" w:hAnsi="Times New Roman"/>
          <w:sz w:val="15"/>
          <w:szCs w:val="15"/>
          <w:color w:val="auto"/>
        </w:rPr>
        <w:t>v</w:t>
      </w:r>
      <w:r>
        <w:rPr>
          <w:rFonts w:ascii="Times New Roman" w:cs="Times New Roman" w:eastAsia="Times New Roman" w:hAnsi="Times New Roman"/>
          <w:sz w:val="18"/>
          <w:szCs w:val="18"/>
          <w:color w:val="auto"/>
        </w:rPr>
        <w:t>ß</w:t>
      </w:r>
      <w:r>
        <w:rPr>
          <w:rFonts w:ascii="Times New Roman" w:cs="Times New Roman" w:eastAsia="Times New Roman" w:hAnsi="Times New Roman"/>
          <w:sz w:val="15"/>
          <w:szCs w:val="15"/>
          <w:color w:val="auto"/>
        </w:rPr>
        <w:t>6</w:t>
      </w:r>
      <w:r>
        <w:rPr>
          <w:rFonts w:ascii="Times New Roman" w:cs="Times New Roman" w:eastAsia="Times New Roman" w:hAnsi="Times New Roman"/>
          <w:sz w:val="18"/>
          <w:szCs w:val="18"/>
          <w:color w:val="auto"/>
        </w:rPr>
        <w:t xml:space="preserve"> and α</w:t>
      </w:r>
      <w:r>
        <w:rPr>
          <w:rFonts w:ascii="Times New Roman" w:cs="Times New Roman" w:eastAsia="Times New Roman" w:hAnsi="Times New Roman"/>
          <w:sz w:val="15"/>
          <w:szCs w:val="15"/>
          <w:color w:val="auto"/>
        </w:rPr>
        <w:t>v</w:t>
      </w:r>
      <w:r>
        <w:rPr>
          <w:rFonts w:ascii="Times New Roman" w:cs="Times New Roman" w:eastAsia="Times New Roman" w:hAnsi="Times New Roman"/>
          <w:sz w:val="18"/>
          <w:szCs w:val="18"/>
          <w:color w:val="auto"/>
        </w:rPr>
        <w:t>ß</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integrins that we are developing for the treatment of idiopathic pulmonary fibrosis, or IPF, and primary sclerosing cholangitis, or PSC. We have completed a Phase 1a SAD/MAD trial and a Phase 1b proof-of-mechanism trial of PLN-74809 in IPF. We are currently recruiting patients for two Phase 2a trials of PLN-74809 in IPF and one Phase 2a trial in PSC. We opened an additional IND for PLN-74809 for the treatment of COVID-19 related acute respiratory distress syndrome, or ARDS, in July of 2020, and have initiated a Phase 2a trial in that indication. Our second product candidate, PLN-1474, is a small-molecule selective inhibitor of α</w:t>
      </w:r>
      <w:r>
        <w:rPr>
          <w:rFonts w:ascii="Times New Roman" w:cs="Times New Roman" w:eastAsia="Times New Roman" w:hAnsi="Times New Roman"/>
          <w:sz w:val="15"/>
          <w:szCs w:val="15"/>
          <w:color w:val="auto"/>
        </w:rPr>
        <w:t>v</w:t>
      </w:r>
      <w:r>
        <w:rPr>
          <w:rFonts w:ascii="Times New Roman" w:cs="Times New Roman" w:eastAsia="Times New Roman" w:hAnsi="Times New Roman"/>
          <w:sz w:val="18"/>
          <w:szCs w:val="18"/>
          <w:color w:val="auto"/>
        </w:rPr>
        <w:t>ß</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for the treatment of liver fibrosis associated with NASH, which we have partnered with Novartis. PLN-1474 is currently undergoing Phase 1 testing. In addition to our clinical programs, we currently have preclinical integrin-based programs targeting oncology and muscular dystrophies.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131" w:lineRule="exact"/>
        <w:rPr>
          <w:sz w:val="20"/>
          <w:szCs w:val="20"/>
          <w:color w:val="auto"/>
        </w:rPr>
      </w:pPr>
    </w:p>
    <w:p>
      <w:pPr>
        <w:ind w:left="720" w:right="20" w:hanging="361"/>
        <w:spacing w:after="0" w:line="282" w:lineRule="auto"/>
        <w:tabs>
          <w:tab w:leader="none" w:pos="7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Enrollment of Phase 2a 12-week trials of PLN-74809 in idiopathic pulmonary fibrosis (IPF) and primary sclerosing cholangitis (PSC) progressing. </w:t>
      </w:r>
      <w:r>
        <w:rPr>
          <w:rFonts w:ascii="Times New Roman" w:cs="Times New Roman" w:eastAsia="Times New Roman" w:hAnsi="Times New Roman"/>
          <w:sz w:val="17"/>
          <w:szCs w:val="17"/>
          <w:color w:val="auto"/>
        </w:rPr>
        <w:t>After resuming enrollment earlier in the year, Pliant has remained in close coordination with its global trial sites in order to facilitate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enrollment in both Phase 2a trials. The Company also continues to open additional trial sites as COVID-19 related restrictions are eased. The hybrid approach to clinical trial participation utilizing home-health solutions to maximize patient safety is expected to aid in trial recruitment.</w:t>
      </w:r>
    </w:p>
    <w:p>
      <w:pPr>
        <w:spacing w:after="0" w:line="66" w:lineRule="exact"/>
        <w:rPr>
          <w:rFonts w:ascii="Times New Roman" w:cs="Times New Roman" w:eastAsia="Times New Roman" w:hAnsi="Times New Roman"/>
          <w:sz w:val="17"/>
          <w:szCs w:val="17"/>
          <w:color w:val="auto"/>
        </w:rPr>
      </w:pPr>
    </w:p>
    <w:p>
      <w:pPr>
        <w:ind w:left="720" w:right="120" w:hanging="361"/>
        <w:spacing w:after="0" w:line="286"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2a PET imaging trial of PLN-74809 in IPF is enrolling. </w:t>
      </w:r>
      <w:r>
        <w:rPr>
          <w:rFonts w:ascii="Times New Roman" w:cs="Times New Roman" w:eastAsia="Times New Roman" w:hAnsi="Times New Roman"/>
          <w:sz w:val="18"/>
          <w:szCs w:val="18"/>
          <w:color w:val="auto"/>
        </w:rPr>
        <w:t>The Phase 2a PET trial will evaluate safety, tolerability, and target engagement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PLN-74809 in IPF patients. We expect to report preliminary data by the first half of 2021.</w:t>
      </w:r>
    </w:p>
    <w:p>
      <w:pPr>
        <w:spacing w:after="0" w:line="60" w:lineRule="exact"/>
        <w:rPr>
          <w:rFonts w:ascii="Times New Roman" w:cs="Times New Roman" w:eastAsia="Times New Roman" w:hAnsi="Times New Roman"/>
          <w:sz w:val="18"/>
          <w:szCs w:val="18"/>
          <w:color w:val="auto"/>
        </w:rPr>
      </w:pPr>
    </w:p>
    <w:p>
      <w:pPr>
        <w:ind w:left="720" w:right="100" w:hanging="361"/>
        <w:spacing w:after="0" w:line="262"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Completed dosing of an extended Phase 1 dose escalation trial of PLN-74809 in healthy volunteers. </w:t>
      </w:r>
      <w:r>
        <w:rPr>
          <w:rFonts w:ascii="Times New Roman" w:cs="Times New Roman" w:eastAsia="Times New Roman" w:hAnsi="Times New Roman"/>
          <w:sz w:val="18"/>
          <w:szCs w:val="18"/>
          <w:color w:val="auto"/>
        </w:rPr>
        <w:t>PLN-74809 has completed dosing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multiple ascending dose cohorts of 120mg and 160mg once daily in an extended dose escalation trial. The pharmacokinetic profile remains in line with previous cohorts, and PLN-74809 remains generally well tolerated with no drug related severe adverse events or serious adverse events reported in either cohort.</w:t>
      </w:r>
    </w:p>
    <w:p>
      <w:pPr>
        <w:spacing w:after="0" w:line="81" w:lineRule="exact"/>
        <w:rPr>
          <w:rFonts w:ascii="Times New Roman" w:cs="Times New Roman" w:eastAsia="Times New Roman" w:hAnsi="Times New Roman"/>
          <w:sz w:val="18"/>
          <w:szCs w:val="18"/>
          <w:color w:val="auto"/>
        </w:rPr>
      </w:pPr>
    </w:p>
    <w:p>
      <w:pPr>
        <w:ind w:left="720" w:right="580" w:hanging="361"/>
        <w:spacing w:after="0" w:line="268"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2a trial of PLN-74809 treatment of COVID-19 related acute respiratory distress syndrome (ARDS) has been initiated.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initiated a Phase 2a trial evaluating safety, tolerability and pharmacokinetics (PK) of PLN-74809, as well as exploratory clinical outcome measures in patients hospitalized with severe and critical COVID-19.</w:t>
      </w:r>
    </w:p>
    <w:p>
      <w:pPr>
        <w:spacing w:after="0" w:line="76" w:lineRule="exact"/>
        <w:rPr>
          <w:rFonts w:ascii="Times New Roman" w:cs="Times New Roman" w:eastAsia="Times New Roman" w:hAnsi="Times New Roman"/>
          <w:sz w:val="18"/>
          <w:szCs w:val="18"/>
          <w:color w:val="auto"/>
        </w:rPr>
      </w:pPr>
    </w:p>
    <w:p>
      <w:pPr>
        <w:ind w:left="720" w:right="20" w:hanging="361"/>
        <w:spacing w:after="0" w:line="268"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Phase 1 trial of PLN-1474 in healthy volunteers is nearing completion. </w:t>
      </w:r>
      <w:r>
        <w:rPr>
          <w:rFonts w:ascii="Times New Roman" w:cs="Times New Roman" w:eastAsia="Times New Roman" w:hAnsi="Times New Roman"/>
          <w:sz w:val="18"/>
          <w:szCs w:val="18"/>
          <w:color w:val="auto"/>
        </w:rPr>
        <w:t>The Phase 1 trial is designed to evaluate safety and tolerability, as well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PK of PLN-1474 in approximately 100 healthy volunteers across a dose range compared to placebo. After resuming enrollment following delays related to COVID-19, the trial remains on track to deliver topline data by the first quarter of 2021. PLN-1474 is partnered with Novartis.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9" w:name="page30"/>
    <w:bookmarkEnd w:id="29"/>
    <w:p>
      <w:pPr>
        <w:ind w:firstLine="482"/>
        <w:spacing w:after="0" w:line="254" w:lineRule="auto"/>
        <w:rPr>
          <w:sz w:val="20"/>
          <w:szCs w:val="20"/>
          <w:color w:val="auto"/>
        </w:rPr>
      </w:pPr>
      <w:r>
        <w:rPr>
          <w:rFonts w:ascii="Times New Roman" w:cs="Times New Roman" w:eastAsia="Times New Roman" w:hAnsi="Times New Roman"/>
          <w:sz w:val="18"/>
          <w:szCs w:val="18"/>
          <w:color w:val="auto"/>
        </w:rPr>
        <w:t>In October 2019, we entered into a Collaboration and License Agreement with Novartis, or the Novartis Agreement, for the development and commercialization of our then preclinical product candidate, PLN-1474 and up to three integrin research targets. PLN-1474 is an internally discovered small molecule selective inhibitor of integrin α</w:t>
      </w:r>
      <w:r>
        <w:rPr>
          <w:rFonts w:ascii="Times New Roman" w:cs="Times New Roman" w:eastAsia="Times New Roman" w:hAnsi="Times New Roman"/>
          <w:sz w:val="15"/>
          <w:szCs w:val="15"/>
          <w:color w:val="auto"/>
        </w:rPr>
        <w:t>v</w:t>
      </w:r>
      <w:r>
        <w:rPr>
          <w:rFonts w:ascii="Times New Roman" w:cs="Times New Roman" w:eastAsia="Times New Roman" w:hAnsi="Times New Roman"/>
          <w:sz w:val="18"/>
          <w:szCs w:val="18"/>
          <w:color w:val="auto"/>
        </w:rPr>
        <w:t>ß</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currently being developed for the treatment of liver fibrosis associated with nonalcoholic steatohepatitis, or NASH. In December 2019, we received an upfront license payment of $50.0 million for the worldwide exclusive license to PLN-1474. Pursuant to the Novartis Agreement, we expect to receive research and development funding totaling $19.6 million for PLN-1474 development services and funding of up to $13.4 million for optional research and development services on the integrin research targets. Additionally, we are eligible to receive developmental, regulatory and commercial milestone payments of up to $416.0 million in total, if defined development, regulatory and commercialization milestones are achieved and tiered royalties, on a product-by-product basis based on annual nets sales of products, at percentages ranging from high-single digits to low teens of the applicable licensed products and mid-single digits to high-single digits for any products resulting from the research programs.</w:t>
      </w:r>
    </w:p>
    <w:p>
      <w:pPr>
        <w:spacing w:after="0" w:line="188" w:lineRule="exact"/>
        <w:rPr>
          <w:sz w:val="20"/>
          <w:szCs w:val="20"/>
          <w:color w:val="auto"/>
        </w:rPr>
      </w:pPr>
    </w:p>
    <w:p>
      <w:pPr>
        <w:ind w:right="60" w:firstLine="482"/>
        <w:spacing w:after="0" w:line="258" w:lineRule="auto"/>
        <w:rPr>
          <w:sz w:val="20"/>
          <w:szCs w:val="20"/>
          <w:color w:val="auto"/>
        </w:rPr>
      </w:pPr>
      <w:r>
        <w:rPr>
          <w:rFonts w:ascii="Times New Roman" w:cs="Times New Roman" w:eastAsia="Times New Roman" w:hAnsi="Times New Roman"/>
          <w:sz w:val="18"/>
          <w:szCs w:val="18"/>
          <w:color w:val="auto"/>
        </w:rPr>
        <w:t>On December 19, 2019, we issued 26.4 million shares of Series C redeemable convertible preferred stock, or the Series C Funding, for aggregate cash proceeds of $48.2 million. Novartis purchased 10.9 million shares of the December 19, 2019 Series C redeemable convertible preferred stock offering at $1.83 per share, which as at fair value as the Company sold Series C redeemable convertible preferred stock investor which is at arms-length transaction as $1.83 per share was the purchase price paid for shares by other unrelated investors who participated in the funding round. In February 2020, we issued an additional 28.5 million shares of Series C redeemable convertible preferred stock for aggregate cash proceeds of $52.2 million.</w:t>
      </w:r>
    </w:p>
    <w:p>
      <w:pPr>
        <w:spacing w:after="0" w:line="183" w:lineRule="exact"/>
        <w:rPr>
          <w:sz w:val="20"/>
          <w:szCs w:val="20"/>
          <w:color w:val="auto"/>
        </w:rPr>
      </w:pPr>
    </w:p>
    <w:p>
      <w:pPr>
        <w:ind w:right="40" w:firstLine="482"/>
        <w:spacing w:after="0" w:line="255" w:lineRule="auto"/>
        <w:rPr>
          <w:sz w:val="20"/>
          <w:szCs w:val="20"/>
          <w:color w:val="auto"/>
        </w:rPr>
      </w:pPr>
      <w:r>
        <w:rPr>
          <w:rFonts w:ascii="Times New Roman" w:cs="Times New Roman" w:eastAsia="Times New Roman" w:hAnsi="Times New Roman"/>
          <w:sz w:val="18"/>
          <w:szCs w:val="18"/>
          <w:color w:val="auto"/>
        </w:rPr>
        <w:t>In June 2020, we completed an IPO issuing an aggregate of 10,350,000 shares of common stock, which included 1,350,000 shares of common stock issued pursuant to the over-allotment option granted to the underwriters at a price of $16.00 per share generating gross proceeds of $165.6 million, before underwriting discounts and commissions and offering expenses payable by the Company. As a result of the IPO, we received approximately $148.3 million in net proceeds, after deducting underwriting discounts, commissions and offering expenses of $5.7 million, of which $2.6 million was paid in 2019. We offset the deferred offering costs against the net proceeds received from the sale of common stock. At the closing of the IPO, 160,389,279 shares of outstanding convertible preferred stock were automatically converted to 22,423,029 shares common stock on a 7.15:1 basis. Following the IPO, there were no shares of preferred stock outstanding.</w:t>
      </w:r>
    </w:p>
    <w:p>
      <w:pPr>
        <w:spacing w:after="0" w:line="189" w:lineRule="exact"/>
        <w:rPr>
          <w:sz w:val="20"/>
          <w:szCs w:val="20"/>
          <w:color w:val="auto"/>
        </w:rPr>
      </w:pPr>
    </w:p>
    <w:p>
      <w:pPr>
        <w:ind w:right="520" w:firstLine="482"/>
        <w:spacing w:after="0" w:line="282" w:lineRule="auto"/>
        <w:rPr>
          <w:sz w:val="20"/>
          <w:szCs w:val="20"/>
          <w:color w:val="auto"/>
        </w:rPr>
      </w:pPr>
      <w:r>
        <w:rPr>
          <w:rFonts w:ascii="Times New Roman" w:cs="Times New Roman" w:eastAsia="Times New Roman" w:hAnsi="Times New Roman"/>
          <w:sz w:val="18"/>
          <w:szCs w:val="18"/>
          <w:color w:val="auto"/>
        </w:rPr>
        <w:t>Concurrent with the completion of the IPO, we also issued 625,000 shares to Novartis in a private placement at a price of $16.00 per share for proceeds of $10.0 million, which resulted in Novartis owning approximately 6.1% of our outstanding shares of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21" w:lineRule="exact"/>
        <w:rPr>
          <w:sz w:val="20"/>
          <w:szCs w:val="20"/>
          <w:color w:val="auto"/>
        </w:rPr>
      </w:pPr>
    </w:p>
    <w:p>
      <w:pPr>
        <w:ind w:right="320" w:firstLine="482"/>
        <w:spacing w:after="0" w:line="266" w:lineRule="auto"/>
        <w:rPr>
          <w:sz w:val="20"/>
          <w:szCs w:val="20"/>
          <w:color w:val="auto"/>
        </w:rPr>
      </w:pPr>
      <w:r>
        <w:rPr>
          <w:rFonts w:ascii="Times New Roman" w:cs="Times New Roman" w:eastAsia="Times New Roman" w:hAnsi="Times New Roman"/>
          <w:sz w:val="18"/>
          <w:szCs w:val="18"/>
          <w:color w:val="auto"/>
        </w:rPr>
        <w:t>Since our inception in 2015, our operations have included organizing and hiring personnel for our company, business planning, raising capital, establishing our intellectual property portfolio and performing research and development of TGF-ß signaling and integrin biology, medicinal chemistry, translational screening technologies, and clinical insights to create tissue-specific inhibitors of fibrotic diseases.</w:t>
      </w:r>
    </w:p>
    <w:p>
      <w:pPr>
        <w:spacing w:after="0" w:line="176" w:lineRule="exact"/>
        <w:rPr>
          <w:sz w:val="20"/>
          <w:szCs w:val="20"/>
          <w:color w:val="auto"/>
        </w:rPr>
      </w:pPr>
    </w:p>
    <w:p>
      <w:pPr>
        <w:ind w:right="120" w:firstLine="482"/>
        <w:spacing w:after="0" w:line="266" w:lineRule="auto"/>
        <w:rPr>
          <w:sz w:val="20"/>
          <w:szCs w:val="20"/>
          <w:color w:val="auto"/>
        </w:rPr>
      </w:pPr>
      <w:r>
        <w:rPr>
          <w:rFonts w:ascii="Times New Roman" w:cs="Times New Roman" w:eastAsia="Times New Roman" w:hAnsi="Times New Roman"/>
          <w:sz w:val="18"/>
          <w:szCs w:val="18"/>
          <w:color w:val="auto"/>
        </w:rPr>
        <w:t>We have incurred net losses since inception and expect to incur losses in the future as we continue our research and development activities. To date, we have funded our operations primarily through private placements of our redeemable convertible preferred stock and from revenue generated from the Novartis Agreement.</w:t>
      </w:r>
    </w:p>
    <w:p>
      <w:pPr>
        <w:spacing w:after="0" w:line="176" w:lineRule="exact"/>
        <w:rPr>
          <w:sz w:val="20"/>
          <w:szCs w:val="20"/>
          <w:color w:val="auto"/>
        </w:rPr>
      </w:pPr>
    </w:p>
    <w:p>
      <w:pPr>
        <w:ind w:right="100" w:firstLine="482"/>
        <w:spacing w:after="0" w:line="266" w:lineRule="auto"/>
        <w:rPr>
          <w:sz w:val="20"/>
          <w:szCs w:val="20"/>
          <w:color w:val="auto"/>
        </w:rPr>
      </w:pPr>
      <w:r>
        <w:rPr>
          <w:rFonts w:ascii="Times New Roman" w:cs="Times New Roman" w:eastAsia="Times New Roman" w:hAnsi="Times New Roman"/>
          <w:sz w:val="18"/>
          <w:szCs w:val="18"/>
          <w:color w:val="auto"/>
        </w:rPr>
        <w:t>To date, all our revenue has solely been generated from the Novartis Agreement. We expect revenue will continue to fluctuate from period to period and there can be no assurance that we will generate other revenue, that we will enter into new collaborations, or that new or existing collaborations will continue beyond their initial terms or that we will be able to meet the milestones specified in these agreements.</w:t>
      </w:r>
    </w:p>
    <w:p>
      <w:pPr>
        <w:spacing w:after="0" w:line="176" w:lineRule="exact"/>
        <w:rPr>
          <w:sz w:val="20"/>
          <w:szCs w:val="20"/>
          <w:color w:val="auto"/>
        </w:rPr>
      </w:pPr>
    </w:p>
    <w:p>
      <w:pPr>
        <w:ind w:right="20" w:firstLine="482"/>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Our net losses were $16.5 million and $22.5 million for the three and nine months ended September 30, 2020, respectively, compared to losses of $13.3 million and $42.8 million for the three and nine months ended September 30, 2019, respectively. Our net loss was $0.6 million and $30.3 million for the years ended December 31, 2019 and December 31, 2018. As of September 30, 2020 and December 31, 2019, we had an accumulated deficit of $98.8 million and $76.3 million, respectively. We expect to continue to incur significant expenses and operating losses for the foreseeable future. In addition, we anticipate that our expenses will increase significantly in connection with our ongoing activities, as we:</w:t>
      </w:r>
    </w:p>
    <w:p>
      <w:pPr>
        <w:spacing w:after="0" w:line="79" w:lineRule="exact"/>
        <w:rPr>
          <w:sz w:val="20"/>
          <w:szCs w:val="20"/>
          <w:color w:val="auto"/>
        </w:rPr>
      </w:pPr>
    </w:p>
    <w:p>
      <w:pPr>
        <w:ind w:left="960" w:hanging="48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PLN-74809, through clinical development, and, if approved by the FDA, commercialization;</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other clinical programs through clinical development and our preclinical development programs into clinical development;</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identify and develop product candidates;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quality control and scientific personnel;</w:t>
      </w:r>
    </w:p>
    <w:p>
      <w:pPr>
        <w:spacing w:after="0" w:line="117" w:lineRule="exact"/>
        <w:rPr>
          <w:rFonts w:ascii="Times New Roman" w:cs="Times New Roman" w:eastAsia="Times New Roman" w:hAnsi="Times New Roman"/>
          <w:sz w:val="18"/>
          <w:szCs w:val="18"/>
          <w:color w:val="auto"/>
        </w:rPr>
      </w:pPr>
    </w:p>
    <w:p>
      <w:pPr>
        <w:ind w:left="960" w:right="180" w:hanging="480"/>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manufacturing and commercialization efforts and our operations as a public company;</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0" w:name="page31"/>
    <w:bookmarkEnd w:id="30"/>
    <w:p>
      <w:pPr>
        <w:ind w:left="960" w:right="80" w:hanging="480"/>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products for which we may obtain marketing approval and intend to commercialize on our own or jointly with third parties; and</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or product candidates.</w:t>
      </w:r>
    </w:p>
    <w:p>
      <w:pPr>
        <w:spacing w:after="0" w:line="225" w:lineRule="exact"/>
        <w:rPr>
          <w:sz w:val="20"/>
          <w:szCs w:val="20"/>
          <w:color w:val="auto"/>
        </w:rPr>
      </w:pPr>
    </w:p>
    <w:p>
      <w:pPr>
        <w:ind w:right="60" w:firstLine="482"/>
        <w:spacing w:after="0" w:line="261" w:lineRule="auto"/>
        <w:rPr>
          <w:sz w:val="20"/>
          <w:szCs w:val="20"/>
          <w:color w:val="auto"/>
        </w:rPr>
      </w:pPr>
      <w:r>
        <w:rPr>
          <w:rFonts w:ascii="Times New Roman" w:cs="Times New Roman" w:eastAsia="Times New Roman" w:hAnsi="Times New Roman"/>
          <w:sz w:val="18"/>
          <w:szCs w:val="18"/>
          <w:color w:val="auto"/>
        </w:rPr>
        <w:t>We will not generate revenue from product sales unless and until we successfully complete clinical development and obtain regulatory approval for PLN-74809 or any of our other product candidates. In addition, if we obtain regulatory approval for PLN-74809 or any of our other product candidates and do not enter into one or more collaborations with third-parties for commercialization, we expect to incur significant expenses related to developing our commercialization capability to support product sales, marketing and distribution activities.</w:t>
      </w:r>
    </w:p>
    <w:p>
      <w:pPr>
        <w:spacing w:after="0" w:line="180" w:lineRule="exact"/>
        <w:rPr>
          <w:sz w:val="20"/>
          <w:szCs w:val="20"/>
          <w:color w:val="auto"/>
        </w:rPr>
      </w:pPr>
    </w:p>
    <w:p>
      <w:pPr>
        <w:ind w:right="20" w:firstLine="482"/>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the economic and developmental uncertainty arising from the COVID-19 pandemic, we may be unable to accurately predict the timing or magnitude of all expenses. Even if we can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ind w:right="20" w:firstLine="482"/>
        <w:spacing w:after="0" w:line="252" w:lineRule="auto"/>
        <w:rPr>
          <w:sz w:val="20"/>
          <w:szCs w:val="20"/>
          <w:color w:val="auto"/>
        </w:rPr>
      </w:pPr>
      <w:r>
        <w:rPr>
          <w:rFonts w:ascii="Times New Roman" w:cs="Times New Roman" w:eastAsia="Times New Roman" w:hAnsi="Times New Roman"/>
          <w:sz w:val="18"/>
          <w:szCs w:val="18"/>
          <w:color w:val="auto"/>
        </w:rPr>
        <w:t>As of September 30, 2020, we had cash, cash equivalents and short-term investments of $294.0 million. We expect to continue to incur losses for the foreseeable future and will require additional financial resources to continue to advance our products and intellectual property. We believe that our existing cash, cash equivalents and short-term investments, will enable us to fund our operating expenses and capital expenditure requirements into 2023. As a result, we will need substantial additional funding to support our continuing operations and pursue our growth strategy. Until such time as we can generate significant revenue from product sales, if ever, we expect to finance our operations through a combination of public or private equity offerings and debt financings, government funding arrangements, collaborations, strategic alliances and marketing, distribution or licensing arrangements.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In March 2020, the World Health Organization declared the outbreak of a novel coronavirus, or COVID-19, as a pandemic, which continues to spread throughout the United States and worldwide. We could be materially and adversely affected by the risks, or the public perception of the risks, related to an epidemic, pandemic, outbreak, or other public health crisis, such as the recent outbreak of COVID-19. Among other things, our clinical trials have experienced delays, and may experience additional delays in the future, extending the timelines and increasing the overall costs to finish the clinical trials, as our fixed costs are not substantially reduced while the clinical trials are delayed. For example, the clinical site conducting our Phase 2a PET trial of PLN-74809 in IPF was closed to clinical research in March 2020, but resumed enrollment and trial activities in the third quarter of 2020. The ultimate extent of the impact of any epidemic, pandemic, outbreak, or other public health crisis on our business, financial condition and results of operations will depend on future developments, which are highly uncertain and cannot be predicted, including new information that may emerge concerning the severity of such epidemic, pandemic, outbreak, or other public health crisis and actions taken to contain or prevent the further spread, among others. Accordingly, we cannot predict the extent to which our business, financial condition and results of operations will be affected. We remain focused on maintaining a strong balance sheet, liquidity and financial flexibility and continue to monitor developments as we deal with the disruptions and uncertainties from a business and financial perspective relating to COVID-19.</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Revenue—Related Party</w:t>
      </w:r>
    </w:p>
    <w:p>
      <w:pPr>
        <w:spacing w:after="0" w:line="121" w:lineRule="exact"/>
        <w:rPr>
          <w:sz w:val="20"/>
          <w:szCs w:val="20"/>
          <w:color w:val="auto"/>
        </w:rPr>
      </w:pPr>
    </w:p>
    <w:p>
      <w:pPr>
        <w:ind w:right="120" w:firstLine="482"/>
        <w:spacing w:after="0" w:line="254" w:lineRule="auto"/>
        <w:rPr>
          <w:sz w:val="20"/>
          <w:szCs w:val="20"/>
          <w:color w:val="auto"/>
        </w:rPr>
      </w:pPr>
      <w:r>
        <w:rPr>
          <w:rFonts w:ascii="Times New Roman" w:cs="Times New Roman" w:eastAsia="Times New Roman" w:hAnsi="Times New Roman"/>
          <w:sz w:val="18"/>
          <w:szCs w:val="18"/>
          <w:color w:val="auto"/>
        </w:rPr>
        <w:t>In October 2019, we entered into the Novartis Agreement for the development and commercialization of our then preclinical product candidate, PLN-1474 and up to three additional integrin research targets. Under the terms of the Novartis Agreement, in December 2019, Novartis paid Pliant an upfront license fee payment of $50.0 million for the worldwide exclusive license to PLN-1474. Novartis will fund our research and development activities for PLN-1474 through Phase 1 after which Novartis will assume responsibility for all future development, manufacturing and commercialization of PLN-1474. Novartis will also fund the research and development activities associated with the integrin research targets as outlined in the Novartis Agreement. We are scheduled to receive up to $19.6 million in funding for PLN -1474 development services through Phase 1 and are expected to receive up to $13.4 million in funding for optional development and research services on the integrin research targets. The research and development funding payments are expected to be paid periodically throughout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2020, 2021 and 2022. We are eligible for milestone payments of up to $416.0 million in total, if defined developmental, regulatory and commercialization milestones are achieved, and tiered royalties on a product-by-product basis based on annual nets sales of products, at percentages ranging from high-single digits to low teens of the applicable licensed products and mid-single digits to high-single digits for any products resulting from the research programs.</w:t>
      </w:r>
    </w:p>
    <w:p>
      <w:pPr>
        <w:spacing w:after="0" w:line="158" w:lineRule="exact"/>
        <w:rPr>
          <w:sz w:val="20"/>
          <w:szCs w:val="20"/>
          <w:color w:val="auto"/>
        </w:rPr>
      </w:pPr>
    </w:p>
    <w:p>
      <w:pPr>
        <w:ind w:right="20" w:firstLine="482"/>
        <w:spacing w:after="0" w:line="258" w:lineRule="auto"/>
        <w:rPr>
          <w:sz w:val="20"/>
          <w:szCs w:val="20"/>
          <w:color w:val="auto"/>
        </w:rPr>
      </w:pPr>
      <w:r>
        <w:rPr>
          <w:rFonts w:ascii="Times New Roman" w:cs="Times New Roman" w:eastAsia="Times New Roman" w:hAnsi="Times New Roman"/>
          <w:sz w:val="18"/>
          <w:szCs w:val="18"/>
          <w:color w:val="auto"/>
        </w:rPr>
        <w:t>Revenue-related party was $4.8 million and $37.4 million for the three and nine months ended September 30, 2020, respectively, compared to no revenue for the three and nine months ended September 30, 2019, respectively. Novartis became a related party to us following its purchase of 10.9 million shares of our Series C redeemable convertible preferred stock on December 19, 2019 which were subsequently converted to common stock upon our IPO, along with the concurrent private placement of 625,000 shares upon our IPO, representing aggregate holdings of 6.1% and 7.4% of our outstanding shares of common stock on a fully diluted basis as of September 30, 2020 and December 31, 2019,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180" w:firstLine="482"/>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of expenses incurred in connection with the development of our product candidates. Research and development expenses include:</w:t>
      </w:r>
    </w:p>
    <w:p>
      <w:pPr>
        <w:spacing w:after="0" w:line="54" w:lineRule="exact"/>
        <w:rPr>
          <w:sz w:val="20"/>
          <w:szCs w:val="20"/>
          <w:color w:val="auto"/>
        </w:rPr>
      </w:pPr>
    </w:p>
    <w:p>
      <w:pPr>
        <w:ind w:left="960" w:hanging="48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which include salaries, benefits and stock-based compensation for our research and development personnel;</w:t>
      </w:r>
    </w:p>
    <w:p>
      <w:pPr>
        <w:spacing w:after="0" w:line="117" w:lineRule="exact"/>
        <w:rPr>
          <w:rFonts w:ascii="Times New Roman" w:cs="Times New Roman" w:eastAsia="Times New Roman" w:hAnsi="Times New Roman"/>
          <w:sz w:val="18"/>
          <w:szCs w:val="18"/>
          <w:color w:val="auto"/>
        </w:rPr>
      </w:pPr>
    </w:p>
    <w:p>
      <w:pPr>
        <w:ind w:left="960" w:right="560" w:hanging="480"/>
        <w:spacing w:after="0" w:line="282"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third-party contract organizations for pre-clinical studies, investigative clinical trial sites and consultants that conduct research and development activities on our behalf;</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clinical trials;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of laboratory equipment and costs of equipment and supplies;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technology and intellectual property licenses;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which include expenses for rent and other facility related costs and other supplies.</w:t>
      </w:r>
    </w:p>
    <w:p>
      <w:pPr>
        <w:spacing w:after="0" w:line="225" w:lineRule="exact"/>
        <w:rPr>
          <w:sz w:val="20"/>
          <w:szCs w:val="20"/>
          <w:color w:val="auto"/>
        </w:rPr>
      </w:pPr>
    </w:p>
    <w:p>
      <w:pPr>
        <w:ind w:right="400" w:firstLine="482"/>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for the three and nine months ended September 30, 2020 and 2019 (in thousands):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4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38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5"/>
        </w:trPr>
        <w:tc>
          <w:tcPr>
            <w:tcW w:w="5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Employee-related expenses</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10,697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shd w:val="clear" w:color="auto" w:fill="CFF0FC"/>
          </w:tcPr>
          <w:p>
            <w:pPr>
              <w:spacing w:after="0"/>
              <w:rPr>
                <w:sz w:val="19"/>
                <w:szCs w:val="19"/>
                <w:color w:val="auto"/>
              </w:rPr>
            </w:pPr>
          </w:p>
        </w:tc>
      </w:tr>
      <w:tr>
        <w:trPr>
          <w:trHeight w:val="211"/>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Outside and consulting services for preclinical studies and</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activities by third party</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organizations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17,151</w:t>
            </w:r>
          </w:p>
        </w:tc>
        <w:tc>
          <w:tcPr>
            <w:tcW w:w="100" w:type="dxa"/>
            <w:vAlign w:val="bottom"/>
          </w:tcPr>
          <w:p>
            <w:pPr>
              <w:spacing w:after="0"/>
              <w:rPr>
                <w:sz w:val="20"/>
                <w:szCs w:val="20"/>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Clinical trials expenses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4,957</w:t>
            </w:r>
          </w:p>
        </w:tc>
        <w:tc>
          <w:tcPr>
            <w:tcW w:w="100" w:type="dxa"/>
            <w:vAlign w:val="bottom"/>
            <w:shd w:val="clear" w:color="auto" w:fill="CFF0FC"/>
          </w:tcPr>
          <w:p>
            <w:pPr>
              <w:spacing w:after="0"/>
              <w:rPr>
                <w:sz w:val="19"/>
                <w:szCs w:val="19"/>
                <w:color w:val="auto"/>
              </w:rPr>
            </w:pPr>
          </w:p>
        </w:tc>
      </w:tr>
      <w:tr>
        <w:trPr>
          <w:trHeight w:val="211"/>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of lab equipment and costs of equipment</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supplies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20"/>
                <w:szCs w:val="20"/>
                <w:color w:val="auto"/>
              </w:rPr>
            </w:pPr>
          </w:p>
        </w:tc>
      </w:tr>
      <w:tr>
        <w:trPr>
          <w:trHeight w:val="229"/>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 and intellectual property licenses</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48,339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35,626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firstLine="482"/>
        <w:spacing w:after="0" w:line="266"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w:t>
      </w:r>
    </w:p>
    <w:p>
      <w:pPr>
        <w:spacing w:after="0" w:line="176" w:lineRule="exact"/>
        <w:rPr>
          <w:sz w:val="20"/>
          <w:szCs w:val="20"/>
          <w:color w:val="auto"/>
        </w:rPr>
      </w:pPr>
    </w:p>
    <w:p>
      <w:pPr>
        <w:ind w:firstLine="482"/>
        <w:spacing w:after="0" w:line="25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for the foreseeable future as we continue to invest in research and development activities related to developing our product candidates and our preclinical programs and as they advance into later stages of development.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5" w:right="379" w:bottom="1440" w:gutter="0" w:footer="0" w:header="0"/>
        </w:sectPr>
      </w:pPr>
    </w:p>
    <w:bookmarkStart w:id="32" w:name="page33"/>
    <w:bookmarkEnd w:id="32"/>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 costs, allocated facilities costs and other expenses for outside professional services, including legal, marketing, investor relations, human resource and accounting services. Personnel costs consist of salaries, benefits and stock-based compensation for our general and administrative personnel. We expect to incur additional expenses as a result of operating as a public company, including expenses related to compliance with the rules and regulations of the SEC, The Nasdaq Global Market, additional insurance expenses, investor relations activities and other administrative and professional services. We also expect to increase the size of our administrative function to support the growth of our business. In addition, if we obtain regulatory approval for any of our product candidates and do not enter into a third-party commercialization collaboration, we expect to incur significant expenses related to building a sales and marketing team to support product sales, marketing and distribution activities.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interest income consists of interest income earned on cash and cash equivalents, money market funds and short-term investments.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 w:firstLine="482"/>
        <w:spacing w:after="0" w:line="255" w:lineRule="auto"/>
        <w:rPr>
          <w:sz w:val="20"/>
          <w:szCs w:val="20"/>
          <w:color w:val="auto"/>
        </w:rPr>
      </w:pPr>
      <w:r>
        <w:rPr>
          <w:rFonts w:ascii="Times New Roman" w:cs="Times New Roman" w:eastAsia="Times New Roman" w:hAnsi="Times New Roman"/>
          <w:sz w:val="18"/>
          <w:szCs w:val="18"/>
          <w:color w:val="auto"/>
        </w:rPr>
        <w:t>As described above in “COVID 19 Pandemic”, the ultimate extent of the impact of any epidemic, pandemic, outbreak or other public health crisis on our results of operations will depend on future developments, which are highly uncertain, including new information that may emerge concerning the severity of the COVID-19 pandemic or other public health crisis and actions taken to contain or prevent the further spread, among others. Accordingly, we cannot fully predict the extent to which our business and results of operations will be affected; however, we expect the COVID-19 pandemic to impact our operations in several ways. Many clinical trial sites have been impacted by the pandemic, forcing them to delay enrollment in research trials, including ours. This will likely impact the speed of enrollment in our current trials. Additionally, the pandemic has limited our ability to perform basic science R&amp;D in our facilities due to government shelter-in-place orders, ultimately slowing, but not stopping, progress of several early stage projects.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2020 and 2019</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Revenue—related party</w:t>
            </w:r>
          </w:p>
        </w:tc>
        <w:tc>
          <w:tcPr>
            <w:tcW w:w="2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(16,884)</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(10,779)</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(6,105)</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230"/>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(4,591)</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(2,583)</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(2,008)</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77.7%</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(21,475)</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2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Results not meaningful</w:t>
      </w:r>
    </w:p>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Revenue - Related Party</w:t>
      </w:r>
    </w:p>
    <w:p>
      <w:pPr>
        <w:spacing w:after="0" w:line="119" w:lineRule="exact"/>
        <w:rPr>
          <w:sz w:val="20"/>
          <w:szCs w:val="20"/>
          <w:color w:val="auto"/>
        </w:rPr>
      </w:pPr>
    </w:p>
    <w:p>
      <w:pPr>
        <w:ind w:right="60" w:firstLine="482"/>
        <w:spacing w:after="0" w:line="256" w:lineRule="auto"/>
        <w:rPr>
          <w:sz w:val="20"/>
          <w:szCs w:val="20"/>
          <w:color w:val="auto"/>
        </w:rPr>
      </w:pPr>
      <w:r>
        <w:rPr>
          <w:rFonts w:ascii="Times New Roman" w:cs="Times New Roman" w:eastAsia="Times New Roman" w:hAnsi="Times New Roman"/>
          <w:sz w:val="18"/>
          <w:szCs w:val="18"/>
          <w:color w:val="auto"/>
        </w:rPr>
        <w:t>Revenue-related party consisted exclusively of revenue generated from the Novartis Agreement. Related party revenue was $4.8 million and none the three months ended September 30, 2020 and 2019, respectively. The increase of $4.8 million in revenue-related party for the three months ended September 30, 2020 compared to the same period in 2019 was due to $4.8 million in revenue generated from research and development services performed during the period. We anticipate revenue over the next several quarters will be derived primarily from the Novartis Agreement as we continue to recognize revenue-related party from research and development services and from the potential achievement of the Novartis Agreement’s developmental, regulatory and commercial milestones.</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80" w:firstLine="482"/>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were $16.9 million and $10.8 million for the three months ended September 30, 2020 and 2019, respectively. Research and development expenses increased by $6.1 million, or 56.6%, which was primarily due to $4.0 million of increased consulting and outside services costs, $1.0 million of increased compensation costs, $0.4 million of increased stock-based compensation costs and $0.7 million of increase for insurance expenses. Consulting and outside services costs increased due to increased PLN-74809 and PLN-1474 development activities. Compensation costs and stock-based compensation costs increased as a result of increased headcount. Insurance expenses increased due to additional costs for insurance as a public company.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3" w:name="page34"/>
    <w:bookmarkEnd w:id="33"/>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48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$4.6 million and $2.6 million for the three months ended September 30, 2020 and 2019, respectively. The increase of $2.0 million, or 77.7%, was primarily due to $0.9 million of increased professional and consulting costs, $0.4 million of increased compensation costs, $0.3 million of increased stock-based compensation costs, $0.2 million of increased insurance expenses, $0.2 million of increased recruiting expenses, and $0.1 million of increased charitable contributions, partially offset by a decrease of $0.1 million in travel expense. Compensation costs and stock-based compensation costs increased as a result of increased headcount. Professional and consulting costs increased primarily as a result of increased legal, marketing, investor relations and accounting fees. Insurance expenses increased due to additional costs for insurance as a public company. Travel expenses decreased primarily due to decreased executive travel as a result of the COVID-19 pandemic.</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income decreased by $0.1 million for the three months ended September 30, 2020, when compared to the three months ended September 30,</w:t>
      </w:r>
    </w:p>
    <w:p>
      <w:pPr>
        <w:spacing w:after="0" w:line="27"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2019. The decrease was primarily attributable lower interest rates in the three months ended September 30, 2020 when compared to the corresponding period in 2019.</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8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15"/>
                <w:szCs w:val="15"/>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Revenue—related party</w:t>
            </w: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37,352</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37,352</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2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(48,339)</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(35,626)</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(12,713)</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9"/>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(11,642)</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(7,827)</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(3,815)</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(59,981)</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(43,453)</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22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23"/>
        </w:trPr>
        <w:tc>
          <w:tcPr>
            <w:tcW w:w="5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2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(309)</w:t>
            </w:r>
          </w:p>
        </w:tc>
        <w:tc>
          <w:tcPr>
            <w:tcW w:w="1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9"/>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w:t>
            </w:r>
          </w:p>
        </w:tc>
        <w:tc>
          <w:tcPr>
            <w:tcW w:w="2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460.4%</w:t>
            </w:r>
          </w:p>
        </w:tc>
        <w:tc>
          <w:tcPr>
            <w:tcW w:w="0" w:type="dxa"/>
            <w:vAlign w:val="bottom"/>
          </w:tcPr>
          <w:p>
            <w:pPr>
              <w:spacing w:after="0"/>
              <w:rPr>
                <w:sz w:val="1"/>
                <w:szCs w:val="1"/>
                <w:color w:val="auto"/>
              </w:rPr>
            </w:pPr>
          </w:p>
        </w:tc>
      </w:tr>
      <w:tr>
        <w:trPr>
          <w:trHeight w:val="223"/>
        </w:trPr>
        <w:tc>
          <w:tcPr>
            <w:tcW w:w="51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Results not meaningful</w:t>
      </w:r>
    </w:p>
    <w:p>
      <w:pPr>
        <w:spacing w:after="0" w:line="3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Revenue - Related Party</w:t>
      </w:r>
    </w:p>
    <w:p>
      <w:pPr>
        <w:spacing w:after="0" w:line="119"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Revenue-related party of $37.4 million consisted exclusively of revenue generated from the Novartis Agreement. The increase of $37.4 million in revenue-related party for the nine months ended September 30, 2020 compared to the nine months ended September 30, 2019 was due to the recognition of related party revenue of $25.0 million for the milestone payment that was achieved with the first patient dosing under the Novartis agreement in the first quarter of 2020. In addition, we recognized revenue—related party of $12.4 million generated from research and development services performed during the period. Over the next several years, we expect our revenue will be derived primarily from the Novartis Agreement as we continue to recognize related party revenue from research and development services funding and from the potential achievement of the Novartis Agreement’s developmental, regulatory and commercial milestones.</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Research and development expenses were $48.3 million and $35.6 million for the nine months ended September 30, 2020 and 2019, respectively. Research and development expenses increased by $12.7 million, or 35.7%, which was primarily due to $6.3 million of increased consulting and outside services costs, $2.9 million of increased compensation costs, $0.6 million of increased stock-based compensation costs, $2.2 million in increased license fees, $0.9 million of increased insurance expense, and $0.1 million of increased depreciation expense, partially offset by a $0.3 million in decreased research studies expense and a decrease of $0.2 million in equipment and supplies expense. Consulting and outside services costs increased due to increased PLN-74809 and PLN-1474 development activities with external vendors. Compensation costs and stock-based compensation costs increased as a result of increased headcount. License fees increased due to the $2.4 milestone payment to the UC Regents in connection with our IPO in the second quarter of 2020. Insurance expenses increased due to additional costs for insurance as a public company. The decreases in equipment and supplies expense and research expenses is primarily due to delayed research related activities stemming from the Covid-19 pandemic.</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9" w:right="379" w:bottom="1440" w:gutter="0" w:footer="0" w:header="0"/>
        </w:sectPr>
      </w:pPr>
    </w:p>
    <w:bookmarkStart w:id="34" w:name="page35"/>
    <w:bookmarkEnd w:id="34"/>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482"/>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$11.6 million and $7.8 million for the nine months ended September 30, 2020 and 2019, respectively. The increase of $3.8 million, or 48.7%, was primarily due to $1.8 million of increased consulting and outside services costs, $1.0 million of increased compensation costs, $0.5 million of increased stock-based compensation expense, $0.5 million of increased charitable contributions and $0.2 million of increased insurance expenses, partially offset by $0.3 million decrease in travel expenses. Professional and consulting costs increased primarily as a result of increased legal, marketing, investor relations and accounting fees. Compensation costs and stock-based compensation costs increased as a result of increased headcount. Insurance expenses increased due to additional cost for insurance as a public company. Travel expenses decreased primarily due to decreased executive travel as a result of the COVID-19 pandemic.</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Interest income was $0.4 million and $0.7 million for the nine months ended September 30, 2020 and 2019, respectively. The decrease of $0.3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was primarily attributable to lower interest rates in the nine months ended September 30, 2020 when compared to the corresponding period in 2019.</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As of September 30, 2020, we had cash, cash equivalents and short-term investments of $294.0 million. This amount includes the net proceeds from our IPO in June 2020, in which we issued an aggregate of 10,350,000 shares of common stock, which included 9,000,000 shares of common shares and 1,350,000 shares of common stock sold pursuant to the underwriters’ exercise of their option to purchase additional shares, at an offering price of $16.00 per share. We received $148.3 million, net of underwriting discounts, commissions and offering expenses payable by us. We concurrently completed a private placement of 625,000 common shares to Novartis at a price of $16.00 per share for proceeds of $10.0 million. Our cash position as of September 30, 2020 also includes an additional $52.2 million from the issuance of an additional 28.5 million shares of our Series C redeemable convertible preferred stock in February of 2020, and reflects the achievement of the first patient dosing milestone of the Novartis Agreement that triggered the receipt of a $25.0 million payment which was received from Novartis in the second quarter of 2020.</w:t>
      </w:r>
    </w:p>
    <w:p>
      <w:pPr>
        <w:spacing w:after="0" w:line="192" w:lineRule="exact"/>
        <w:rPr>
          <w:sz w:val="20"/>
          <w:szCs w:val="20"/>
          <w:color w:val="auto"/>
        </w:rPr>
      </w:pPr>
    </w:p>
    <w:p>
      <w:pPr>
        <w:ind w:right="40" w:firstLine="482"/>
        <w:spacing w:after="0" w:line="266" w:lineRule="auto"/>
        <w:rPr>
          <w:sz w:val="20"/>
          <w:szCs w:val="20"/>
          <w:color w:val="auto"/>
        </w:rPr>
      </w:pPr>
      <w:r>
        <w:rPr>
          <w:rFonts w:ascii="Times New Roman" w:cs="Times New Roman" w:eastAsia="Times New Roman" w:hAnsi="Times New Roman"/>
          <w:sz w:val="18"/>
          <w:szCs w:val="18"/>
          <w:color w:val="auto"/>
        </w:rPr>
        <w:t>Due to the COVID-19 pandemic, our clinical trials with universities were temporarily delayed and our ability to identify and enroll patients in future clinical trials may become more difficult and costly. Our liquidity and capital resource evaluation includes an estimate of the financial impact of the delay in clinical trials and increased patient enrollment costs.</w:t>
      </w:r>
    </w:p>
    <w:p>
      <w:pPr>
        <w:spacing w:after="0" w:line="176" w:lineRule="exact"/>
        <w:rPr>
          <w:sz w:val="20"/>
          <w:szCs w:val="20"/>
          <w:color w:val="auto"/>
        </w:rPr>
      </w:pPr>
    </w:p>
    <w:p>
      <w:pPr>
        <w:ind w:right="320" w:firstLine="482"/>
        <w:spacing w:after="0" w:line="266" w:lineRule="auto"/>
        <w:rPr>
          <w:sz w:val="20"/>
          <w:szCs w:val="20"/>
          <w:color w:val="auto"/>
        </w:rPr>
      </w:pPr>
      <w:r>
        <w:rPr>
          <w:rFonts w:ascii="Times New Roman" w:cs="Times New Roman" w:eastAsia="Times New Roman" w:hAnsi="Times New Roman"/>
          <w:sz w:val="18"/>
          <w:szCs w:val="18"/>
          <w:color w:val="auto"/>
        </w:rPr>
        <w:t>Based on our current cash balance and our ability to control discretionary spending, such as research and development expenditures with outside service providers, we have evaluated and concluded our financial condition is sufficient to fund our planned operations, commitments and contractual obligations for a period of at least one year following the date that these financial statements are issued.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40" w:firstLine="482"/>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the following:</w:t>
      </w:r>
    </w:p>
    <w:p>
      <w:pPr>
        <w:spacing w:after="0" w:line="117" w:lineRule="exact"/>
        <w:rPr>
          <w:sz w:val="20"/>
          <w:szCs w:val="20"/>
          <w:color w:val="auto"/>
        </w:rPr>
      </w:pPr>
    </w:p>
    <w:p>
      <w:pPr>
        <w:ind w:left="960" w:hanging="48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these product candidates;</w:t>
      </w:r>
    </w:p>
    <w:p>
      <w:pPr>
        <w:spacing w:after="0" w:line="117" w:lineRule="exact"/>
        <w:rPr>
          <w:rFonts w:ascii="Times New Roman" w:cs="Times New Roman" w:eastAsia="Times New Roman" w:hAnsi="Times New Roman"/>
          <w:sz w:val="18"/>
          <w:szCs w:val="18"/>
          <w:color w:val="auto"/>
        </w:rPr>
      </w:pPr>
    </w:p>
    <w:p>
      <w:pPr>
        <w:ind w:left="960" w:right="160" w:hanging="48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 of our clinical trials and the overall costs to conduct and complete the clinical trials, which may be impacted by the COVID-19 pandemic;</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w:t>
      </w:r>
    </w:p>
    <w:p>
      <w:pPr>
        <w:spacing w:after="0" w:line="117" w:lineRule="exact"/>
        <w:rPr>
          <w:rFonts w:ascii="Times New Roman" w:cs="Times New Roman" w:eastAsia="Times New Roman" w:hAnsi="Times New Roman"/>
          <w:sz w:val="18"/>
          <w:szCs w:val="18"/>
          <w:color w:val="auto"/>
        </w:rPr>
      </w:pPr>
    </w:p>
    <w:p>
      <w:pPr>
        <w:ind w:left="960" w:right="220" w:hanging="48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U.S. Food and Drug Administration, or FDA, and other comparable foreign regulatory authorities;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enter into any collaboration agreements and the terms of any such agreements;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60" w:right="260" w:hanging="480"/>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 or our product candidates;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9" w:right="359" w:bottom="1440" w:gutter="0" w:footer="0" w:header="0"/>
        </w:sectPr>
      </w:pPr>
    </w:p>
    <w:bookmarkStart w:id="35" w:name="page36"/>
    <w:bookmarkEnd w:id="35"/>
    <w:p>
      <w:pPr>
        <w:ind w:left="960" w:hanging="480"/>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w:t>
      </w:r>
    </w:p>
    <w:p>
      <w:pPr>
        <w:spacing w:after="0" w:line="117" w:lineRule="exact"/>
        <w:rPr>
          <w:rFonts w:ascii="Times New Roman" w:cs="Times New Roman" w:eastAsia="Times New Roman" w:hAnsi="Times New Roman"/>
          <w:sz w:val="18"/>
          <w:szCs w:val="18"/>
          <w:color w:val="auto"/>
        </w:rPr>
      </w:pPr>
    </w:p>
    <w:p>
      <w:pPr>
        <w:ind w:left="960" w:right="20" w:hanging="480"/>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operating as a public company.</w:t>
      </w:r>
    </w:p>
    <w:p>
      <w:pPr>
        <w:spacing w:after="0" w:line="266" w:lineRule="exact"/>
        <w:rPr>
          <w:sz w:val="20"/>
          <w:szCs w:val="20"/>
          <w:color w:val="auto"/>
        </w:rPr>
      </w:pPr>
    </w:p>
    <w:p>
      <w:pPr>
        <w:ind w:right="100" w:firstLine="482"/>
        <w:spacing w:after="0" w:line="282" w:lineRule="auto"/>
        <w:rPr>
          <w:sz w:val="20"/>
          <w:szCs w:val="20"/>
          <w:color w:val="auto"/>
        </w:rPr>
      </w:pPr>
      <w:r>
        <w:rPr>
          <w:rFonts w:ascii="Times New Roman" w:cs="Times New Roman" w:eastAsia="Times New Roman" w:hAnsi="Times New Roman"/>
          <w:sz w:val="18"/>
          <w:szCs w:val="18"/>
          <w:color w:val="auto"/>
        </w:rPr>
        <w:t>Further, our operating plan may change, and we may need additional funds to meet operational needs and capital requirements for clinical trials and other research and development expenditures.</w:t>
      </w:r>
    </w:p>
    <w:p>
      <w:pPr>
        <w:spacing w:after="0" w:line="162"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arrangements. If we raise additional capital through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2020 and 2019</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summarizes our cash flows for the periods indicated (in thousands):</w:t>
      </w:r>
    </w:p>
    <w:p>
      <w:pPr>
        <w:spacing w:after="0" w:line="32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6"/>
        </w:trPr>
        <w:tc>
          <w:tcPr>
            <w:tcW w:w="53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(39,494)</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(222,772)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(8,750)</w:t>
            </w:r>
          </w:p>
        </w:tc>
      </w:tr>
      <w:tr>
        <w:trPr>
          <w:trHeight w:val="22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212,975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(1,292)</w:t>
            </w:r>
          </w:p>
        </w:tc>
      </w:tr>
      <w:tr>
        <w:trPr>
          <w:trHeight w:val="223"/>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(49,536)</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Operating Activities</w:t>
      </w:r>
    </w:p>
    <w:p>
      <w:pPr>
        <w:spacing w:after="0" w:line="121" w:lineRule="exact"/>
        <w:rPr>
          <w:sz w:val="20"/>
          <w:szCs w:val="20"/>
          <w:color w:val="auto"/>
        </w:rPr>
      </w:pPr>
    </w:p>
    <w:p>
      <w:pPr>
        <w:ind w:right="140" w:firstLine="482"/>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$20.8 million for the nine months ended September 30, 2020 and $39.5 million for the nine months ended September 30, 2019.</w:t>
      </w:r>
    </w:p>
    <w:p>
      <w:pPr>
        <w:spacing w:after="0" w:line="162" w:lineRule="exact"/>
        <w:rPr>
          <w:sz w:val="20"/>
          <w:szCs w:val="20"/>
          <w:color w:val="auto"/>
        </w:rPr>
      </w:pPr>
    </w:p>
    <w:p>
      <w:pPr>
        <w:ind w:right="100" w:firstLine="482"/>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in the nine months ended September 30, 2020 was primarily due to our net loss for the period of $22.5 million adjusted by non-cash charges of $3.3 million and net change of $1.6 million in our net operating assets and liabilities. The non-cash charges consisted of $0.9 million of depreciation expense and $2.4 million of stock-based compensation expense. The changes in our net operating assets and liabilities were primarily due to an increase of $4.8 million in prepaid expense and other current assets, partially offset by an increase of $1.8 million in accounts payable, an increase of $1.2 million in accrued expenses, and a decrease of $0.3 million in tax credit receivables.</w:t>
      </w:r>
    </w:p>
    <w:p>
      <w:pPr>
        <w:spacing w:after="0" w:line="183" w:lineRule="exact"/>
        <w:rPr>
          <w:sz w:val="20"/>
          <w:szCs w:val="20"/>
          <w:color w:val="auto"/>
        </w:rPr>
      </w:pPr>
    </w:p>
    <w:p>
      <w:pPr>
        <w:ind w:right="100" w:firstLine="482"/>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in the nine months ended September 30, 2019, was primarily due to our net loss for the year of $42.8 million adjusted by non-cash charges of $2.1 million and a net change of $1.2 million in our net operating assets and liabilities. The non-cash charges consisted of $0.8 million of depreciation expense and $1.3 million of stock-based compensation expense. The changes in our net operating assets and liabilities were primarily due to an increase of $2.6 million in accounts payable and accrued expenses, partially offset by an increase of $1.4 million in prepaid expenses and other non-current assets.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jc w:val="both"/>
        <w:ind w:right="340" w:firstLine="482"/>
        <w:spacing w:after="0" w:line="289" w:lineRule="auto"/>
        <w:rPr>
          <w:sz w:val="20"/>
          <w:szCs w:val="20"/>
          <w:color w:val="auto"/>
        </w:rPr>
      </w:pPr>
      <w:r>
        <w:rPr>
          <w:rFonts w:ascii="Times New Roman" w:cs="Times New Roman" w:eastAsia="Times New Roman" w:hAnsi="Times New Roman"/>
          <w:sz w:val="17"/>
          <w:szCs w:val="17"/>
          <w:color w:val="auto"/>
        </w:rPr>
        <w:t>During the nine months ended September 30, 2020 and 2019, cash used in investing activities was $222.8 million and $8.8 million, respectively. Cash used in investing activities for the nine months ended September 30, 2020 was primarily due to the purchase of short-term investments of $267.8 million and purchases of property, plant and equipment of $1.0 million, partially offset by $46.0 million in maturities of short-term investments.</w:t>
      </w:r>
    </w:p>
    <w:p>
      <w:pPr>
        <w:spacing w:after="0" w:line="158" w:lineRule="exact"/>
        <w:rPr>
          <w:sz w:val="20"/>
          <w:szCs w:val="20"/>
          <w:color w:val="auto"/>
        </w:rPr>
      </w:pPr>
    </w:p>
    <w:p>
      <w:pPr>
        <w:ind w:right="60" w:firstLine="482"/>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2019 was primarily due to the purchase of short-term investments of $34.8 million, purchases of property, plant and equipment of $0.8 million and accretion on short-term investments of $0.2 million, partially offset by $27.0 million in maturities on short-term investments.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Financing Activities</w:t>
      </w:r>
    </w:p>
    <w:p>
      <w:pPr>
        <w:spacing w:after="0" w:line="121" w:lineRule="exact"/>
        <w:rPr>
          <w:sz w:val="20"/>
          <w:szCs w:val="20"/>
          <w:color w:val="auto"/>
        </w:rPr>
      </w:pPr>
    </w:p>
    <w:p>
      <w:pPr>
        <w:ind w:right="100" w:firstLine="482"/>
        <w:spacing w:after="0" w:line="279" w:lineRule="auto"/>
        <w:rPr>
          <w:sz w:val="20"/>
          <w:szCs w:val="20"/>
          <w:color w:val="auto"/>
        </w:rPr>
      </w:pPr>
      <w:r>
        <w:rPr>
          <w:rFonts w:ascii="Times New Roman" w:cs="Times New Roman" w:eastAsia="Times New Roman" w:hAnsi="Times New Roman"/>
          <w:sz w:val="17"/>
          <w:szCs w:val="17"/>
          <w:color w:val="auto"/>
        </w:rPr>
        <w:t>During the nine months ended September 30, 2020, cash provided by financing activities was $213.0 million. Cash provided by financing activities for the nine months ended September 30, 2020 was primarily due to the net proceeds from issuance of common stock upon completion of our IPO of $150.8 million, issuance of common stock upon completion of the private placement with Novartis of $10.0 million, issuance our Series C convertible preferred stock net of issuance costs of $52.0 million, and the issuance of common stock upon the exercise of previously granted stock options of</w:t>
      </w:r>
    </w:p>
    <w:p>
      <w:pPr>
        <w:ind w:right="560"/>
        <w:spacing w:after="0" w:line="260" w:lineRule="auto"/>
        <w:rPr>
          <w:sz w:val="20"/>
          <w:szCs w:val="20"/>
          <w:color w:val="auto"/>
        </w:rPr>
      </w:pPr>
      <w:r>
        <w:rPr>
          <w:rFonts w:ascii="Times New Roman" w:cs="Times New Roman" w:eastAsia="Times New Roman" w:hAnsi="Times New Roman"/>
          <w:sz w:val="18"/>
          <w:szCs w:val="18"/>
          <w:color w:val="auto"/>
        </w:rPr>
        <w:t>$0.2 million. The net proceeds from the completion of the IPO of $150.8 million were comprised of our proceeds of $154.0 million, after deducting underwriting discounts and commissions, less offering expenses of $5.7 million, of which $3.1 million was paid in 2020.</w:t>
      </w:r>
    </w:p>
    <w:p>
      <w:pPr>
        <w:spacing w:after="0" w:line="181" w:lineRule="exact"/>
        <w:rPr>
          <w:sz w:val="20"/>
          <w:szCs w:val="20"/>
          <w:color w:val="auto"/>
        </w:rPr>
      </w:pPr>
    </w:p>
    <w:p>
      <w:pPr>
        <w:ind w:right="160" w:firstLine="482"/>
        <w:spacing w:after="0" w:line="282" w:lineRule="auto"/>
        <w:rPr>
          <w:sz w:val="20"/>
          <w:szCs w:val="20"/>
          <w:color w:val="auto"/>
        </w:rPr>
      </w:pPr>
      <w:r>
        <w:rPr>
          <w:rFonts w:ascii="Times New Roman" w:cs="Times New Roman" w:eastAsia="Times New Roman" w:hAnsi="Times New Roman"/>
          <w:sz w:val="18"/>
          <w:szCs w:val="18"/>
          <w:color w:val="auto"/>
        </w:rPr>
        <w:t>Cash used by financing activities for the nine months ended September 30, 2019 was $1.3 million which was primarily due to payment of deferred offering costs of $1.4 million, partially offset by $0.1 million of proceeds from the issuance of restricted common stock.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20" w:firstLine="482"/>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or holdings in any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121" w:lineRule="exact"/>
        <w:rPr>
          <w:sz w:val="20"/>
          <w:szCs w:val="20"/>
          <w:color w:val="auto"/>
        </w:rPr>
      </w:pPr>
    </w:p>
    <w:p>
      <w:pPr>
        <w:ind w:right="20" w:firstLine="482"/>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200" w:firstLine="482"/>
        <w:spacing w:after="0" w:line="312"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Note 2 to our financial statements appearing elsewhere in this Report, we believe that the following accounting policies are those most critical to the judgments and estimates used in the preparation of our financial statements.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160" w:firstLine="482"/>
        <w:spacing w:after="0" w:line="266" w:lineRule="auto"/>
        <w:rPr>
          <w:sz w:val="20"/>
          <w:szCs w:val="20"/>
          <w:color w:val="auto"/>
        </w:rPr>
      </w:pPr>
      <w:r>
        <w:rPr>
          <w:rFonts w:ascii="Times New Roman" w:cs="Times New Roman" w:eastAsia="Times New Roman" w:hAnsi="Times New Roman"/>
          <w:sz w:val="18"/>
          <w:szCs w:val="18"/>
          <w:color w:val="auto"/>
        </w:rPr>
        <w:t>As of September 30, 2020, all of our revenue to date has been generated from the Novartis Agreement. Effective January 1, 2018, we adopted the provisions of ASC Topic 606, Revenue from Contracts with Customers (“Topic 606”) using the full retrospective transition method. We did not have any prior collaboration agreements and did not recognize revenue during the year ended December 31, 2018.</w:t>
      </w:r>
    </w:p>
    <w:p>
      <w:pPr>
        <w:spacing w:after="0" w:line="176" w:lineRule="exact"/>
        <w:rPr>
          <w:sz w:val="20"/>
          <w:szCs w:val="20"/>
          <w:color w:val="auto"/>
        </w:rPr>
      </w:pPr>
    </w:p>
    <w:p>
      <w:pPr>
        <w:ind w:right="200" w:firstLine="482"/>
        <w:spacing w:after="0" w:line="272" w:lineRule="auto"/>
        <w:rPr>
          <w:sz w:val="20"/>
          <w:szCs w:val="20"/>
          <w:color w:val="auto"/>
        </w:rPr>
      </w:pPr>
      <w:r>
        <w:rPr>
          <w:rFonts w:ascii="Times New Roman" w:cs="Times New Roman" w:eastAsia="Times New Roman" w:hAnsi="Times New Roman"/>
          <w:sz w:val="17"/>
          <w:szCs w:val="17"/>
          <w:color w:val="auto"/>
        </w:rPr>
        <w:t>Under Topic 606, we recognize revenue when our customer obtains control of promised goods or services, in an amount that reflects the consideration which we expect to receive in exchange for those goods or services. To determine the appropriate amount of revenue to be recognized for arrangements determined to be within the scope of Topic 606, we perform the following five steps: (i) identification of the contract(s) with the customer,</w:t>
      </w:r>
    </w:p>
    <w:p>
      <w:pPr>
        <w:spacing w:after="0" w:line="2" w:lineRule="exact"/>
        <w:rPr>
          <w:sz w:val="20"/>
          <w:szCs w:val="20"/>
          <w:color w:val="auto"/>
        </w:rPr>
      </w:pPr>
    </w:p>
    <w:p>
      <w:pPr>
        <w:ind w:firstLine="8"/>
        <w:spacing w:after="0" w:line="253"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promised goods or services in the contract and determination of whether the promised goods or services are performance obligations, (iii) measurement of the transaction price, (iv) allocation of the transaction price to the performance obligations, and (v) recognition of revenue when (or as) we satisfy each performance obligation. We only apply the five-step model to contracts when it is probable that we will collect the consideration we are entitled to in exchange for the goods or services we transfer to our customer.</w:t>
      </w:r>
    </w:p>
    <w:p>
      <w:pPr>
        <w:spacing w:after="0" w:line="29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Identification of the Contracts with the Customers</w:t>
      </w:r>
    </w:p>
    <w:p>
      <w:pPr>
        <w:spacing w:after="0" w:line="119" w:lineRule="exact"/>
        <w:rPr>
          <w:sz w:val="20"/>
          <w:szCs w:val="20"/>
          <w:color w:val="auto"/>
        </w:rPr>
      </w:pPr>
    </w:p>
    <w:p>
      <w:pPr>
        <w:ind w:right="200" w:firstLine="482"/>
        <w:spacing w:after="0" w:line="282" w:lineRule="auto"/>
        <w:rPr>
          <w:sz w:val="20"/>
          <w:szCs w:val="20"/>
          <w:color w:val="auto"/>
        </w:rPr>
      </w:pPr>
      <w:r>
        <w:rPr>
          <w:rFonts w:ascii="Times New Roman" w:cs="Times New Roman" w:eastAsia="Times New Roman" w:hAnsi="Times New Roman"/>
          <w:sz w:val="18"/>
          <w:szCs w:val="18"/>
          <w:color w:val="auto"/>
        </w:rPr>
        <w:t>We evaluate every contract to determine whether it in its entirety or in part represent a contract with a customer, or a collaboration agreement and, based on this determination, apply appropriate accounting guidance.</w:t>
      </w:r>
    </w:p>
    <w:p>
      <w:pPr>
        <w:spacing w:after="0" w:line="162" w:lineRule="exact"/>
        <w:rPr>
          <w:sz w:val="20"/>
          <w:szCs w:val="20"/>
          <w:color w:val="auto"/>
        </w:rPr>
      </w:pPr>
    </w:p>
    <w:p>
      <w:pPr>
        <w:ind w:firstLine="482"/>
        <w:spacing w:after="0" w:line="258" w:lineRule="auto"/>
        <w:rPr>
          <w:sz w:val="20"/>
          <w:szCs w:val="20"/>
          <w:color w:val="auto"/>
        </w:rPr>
      </w:pPr>
      <w:r>
        <w:rPr>
          <w:rFonts w:ascii="Times New Roman" w:cs="Times New Roman" w:eastAsia="Times New Roman" w:hAnsi="Times New Roman"/>
          <w:sz w:val="18"/>
          <w:szCs w:val="18"/>
          <w:color w:val="auto"/>
        </w:rPr>
        <w:t>We account for a contract with a customer that is within the scope of Topic 606 when all of the following criteria are met: (i) the arrangement has been approved by the parties and the parties are committed to perform their respective obligations, (ii) each party’s rights regarding the goods or services to be transferred can be identified, (iii) the payment terms for the goods or services to be transferred can be identified, (iv) the arrangement has commercial substance and (v) collection of substantially all of the consideration to which we will be entitled in exchange for the goods or services that will be transferred to the customer is probable.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37" w:name="page38"/>
    <w:bookmarkEnd w:id="37"/>
    <w:p>
      <w:pPr>
        <w:ind w:left="480"/>
        <w:spacing w:after="0"/>
        <w:rPr>
          <w:sz w:val="20"/>
          <w:szCs w:val="20"/>
          <w:color w:val="auto"/>
        </w:rPr>
      </w:pPr>
      <w:r>
        <w:rPr>
          <w:rFonts w:ascii="Times New Roman" w:cs="Times New Roman" w:eastAsia="Times New Roman" w:hAnsi="Times New Roman"/>
          <w:sz w:val="18"/>
          <w:szCs w:val="18"/>
          <w:i w:val="1"/>
          <w:iCs w:val="1"/>
          <w:color w:val="auto"/>
        </w:rPr>
        <w:t>Identification of the Performance Obligations</w:t>
      </w:r>
    </w:p>
    <w:p>
      <w:pPr>
        <w:spacing w:after="0" w:line="119" w:lineRule="exact"/>
        <w:rPr>
          <w:sz w:val="20"/>
          <w:szCs w:val="20"/>
          <w:color w:val="auto"/>
        </w:rPr>
      </w:pPr>
    </w:p>
    <w:p>
      <w:pPr>
        <w:ind w:right="100" w:firstLine="482"/>
        <w:spacing w:after="0" w:line="253" w:lineRule="auto"/>
        <w:rPr>
          <w:sz w:val="20"/>
          <w:szCs w:val="20"/>
          <w:color w:val="auto"/>
        </w:rPr>
      </w:pPr>
      <w:r>
        <w:rPr>
          <w:rFonts w:ascii="Times New Roman" w:cs="Times New Roman" w:eastAsia="Times New Roman" w:hAnsi="Times New Roman"/>
          <w:sz w:val="18"/>
          <w:szCs w:val="18"/>
          <w:color w:val="auto"/>
        </w:rPr>
        <w:t>The promised goods or services in our collaboration and option arrangements consist of research and development services. The arrangements also have options for additional items (i.e., license rights). Options are considered to be marketing offers and are to be accounted for as separate contracts when the customer elects such options, unless we determine the option provides a material right which would not be provided without entering into the contract. The determination as to whether such options are material rights requires significant management judgment, and management considers factors such as other similar arrangements, market data and the terms of the contractual arrangement to make such conclusion. Performance obligations are promised goods or services in a contract to transfer a distinct good or service to the customer.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we consider factors such as the stage of development of the underlying intellectual property, the capabilities of our customer to develop the intellectual property on their own and whether the required expertise is readily available.</w:t>
      </w:r>
    </w:p>
    <w:p>
      <w:pPr>
        <w:spacing w:after="0" w:line="3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Determination of the Transaction Price</w:t>
      </w:r>
    </w:p>
    <w:p>
      <w:pPr>
        <w:spacing w:after="0" w:line="119" w:lineRule="exact"/>
        <w:rPr>
          <w:sz w:val="20"/>
          <w:szCs w:val="20"/>
          <w:color w:val="auto"/>
        </w:rPr>
      </w:pPr>
    </w:p>
    <w:p>
      <w:pPr>
        <w:ind w:right="120" w:firstLine="482"/>
        <w:spacing w:after="0" w:line="258" w:lineRule="auto"/>
        <w:rPr>
          <w:sz w:val="20"/>
          <w:szCs w:val="20"/>
          <w:color w:val="auto"/>
        </w:rPr>
      </w:pPr>
      <w:r>
        <w:rPr>
          <w:rFonts w:ascii="Times New Roman" w:cs="Times New Roman" w:eastAsia="Times New Roman" w:hAnsi="Times New Roman"/>
          <w:sz w:val="18"/>
          <w:szCs w:val="18"/>
          <w:color w:val="auto"/>
        </w:rPr>
        <w:t>We estimate the transaction price based on the amount of consideration we expect to receive for transferring the promised goods or services in the contract. The consideration may include both fixed consideration and variable consideration. At the inception of each arrangement that includes variable consideration, we evaluate the amount of the potential payments and the likelihood that the payments will be received. We utilize either the most likely amount method or expected value method to estimate the transaction price based on which method better predicts the amount of consideration expected to be received. If it is probable that a significant revenue reversal would not occur, the variable consideration is included in the transaction price.</w:t>
      </w:r>
    </w:p>
    <w:p>
      <w:pPr>
        <w:spacing w:after="0" w:line="183" w:lineRule="exact"/>
        <w:rPr>
          <w:sz w:val="20"/>
          <w:szCs w:val="20"/>
          <w:color w:val="auto"/>
        </w:rPr>
      </w:pPr>
    </w:p>
    <w:p>
      <w:pPr>
        <w:ind w:right="60" w:firstLine="482"/>
        <w:spacing w:after="0" w:line="282" w:lineRule="auto"/>
        <w:rPr>
          <w:sz w:val="20"/>
          <w:szCs w:val="20"/>
          <w:color w:val="auto"/>
        </w:rPr>
      </w:pPr>
      <w:r>
        <w:rPr>
          <w:rFonts w:ascii="Times New Roman" w:cs="Times New Roman" w:eastAsia="Times New Roman" w:hAnsi="Times New Roman"/>
          <w:sz w:val="18"/>
          <w:szCs w:val="18"/>
          <w:color w:val="auto"/>
        </w:rPr>
        <w:t>All contingent future payments, which include research, development, regulatory, and sales-based royalty payments, have not been considered in the initial analysis, as they are contingent upon option(s) being exercised or are subject to significant risk of achievement.</w:t>
      </w: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Allocation of Transaction Price</w:t>
      </w:r>
    </w:p>
    <w:p>
      <w:pPr>
        <w:spacing w:after="0" w:line="119" w:lineRule="exact"/>
        <w:rPr>
          <w:sz w:val="20"/>
          <w:szCs w:val="20"/>
          <w:color w:val="auto"/>
        </w:rPr>
      </w:pPr>
    </w:p>
    <w:p>
      <w:pPr>
        <w:ind w:right="40" w:firstLine="482"/>
        <w:spacing w:after="0" w:line="256" w:lineRule="auto"/>
        <w:rPr>
          <w:sz w:val="20"/>
          <w:szCs w:val="20"/>
          <w:color w:val="auto"/>
        </w:rPr>
      </w:pPr>
      <w:r>
        <w:rPr>
          <w:rFonts w:ascii="Times New Roman" w:cs="Times New Roman" w:eastAsia="Times New Roman" w:hAnsi="Times New Roman"/>
          <w:sz w:val="18"/>
          <w:szCs w:val="18"/>
          <w:color w:val="auto"/>
        </w:rPr>
        <w:t>We allocate the transaction price based on the estimated standalone selling price. We must develop assumptions that require judgment to determine the standalone selling price for each performance obligation identified in the contract. We utilize key assumptions to determine the standalone selling price, which may include other comparable transactions, pricing considered in negotiating the transaction, and the estimated costs.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we would expect to receive for satisfying each performance obligation.</w:t>
      </w:r>
    </w:p>
    <w:p>
      <w:pPr>
        <w:spacing w:after="0" w:line="2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Recognition of Revenue</w:t>
      </w:r>
    </w:p>
    <w:p>
      <w:pPr>
        <w:spacing w:after="0" w:line="119" w:lineRule="exact"/>
        <w:rPr>
          <w:sz w:val="20"/>
          <w:szCs w:val="20"/>
          <w:color w:val="auto"/>
        </w:rPr>
      </w:pPr>
    </w:p>
    <w:p>
      <w:pPr>
        <w:ind w:right="20" w:firstLine="482"/>
        <w:spacing w:after="0" w:line="261" w:lineRule="auto"/>
        <w:rPr>
          <w:sz w:val="20"/>
          <w:szCs w:val="20"/>
          <w:color w:val="auto"/>
        </w:rPr>
      </w:pPr>
      <w:r>
        <w:rPr>
          <w:rFonts w:ascii="Times New Roman" w:cs="Times New Roman" w:eastAsia="Times New Roman" w:hAnsi="Times New Roman"/>
          <w:sz w:val="18"/>
          <w:szCs w:val="18"/>
          <w:color w:val="auto"/>
        </w:rPr>
        <w:t>We considered the license to PLN-1474 as functional intellectual property, as when control of the license was transferred to Novartis at the inception of the Novartis Agreement, Novartis had the right to access its technology and it was functional. The license was distinct from the research and development services as the services are not transformative in nature. As such, under Topic 606, the Company determined the $50.0 million was standalone selling price PLN-1474 license and was recorded to revenue at the inception of the Novartis Agreement.</w:t>
      </w:r>
    </w:p>
    <w:p>
      <w:pPr>
        <w:spacing w:after="0" w:line="180" w:lineRule="exact"/>
        <w:rPr>
          <w:sz w:val="20"/>
          <w:szCs w:val="20"/>
          <w:color w:val="auto"/>
        </w:rPr>
      </w:pPr>
    </w:p>
    <w:p>
      <w:pPr>
        <w:ind w:right="620" w:firstLine="482"/>
        <w:spacing w:after="0" w:line="282" w:lineRule="auto"/>
        <w:rPr>
          <w:sz w:val="20"/>
          <w:szCs w:val="20"/>
          <w:color w:val="auto"/>
        </w:rPr>
      </w:pPr>
      <w:r>
        <w:rPr>
          <w:rFonts w:ascii="Times New Roman" w:cs="Times New Roman" w:eastAsia="Times New Roman" w:hAnsi="Times New Roman"/>
          <w:sz w:val="18"/>
          <w:szCs w:val="18"/>
          <w:color w:val="auto"/>
        </w:rPr>
        <w:t>We recognize revenue as we perform the research and development services based on an input method, as such costs have direct relationship between our effort and the progress made towards satisfying its performance obligations to Novartis.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21" w:lineRule="exact"/>
        <w:rPr>
          <w:sz w:val="20"/>
          <w:szCs w:val="20"/>
          <w:color w:val="auto"/>
        </w:rPr>
      </w:pPr>
    </w:p>
    <w:p>
      <w:pPr>
        <w:ind w:right="20" w:firstLine="482"/>
        <w:spacing w:after="0" w:line="255" w:lineRule="auto"/>
        <w:rPr>
          <w:sz w:val="20"/>
          <w:szCs w:val="20"/>
          <w:color w:val="auto"/>
        </w:rPr>
      </w:pPr>
      <w:r>
        <w:rPr>
          <w:rFonts w:ascii="Times New Roman" w:cs="Times New Roman" w:eastAsia="Times New Roman" w:hAnsi="Times New Roman"/>
          <w:sz w:val="18"/>
          <w:szCs w:val="18"/>
          <w:color w:val="auto"/>
        </w:rPr>
        <w:t>We record accrued expenses for estimated costs of our research and development activities conducted by third-party service providers, which include the conduct of clinical studies and preclinical studies. We record the estimated costs of research and development activities based upon the estimated amount of services provided but not yet invoiced and include these costs in accrued liabilities in the balance sheets and within research and development expense in the statements of operations and comprehensive loss. These costs are a significant component of our research and development expenses. We record accrued expenses for these costs based on factors such as estimates of the work completed and in accordance with agreements established with these third-party service providers. Any payments made in advance of services provided are recorded as prepaid assets, which are expensed as the contracted services are performed.</w:t>
      </w:r>
    </w:p>
    <w:p>
      <w:pPr>
        <w:spacing w:after="0" w:line="189"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balance in each reporting period. As actual costs become known, we adjust our accrued estimates. Our accrued expenses are dependent, in part, upon the receipt of timely and accurate reporting from clinical research organizations and other third-party service providers. If we underestimate or overestimate the level of services performed or the costs of these services, our accrued expenses could differ from our estimates. For the periods presented, we have experienced no material differences between our accrued expenses and actual expenses.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482"/>
        <w:spacing w:after="0" w:line="261" w:lineRule="auto"/>
        <w:rPr>
          <w:sz w:val="20"/>
          <w:szCs w:val="20"/>
          <w:color w:val="auto"/>
        </w:rPr>
      </w:pPr>
      <w:r>
        <w:rPr>
          <w:rFonts w:ascii="Times New Roman" w:cs="Times New Roman" w:eastAsia="Times New Roman" w:hAnsi="Times New Roman"/>
          <w:sz w:val="18"/>
          <w:szCs w:val="18"/>
          <w:color w:val="auto"/>
        </w:rPr>
        <w:t>We recognize compensation costs related to stock awards, stock options and ESPP awards granted to employees, nonemployees and directors based on the estimated fair value of the awards on the date of grant. We estimate the grant date fair value and the resulting stock-based compensation expense, using the Black-Scholes option-pricing model. The grant date fair value of the stock-based awards is recognized over the requisite service periods, which is generally on a straight-line of the awards. Forfeitures are accounted for as they occur.</w:t>
      </w:r>
    </w:p>
    <w:p>
      <w:pPr>
        <w:spacing w:after="0" w:line="180" w:lineRule="exact"/>
        <w:rPr>
          <w:sz w:val="20"/>
          <w:szCs w:val="20"/>
          <w:color w:val="auto"/>
        </w:rPr>
      </w:pPr>
    </w:p>
    <w:p>
      <w:pPr>
        <w:ind w:right="60" w:firstLine="482"/>
        <w:spacing w:after="0" w:line="282" w:lineRule="auto"/>
        <w:rPr>
          <w:sz w:val="20"/>
          <w:szCs w:val="20"/>
          <w:color w:val="auto"/>
        </w:rPr>
      </w:pPr>
      <w:r>
        <w:rPr>
          <w:rFonts w:ascii="Times New Roman" w:cs="Times New Roman" w:eastAsia="Times New Roman" w:hAnsi="Times New Roman"/>
          <w:sz w:val="18"/>
          <w:szCs w:val="18"/>
          <w:color w:val="auto"/>
        </w:rPr>
        <w:t>The Black-Scholes option-pricing model requires the use of subjective assumptions which determine the fair value of stock-based awards, including the expected term and the price volatility of the underlying stock. These assumptions include:</w:t>
      </w:r>
    </w:p>
    <w:p>
      <w:pPr>
        <w:spacing w:after="0" w:line="52" w:lineRule="exact"/>
        <w:rPr>
          <w:sz w:val="20"/>
          <w:szCs w:val="20"/>
          <w:color w:val="auto"/>
        </w:rPr>
      </w:pPr>
    </w:p>
    <w:p>
      <w:pPr>
        <w:ind w:left="960" w:hanging="480"/>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—See “Determination of the Fair Value of Our Common Stock” below.</w:t>
      </w:r>
    </w:p>
    <w:p>
      <w:pPr>
        <w:spacing w:after="0" w:line="117" w:lineRule="exact"/>
        <w:rPr>
          <w:rFonts w:ascii="Times New Roman" w:cs="Times New Roman" w:eastAsia="Times New Roman" w:hAnsi="Times New Roman"/>
          <w:sz w:val="18"/>
          <w:szCs w:val="18"/>
          <w:color w:val="auto"/>
        </w:rPr>
      </w:pPr>
    </w:p>
    <w:p>
      <w:pPr>
        <w:jc w:val="both"/>
        <w:ind w:left="960" w:right="160" w:hanging="480"/>
        <w:spacing w:after="0" w:line="267"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the period that the stock-based awards are expected to be outstanding. The expected term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stock options was calculated based on the weighted-average vesting term of the awards and the contract period, or simplified method, as allowed by the SEC. The expected term for the ESPP is the offering period.</w:t>
      </w:r>
    </w:p>
    <w:p>
      <w:pPr>
        <w:spacing w:after="0" w:line="65" w:lineRule="exact"/>
        <w:rPr>
          <w:rFonts w:ascii="Times New Roman" w:cs="Times New Roman" w:eastAsia="Times New Roman" w:hAnsi="Times New Roman"/>
          <w:sz w:val="18"/>
          <w:szCs w:val="18"/>
          <w:color w:val="auto"/>
        </w:rPr>
      </w:pPr>
    </w:p>
    <w:p>
      <w:pPr>
        <w:ind w:left="960" w:hanging="480"/>
        <w:spacing w:after="0" w:line="258"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—Prior to the company being public, the Company did not have any trading history for our common stock, the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volatility was estimated based on the average historical volatilities of common stock of comparable publicly traded entities over a period equal to the expected term of the stock option grants. The comparable companies were chosen based on their size, stage in the life cycle or area of specialty. As the Company went public in June 2020, we will continue to apply this process for stock options and ESPP awards until enough historical information regarding the volatility of its stock price becomes available.</w:t>
      </w:r>
    </w:p>
    <w:p>
      <w:pPr>
        <w:spacing w:after="0" w:line="75" w:lineRule="exact"/>
        <w:rPr>
          <w:rFonts w:ascii="Times New Roman" w:cs="Times New Roman" w:eastAsia="Times New Roman" w:hAnsi="Times New Roman"/>
          <w:sz w:val="18"/>
          <w:szCs w:val="18"/>
          <w:color w:val="auto"/>
        </w:rPr>
      </w:pPr>
    </w:p>
    <w:p>
      <w:pPr>
        <w:ind w:left="960" w:right="540" w:hanging="480"/>
        <w:spacing w:after="0" w:line="284"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in effect at the time of grant for zero-coupon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Treasury notes with maturities approximately equal to the expected term of the awards.</w:t>
      </w:r>
    </w:p>
    <w:p>
      <w:pPr>
        <w:spacing w:after="0" w:line="50" w:lineRule="exact"/>
        <w:rPr>
          <w:rFonts w:ascii="Times New Roman" w:cs="Times New Roman" w:eastAsia="Times New Roman" w:hAnsi="Times New Roman"/>
          <w:sz w:val="18"/>
          <w:szCs w:val="18"/>
          <w:color w:val="auto"/>
        </w:rPr>
      </w:pPr>
    </w:p>
    <w:p>
      <w:pPr>
        <w:ind w:left="960" w:right="760" w:hanging="480"/>
        <w:spacing w:after="0" w:line="284"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dividend</w:t>
      </w:r>
      <w:r>
        <w:rPr>
          <w:rFonts w:ascii="Times New Roman" w:cs="Times New Roman" w:eastAsia="Times New Roman" w:hAnsi="Times New Roman"/>
          <w:sz w:val="18"/>
          <w:szCs w:val="18"/>
          <w:color w:val="auto"/>
        </w:rPr>
        <w:t>—We have never paid dividends on our common stock and have no plans to pay dividends on our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we used an expected dividend yield of zero.</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Our Common Stock</w:t>
      </w:r>
    </w:p>
    <w:p>
      <w:pPr>
        <w:spacing w:after="0" w:line="121" w:lineRule="exact"/>
        <w:rPr>
          <w:sz w:val="20"/>
          <w:szCs w:val="20"/>
          <w:color w:val="auto"/>
        </w:rPr>
      </w:pPr>
    </w:p>
    <w:p>
      <w:pPr>
        <w:ind w:right="80" w:firstLine="482"/>
        <w:spacing w:after="0" w:line="274" w:lineRule="auto"/>
        <w:rPr>
          <w:sz w:val="20"/>
          <w:szCs w:val="20"/>
          <w:color w:val="auto"/>
        </w:rPr>
      </w:pPr>
      <w:r>
        <w:rPr>
          <w:rFonts w:ascii="Times New Roman" w:cs="Times New Roman" w:eastAsia="Times New Roman" w:hAnsi="Times New Roman"/>
          <w:sz w:val="17"/>
          <w:szCs w:val="17"/>
          <w:color w:val="auto"/>
        </w:rPr>
        <w:t xml:space="preserve">Given the absence of a public trading market for our common stock historically prior to our IPO, the estimated fair value of our common stock has been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w:t>
      </w:r>
      <w:r>
        <w:rPr>
          <w:rFonts w:ascii="Times New Roman" w:cs="Times New Roman" w:eastAsia="Times New Roman" w:hAnsi="Times New Roman"/>
          <w:sz w:val="17"/>
          <w:szCs w:val="17"/>
          <w:i w:val="1"/>
          <w:iCs w:val="1"/>
          <w:color w:val="auto"/>
        </w:rPr>
        <w:t>Valuation of Privately-Held-Company Equity Securities Issued as Compensation</w:t>
      </w:r>
      <w:r>
        <w:rPr>
          <w:rFonts w:ascii="Times New Roman" w:cs="Times New Roman" w:eastAsia="Times New Roman" w:hAnsi="Times New Roman"/>
          <w:sz w:val="17"/>
          <w:szCs w:val="17"/>
          <w:color w:val="auto"/>
        </w:rPr>
        <w:t>. Following our IPO, we use our stock price traded on NASAQ to determine its fair value.</w:t>
      </w:r>
    </w:p>
    <w:p>
      <w:pPr>
        <w:spacing w:after="0" w:line="173" w:lineRule="exact"/>
        <w:rPr>
          <w:sz w:val="20"/>
          <w:szCs w:val="20"/>
          <w:color w:val="auto"/>
        </w:rPr>
      </w:pPr>
    </w:p>
    <w:p>
      <w:pPr>
        <w:ind w:right="140" w:firstLine="482"/>
        <w:spacing w:after="0" w:line="261" w:lineRule="auto"/>
        <w:rPr>
          <w:sz w:val="20"/>
          <w:szCs w:val="20"/>
          <w:color w:val="auto"/>
        </w:rPr>
      </w:pPr>
      <w:r>
        <w:rPr>
          <w:rFonts w:ascii="Times New Roman" w:cs="Times New Roman" w:eastAsia="Times New Roman" w:hAnsi="Times New Roman"/>
          <w:sz w:val="18"/>
          <w:szCs w:val="18"/>
          <w:color w:val="auto"/>
        </w:rPr>
        <w:t>For stock awards and options granted in 2018 and 2019, we considered the use of the Income and Market approaches. Under the income approach, the cash generating ability of the company is valued. This approach focuses on determining a forecast benefit stream that is reflective of the subject company’s most likely future performance. The forecast benefit stream is then discounted to present value based on the appropriate risk-adjusted discount rate or capitalization rate.</w:t>
      </w:r>
    </w:p>
    <w:p>
      <w:pPr>
        <w:spacing w:after="0" w:line="180" w:lineRule="exact"/>
        <w:rPr>
          <w:sz w:val="20"/>
          <w:szCs w:val="20"/>
          <w:color w:val="auto"/>
        </w:rPr>
      </w:pPr>
    </w:p>
    <w:p>
      <w:pPr>
        <w:ind w:right="300" w:firstLine="482"/>
        <w:spacing w:after="0" w:line="258" w:lineRule="auto"/>
        <w:rPr>
          <w:sz w:val="20"/>
          <w:szCs w:val="20"/>
          <w:color w:val="auto"/>
        </w:rPr>
      </w:pPr>
      <w:r>
        <w:rPr>
          <w:rFonts w:ascii="Times New Roman" w:cs="Times New Roman" w:eastAsia="Times New Roman" w:hAnsi="Times New Roman"/>
          <w:sz w:val="18"/>
          <w:szCs w:val="18"/>
          <w:color w:val="auto"/>
        </w:rPr>
        <w:t>Under the Market approach, we referenced actual transactions involving our company or similar assets and/or enterprises. The Market approach generally consists of two primary methodologies: The Guideline Comparables Method, or GCM and the Guideline Transaction Method, or GTM. The GCM involves identifying and selecting publicly traded companies or guideline public companies, or Guideline Public Companies, with financial and operating characteristics like the subject being valued, and subsequently deriving multiples and other metrics from such Guideline Public Companies to apply to the subject being valued.</w:t>
      </w:r>
    </w:p>
    <w:p>
      <w:pPr>
        <w:spacing w:after="0" w:line="183" w:lineRule="exact"/>
        <w:rPr>
          <w:sz w:val="20"/>
          <w:szCs w:val="20"/>
          <w:color w:val="auto"/>
        </w:rPr>
      </w:pPr>
    </w:p>
    <w:p>
      <w:pPr>
        <w:ind w:right="120" w:firstLine="482"/>
        <w:spacing w:after="0" w:line="261" w:lineRule="auto"/>
        <w:rPr>
          <w:sz w:val="20"/>
          <w:szCs w:val="20"/>
          <w:color w:val="auto"/>
        </w:rPr>
      </w:pPr>
      <w:r>
        <w:rPr>
          <w:rFonts w:ascii="Times New Roman" w:cs="Times New Roman" w:eastAsia="Times New Roman" w:hAnsi="Times New Roman"/>
          <w:sz w:val="18"/>
          <w:szCs w:val="18"/>
          <w:color w:val="auto"/>
        </w:rPr>
        <w:t>Taking the stage of our development into consideration and expected liquidity events into account, we elected not to rely upon a pure application of the Income or Market valuation approaches. We determined that the PWERM was more appropriate to value our equity classes as the approach is based upon an analysis of future values for the entire enterprise assuming various future outcomes. We did consider elements of the Income and Market approaches for gauging the appropriateness of certain PWERM inputs and assumptions.</w:t>
      </w:r>
    </w:p>
    <w:p>
      <w:pPr>
        <w:spacing w:after="0" w:line="180" w:lineRule="exact"/>
        <w:rPr>
          <w:sz w:val="20"/>
          <w:szCs w:val="20"/>
          <w:color w:val="auto"/>
        </w:rPr>
      </w:pPr>
    </w:p>
    <w:p>
      <w:pPr>
        <w:ind w:right="80" w:firstLine="482"/>
        <w:spacing w:after="0" w:line="312" w:lineRule="auto"/>
        <w:rPr>
          <w:sz w:val="20"/>
          <w:szCs w:val="20"/>
          <w:color w:val="auto"/>
        </w:rPr>
      </w:pPr>
      <w:r>
        <w:rPr>
          <w:rFonts w:ascii="Times New Roman" w:cs="Times New Roman" w:eastAsia="Times New Roman" w:hAnsi="Times New Roman"/>
          <w:sz w:val="17"/>
          <w:szCs w:val="17"/>
          <w:color w:val="auto"/>
        </w:rPr>
        <w:t>In addition to considering the results of these third-party valuations, our board of directors considered various objective and subjective factors to determine the fair value of our common stock as of each grant date, which may be as a date later than the most recent third-party valuation date, including:</w:t>
      </w:r>
    </w:p>
    <w:p>
      <w:pPr>
        <w:spacing w:after="0" w:line="32" w:lineRule="exact"/>
        <w:rPr>
          <w:sz w:val="20"/>
          <w:szCs w:val="20"/>
          <w:color w:val="auto"/>
        </w:rPr>
      </w:pPr>
    </w:p>
    <w:p>
      <w:pPr>
        <w:ind w:left="960" w:right="340" w:hanging="480"/>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shares of preferred stock and the superior rights and preferences of the preferred stock relative to our common stock at the time of each grant;</w:t>
      </w:r>
    </w:p>
    <w:p>
      <w:pPr>
        <w:spacing w:after="0" w:line="53" w:lineRule="exact"/>
        <w:rPr>
          <w:rFonts w:ascii="Times New Roman" w:cs="Times New Roman" w:eastAsia="Times New Roman" w:hAnsi="Times New Roman"/>
          <w:sz w:val="18"/>
          <w:szCs w:val="18"/>
          <w:color w:val="auto"/>
        </w:rPr>
      </w:pPr>
    </w:p>
    <w:p>
      <w:pPr>
        <w:ind w:left="960" w:right="680" w:hanging="480"/>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programs, including the status of pre-clinical and planned clinical trials for our product candidates;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commercialization and our business strategy;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39" w:name="page40"/>
    <w:bookmarkEnd w:id="39"/>
    <w:p>
      <w:pPr>
        <w:ind w:left="960" w:hanging="48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biotechnology industry, and trends within the biotechnology industry;</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position, including cash on hand, and our historical and forecasted performance and operating results;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an active public market for our common stock and our preferred stock;</w:t>
      </w:r>
    </w:p>
    <w:p>
      <w:pPr>
        <w:spacing w:after="0" w:line="117" w:lineRule="exact"/>
        <w:rPr>
          <w:rFonts w:ascii="Times New Roman" w:cs="Times New Roman" w:eastAsia="Times New Roman" w:hAnsi="Times New Roman"/>
          <w:sz w:val="18"/>
          <w:szCs w:val="18"/>
          <w:color w:val="auto"/>
        </w:rPr>
      </w:pPr>
    </w:p>
    <w:p>
      <w:pPr>
        <w:ind w:left="960" w:right="80" w:hanging="480"/>
        <w:spacing w:after="0" w:line="282"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such as an initial public offering, or IPO, or a sale of our company considering prevailing market conditions; and</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firstLine="482"/>
        <w:spacing w:after="0" w:line="261" w:lineRule="auto"/>
        <w:rPr>
          <w:sz w:val="20"/>
          <w:szCs w:val="20"/>
          <w:color w:val="auto"/>
        </w:rPr>
      </w:pPr>
      <w:r>
        <w:rPr>
          <w:rFonts w:ascii="Times New Roman" w:cs="Times New Roman" w:eastAsia="Times New Roman" w:hAnsi="Times New Roman"/>
          <w:sz w:val="18"/>
          <w:szCs w:val="18"/>
          <w:color w:val="auto"/>
        </w:rPr>
        <w:t>For financial reporting purposes, we considered the amount of time between the valuation date and the grant date of our stock awards and options to determine whether to use the latest common stock valuation or an interpolated fair value between the two valuation dates. This determination included an evaluation of whether the subsequent valuation indicated that any significant change in valuation had occurred between the previous valuation and the grant date.</w:t>
      </w:r>
    </w:p>
    <w:p>
      <w:pPr>
        <w:spacing w:after="0" w:line="180" w:lineRule="exact"/>
        <w:rPr>
          <w:sz w:val="20"/>
          <w:szCs w:val="20"/>
          <w:color w:val="auto"/>
        </w:rPr>
      </w:pPr>
    </w:p>
    <w:p>
      <w:pPr>
        <w:jc w:val="both"/>
        <w:ind w:right="300" w:firstLine="482"/>
        <w:spacing w:after="0" w:line="261" w:lineRule="auto"/>
        <w:rPr>
          <w:sz w:val="20"/>
          <w:szCs w:val="20"/>
          <w:color w:val="auto"/>
        </w:rPr>
      </w:pPr>
      <w:r>
        <w:rPr>
          <w:rFonts w:ascii="Times New Roman" w:cs="Times New Roman" w:eastAsia="Times New Roman" w:hAnsi="Times New Roman"/>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 Following the closing of our IPO, the fair value of our common stock was determined based on the quoted market price of our common stock.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2 to our condensed financial statements appearing elsewhere in this Report for more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 and JOBS Act Accounting Election</w:t>
      </w:r>
    </w:p>
    <w:p>
      <w:pPr>
        <w:spacing w:after="0" w:line="121" w:lineRule="exact"/>
        <w:rPr>
          <w:sz w:val="20"/>
          <w:szCs w:val="20"/>
          <w:color w:val="auto"/>
        </w:rPr>
      </w:pPr>
    </w:p>
    <w:p>
      <w:pPr>
        <w:ind w:firstLine="482"/>
        <w:spacing w:after="0" w:line="258" w:lineRule="auto"/>
        <w:rPr>
          <w:sz w:val="20"/>
          <w:szCs w:val="20"/>
          <w:color w:val="auto"/>
        </w:rPr>
      </w:pPr>
      <w:r>
        <w:rPr>
          <w:rFonts w:ascii="Times New Roman" w:cs="Times New Roman" w:eastAsia="Times New Roman" w:hAnsi="Times New Roman"/>
          <w:sz w:val="18"/>
          <w:szCs w:val="18"/>
          <w:color w:val="auto"/>
        </w:rPr>
        <w:t xml:space="preserve">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elected to avail ourselves of this exemption and adopt ASU No. 2016-02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Leases when the standard is effective for private companies which is for fiscal years beginning after December 15, 2021. As a result, our financial statements may not be comparable to companies that comply with new or revised accounting pronouncements as of public company effective dates.</w:t>
      </w:r>
    </w:p>
    <w:p>
      <w:pPr>
        <w:spacing w:after="0" w:line="183" w:lineRule="exact"/>
        <w:rPr>
          <w:sz w:val="20"/>
          <w:szCs w:val="20"/>
          <w:color w:val="auto"/>
        </w:rPr>
      </w:pPr>
    </w:p>
    <w:p>
      <w:pPr>
        <w:ind w:right="180" w:firstLine="482"/>
        <w:spacing w:after="0" w:line="261"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w:t>
      </w:r>
    </w:p>
    <w:p>
      <w:pPr>
        <w:ind w:right="40" w:firstLine="8"/>
        <w:spacing w:after="0" w:line="251" w:lineRule="auto"/>
        <w:tabs>
          <w:tab w:leader="none" w:pos="2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auditor’s attestation report on our system of internal controls over financial reporting pursuant to Section 404(b) of the Sarbanes-Oxley Act of 2002,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completion of this offering or until we no longer meet the requirements of being an emerging growth company, whichever is earlier.</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482"/>
        <w:spacing w:after="0" w:line="271" w:lineRule="auto"/>
        <w:rPr>
          <w:sz w:val="20"/>
          <w:szCs w:val="20"/>
          <w:color w:val="auto"/>
        </w:rPr>
      </w:pPr>
      <w:r>
        <w:rPr>
          <w:rFonts w:ascii="Times New Roman" w:cs="Times New Roman" w:eastAsia="Times New Roman" w:hAnsi="Times New Roman"/>
          <w:sz w:val="17"/>
          <w:szCs w:val="17"/>
          <w:color w:val="auto"/>
        </w:rPr>
        <w:t>The primary objectives of our investment activities are to ensure liquidity and to preserve capital. We are exposed to market risks in the ordinary course of our business. These risks primarily include interest rate sensitivities. We had cash, cash equivalents and short-term investments of $294.0 million as of September 30, 2020 which consisted of bank deposits, highly liquid money market funds and short-term investments in U.S. treasury securities, U.S. government agency securities and corporate debt securities. Historical fluctuations in interest rates have not been significant for us. We had no outstanding debt as of September 30, 2020. Due to the short-term maturities of our cash equivalents and short-term investments, an immediate 100 basis point change in interest rates would not have a material effect on the fair market value of our cash equivalents or short-term investments. To minimize the risk, we maintain our portfolio of cash equivalents and short-term investments in institutional market funds that are composed of U.S. Treasury and U.S. Treasury-backed repurchase agreements or short-term U.S. Treasury securities, U.S. government agency securities and corporate debt securities. We do not believe that inflation, interest rate changes, or exchange rate fluctuations had a significant impact on our results of operations for any periods presented herein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As of September 30, 2020,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187" w:lineRule="exact"/>
        <w:rPr>
          <w:sz w:val="20"/>
          <w:szCs w:val="20"/>
          <w:color w:val="auto"/>
        </w:rPr>
      </w:pPr>
    </w:p>
    <w:p>
      <w:pPr>
        <w:jc w:val="both"/>
        <w:ind w:right="200" w:firstLine="482"/>
        <w:spacing w:after="0" w:line="261" w:lineRule="auto"/>
        <w:rPr>
          <w:sz w:val="20"/>
          <w:szCs w:val="20"/>
          <w:color w:val="auto"/>
        </w:rPr>
      </w:pPr>
      <w:r>
        <w:rPr>
          <w:rFonts w:ascii="Times New Roman" w:cs="Times New Roman" w:eastAsia="Times New Roman" w:hAnsi="Times New Roman"/>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September 30, 2020, the design and operation of our disclosure controls and procedures were effective at a reasonable assurance level.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firstLine="482"/>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controls over financial reporting identified in connection with the evaluation required by Rule 13a-15(d) and 15d-15(d) of the Exchange Act that occurred during the quarter ended September 30, 2020 that has materially affected, or is reasonably likely to materially affect, our internal control over financial reporting. We considered our internal controls over financial reporting in regards to the impact of COVID-19 and concluded that our controls continue to operate in a remote environment without material effect on our internal controls over financial reporting.</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41" w:name="page42"/>
    <w:bookmarkEnd w:id="4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 w:firstLine="482"/>
        <w:spacing w:after="0" w:line="266" w:lineRule="auto"/>
        <w:rPr>
          <w:sz w:val="20"/>
          <w:szCs w:val="20"/>
          <w:color w:val="auto"/>
        </w:rPr>
      </w:pPr>
      <w:r>
        <w:rPr>
          <w:rFonts w:ascii="Times New Roman" w:cs="Times New Roman" w:eastAsia="Times New Roman" w:hAnsi="Times New Roman"/>
          <w:sz w:val="18"/>
          <w:szCs w:val="18"/>
          <w:color w:val="auto"/>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Material Risks Associated with Our Business</w:t>
      </w:r>
    </w:p>
    <w:p>
      <w:pPr>
        <w:spacing w:after="0" w:line="121" w:lineRule="exact"/>
        <w:rPr>
          <w:sz w:val="20"/>
          <w:szCs w:val="20"/>
          <w:color w:val="auto"/>
        </w:rPr>
      </w:pPr>
    </w:p>
    <w:p>
      <w:pPr>
        <w:ind w:right="80" w:firstLine="482"/>
        <w:spacing w:after="0" w:line="255" w:lineRule="auto"/>
        <w:rPr>
          <w:sz w:val="20"/>
          <w:szCs w:val="20"/>
          <w:color w:val="auto"/>
        </w:rPr>
      </w:pPr>
      <w:r>
        <w:rPr>
          <w:rFonts w:ascii="Times New Roman" w:cs="Times New Roman" w:eastAsia="Times New Roman" w:hAnsi="Times New Roman"/>
          <w:sz w:val="18"/>
          <w:szCs w:val="18"/>
          <w:color w:val="auto"/>
        </w:rPr>
        <w:t>Our business involves significant risks, some of which are described below. The summary risk factors listed below should be read together with the text of the full risk factors that follow this summary. You should carefully consider the risks described below, as well as the other information in this Quarterly Report on Form 10-Q, including our financial statements and the related notes, “Management’s Discussion and Analysis of Financial Condition and Results of Operations” as well as in other documents that we file with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81" w:lineRule="exact"/>
        <w:rPr>
          <w:sz w:val="20"/>
          <w:szCs w:val="20"/>
          <w:color w:val="auto"/>
        </w:rPr>
      </w:pPr>
    </w:p>
    <w:p>
      <w:pPr>
        <w:ind w:left="960" w:hanging="480"/>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may make it difficult to evaluate our prospects and likelihood of success.</w:t>
      </w:r>
    </w:p>
    <w:p>
      <w:pPr>
        <w:spacing w:after="0" w:line="117" w:lineRule="exact"/>
        <w:rPr>
          <w:rFonts w:ascii="Times New Roman" w:cs="Times New Roman" w:eastAsia="Times New Roman" w:hAnsi="Times New Roman"/>
          <w:sz w:val="18"/>
          <w:szCs w:val="18"/>
          <w:color w:val="auto"/>
        </w:rPr>
      </w:pPr>
    </w:p>
    <w:p>
      <w:pPr>
        <w:ind w:left="960" w:right="480" w:hanging="480"/>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6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involves a lengthy, complex and expensive process, with an uncertain outcome.</w:t>
      </w:r>
    </w:p>
    <w:p>
      <w:pPr>
        <w:spacing w:after="0" w:line="117" w:lineRule="exact"/>
        <w:rPr>
          <w:rFonts w:ascii="Times New Roman" w:cs="Times New Roman" w:eastAsia="Times New Roman" w:hAnsi="Times New Roman"/>
          <w:sz w:val="18"/>
          <w:szCs w:val="18"/>
          <w:color w:val="auto"/>
        </w:rPr>
      </w:pPr>
    </w:p>
    <w:p>
      <w:pPr>
        <w:ind w:left="960" w:right="1280" w:hanging="480"/>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 commercialization of PLN-74809 or any other product candidates.</w:t>
      </w:r>
    </w:p>
    <w:p>
      <w:pPr>
        <w:spacing w:after="0" w:line="53" w:lineRule="exact"/>
        <w:rPr>
          <w:rFonts w:ascii="Times New Roman" w:cs="Times New Roman" w:eastAsia="Times New Roman" w:hAnsi="Times New Roman"/>
          <w:sz w:val="18"/>
          <w:szCs w:val="18"/>
          <w:color w:val="auto"/>
        </w:rPr>
      </w:pPr>
    </w:p>
    <w:p>
      <w:pPr>
        <w:ind w:left="960" w:right="40" w:hanging="480"/>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difficulties enrolling patients in our clinical trials, our clinical development activities could be delayed or otherwise adversely affected.</w:t>
      </w:r>
    </w:p>
    <w:p>
      <w:pPr>
        <w:spacing w:after="0" w:line="53" w:lineRule="exact"/>
        <w:rPr>
          <w:rFonts w:ascii="Times New Roman" w:cs="Times New Roman" w:eastAsia="Times New Roman" w:hAnsi="Times New Roman"/>
          <w:sz w:val="18"/>
          <w:szCs w:val="18"/>
          <w:color w:val="auto"/>
        </w:rPr>
      </w:pPr>
    </w:p>
    <w:p>
      <w:pPr>
        <w:ind w:left="960" w:right="20" w:hanging="480"/>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discovering, developing or commercializing products before or more successfully than us.</w:t>
      </w:r>
    </w:p>
    <w:p>
      <w:pPr>
        <w:spacing w:after="0" w:line="53" w:lineRule="exact"/>
        <w:rPr>
          <w:rFonts w:ascii="Times New Roman" w:cs="Times New Roman" w:eastAsia="Times New Roman" w:hAnsi="Times New Roman"/>
          <w:sz w:val="18"/>
          <w:szCs w:val="18"/>
          <w:color w:val="auto"/>
        </w:rPr>
      </w:pPr>
    </w:p>
    <w:p>
      <w:pPr>
        <w:ind w:left="960" w:right="60" w:hanging="480"/>
        <w:spacing w:after="0" w:line="281" w:lineRule="auto"/>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56" w:lineRule="exact"/>
        <w:rPr>
          <w:rFonts w:ascii="Times New Roman" w:cs="Times New Roman" w:eastAsia="Times New Roman" w:hAnsi="Times New Roman"/>
          <w:sz w:val="17"/>
          <w:szCs w:val="17"/>
          <w:color w:val="auto"/>
        </w:rPr>
      </w:pPr>
    </w:p>
    <w:p>
      <w:pPr>
        <w:ind w:left="960" w:right="40" w:hanging="480"/>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the novel coronavirus disease, COVID-19, could adversely impact our business, including our preclinical studies and clinical trials.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inception and we expect to continue to incur significant net losses for the foreseeable future.</w:t>
      </w:r>
    </w:p>
    <w:p>
      <w:pPr>
        <w:spacing w:after="0" w:line="117" w:lineRule="exact"/>
        <w:rPr>
          <w:rFonts w:ascii="Times New Roman" w:cs="Times New Roman" w:eastAsia="Times New Roman" w:hAnsi="Times New Roman"/>
          <w:sz w:val="18"/>
          <w:szCs w:val="18"/>
          <w:color w:val="auto"/>
        </w:rPr>
      </w:pPr>
    </w:p>
    <w:p>
      <w:pPr>
        <w:ind w:left="960" w:right="200" w:hanging="480"/>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67" w:lineRule="exact"/>
        <w:rPr>
          <w:rFonts w:ascii="Times New Roman" w:cs="Times New Roman" w:eastAsia="Times New Roman" w:hAnsi="Times New Roman"/>
          <w:sz w:val="18"/>
          <w:szCs w:val="18"/>
          <w:color w:val="auto"/>
        </w:rPr>
      </w:pPr>
    </w:p>
    <w:p>
      <w:pPr>
        <w:ind w:left="960" w:hanging="480"/>
        <w:spacing w:after="0" w:line="266"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67" w:lineRule="exact"/>
        <w:rPr>
          <w:rFonts w:ascii="Times New Roman" w:cs="Times New Roman" w:eastAsia="Times New Roman" w:hAnsi="Times New Roman"/>
          <w:sz w:val="18"/>
          <w:szCs w:val="18"/>
          <w:color w:val="auto"/>
        </w:rPr>
      </w:pPr>
    </w:p>
    <w:p>
      <w:pPr>
        <w:ind w:left="960" w:right="340" w:hanging="480"/>
        <w:spacing w:after="0" w:line="282"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since inception and we expect to continue to incur significant net losses for the foreseeable future.</w:t>
      </w:r>
    </w:p>
    <w:p>
      <w:pPr>
        <w:spacing w:after="0" w:line="121" w:lineRule="exact"/>
        <w:rPr>
          <w:sz w:val="20"/>
          <w:szCs w:val="20"/>
          <w:color w:val="auto"/>
        </w:rPr>
      </w:pPr>
    </w:p>
    <w:p>
      <w:pPr>
        <w:ind w:right="20" w:firstLine="482"/>
        <w:spacing w:after="0" w:line="254"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and have financed our operations principally through equity financing. We continue to incur significant research and development and other expenses related to our ongoing operations. For the years ended December 31, 2019 and 2018, we reported a net loss of $0.6 million and $30.3 million, respectively, and for the nine months ended September 30, 2020 and 2019, we reported a net loss of $22.5 million and $42.8 million, respectively. As of September 30, 2020 and December 31, 2019, we had an accumulated deficit of $98.8 million and $76.3 million, respectively. We have devoted substantially all of our resources and efforts to research and development and we expect that it will be several years, if ever, before we generate revenue from product sales. Even if we receive marketing approval for and commercialize one or more of our product candidates, we expect that we will continue to incur substantial research and development and other expenses in order to develop and market additional potential product candidates.</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anticipate that our expenses will increase substantially if, and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w:t>
      </w:r>
    </w:p>
    <w:p>
      <w:pPr>
        <w:spacing w:after="0" w:line="99" w:lineRule="exact"/>
        <w:rPr>
          <w:sz w:val="20"/>
          <w:szCs w:val="20"/>
          <w:color w:val="auto"/>
        </w:rPr>
      </w:pPr>
    </w:p>
    <w:p>
      <w:pPr>
        <w:ind w:left="960" w:right="400" w:hanging="480"/>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lead product candidate, PLN-74809, and our second product candidate, PLN 1474, and our other product candidates through clinical development, and, if successful, later-stage clinical trials;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 and develop new product candidates;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development programs into clinical development;</w:t>
      </w:r>
    </w:p>
    <w:p>
      <w:pPr>
        <w:spacing w:after="0" w:line="117" w:lineRule="exact"/>
        <w:rPr>
          <w:rFonts w:ascii="Times New Roman" w:cs="Times New Roman" w:eastAsia="Times New Roman" w:hAnsi="Times New Roman"/>
          <w:sz w:val="18"/>
          <w:szCs w:val="18"/>
          <w:color w:val="auto"/>
        </w:rPr>
      </w:pPr>
    </w:p>
    <w:p>
      <w:pPr>
        <w:ind w:left="960" w:right="100" w:hanging="480"/>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or interruptions to preclinical studies, clinical trials, our receipt of services from our third-party service providers on whom we rely, or our supply chain due to the COVID-19 pandemic;</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PLN-74809, our other product candidates and any future product candidates, if approved;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amount of research and development activities to identify and develop product candidates;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development, quality control, scientific and management personnel;</w:t>
      </w:r>
    </w:p>
    <w:p>
      <w:pPr>
        <w:spacing w:after="0" w:line="117" w:lineRule="exact"/>
        <w:rPr>
          <w:rFonts w:ascii="Times New Roman" w:cs="Times New Roman" w:eastAsia="Times New Roman" w:hAnsi="Times New Roman"/>
          <w:sz w:val="18"/>
          <w:szCs w:val="18"/>
          <w:color w:val="auto"/>
        </w:rPr>
      </w:pPr>
    </w:p>
    <w:p>
      <w:pPr>
        <w:ind w:left="960" w:right="220" w:hanging="480"/>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development and manufacturing efforts and our operations as a public company;</w:t>
      </w:r>
    </w:p>
    <w:p>
      <w:pPr>
        <w:spacing w:after="0" w:line="53" w:lineRule="exact"/>
        <w:rPr>
          <w:rFonts w:ascii="Times New Roman" w:cs="Times New Roman" w:eastAsia="Times New Roman" w:hAnsi="Times New Roman"/>
          <w:sz w:val="18"/>
          <w:szCs w:val="18"/>
          <w:color w:val="auto"/>
        </w:rPr>
      </w:pPr>
    </w:p>
    <w:p>
      <w:pPr>
        <w:ind w:left="960" w:right="80" w:hanging="480"/>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products for which we may obtain marketing approval and intend to commercialize on our own or jointly with third parties;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or in-license other technologies or product candidates.</w:t>
      </w:r>
    </w:p>
    <w:p>
      <w:pPr>
        <w:spacing w:after="0" w:line="225"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spacing w:after="0" w:line="293" w:lineRule="exact"/>
        <w:rPr>
          <w:sz w:val="20"/>
          <w:szCs w:val="20"/>
          <w:color w:val="auto"/>
        </w:rPr>
      </w:pPr>
    </w:p>
    <w:p>
      <w:pPr>
        <w:jc w:val="both"/>
        <w:ind w:left="24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spacing w:after="0" w:line="67" w:lineRule="exact"/>
        <w:rPr>
          <w:sz w:val="20"/>
          <w:szCs w:val="20"/>
          <w:color w:val="auto"/>
        </w:rPr>
      </w:pPr>
    </w:p>
    <w:p>
      <w:pPr>
        <w:ind w:right="60" w:firstLine="482"/>
        <w:spacing w:after="0" w:line="255"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PLN-74809 and PLN-1474 and any future product candidates that we may develop, seek regulatory approvals for our product candidates and to launch and commercialize any products for which we receive regulatory approval.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43" w:name="page44"/>
    <w:bookmarkEnd w:id="43"/>
    <w:p>
      <w:pPr>
        <w:ind w:right="80" w:firstLine="482"/>
        <w:spacing w:after="0" w:line="254" w:lineRule="auto"/>
        <w:rPr>
          <w:sz w:val="20"/>
          <w:szCs w:val="20"/>
          <w:color w:val="auto"/>
        </w:rPr>
      </w:pPr>
      <w:r>
        <w:rPr>
          <w:rFonts w:ascii="Times New Roman" w:cs="Times New Roman" w:eastAsia="Times New Roman" w:hAnsi="Times New Roman"/>
          <w:sz w:val="18"/>
          <w:szCs w:val="18"/>
          <w:color w:val="auto"/>
        </w:rPr>
        <w:t>As of September 30, 2020, we had approximately $294.0 million in cash, cash equivalents and short-term investments. Based on our current operating plan, we believe that the existing cash, cash equivalents and short-term investments, will be sufficient to fund our operating expenses and capital expenditure requirements into 2023.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spacing w:after="0" w:line="84" w:lineRule="exact"/>
        <w:rPr>
          <w:sz w:val="20"/>
          <w:szCs w:val="20"/>
          <w:color w:val="auto"/>
        </w:rPr>
      </w:pPr>
    </w:p>
    <w:p>
      <w:pPr>
        <w:ind w:left="960" w:hanging="480"/>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development plans we establish for these product candidates;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 of our clinical trials and the overall costs to conduct and complete the clinical trials due to the COVID-19 pandemic;</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develop;</w:t>
      </w:r>
    </w:p>
    <w:p>
      <w:pPr>
        <w:spacing w:after="0" w:line="117" w:lineRule="exact"/>
        <w:rPr>
          <w:rFonts w:ascii="Times New Roman" w:cs="Times New Roman" w:eastAsia="Times New Roman" w:hAnsi="Times New Roman"/>
          <w:sz w:val="18"/>
          <w:szCs w:val="18"/>
          <w:color w:val="auto"/>
        </w:rPr>
      </w:pPr>
    </w:p>
    <w:p>
      <w:pPr>
        <w:ind w:left="960" w:right="220" w:hanging="480"/>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U.S. Food and Drug Administration, or FDA, and other comparable foreign regulatory authorities;</w:t>
      </w:r>
    </w:p>
    <w:p>
      <w:pPr>
        <w:spacing w:after="0" w:line="53" w:lineRule="exact"/>
        <w:rPr>
          <w:rFonts w:ascii="Times New Roman" w:cs="Times New Roman" w:eastAsia="Times New Roman" w:hAnsi="Times New Roman"/>
          <w:sz w:val="18"/>
          <w:szCs w:val="18"/>
          <w:color w:val="auto"/>
        </w:rPr>
      </w:pPr>
    </w:p>
    <w:p>
      <w:pPr>
        <w:ind w:left="960" w:right="180" w:hanging="480"/>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able to maintain our existing collaboration with Novartis and enter into additional collaboration agreements and the terms of any such agreements;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our patent claims and other intellectual property rights;</w:t>
      </w:r>
    </w:p>
    <w:p>
      <w:pPr>
        <w:spacing w:after="0" w:line="117" w:lineRule="exact"/>
        <w:rPr>
          <w:rFonts w:ascii="Times New Roman" w:cs="Times New Roman" w:eastAsia="Times New Roman" w:hAnsi="Times New Roman"/>
          <w:sz w:val="18"/>
          <w:szCs w:val="18"/>
          <w:color w:val="auto"/>
        </w:rPr>
      </w:pPr>
    </w:p>
    <w:p>
      <w:pPr>
        <w:ind w:left="960" w:right="260" w:hanging="480"/>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defending intellectual property disputes, including patent infringement actions brought by third parties against us or our product candidates;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outsourced manufacturing activities; and</w:t>
      </w:r>
    </w:p>
    <w:p>
      <w:pPr>
        <w:spacing w:after="0" w:line="117" w:lineRule="exact"/>
        <w:rPr>
          <w:rFonts w:ascii="Times New Roman" w:cs="Times New Roman" w:eastAsia="Times New Roman" w:hAnsi="Times New Roman"/>
          <w:sz w:val="18"/>
          <w:szCs w:val="18"/>
          <w:color w:val="auto"/>
        </w:rPr>
      </w:pPr>
    </w:p>
    <w:p>
      <w:pPr>
        <w:ind w:left="960" w:right="20" w:hanging="480"/>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w:t>
      </w:r>
    </w:p>
    <w:p>
      <w:pPr>
        <w:spacing w:after="0" w:line="162" w:lineRule="exact"/>
        <w:rPr>
          <w:sz w:val="20"/>
          <w:szCs w:val="20"/>
          <w:color w:val="auto"/>
        </w:rPr>
      </w:pPr>
    </w:p>
    <w:p>
      <w:pPr>
        <w:ind w:firstLine="482"/>
        <w:spacing w:after="0" w:line="268" w:lineRule="auto"/>
        <w:rPr>
          <w:sz w:val="20"/>
          <w:szCs w:val="20"/>
          <w:color w:val="auto"/>
        </w:rPr>
      </w:pPr>
      <w:r>
        <w:rPr>
          <w:rFonts w:ascii="Times New Roman" w:cs="Times New Roman" w:eastAsia="Times New Roman" w:hAnsi="Times New Roman"/>
          <w:sz w:val="17"/>
          <w:szCs w:val="17"/>
          <w:color w:val="auto"/>
        </w:rPr>
        <w:t>We do not have any committed external source of funds or other support for our development efforts and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the rights of our common stockholders. Further, to the extent that we raise additional capital through the sale of common stock or securities convertible or exchangeable into common stock, your ownership interest will be diluted. In 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the COVID-19 pandemic or other factors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spacing w:after="0" w:line="283" w:lineRule="exact"/>
        <w:rPr>
          <w:sz w:val="20"/>
          <w:szCs w:val="20"/>
          <w:color w:val="auto"/>
        </w:rPr>
      </w:pPr>
    </w:p>
    <w:p>
      <w:pPr>
        <w:ind w:left="2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amount of our future losses is uncertain and our quarterly operating results may fluctuate significantly or may fall below the expectations of investors or securities analysts, each of which may cause our stock price to fluctuate or decline.</w:t>
      </w:r>
    </w:p>
    <w:p>
      <w:pPr>
        <w:spacing w:after="0" w:line="51" w:lineRule="exact"/>
        <w:rPr>
          <w:sz w:val="20"/>
          <w:szCs w:val="20"/>
          <w:color w:val="auto"/>
        </w:rPr>
      </w:pPr>
    </w:p>
    <w:p>
      <w:pPr>
        <w:ind w:right="420" w:firstLine="482"/>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due to a variety of factors, many of which are outside of our control and may be difficult to predict, including the following:</w:t>
      </w:r>
    </w:p>
    <w:p>
      <w:pPr>
        <w:spacing w:after="0" w:line="54" w:lineRule="exact"/>
        <w:rPr>
          <w:sz w:val="20"/>
          <w:szCs w:val="20"/>
          <w:color w:val="auto"/>
        </w:rPr>
      </w:pPr>
    </w:p>
    <w:p>
      <w:pPr>
        <w:ind w:left="960" w:right="460" w:hanging="480"/>
        <w:spacing w:after="0" w:line="28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and retain subjects for clinical trials, and any delays caused by difficulties in such efforts;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marketing approval for our product candidates, and the timing and scope of any such approvals we may receive;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44" w:name="page45"/>
    <w:bookmarkEnd w:id="44"/>
    <w:p>
      <w:pPr>
        <w:ind w:left="960" w:right="200" w:hanging="480"/>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53" w:lineRule="exact"/>
        <w:rPr>
          <w:rFonts w:ascii="Times New Roman" w:cs="Times New Roman" w:eastAsia="Times New Roman" w:hAnsi="Times New Roman"/>
          <w:sz w:val="18"/>
          <w:szCs w:val="18"/>
          <w:color w:val="auto"/>
        </w:rPr>
      </w:pPr>
    </w:p>
    <w:p>
      <w:pPr>
        <w:ind w:left="960" w:right="220" w:hanging="480"/>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117" w:lineRule="exact"/>
        <w:rPr>
          <w:rFonts w:ascii="Times New Roman" w:cs="Times New Roman" w:eastAsia="Times New Roman" w:hAnsi="Times New Roman"/>
          <w:sz w:val="18"/>
          <w:szCs w:val="18"/>
          <w:color w:val="auto"/>
        </w:rPr>
      </w:pPr>
    </w:p>
    <w:p>
      <w:pPr>
        <w:ind w:left="960" w:right="140" w:hanging="480"/>
        <w:spacing w:after="0" w:line="282" w:lineRule="auto"/>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or extraordinary external events, such as recessions or the COVID-19 pandemic;</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and global economic environments;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ind w:right="180" w:firstLine="482"/>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Research and Development and the Biopharmaceutical Industry</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which may make it difficult to evaluate our prospects and likelihood of success.</w:t>
      </w:r>
    </w:p>
    <w:p>
      <w:pPr>
        <w:spacing w:after="0" w:line="121" w:lineRule="exact"/>
        <w:rPr>
          <w:sz w:val="20"/>
          <w:szCs w:val="20"/>
          <w:color w:val="auto"/>
        </w:rPr>
      </w:pPr>
    </w:p>
    <w:p>
      <w:pPr>
        <w:ind w:right="60" w:firstLine="482"/>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We were incorporated in 2015, have no products approved for commercial sale and have not generated any revenue.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TGF-ß,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In addition, our lead product candidate, PLN-74809, is in early clinical development for the treatment of IPF and preclinical development for the treatment of PSC, and our second product candidate, PLN-1474, is in early clinical development. Both programs will require substantial additional development and clinical research time and resources before we would be able to apply for or receive regulatory approvals and begin generating revenue from product sales. We have not yet demonstrated the ability to progress any product candidate through clinical trials. We are still in preclinical and early clinical development and may be unable to obtain regulatory approval, manufacture a commercial scale product, or arrange for a third party to do so on our behalf, or conduct sales and marketing activities necessary for successful product commercialization. 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and become commercially viable.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have no meaningful history of operations upon which to evaluate our business, and predictions about our future success or viability may not be as accurate as they could be if we had a longer operating history or a history of successfully developing and commercializing drug products.</w:t>
      </w:r>
    </w:p>
    <w:p>
      <w:pPr>
        <w:spacing w:after="0" w:line="296" w:lineRule="exact"/>
        <w:rPr>
          <w:sz w:val="20"/>
          <w:szCs w:val="20"/>
          <w:color w:val="auto"/>
        </w:rPr>
      </w:pPr>
    </w:p>
    <w:p>
      <w:pPr>
        <w:jc w:val="both"/>
        <w:ind w:left="24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lead product candidate, PLN-74809, as well as PLN-1474 and any other product candidates that we advance into the clinic. All of our product candidates will require significant additional preclinical and clinical development before we may be able to seek regulatory approval for and launch a product commercially.</w:t>
      </w:r>
    </w:p>
    <w:p>
      <w:pPr>
        <w:spacing w:after="0" w:line="67"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may never be able to develop marketable products. We are very early in our development efforts and have only one product candidate, PLN-74809, in early clinical development. Because PLN-74809 is our lead product candidate, if PLN-74809 encounters safety or efficacy problems, development delays, regulatory issues or other problems, our development plans and business would be significantly harmed. We have completed a Phase 1a SAD/MAD trial and a Phase 1b proof-of-mechanism trial of PLN-74809 in IPF and are recruiting two Phase 2a trials and a Phase 2a PET imaging trial in IPF. We are also conducting a Phase 2a PSC trial for which we are currently enrolling patients. PLN-74809 is also being evaluated in an ongoing Phase 2a trial to evaluate its potential to address COVID-19 related ARDS. We are also collaborating with Novartis to develop PLN-1474 for liver fibrosis associated with nonalcoholic steatohepatitis, or NASH, and are currently evaluating PLN-1474 in Phase 1a SAD/MAD testing.</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5" w:name="page46"/>
    <w:bookmarkEnd w:id="45"/>
    <w:p>
      <w:pPr>
        <w:ind w:firstLine="482"/>
        <w:spacing w:after="0" w:line="258" w:lineRule="auto"/>
        <w:rPr>
          <w:sz w:val="20"/>
          <w:szCs w:val="20"/>
          <w:color w:val="auto"/>
        </w:rPr>
      </w:pPr>
      <w:r>
        <w:rPr>
          <w:rFonts w:ascii="Times New Roman" w:cs="Times New Roman" w:eastAsia="Times New Roman" w:hAnsi="Times New Roman"/>
          <w:sz w:val="18"/>
          <w:szCs w:val="18"/>
          <w:color w:val="auto"/>
        </w:rPr>
        <w:t>Before we can generate any revenue from sales of our lead product candidate, PLN-74809,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may experience setbacks that could delay or prevent regulatory approval of, or our ability to commercialize, our product candidates, including:</w:t>
      </w:r>
    </w:p>
    <w:p>
      <w:pPr>
        <w:spacing w:after="0" w:line="117" w:lineRule="exact"/>
        <w:rPr>
          <w:sz w:val="20"/>
          <w:szCs w:val="20"/>
          <w:color w:val="auto"/>
        </w:rPr>
      </w:pPr>
    </w:p>
    <w:p>
      <w:pPr>
        <w:ind w:left="960" w:right="260" w:hanging="480"/>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spacing w:after="0" w:line="53" w:lineRule="exact"/>
        <w:rPr>
          <w:rFonts w:ascii="Times New Roman" w:cs="Times New Roman" w:eastAsia="Times New Roman" w:hAnsi="Times New Roman"/>
          <w:sz w:val="18"/>
          <w:szCs w:val="18"/>
          <w:color w:val="auto"/>
        </w:rPr>
      </w:pPr>
    </w:p>
    <w:p>
      <w:pPr>
        <w:ind w:left="960" w:right="220" w:hanging="480"/>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side effects experienced by subjects in our clinical trials or by individuals using drugs or therapeutics similar to our product candidates;</w:t>
      </w:r>
    </w:p>
    <w:p>
      <w:pPr>
        <w:spacing w:after="0" w:line="53" w:lineRule="exact"/>
        <w:rPr>
          <w:rFonts w:ascii="Times New Roman" w:cs="Times New Roman" w:eastAsia="Times New Roman" w:hAnsi="Times New Roman"/>
          <w:sz w:val="18"/>
          <w:szCs w:val="18"/>
          <w:color w:val="auto"/>
        </w:rPr>
      </w:pPr>
    </w:p>
    <w:p>
      <w:pPr>
        <w:ind w:left="960" w:right="380" w:hanging="480"/>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comparable foreign authorities regarding the scope or design of our clinical trials;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subjects in clinical trials, including due to the COVID-19 pandemic;</w:t>
      </w:r>
    </w:p>
    <w:p>
      <w:pPr>
        <w:spacing w:after="0" w:line="117" w:lineRule="exact"/>
        <w:rPr>
          <w:rFonts w:ascii="Times New Roman" w:cs="Times New Roman" w:eastAsia="Times New Roman" w:hAnsi="Times New Roman"/>
          <w:sz w:val="18"/>
          <w:szCs w:val="18"/>
          <w:color w:val="auto"/>
        </w:rPr>
      </w:pPr>
    </w:p>
    <w:p>
      <w:pPr>
        <w:ind w:left="960" w:right="380" w:hanging="480"/>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clinical trials; inadequate supply or quality of product candidates or other materials necessary for the conduct of our clinical trials;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than anticipated clinical trial costs;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compete with other therapies;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efficacy of our product candidates during clinical trials;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agency inspection and review of a clinical trial site;</w:t>
      </w:r>
    </w:p>
    <w:p>
      <w:pPr>
        <w:spacing w:after="0" w:line="117" w:lineRule="exact"/>
        <w:rPr>
          <w:rFonts w:ascii="Times New Roman" w:cs="Times New Roman" w:eastAsia="Times New Roman" w:hAnsi="Times New Roman"/>
          <w:sz w:val="18"/>
          <w:szCs w:val="18"/>
          <w:color w:val="auto"/>
        </w:rPr>
      </w:pPr>
    </w:p>
    <w:p>
      <w:pPr>
        <w:ind w:left="960" w:hanging="480"/>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53" w:lineRule="exact"/>
        <w:rPr>
          <w:rFonts w:ascii="Times New Roman" w:cs="Times New Roman" w:eastAsia="Times New Roman" w:hAnsi="Times New Roman"/>
          <w:sz w:val="18"/>
          <w:szCs w:val="18"/>
          <w:color w:val="auto"/>
        </w:rPr>
      </w:pPr>
    </w:p>
    <w:p>
      <w:pPr>
        <w:ind w:left="960" w:right="60" w:hanging="480"/>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related to the impact of the spread of the COVID-19 pandemic, including the impact of COVID-19 on the FDA’s ability to continue its normal operations;</w:t>
      </w:r>
    </w:p>
    <w:p>
      <w:pPr>
        <w:spacing w:after="0" w:line="53" w:lineRule="exact"/>
        <w:rPr>
          <w:rFonts w:ascii="Times New Roman" w:cs="Times New Roman" w:eastAsia="Times New Roman" w:hAnsi="Times New Roman"/>
          <w:sz w:val="18"/>
          <w:szCs w:val="18"/>
          <w:color w:val="auto"/>
        </w:rPr>
      </w:pPr>
    </w:p>
    <w:p>
      <w:pPr>
        <w:ind w:left="960" w:right="420" w:hanging="480"/>
        <w:spacing w:after="0" w:line="282" w:lineRule="auto"/>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and similar foreign regulatory agencies.</w:t>
      </w:r>
    </w:p>
    <w:p>
      <w:pPr>
        <w:spacing w:after="0" w:line="225" w:lineRule="exact"/>
        <w:rPr>
          <w:sz w:val="20"/>
          <w:szCs w:val="20"/>
          <w:color w:val="auto"/>
        </w:rPr>
      </w:pPr>
    </w:p>
    <w:p>
      <w:pPr>
        <w:ind w:right="560" w:firstLine="482"/>
        <w:spacing w:after="0" w:line="26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spacing w:after="0" w:line="280" w:lineRule="exact"/>
        <w:rPr>
          <w:sz w:val="20"/>
          <w:szCs w:val="20"/>
          <w:color w:val="auto"/>
        </w:rPr>
      </w:pPr>
    </w:p>
    <w:p>
      <w:pPr>
        <w:ind w:left="24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drug discovery and development in the area of fibrotic diseases, with an initial focus on tissue-specific integrin modulation and TGF-ß signaling inhibition, is unproven and may not result in marketable products.</w:t>
      </w:r>
    </w:p>
    <w:p>
      <w:pPr>
        <w:spacing w:after="0" w:line="51" w:lineRule="exact"/>
        <w:rPr>
          <w:sz w:val="20"/>
          <w:szCs w:val="20"/>
          <w:color w:val="auto"/>
        </w:rPr>
      </w:pPr>
    </w:p>
    <w:p>
      <w:pPr>
        <w:ind w:right="80" w:firstLine="482"/>
        <w:spacing w:after="0" w:line="273" w:lineRule="auto"/>
        <w:rPr>
          <w:sz w:val="20"/>
          <w:szCs w:val="20"/>
          <w:color w:val="auto"/>
        </w:rPr>
      </w:pPr>
      <w:r>
        <w:rPr>
          <w:rFonts w:ascii="Times New Roman" w:cs="Times New Roman" w:eastAsia="Times New Roman" w:hAnsi="Times New Roman"/>
          <w:sz w:val="17"/>
          <w:szCs w:val="17"/>
          <w:color w:val="auto"/>
        </w:rPr>
        <w:t>Our approach is designed to discover and develop targeted treatments for fibrosis with an initial focus on the antagonism of tissue-specific TGF-ß signaling through the inhibition of integrins known to mediate the release of activated TGF-ß in fibrotic tissue. However, although multiple studies are currently underway, to date,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We have only tested our lead product candidate, PLN-74809, in healthy volunteers. Therefore, we may ultimately discover that our approach and any product candidates resulting therefrom do not possess properties required for therapeutic effectiveness. As a result, we may never succeed in developing a marketable product.</w:t>
      </w:r>
    </w:p>
    <w:p>
      <w:pPr>
        <w:spacing w:after="0" w:line="171" w:lineRule="exact"/>
        <w:rPr>
          <w:sz w:val="20"/>
          <w:szCs w:val="20"/>
          <w:color w:val="auto"/>
        </w:rPr>
      </w:pPr>
    </w:p>
    <w:p>
      <w:pPr>
        <w:ind w:right="80" w:firstLine="482"/>
        <w:spacing w:after="0" w:line="254" w:lineRule="auto"/>
        <w:rPr>
          <w:sz w:val="20"/>
          <w:szCs w:val="20"/>
          <w:color w:val="auto"/>
        </w:rPr>
      </w:pPr>
      <w:r>
        <w:rPr>
          <w:rFonts w:ascii="Times New Roman" w:cs="Times New Roman" w:eastAsia="Times New Roman" w:hAnsi="Times New Roman"/>
          <w:sz w:val="18"/>
          <w:szCs w:val="18"/>
          <w:color w:val="auto"/>
        </w:rPr>
        <w:t>In addition, while we have developed an extensive panel of cell assays and precision cut tissue assays and have utilized animal models to uncover biological pathways, understood gene expression changes and optimized the potency and selectivity of our potential product candidates, there can be no assurance that our technology will yield their intended benefits. While we believe our assays represent a differentiator in our approach to drug development, our approach has not yet been clinically proven to yield results. Our practice of evaluating our product candidates in live human fibrotic tissue samples before advancing them into the clinic is intended to serve as a bridge between animal models and clinical proof-of-concept. However, there can be no assurance that positive results observed from preclinical animal testing and human fibrotic tissue models will be replicated when a program is advanced into clinical development. In addition, our practice of utilizing live human fibrotic tissue as part of our development efforts may become more widespread in the future, and this approach may be adopted and replicated by others, including our competitors.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46" w:name="page47"/>
    <w:bookmarkEnd w:id="46"/>
    <w:p>
      <w:pPr>
        <w:ind w:firstLine="482"/>
        <w:spacing w:after="0" w:line="258" w:lineRule="auto"/>
        <w:rPr>
          <w:sz w:val="20"/>
          <w:szCs w:val="20"/>
          <w:color w:val="auto"/>
        </w:rPr>
      </w:pPr>
      <w:r>
        <w:rPr>
          <w:rFonts w:ascii="Times New Roman" w:cs="Times New Roman" w:eastAsia="Times New Roman" w:hAnsi="Times New Roman"/>
          <w:sz w:val="18"/>
          <w:szCs w:val="18"/>
          <w:color w:val="auto"/>
        </w:rPr>
        <w:t>Studies involving human tissue samples may also be subject to institutional and government human subject privacy policies that may vary by territory. We or our partners who provide us with human tissue samples, or conduct tissue and/or animal studies on our behalf, may be found to be in violation of one or more of these regulations or policies and may be subject to closure, censure or other penalties. In some cases, these penalties could materially impact the performance, availability, or validity of studies conducted by us on our behalf. Even in the absence of violations resulting in penalties, regulatory and other authorities may refuse to authorize the conduct or to accept the results of studies for regulatory or ethical reasons.</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complex and expensive process, with an uncertain outcome.</w:t>
      </w:r>
    </w:p>
    <w:p>
      <w:pPr>
        <w:spacing w:after="0" w:line="121" w:lineRule="exact"/>
        <w:rPr>
          <w:sz w:val="20"/>
          <w:szCs w:val="20"/>
          <w:color w:val="auto"/>
        </w:rPr>
      </w:pPr>
    </w:p>
    <w:p>
      <w:pPr>
        <w:ind w:firstLine="482"/>
        <w:spacing w:after="0" w:line="269" w:lineRule="auto"/>
        <w:rPr>
          <w:sz w:val="20"/>
          <w:szCs w:val="20"/>
          <w:color w:val="auto"/>
        </w:rPr>
      </w:pPr>
      <w:r>
        <w:rPr>
          <w:rFonts w:ascii="Times New Roman" w:cs="Times New Roman" w:eastAsia="Times New Roman" w:hAnsi="Times New Roman"/>
          <w:sz w:val="17"/>
          <w:szCs w:val="17"/>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PLN-74809 or any of our other product candidates. Product candidates that appear promising in the early phases of development may fail to reach the market for several reasons, including:</w:t>
      </w:r>
    </w:p>
    <w:p>
      <w:pPr>
        <w:spacing w:after="0" w:line="68" w:lineRule="exact"/>
        <w:rPr>
          <w:sz w:val="20"/>
          <w:szCs w:val="20"/>
          <w:color w:val="auto"/>
        </w:rPr>
      </w:pPr>
    </w:p>
    <w:p>
      <w:pPr>
        <w:ind w:left="960" w:right="180" w:hanging="480"/>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may show the product candidates to be less effective than expected (e.g., a clinical trial could fail to meet its primary endpoint(s)) or to have unacceptable side effects or toxicities;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costs, formulation issues, pricing or reimbursement issues, or other factors that make a product candidate uneconomical; and</w:t>
      </w:r>
    </w:p>
    <w:p>
      <w:pPr>
        <w:spacing w:after="0" w:line="117" w:lineRule="exact"/>
        <w:rPr>
          <w:rFonts w:ascii="Times New Roman" w:cs="Times New Roman" w:eastAsia="Times New Roman" w:hAnsi="Times New Roman"/>
          <w:sz w:val="18"/>
          <w:szCs w:val="18"/>
          <w:color w:val="auto"/>
        </w:rPr>
      </w:pPr>
    </w:p>
    <w:p>
      <w:pPr>
        <w:ind w:left="960" w:right="400" w:hanging="480"/>
        <w:spacing w:after="0" w:line="282" w:lineRule="auto"/>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product candidates from being commercialized.</w:t>
      </w:r>
    </w:p>
    <w:p>
      <w:pPr>
        <w:spacing w:after="0" w:line="162" w:lineRule="exact"/>
        <w:rPr>
          <w:sz w:val="20"/>
          <w:szCs w:val="20"/>
          <w:color w:val="auto"/>
        </w:rPr>
      </w:pPr>
    </w:p>
    <w:p>
      <w:pPr>
        <w:jc w:val="both"/>
        <w:ind w:right="240" w:firstLine="482"/>
        <w:spacing w:after="0" w:line="272" w:lineRule="auto"/>
        <w:rPr>
          <w:sz w:val="20"/>
          <w:szCs w:val="20"/>
          <w:color w:val="auto"/>
        </w:rPr>
      </w:pPr>
      <w:r>
        <w:rPr>
          <w:rFonts w:ascii="Times New Roman" w:cs="Times New Roman" w:eastAsia="Times New Roman" w:hAnsi="Times New Roman"/>
          <w:sz w:val="17"/>
          <w:szCs w:val="17"/>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product candidates performed satisfactorily in clinical trials have nonetheless failed to obtain marketing approval of their products.</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Additionally, some of our trials may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w:t>
      </w:r>
    </w:p>
    <w:p>
      <w:pPr>
        <w:spacing w:after="0" w:line="188" w:lineRule="exact"/>
        <w:rPr>
          <w:sz w:val="20"/>
          <w:szCs w:val="20"/>
          <w:color w:val="auto"/>
        </w:rPr>
      </w:pPr>
    </w:p>
    <w:p>
      <w:pPr>
        <w:ind w:right="20" w:firstLine="482"/>
        <w:spacing w:after="0" w:line="270" w:lineRule="auto"/>
        <w:rPr>
          <w:sz w:val="20"/>
          <w:szCs w:val="20"/>
          <w:color w:val="auto"/>
        </w:rPr>
      </w:pPr>
      <w:r>
        <w:rPr>
          <w:rFonts w:ascii="Times New Roman" w:cs="Times New Roman" w:eastAsia="Times New Roman" w:hAnsi="Times New Roman"/>
          <w:sz w:val="17"/>
          <w:szCs w:val="17"/>
          <w:color w:val="auto"/>
        </w:rPr>
        <w:t>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may in the future pursue development of biological 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ind w:right="20" w:firstLine="482"/>
        <w:spacing w:after="0" w:line="256" w:lineRule="auto"/>
        <w:rPr>
          <w:sz w:val="20"/>
          <w:szCs w:val="20"/>
          <w:color w:val="auto"/>
        </w:rPr>
      </w:pPr>
      <w:r>
        <w:rPr>
          <w:rFonts w:ascii="Times New Roman" w:cs="Times New Roman" w:eastAsia="Times New Roman" w:hAnsi="Times New Roman"/>
          <w:sz w:val="18"/>
          <w:szCs w:val="18"/>
          <w:color w:val="auto"/>
        </w:rPr>
        <w:t>If we seek to conduct clinical trials in foreign countries or pursue marketing approvals in foreign jurisdictions, we must comply with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spacing w:after="0" w:line="187" w:lineRule="exact"/>
        <w:rPr>
          <w:sz w:val="20"/>
          <w:szCs w:val="20"/>
          <w:color w:val="auto"/>
        </w:rPr>
      </w:pPr>
    </w:p>
    <w:p>
      <w:pPr>
        <w:ind w:right="220" w:firstLine="482"/>
        <w:spacing w:after="0" w:line="258" w:lineRule="auto"/>
        <w:rPr>
          <w:sz w:val="20"/>
          <w:szCs w:val="20"/>
          <w:color w:val="auto"/>
        </w:rPr>
      </w:pPr>
      <w:r>
        <w:rPr>
          <w:rFonts w:ascii="Times New Roman" w:cs="Times New Roman" w:eastAsia="Times New Roman" w:hAnsi="Times New Roman"/>
          <w:sz w:val="18"/>
          <w:szCs w:val="18"/>
          <w:color w:val="auto"/>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spacing w:after="0" w:line="287" w:lineRule="exact"/>
        <w:rPr>
          <w:sz w:val="20"/>
          <w:szCs w:val="20"/>
          <w:color w:val="auto"/>
        </w:rPr>
      </w:pPr>
    </w:p>
    <w:p>
      <w:pPr>
        <w:ind w:left="2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additional costs or experience delays in completing, or ultimately be unable to complete, the development and commercialization of PLN-74809 or any other product candidates.</w:t>
      </w:r>
    </w:p>
    <w:p>
      <w:pPr>
        <w:spacing w:after="0" w:line="51" w:lineRule="exact"/>
        <w:rPr>
          <w:sz w:val="20"/>
          <w:szCs w:val="20"/>
          <w:color w:val="auto"/>
        </w:rPr>
      </w:pPr>
    </w:p>
    <w:p>
      <w:pPr>
        <w:ind w:firstLine="482"/>
        <w:spacing w:after="0" w:line="266" w:lineRule="auto"/>
        <w:rPr>
          <w:sz w:val="20"/>
          <w:szCs w:val="20"/>
          <w:color w:val="auto"/>
        </w:rPr>
      </w:pPr>
      <w:r>
        <w:rPr>
          <w:rFonts w:ascii="Times New Roman" w:cs="Times New Roman" w:eastAsia="Times New Roman" w:hAnsi="Times New Roman"/>
          <w:sz w:val="18"/>
          <w:szCs w:val="18"/>
          <w:color w:val="auto"/>
        </w:rPr>
        <w:t>We may experience delays in initiating or completing clinical trials. We also may experience numerous unforeseen events during, or as a result of, any future clinical trials that could delay or prevent our ability to receive marketing approval or commercialize PLN-74809 or any other product candidates, including:</w:t>
      </w:r>
    </w:p>
    <w:p>
      <w:pPr>
        <w:spacing w:after="0" w:line="68" w:lineRule="exact"/>
        <w:rPr>
          <w:sz w:val="20"/>
          <w:szCs w:val="20"/>
          <w:color w:val="auto"/>
        </w:rPr>
      </w:pPr>
    </w:p>
    <w:p>
      <w:pPr>
        <w:ind w:left="960" w:right="140" w:hanging="480"/>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53" w:lineRule="exact"/>
        <w:rPr>
          <w:rFonts w:ascii="Times New Roman" w:cs="Times New Roman" w:eastAsia="Times New Roman" w:hAnsi="Times New Roman"/>
          <w:sz w:val="18"/>
          <w:szCs w:val="18"/>
          <w:color w:val="auto"/>
        </w:rPr>
      </w:pPr>
    </w:p>
    <w:p>
      <w:pPr>
        <w:ind w:left="960" w:right="240" w:hanging="480"/>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spacing w:after="0" w:line="67" w:lineRule="exact"/>
        <w:rPr>
          <w:rFonts w:ascii="Times New Roman" w:cs="Times New Roman" w:eastAsia="Times New Roman" w:hAnsi="Times New Roman"/>
          <w:sz w:val="18"/>
          <w:szCs w:val="18"/>
          <w:color w:val="auto"/>
        </w:rPr>
      </w:pPr>
    </w:p>
    <w:p>
      <w:pPr>
        <w:jc w:val="both"/>
        <w:ind w:left="960" w:right="300" w:hanging="480"/>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960" w:right="60" w:hanging="480"/>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subjects required for clinical trials of any product candidates may be larger than we anticipate or subjects may drop out of these clinical trials or fail to return for post-treatment follow-up at a higher rate than we anticipate;</w:t>
      </w:r>
    </w:p>
    <w:p>
      <w:pPr>
        <w:spacing w:after="0" w:line="53" w:lineRule="exact"/>
        <w:rPr>
          <w:rFonts w:ascii="Times New Roman" w:cs="Times New Roman" w:eastAsia="Times New Roman" w:hAnsi="Times New Roman"/>
          <w:sz w:val="18"/>
          <w:szCs w:val="18"/>
          <w:color w:val="auto"/>
        </w:rPr>
      </w:pPr>
    </w:p>
    <w:p>
      <w:pPr>
        <w:ind w:left="960" w:right="180" w:hanging="480"/>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67" w:lineRule="exact"/>
        <w:rPr>
          <w:rFonts w:ascii="Times New Roman" w:cs="Times New Roman" w:eastAsia="Times New Roman" w:hAnsi="Times New Roman"/>
          <w:sz w:val="18"/>
          <w:szCs w:val="18"/>
          <w:color w:val="auto"/>
        </w:rPr>
      </w:pPr>
    </w:p>
    <w:p>
      <w:pPr>
        <w:ind w:left="960" w:right="120" w:hanging="480"/>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impact of the COVID-19 pandemic, we have experienced, and may continue to experience, delays and interruptions to our preclinical studies and clinical trials, we may experience delays or interruptions to our manufacturing supply chain, or we could suffer delays in reaching, or we may fail to reach, agreement on acceptable terms with third-party service providers on whom we rely;</w:t>
      </w:r>
    </w:p>
    <w:p>
      <w:pPr>
        <w:spacing w:after="0" w:line="67" w:lineRule="exact"/>
        <w:rPr>
          <w:rFonts w:ascii="Times New Roman" w:cs="Times New Roman" w:eastAsia="Times New Roman" w:hAnsi="Times New Roman"/>
          <w:sz w:val="18"/>
          <w:szCs w:val="18"/>
          <w:color w:val="auto"/>
        </w:rPr>
      </w:pPr>
    </w:p>
    <w:p>
      <w:pPr>
        <w:ind w:left="960" w:right="140" w:hanging="480"/>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delays and interruptions to our clinical trials could extend the duration of the trials and increase the overall costs to finish the trials as our fixed costs are not substantially reduced during delays;</w:t>
      </w:r>
    </w:p>
    <w:p>
      <w:pPr>
        <w:spacing w:after="0" w:line="53" w:lineRule="exact"/>
        <w:rPr>
          <w:rFonts w:ascii="Times New Roman" w:cs="Times New Roman" w:eastAsia="Times New Roman" w:hAnsi="Times New Roman"/>
          <w:sz w:val="18"/>
          <w:szCs w:val="18"/>
          <w:color w:val="auto"/>
        </w:rPr>
      </w:pPr>
    </w:p>
    <w:p>
      <w:pPr>
        <w:ind w:left="960" w:right="180" w:hanging="480"/>
        <w:spacing w:after="0" w:line="266"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ind w:left="960" w:right="680" w:hanging="480"/>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financial resources available to begin and complete the planned trials, or the cost of clinical trials of any product candidates may be greater than we anticipate;</w:t>
      </w:r>
    </w:p>
    <w:p>
      <w:pPr>
        <w:spacing w:after="0" w:line="53" w:lineRule="exact"/>
        <w:rPr>
          <w:rFonts w:ascii="Times New Roman" w:cs="Times New Roman" w:eastAsia="Times New Roman" w:hAnsi="Times New Roman"/>
          <w:sz w:val="18"/>
          <w:szCs w:val="18"/>
          <w:color w:val="auto"/>
        </w:rPr>
      </w:pPr>
    </w:p>
    <w:p>
      <w:pPr>
        <w:ind w:left="960" w:right="640" w:hanging="480"/>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to initiate or complete a given clinical trial; and</w:t>
      </w:r>
    </w:p>
    <w:p>
      <w:pPr>
        <w:spacing w:after="0" w:line="53" w:lineRule="exact"/>
        <w:rPr>
          <w:rFonts w:ascii="Times New Roman" w:cs="Times New Roman" w:eastAsia="Times New Roman" w:hAnsi="Times New Roman"/>
          <w:sz w:val="18"/>
          <w:szCs w:val="18"/>
          <w:color w:val="auto"/>
        </w:rPr>
      </w:pPr>
    </w:p>
    <w:p>
      <w:pPr>
        <w:ind w:left="960" w:right="140" w:hanging="480"/>
        <w:spacing w:after="0" w:line="282" w:lineRule="auto"/>
        <w:tabs>
          <w:tab w:leader="none" w:pos="9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require us to submit additional data such as long-term toxicology studies, or impose other requirements before permitting us to initiate a clinical trial.</w:t>
      </w:r>
    </w:p>
    <w:p>
      <w:pPr>
        <w:spacing w:after="0" w:line="162" w:lineRule="exact"/>
        <w:rPr>
          <w:sz w:val="20"/>
          <w:szCs w:val="20"/>
          <w:color w:val="auto"/>
        </w:rPr>
      </w:pPr>
    </w:p>
    <w:p>
      <w:pPr>
        <w:ind w:right="80" w:firstLine="482"/>
        <w:spacing w:after="0" w:line="255"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 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ind w:left="2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spacing w:after="0" w:line="51" w:lineRule="exact"/>
        <w:rPr>
          <w:sz w:val="20"/>
          <w:szCs w:val="20"/>
          <w:color w:val="auto"/>
        </w:rPr>
      </w:pPr>
    </w:p>
    <w:p>
      <w:pPr>
        <w:ind w:right="120" w:firstLine="482"/>
        <w:spacing w:after="0" w:line="253" w:lineRule="auto"/>
        <w:rPr>
          <w:sz w:val="20"/>
          <w:szCs w:val="20"/>
          <w:color w:val="auto"/>
        </w:rPr>
      </w:pPr>
      <w:r>
        <w:rPr>
          <w:rFonts w:ascii="Times New Roman" w:cs="Times New Roman" w:eastAsia="Times New Roman" w:hAnsi="Times New Roman"/>
          <w:sz w:val="18"/>
          <w:szCs w:val="18"/>
          <w:color w:val="auto"/>
        </w:rPr>
        <w:t>We completed our Phase 1a clinical trial of our lead product candidate PLN-74809 in healthy volunteers, and, with the exception of a number of reported minor adverse events, the product candidate was observed to be generally well-tolerated across all doses in 71 trial participants.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PLN-74809 administered with approved IPF agents. As a result, we may encounter unexpected drug-drug interactions in our planned trials, and may be required to further test these candidates, including in drug-drug interaction studies, which may be expensive, time-consuming and result in delays to our programs. In addition, the FDA recently issued a “safe to proceed” letter in relation to our plans to evaluate PLN-74809 in COVID-19-related acute respiratory distress syndrome, for which we recently initiated a Phase 2a trial. We thus far have not conducted any clinical development of this product candidate for such indication or in an acute setting. As a result, we may observe the incidence of adverse events or serious adverse events upon further development of PLN-74809 in this patient population, and such incidence may be magnified in patients with COVID-19 due to the critical and often life-threatening nature of the underlying disease. If we encounter adverse safety issues with PLN-74809 during its development for COVID-19-related acute respiratory distress syndrome, such an outcome may adversely color the perceptions of clinicians, regulatory agencies, patients and others with respect to the safety profile of PLN-74809 in other indications.</w:t>
      </w:r>
    </w:p>
    <w:p>
      <w:pPr>
        <w:spacing w:after="0" w:line="187" w:lineRule="exact"/>
        <w:rPr>
          <w:sz w:val="20"/>
          <w:szCs w:val="20"/>
          <w:color w:val="auto"/>
        </w:rPr>
      </w:pPr>
    </w:p>
    <w:p>
      <w:pPr>
        <w:ind w:right="180" w:firstLine="482"/>
        <w:spacing w:after="0" w:line="261" w:lineRule="auto"/>
        <w:rPr>
          <w:sz w:val="20"/>
          <w:szCs w:val="20"/>
          <w:color w:val="auto"/>
        </w:rPr>
      </w:pPr>
      <w:r>
        <w:rPr>
          <w:rFonts w:ascii="Times New Roman" w:cs="Times New Roman" w:eastAsia="Times New Roman" w:hAnsi="Times New Roman"/>
          <w:sz w:val="18"/>
          <w:szCs w:val="18"/>
          <w:color w:val="auto"/>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spacing w:after="0" w:line="284" w:lineRule="exact"/>
        <w:rPr>
          <w:sz w:val="20"/>
          <w:szCs w:val="20"/>
          <w:color w:val="auto"/>
        </w:rPr>
      </w:pPr>
    </w:p>
    <w:p>
      <w:pPr>
        <w:ind w:left="24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51" w:lineRule="exact"/>
        <w:rPr>
          <w:sz w:val="20"/>
          <w:szCs w:val="20"/>
          <w:color w:val="auto"/>
        </w:rPr>
      </w:pPr>
    </w:p>
    <w:p>
      <w:pPr>
        <w:ind w:right="640" w:firstLine="482"/>
        <w:spacing w:after="0" w:line="266"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spacing w:after="0" w:line="68" w:lineRule="exact"/>
        <w:rPr>
          <w:sz w:val="20"/>
          <w:szCs w:val="20"/>
          <w:color w:val="auto"/>
        </w:rPr>
      </w:pPr>
    </w:p>
    <w:p>
      <w:pPr>
        <w:ind w:left="960" w:hanging="4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and exclusion criteria defined in the protocol;</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 and the process for identifying patients;</w:t>
      </w:r>
    </w:p>
    <w:p>
      <w:pPr>
        <w:spacing w:after="0" w:line="117" w:lineRule="exact"/>
        <w:rPr>
          <w:rFonts w:ascii="Times New Roman" w:cs="Times New Roman" w:eastAsia="Times New Roman" w:hAnsi="Times New Roman"/>
          <w:sz w:val="18"/>
          <w:szCs w:val="18"/>
          <w:color w:val="auto"/>
        </w:rPr>
      </w:pPr>
    </w:p>
    <w:p>
      <w:pPr>
        <w:ind w:left="960" w:right="360" w:hanging="480"/>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or availability (including legality under applicable COVID-19 shelter-in-place regulations) of patients to participate in our trials (including due to fears of contracting COVID-19);</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trial sites;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960" w:right="660" w:hanging="480"/>
        <w:spacing w:after="0" w:line="282" w:lineRule="auto"/>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product candidates’ clinical trials;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For example, we are initially developing PLN-74809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PLN-74809 due, in part, to the small size of these patient populations. 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Certain of our planned clinical trials may also involve invasive procedures such as bronchoscopy and broncho-alveolar lavage, or BAL, procedure, which may lead some patients to drop out of trials to avoid these follow-up procedures.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ind w:firstLine="482"/>
        <w:spacing w:after="0" w:line="253" w:lineRule="auto"/>
        <w:rPr>
          <w:sz w:val="20"/>
          <w:szCs w:val="20"/>
          <w:color w:val="auto"/>
        </w:rPr>
      </w:pPr>
      <w:r>
        <w:rPr>
          <w:rFonts w:ascii="Times New Roman" w:cs="Times New Roman" w:eastAsia="Times New Roman" w:hAnsi="Times New Roman"/>
          <w:sz w:val="18"/>
          <w:szCs w:val="18"/>
          <w:color w:val="auto"/>
        </w:rPr>
        <w:t>Further, timely enrollment in clinical trials is reliant on clinical trial sites which may be adversely affected by global health matters, including, among other things, pandemics. For example, our clinical trial sites have been affected by the COVID-19 pandemic. Commencement of enrollment of our clinical trials of PLN-74809 in IPF and PSC was delayed. While these trials have resumed patient enrollment, we could experience slower than expected enrollment. With respect to our PLN-74809 program for COVID-19 ARDS, we have initiated a Phase 2a trial evaluating the potential of this candidate, but there can be no assurance that we will not encounter challenges in patient enrollment or the conduct of the trial generally. With respect to the ongoing Phase 1 trial of PLN-1474, the trial site has experienced delays due to its location in an area currently impacted by COVID-19; however, it is now open and expected to continue dosing the remaining cohorts of the Phase 1 trial with topline data expected in the first quarter of 2021, subject to further impact of the COVID-19 pandemic. In addition, after enrollment in these trials, if patients contract COVID-19 during participation in our trials or are subject to isolation or shelter-in-place restrictions, this may cause them to drop out of our trials, miss scheduled doses or follow-up visits or otherwise fail to follow trial protocols. If patients are unable to follow the trial protocols or if our trial results are otherwise disputed due to the effects of the COVID-19 pandemic or actions taken to mitigate its spread, the integrity of data from our trials may be compromised or not accepted by the FDA or other regulatory authorities, which would represent a significant setback for the applicable program.</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Some factors from the COVID-19 pandemic that we believe may adversely affect enrollment in our trials include:</w:t>
      </w:r>
    </w:p>
    <w:p>
      <w:pPr>
        <w:spacing w:after="0" w:line="117" w:lineRule="exact"/>
        <w:rPr>
          <w:sz w:val="20"/>
          <w:szCs w:val="20"/>
          <w:color w:val="auto"/>
        </w:rPr>
      </w:pPr>
    </w:p>
    <w:p>
      <w:pPr>
        <w:jc w:val="both"/>
        <w:ind w:left="960" w:right="100" w:hanging="480"/>
        <w:spacing w:after="0" w:line="26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healthcare resources away from the conduct of clinical trial matters to focus on pandemic concerns, including the attention of infectious disease physicians serving as our clinical trial investigators, hospitals serving as our clinical trial sites and hospital staff supporting the conduct of our clinical trials;</w:t>
      </w:r>
    </w:p>
    <w:p>
      <w:pPr>
        <w:spacing w:after="0" w:line="67" w:lineRule="exact"/>
        <w:rPr>
          <w:rFonts w:ascii="Times New Roman" w:cs="Times New Roman" w:eastAsia="Times New Roman" w:hAnsi="Times New Roman"/>
          <w:sz w:val="18"/>
          <w:szCs w:val="18"/>
          <w:color w:val="auto"/>
        </w:rPr>
      </w:pPr>
    </w:p>
    <w:p>
      <w:pPr>
        <w:ind w:left="960" w:hanging="480"/>
        <w:spacing w:after="0" w:line="266"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that our clinical trials target respiratory indications, patients who would otherwise be candidates for enrollment in our clinical trials, may become infected with coronavirus, which may kill some patients and render others too ill to participate, limiting the available pool of participants for our trials;</w:t>
      </w:r>
    </w:p>
    <w:p>
      <w:pPr>
        <w:spacing w:after="0" w:line="67" w:lineRule="exact"/>
        <w:rPr>
          <w:rFonts w:ascii="Times New Roman" w:cs="Times New Roman" w:eastAsia="Times New Roman" w:hAnsi="Times New Roman"/>
          <w:sz w:val="18"/>
          <w:szCs w:val="18"/>
          <w:color w:val="auto"/>
        </w:rPr>
      </w:pPr>
    </w:p>
    <w:p>
      <w:pPr>
        <w:ind w:left="960" w:right="320" w:hanging="480"/>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patients to come to hospitals and universities to participate in our trial, which may force us to conduct our trials in patients’ homes, rendering the trials more difficult and costly to conduct;</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travel that interrupt key trial activities, such as clinical trial site initiations and monitoring;</w:t>
      </w:r>
    </w:p>
    <w:p>
      <w:pPr>
        <w:spacing w:after="0" w:line="117" w:lineRule="exact"/>
        <w:rPr>
          <w:rFonts w:ascii="Times New Roman" w:cs="Times New Roman" w:eastAsia="Times New Roman" w:hAnsi="Times New Roman"/>
          <w:sz w:val="18"/>
          <w:szCs w:val="18"/>
          <w:color w:val="auto"/>
        </w:rPr>
      </w:pPr>
    </w:p>
    <w:p>
      <w:pPr>
        <w:ind w:left="960" w:right="360" w:hanging="480"/>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in global shipping affecting the transport of clinical trial materials, such as investigational drug product and comparator drugs used in our trials; and</w:t>
      </w:r>
    </w:p>
    <w:p>
      <w:pPr>
        <w:spacing w:after="0" w:line="53" w:lineRule="exact"/>
        <w:rPr>
          <w:rFonts w:ascii="Times New Roman" w:cs="Times New Roman" w:eastAsia="Times New Roman" w:hAnsi="Times New Roman"/>
          <w:sz w:val="18"/>
          <w:szCs w:val="18"/>
          <w:color w:val="auto"/>
        </w:rPr>
      </w:pPr>
    </w:p>
    <w:p>
      <w:pPr>
        <w:ind w:left="960" w:right="820" w:hanging="480"/>
        <w:spacing w:after="0" w:line="282" w:lineRule="auto"/>
        <w:tabs>
          <w:tab w:leader="none" w:pos="9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furlough days that delay necessary interactions with local regulators, ethics committees and other important agencies and contractors.</w:t>
      </w:r>
    </w:p>
    <w:p>
      <w:pPr>
        <w:spacing w:after="0" w:line="162" w:lineRule="exact"/>
        <w:rPr>
          <w:sz w:val="20"/>
          <w:szCs w:val="20"/>
          <w:color w:val="auto"/>
        </w:rPr>
      </w:pPr>
    </w:p>
    <w:p>
      <w:pPr>
        <w:jc w:val="both"/>
        <w:ind w:right="60" w:firstLine="482"/>
        <w:spacing w:after="0" w:line="266" w:lineRule="auto"/>
        <w:rPr>
          <w:sz w:val="20"/>
          <w:szCs w:val="20"/>
          <w:color w:val="auto"/>
        </w:rPr>
      </w:pPr>
      <w:r>
        <w:rPr>
          <w:rFonts w:ascii="Times New Roman" w:cs="Times New Roman" w:eastAsia="Times New Roman" w:hAnsi="Times New Roman"/>
          <w:sz w:val="18"/>
          <w:szCs w:val="18"/>
          <w:color w:val="auto"/>
        </w:rPr>
        <w:t>These and other factors arising from the COVID-19 pandemic could worsen in countries that are already afflicted with the virus or could continue to spread to additional countries, each of which may further adversely impact our clinical trials. The global outbreak of the COVID-19 pandemic continues to evolve and the conduct of our trials may continue to be adversely affected, despite efforts to mitigate this impact.</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design or execution of our ongoing and future clinical trials may not support marketing approval.</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design or execution of a clinical trial can determine whether its results will support marketing approval, and flaws in the design or execution of a clinical trial may not become apparent until the clinical trial is well advanced. We are currently recruiting two Phase 2a trials of PLN-74809 in IPF, subject to the impact of the COVID-19 pandemic. In the first of these trials, the study is designed to enroll IPF patients and utilize a positron emission tomography, or PET, ligand to measure avß6 target engagement by PLN-74809 in the lungs post-treatment. The second trial is a 12-week double blind placebo-controlled trial recruiting IPF patients across up to four cohorts consisting of up to three doses of PLN-74809 and one placebo and will evaluate safety, tolerability and pharmacokinetics, or PK. It is possible that we may need to amend our clinical trial, which would require us to resubmit our clinical trial protocols to IRBs for reexamination, and may impact the costs, timing or successful completion of such clinical trial. In addition, we may desire to test PLN-74809 at doses exceeding those evaluated in the Phase 1a trial, and may not be able to do so.</w:t>
      </w:r>
    </w:p>
    <w:p>
      <w:pPr>
        <w:spacing w:after="0" w:line="19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spacing w:after="0" w:line="180"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0" w:name="page51"/>
    <w:bookmarkEnd w:id="50"/>
    <w:p>
      <w:pPr>
        <w:ind w:right="440" w:firstLine="482"/>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spacing w:after="0" w:line="266" w:lineRule="exact"/>
        <w:rPr>
          <w:sz w:val="20"/>
          <w:szCs w:val="20"/>
          <w:color w:val="auto"/>
        </w:rPr>
      </w:pPr>
    </w:p>
    <w:p>
      <w:pPr>
        <w:ind w:lef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U.S. orphan drug designation for PLN-74809 for IPF and PSC indications,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spacing w:after="0" w:line="67" w:lineRule="exact"/>
        <w:rPr>
          <w:sz w:val="20"/>
          <w:szCs w:val="20"/>
          <w:color w:val="auto"/>
        </w:rPr>
      </w:pPr>
    </w:p>
    <w:p>
      <w:pPr>
        <w:ind w:right="20" w:firstLine="482"/>
        <w:spacing w:after="0" w:line="258"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w:t>
      </w:r>
    </w:p>
    <w:p>
      <w:pPr>
        <w:spacing w:after="0" w:line="183" w:lineRule="exact"/>
        <w:rPr>
          <w:sz w:val="20"/>
          <w:szCs w:val="20"/>
          <w:color w:val="auto"/>
        </w:rPr>
      </w:pPr>
    </w:p>
    <w:p>
      <w:pPr>
        <w:ind w:right="100" w:firstLine="482"/>
        <w:spacing w:after="0" w:line="261" w:lineRule="auto"/>
        <w:rPr>
          <w:sz w:val="20"/>
          <w:szCs w:val="20"/>
          <w:color w:val="auto"/>
        </w:rPr>
      </w:pPr>
      <w:r>
        <w:rPr>
          <w:rFonts w:ascii="Times New Roman" w:cs="Times New Roman" w:eastAsia="Times New Roman" w:hAnsi="Times New Roman"/>
          <w:sz w:val="18"/>
          <w:szCs w:val="18"/>
          <w:color w:val="auto"/>
        </w:rPr>
        <w:t>Although we have received U.S. orphan drug designation for PLN-74809 for IPF and PSC indications,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spacing w:after="0" w:line="180"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The applicable period is seven years in the United States.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87" w:lineRule="exact"/>
        <w:rPr>
          <w:sz w:val="20"/>
          <w:szCs w:val="20"/>
          <w:color w:val="auto"/>
        </w:rPr>
      </w:pPr>
    </w:p>
    <w:p>
      <w:pPr>
        <w:ind w:right="60" w:firstLine="482"/>
        <w:spacing w:after="0" w:line="261" w:lineRule="auto"/>
        <w:rPr>
          <w:sz w:val="20"/>
          <w:szCs w:val="20"/>
          <w:color w:val="auto"/>
        </w:rPr>
      </w:pPr>
      <w:r>
        <w:rPr>
          <w:rFonts w:ascii="Times New Roman" w:cs="Times New Roman" w:eastAsia="Times New Roman" w:hAnsi="Times New Roman"/>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right="180" w:firstLine="482"/>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89" w:lineRule="exact"/>
        <w:rPr>
          <w:sz w:val="20"/>
          <w:szCs w:val="20"/>
          <w:color w:val="auto"/>
        </w:rPr>
      </w:pPr>
    </w:p>
    <w:p>
      <w:pPr>
        <w:ind w:right="120" w:firstLine="482"/>
        <w:spacing w:after="0" w:line="254" w:lineRule="auto"/>
        <w:rPr>
          <w:sz w:val="20"/>
          <w:szCs w:val="20"/>
          <w:color w:val="auto"/>
        </w:rPr>
      </w:pPr>
      <w:r>
        <w:rPr>
          <w:rFonts w:ascii="Times New Roman" w:cs="Times New Roman" w:eastAsia="Times New Roman" w:hAnsi="Times New Roman"/>
          <w:sz w:val="18"/>
          <w:szCs w:val="18"/>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product candidates in the future.</w:t>
      </w:r>
    </w:p>
    <w:p>
      <w:pPr>
        <w:spacing w:after="0" w:line="121" w:lineRule="exact"/>
        <w:rPr>
          <w:sz w:val="20"/>
          <w:szCs w:val="20"/>
          <w:color w:val="auto"/>
        </w:rPr>
      </w:pPr>
    </w:p>
    <w:p>
      <w:pPr>
        <w:ind w:right="560" w:firstLine="482"/>
        <w:spacing w:after="0" w:line="282" w:lineRule="auto"/>
        <w:rPr>
          <w:sz w:val="20"/>
          <w:szCs w:val="20"/>
          <w:color w:val="auto"/>
        </w:rPr>
      </w:pPr>
      <w:r>
        <w:rPr>
          <w:rFonts w:ascii="Times New Roman" w:cs="Times New Roman" w:eastAsia="Times New Roman" w:hAnsi="Times New Roman"/>
          <w:sz w:val="18"/>
          <w:szCs w:val="18"/>
          <w:color w:val="auto"/>
        </w:rPr>
        <w:t>Our research programs may initially show promise in identifying potential product candidates, yet fail to yield product candidates for clinical development for a number of reasons, including:</w:t>
      </w:r>
    </w:p>
    <w:p>
      <w:pPr>
        <w:spacing w:after="0" w:line="54" w:lineRule="exact"/>
        <w:rPr>
          <w:sz w:val="20"/>
          <w:szCs w:val="20"/>
          <w:color w:val="auto"/>
        </w:rPr>
      </w:pPr>
    </w:p>
    <w:p>
      <w:pPr>
        <w:ind w:left="960" w:hanging="480"/>
        <w:spacing w:after="0"/>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design such product candidates with the pharmacological properties that we desire or attractive pharmacokinetics; or</w:t>
      </w:r>
    </w:p>
    <w:p>
      <w:pPr>
        <w:spacing w:after="0" w:line="117" w:lineRule="exact"/>
        <w:rPr>
          <w:rFonts w:ascii="Times New Roman" w:cs="Times New Roman" w:eastAsia="Times New Roman" w:hAnsi="Times New Roman"/>
          <w:sz w:val="18"/>
          <w:szCs w:val="18"/>
          <w:color w:val="auto"/>
        </w:rPr>
      </w:pPr>
    </w:p>
    <w:p>
      <w:pPr>
        <w:ind w:left="960" w:right="300" w:hanging="480"/>
        <w:spacing w:after="0" w:line="282" w:lineRule="auto"/>
        <w:tabs>
          <w:tab w:leader="none" w:pos="9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1" w:name="page52"/>
    <w:bookmarkEnd w:id="51"/>
    <w:p>
      <w:pPr>
        <w:ind w:right="200" w:firstLine="482"/>
        <w:spacing w:after="0" w:line="266" w:lineRule="auto"/>
        <w:rPr>
          <w:sz w:val="20"/>
          <w:szCs w:val="20"/>
          <w:color w:val="auto"/>
        </w:rPr>
      </w:pPr>
      <w:r>
        <w:rPr>
          <w:rFonts w:ascii="Times New Roman" w:cs="Times New Roman" w:eastAsia="Times New Roman" w:hAnsi="Times New Roman"/>
          <w:sz w:val="18"/>
          <w:szCs w:val="18"/>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280" w:lineRule="exact"/>
        <w:rPr>
          <w:sz w:val="20"/>
          <w:szCs w:val="20"/>
          <w:color w:val="auto"/>
        </w:rPr>
      </w:pPr>
    </w:p>
    <w:p>
      <w:pPr>
        <w:ind w:left="240"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limited resources and access to capital, we must make decisions on the allocation of resources to certain programs and product candidates; these decisions may prove to be wrong and may adversely affect our business.</w:t>
      </w:r>
    </w:p>
    <w:p>
      <w:pPr>
        <w:spacing w:after="0" w:line="51"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spacing w:after="0" w:line="189" w:lineRule="exact"/>
        <w:rPr>
          <w:sz w:val="20"/>
          <w:szCs w:val="20"/>
          <w:color w:val="auto"/>
        </w:rPr>
      </w:pPr>
    </w:p>
    <w:p>
      <w:pPr>
        <w:ind w:right="120" w:firstLine="482"/>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280" w:lineRule="exact"/>
        <w:rPr>
          <w:sz w:val="20"/>
          <w:szCs w:val="20"/>
          <w:color w:val="auto"/>
        </w:rPr>
      </w:pPr>
    </w:p>
    <w:p>
      <w:pPr>
        <w:ind w:left="240" w:right="1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financial or other liabilities and may be required to limit commercialization of our product candidates.</w:t>
      </w:r>
    </w:p>
    <w:p>
      <w:pPr>
        <w:spacing w:after="0" w:line="51" w:lineRule="exact"/>
        <w:rPr>
          <w:sz w:val="20"/>
          <w:szCs w:val="20"/>
          <w:color w:val="auto"/>
        </w:rPr>
      </w:pPr>
    </w:p>
    <w:p>
      <w:pPr>
        <w:ind w:right="40" w:firstLine="482"/>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testing PLN-74809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bring a product candidate to the market;</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 and inability to continue clinical trials;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injunctions or criminal penalties;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if approved;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 in our share price.</w:t>
      </w:r>
    </w:p>
    <w:p>
      <w:pPr>
        <w:spacing w:after="0" w:line="225"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PLN-74809 and PLN-1474 continue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2" w:name="page53"/>
    <w:bookmarkEnd w:id="52"/>
    <w:p>
      <w:pPr>
        <w:ind w:left="2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us.</w:t>
      </w:r>
    </w:p>
    <w:p>
      <w:pPr>
        <w:spacing w:after="0" w:line="51" w:lineRule="exact"/>
        <w:rPr>
          <w:sz w:val="20"/>
          <w:szCs w:val="20"/>
          <w:color w:val="auto"/>
        </w:rPr>
      </w:pPr>
    </w:p>
    <w:p>
      <w:pPr>
        <w:ind w:right="80" w:firstLine="482"/>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3"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There are a number of large biopharmaceutical and biotechnology companies that are currently pursuing the development of products for the treatment of fibrosis. Companies that we are aware of that are targeting the treatment of various fibrosis indications through inhibiting various parts of the TGF-ß pathway include large companies with significant financial resources such as Biogen, Inc., AbbVie Inc., Gilead Sciences, Inc., Indalo Therapeutics, Inc., FibroGen, Inc., Galapagos NV, Bristol Myers Squibb Co., and Novartis AG. However, we know of no other companies currently in clinical development with an orally bioavailable small-molecule, selective integrin inhibitor. In addition, the FDA recently issued a “safe to proceed” letter in relation to our plans to evaluate PLN-74809 in COVID-19-related acute respiratory distress syndrome, for which we recently initiated a Phase 2a trial. We are aware of numerous companies in the U.S. and globally that are developing or have announced plans to develop therapies intended to address COVID-19, including in the form of vaccines, antiviral agents and treatments to manage the symptoms of COVID-19, including acute respiratory distress syndrome.</w:t>
      </w:r>
    </w:p>
    <w:p>
      <w:pPr>
        <w:spacing w:after="0" w:line="188" w:lineRule="exact"/>
        <w:rPr>
          <w:sz w:val="20"/>
          <w:szCs w:val="20"/>
          <w:color w:val="auto"/>
        </w:rPr>
      </w:pPr>
    </w:p>
    <w:p>
      <w:pPr>
        <w:ind w:right="40" w:firstLine="482"/>
        <w:spacing w:after="0" w:line="266" w:lineRule="auto"/>
        <w:rPr>
          <w:sz w:val="20"/>
          <w:szCs w:val="20"/>
          <w:color w:val="auto"/>
        </w:rPr>
      </w:pPr>
      <w:r>
        <w:rPr>
          <w:rFonts w:ascii="Times New Roman" w:cs="Times New Roman" w:eastAsia="Times New Roman" w:hAnsi="Times New Roman"/>
          <w:sz w:val="18"/>
          <w:szCs w:val="18"/>
          <w:color w:val="auto"/>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spacing w:after="0" w:line="176"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PLN-74809 or other product candidates that we may identify. Our competitors also may obtain FDA or other regulatory approval for their products more rapidly than we may obtain approval for ours and may do,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 The availability of competitive products could limit the demand, and the price we are able to charge, for any products that we may develop and commercialize.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Marketing, Reimbursement, Healthcare Regulations and Ongoing Regulatory Compliance</w:t>
      </w:r>
    </w:p>
    <w:p>
      <w:pPr>
        <w:spacing w:after="0" w:line="117" w:lineRule="exact"/>
        <w:rPr>
          <w:sz w:val="20"/>
          <w:szCs w:val="20"/>
          <w:color w:val="auto"/>
        </w:rPr>
      </w:pPr>
    </w:p>
    <w:p>
      <w:pPr>
        <w:ind w:left="2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 product candidate we develop receives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ind w:right="20" w:firstLine="482"/>
        <w:spacing w:after="0" w:line="258" w:lineRule="auto"/>
        <w:rPr>
          <w:sz w:val="20"/>
          <w:szCs w:val="20"/>
          <w:color w:val="auto"/>
        </w:rPr>
      </w:pPr>
      <w:r>
        <w:rPr>
          <w:rFonts w:ascii="Times New Roman" w:cs="Times New Roman" w:eastAsia="Times New Roman" w:hAnsi="Times New Roman"/>
          <w:sz w:val="18"/>
          <w:szCs w:val="18"/>
          <w:color w:val="auto"/>
        </w:rPr>
        <w:t>Even if PLN-74809 or any other product candidate we develop receives marketing approval, it may nonetheless fail to gain sufficient market acceptance by physicians, patients, third-party payors, such as Medicare and Medicaid programs and managed care organizations,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degree of market acceptance of any product candidate, if approved for commercial sale, will depend on a number of factors, including:</w:t>
      </w:r>
    </w:p>
    <w:p>
      <w:pPr>
        <w:spacing w:after="0" w:line="117" w:lineRule="exact"/>
        <w:rPr>
          <w:sz w:val="20"/>
          <w:szCs w:val="20"/>
          <w:color w:val="auto"/>
        </w:rPr>
      </w:pPr>
    </w:p>
    <w:p>
      <w:pPr>
        <w:ind w:left="960" w:hanging="480"/>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17" w:lineRule="exact"/>
        <w:rPr>
          <w:rFonts w:ascii="Times New Roman" w:cs="Times New Roman" w:eastAsia="Times New Roman" w:hAnsi="Times New Roman"/>
          <w:sz w:val="18"/>
          <w:szCs w:val="18"/>
          <w:color w:val="auto"/>
        </w:rPr>
      </w:pPr>
    </w:p>
    <w:p>
      <w:pPr>
        <w:ind w:left="960" w:right="220" w:hanging="480"/>
        <w:spacing w:after="0" w:line="282" w:lineRule="auto"/>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recommendations with respect to our product candidates in guidelines published by various scientific organizations applicable to us and our product candidates;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3" w:name="page54"/>
    <w:bookmarkEnd w:id="53"/>
    <w:p>
      <w:pPr>
        <w:ind w:right="100" w:firstLine="482"/>
        <w:spacing w:after="0" w:line="282" w:lineRule="auto"/>
        <w:rPr>
          <w:sz w:val="20"/>
          <w:szCs w:val="20"/>
          <w:color w:val="auto"/>
        </w:rPr>
      </w:pPr>
      <w:r>
        <w:rPr>
          <w:rFonts w:ascii="Times New Roman" w:cs="Times New Roman" w:eastAsia="Times New Roman" w:hAnsi="Times New Roman"/>
          <w:sz w:val="18"/>
          <w:szCs w:val="18"/>
          <w:color w:val="auto"/>
        </w:rPr>
        <w:t>If government and other third-party payors do not provide coverage and adequate reimbursement levels for any products we commercialize, market acceptance and commercial success would be reduced.</w:t>
      </w:r>
    </w:p>
    <w:p>
      <w:pPr>
        <w:spacing w:after="0" w:line="266" w:lineRule="exact"/>
        <w:rPr>
          <w:sz w:val="20"/>
          <w:szCs w:val="20"/>
          <w:color w:val="auto"/>
        </w:rPr>
      </w:pPr>
    </w:p>
    <w:p>
      <w:pPr>
        <w:ind w:left="24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approved, which could make it difficult for us to sell any product candidates profitably.</w:t>
      </w:r>
    </w:p>
    <w:p>
      <w:pPr>
        <w:spacing w:after="0" w:line="51"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products for which we may obtain regulatory approval. In the U.S., sales of any products for which we may receive regulatory marketing approval will depend, in part, on the availability of coverage and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is critical to new product acceptance. Patients are unlikely to use our product candidates unless coverage is provided and reimbursement is adequate to cover a significant portion of the cost. We cannot be sure that coverage and reimbursement will be available for, or accurately estimate the potential revenue from, our product candidates or assure that coverage and reimbursement will be available for any product that we may develop.</w:t>
      </w:r>
    </w:p>
    <w:p>
      <w:pPr>
        <w:spacing w:after="0" w:line="188" w:lineRule="exact"/>
        <w:rPr>
          <w:sz w:val="20"/>
          <w:szCs w:val="20"/>
          <w:color w:val="auto"/>
        </w:rPr>
      </w:pPr>
    </w:p>
    <w:p>
      <w:pPr>
        <w:ind w:right="40" w:firstLine="482"/>
        <w:spacing w:after="0" w:line="282" w:lineRule="auto"/>
        <w:rPr>
          <w:sz w:val="20"/>
          <w:szCs w:val="20"/>
          <w:color w:val="auto"/>
        </w:rPr>
      </w:pPr>
      <w:r>
        <w:rPr>
          <w:rFonts w:ascii="Times New Roman" w:cs="Times New Roman" w:eastAsia="Times New Roman" w:hAnsi="Times New Roman"/>
          <w:sz w:val="18"/>
          <w:szCs w:val="18"/>
          <w:color w:val="auto"/>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spacing w:after="0" w:line="54" w:lineRule="exact"/>
        <w:rPr>
          <w:sz w:val="20"/>
          <w:szCs w:val="20"/>
          <w:color w:val="auto"/>
        </w:rPr>
      </w:pPr>
    </w:p>
    <w:p>
      <w:pPr>
        <w:ind w:left="960" w:hanging="480"/>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right="20" w:firstLine="482"/>
        <w:spacing w:after="0" w:line="254" w:lineRule="auto"/>
        <w:rPr>
          <w:sz w:val="20"/>
          <w:szCs w:val="20"/>
          <w:color w:val="auto"/>
        </w:rPr>
      </w:pPr>
      <w:r>
        <w:rPr>
          <w:rFonts w:ascii="Times New Roman" w:cs="Times New Roman" w:eastAsia="Times New Roman" w:hAnsi="Times New Roman"/>
          <w:sz w:val="18"/>
          <w:szCs w:val="18"/>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spacing w:after="0" w:line="192" w:lineRule="exact"/>
        <w:rPr>
          <w:sz w:val="20"/>
          <w:szCs w:val="20"/>
          <w:color w:val="auto"/>
        </w:rPr>
      </w:pPr>
    </w:p>
    <w:p>
      <w:pPr>
        <w:ind w:right="20" w:firstLine="482"/>
        <w:spacing w:after="0" w:line="253" w:lineRule="auto"/>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also called the Medicare Modernization Act, or the MMA, established the Medicare Part D program to provide a voluntary prescription drug and biologic benefit to Medicare beneficiaries. Under Part D, Medicare beneficiaries may enroll in prescription drug plans offered by private entities that provide coverage of outpatient prescription drugs and biologics. Unlike Medicare Parts A and B, Part D coverage is not standardized. Part D prescription drug plan sponsors are not required to pay for all covered Part D drugs and biologics, and each drug plan can develop its own formulary that identifies which drugs and biologics it will cover, and at what tier or level. However, Part D prescription drug formularies must include products within each therapeutic category and class of covered Part D drugs, though not necessarily all the drugs and biologics in each category or class. Any formulary used by a Part D prescription drug plan must be developed and reviewed by a pharmacy and therapeutic committee. Government payment for some of the costs of prescription drugs and biologics may increase demand for products for which we obtain marketing approval. Any negotiated prices for any of our products covered by a Part D prescription drug plan will likely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0" w:lineRule="exact"/>
        <w:rPr>
          <w:sz w:val="20"/>
          <w:szCs w:val="20"/>
          <w:color w:val="auto"/>
        </w:rPr>
      </w:pPr>
    </w:p>
    <w:p>
      <w:pPr>
        <w:ind w:right="40" w:firstLine="482"/>
        <w:spacing w:after="0" w:line="253" w:lineRule="auto"/>
        <w:rPr>
          <w:sz w:val="20"/>
          <w:szCs w:val="20"/>
          <w:color w:val="auto"/>
        </w:rPr>
      </w:pPr>
      <w:r>
        <w:rPr>
          <w:rFonts w:ascii="Times New Roman" w:cs="Times New Roman" w:eastAsia="Times New Roman" w:hAnsi="Times New Roman"/>
          <w:sz w:val="18"/>
          <w:szCs w:val="18"/>
          <w:color w:val="auto"/>
        </w:rPr>
        <w:t>For a drug or biologic product to receive federal reimbursement under the Medicaid or Medicare Part B programs or to be sold directly to U.S. government agencies, the manufacturer must extend discounts to entities eligible to participate in the 340B drug pricing program. The required 340B discount on a given product is calculated based on the average manufacturer price, or AMP, and Medicaid rebate amounts reported by the manufacturer. As of 2010, the Patient Protection and Affordable Care Act, as amended by the Health Care and Education Reconciliation Act of 2010, or collectively the ACA, expanded the types of entities eligible to receive discounted 340B pricing, although under the current state of the law these newly eligible entities (with the exception of children’s hospitals) will not be eligible to receive discounted 340B pricing on orphan drugs. As 340B drug pricing is determined based on AMP and Medicaid rebate data, the revisions to the Medicaid rebate formula and AMP definition described above could cause the required 340B discount to increase. Further, on December 27, 2018, the District Court for the District of Columbia invalidated a reimbursement formula change instituted by the Centers for Medicare &amp; Medicaid Services, or CMS, under the 340B program. For the 2019 and 2018 fiscal years, CMS altered the reimbursement formula. The court ruled this change was not an “adjustment” that was within the Secretary’s discretion to make but was instead a fundamental change in the</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4" w:name="page55"/>
    <w:bookmarkEnd w:id="54"/>
    <w:p>
      <w:pPr>
        <w:ind w:right="40"/>
        <w:spacing w:after="0" w:line="256" w:lineRule="auto"/>
        <w:rPr>
          <w:sz w:val="20"/>
          <w:szCs w:val="20"/>
          <w:color w:val="auto"/>
        </w:rPr>
      </w:pPr>
      <w:r>
        <w:rPr>
          <w:rFonts w:ascii="Times New Roman" w:cs="Times New Roman" w:eastAsia="Times New Roman" w:hAnsi="Times New Roman"/>
          <w:sz w:val="18"/>
          <w:szCs w:val="18"/>
          <w:color w:val="auto"/>
        </w:rPr>
        <w:t>reimbursement calculation, and such a dramatic change was beyond the scope of the Secretary’s authority. On May 6, 2019, the district court reiterated that the rate reduction exceeded the Secretary’s authority and declared that the rate reduction for 2019 also exceeded the Secretary’s authority and remanded the issue to HHS to devise an appropriate remedy. On July 10, 2019, the district court entered its final judgment and CMS has filed an appeal and a decision by the Court of Appeals for the D.C. Circuit is pending. However, subsequently, hospitals have filed a complaint in the U.S. District Court for D.C. to enjoin the reimbursement cuts for 2020. It is unclear how such litigation could affect covered hospitals who might purchase our products in the future, and affect the rates we may charge such facilities for our approved products.</w:t>
      </w:r>
    </w:p>
    <w:p>
      <w:pPr>
        <w:spacing w:after="0" w:line="187" w:lineRule="exact"/>
        <w:rPr>
          <w:sz w:val="20"/>
          <w:szCs w:val="20"/>
          <w:color w:val="auto"/>
        </w:rPr>
      </w:pPr>
    </w:p>
    <w:p>
      <w:pPr>
        <w:ind w:right="80" w:firstLine="482"/>
        <w:spacing w:after="0" w:line="266" w:lineRule="auto"/>
        <w:rPr>
          <w:sz w:val="20"/>
          <w:szCs w:val="20"/>
          <w:color w:val="auto"/>
        </w:rPr>
      </w:pPr>
      <w:r>
        <w:rPr>
          <w:rFonts w:ascii="Times New Roman" w:cs="Times New Roman" w:eastAsia="Times New Roman" w:hAnsi="Times New Roman"/>
          <w:sz w:val="18"/>
          <w:szCs w:val="18"/>
          <w:color w:val="auto"/>
        </w:rPr>
        <w:t>Changes to these current laws and state and federal healthcare reform measures that may be adopted in the future may result in additional reductions in Medicare and other healthcare funding and otherwise affect the prices we may obtain for any product candidates for which we may obtain regulatory approval or the frequency with which any such product candidate is prescribed or used.</w:t>
      </w:r>
    </w:p>
    <w:p>
      <w:pPr>
        <w:spacing w:after="0" w:line="280" w:lineRule="exact"/>
        <w:rPr>
          <w:sz w:val="20"/>
          <w:szCs w:val="20"/>
          <w:color w:val="auto"/>
        </w:rPr>
      </w:pPr>
    </w:p>
    <w:p>
      <w:pPr>
        <w:ind w:left="2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51" w:lineRule="exact"/>
        <w:rPr>
          <w:sz w:val="20"/>
          <w:szCs w:val="20"/>
          <w:color w:val="auto"/>
        </w:rPr>
      </w:pPr>
    </w:p>
    <w:p>
      <w:pPr>
        <w:ind w:right="20" w:firstLine="482"/>
        <w:spacing w:after="0" w:line="253"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296" w:lineRule="exact"/>
        <w:rPr>
          <w:sz w:val="20"/>
          <w:szCs w:val="20"/>
          <w:color w:val="auto"/>
        </w:rPr>
      </w:pPr>
    </w:p>
    <w:p>
      <w:pPr>
        <w:ind w:left="24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67" w:lineRule="exact"/>
        <w:rPr>
          <w:sz w:val="20"/>
          <w:szCs w:val="20"/>
          <w:color w:val="auto"/>
        </w:rPr>
      </w:pPr>
    </w:p>
    <w:p>
      <w:pPr>
        <w:ind w:firstLine="482"/>
        <w:spacing w:after="0" w:line="252" w:lineRule="auto"/>
        <w:rPr>
          <w:sz w:val="20"/>
          <w:szCs w:val="20"/>
          <w:color w:val="auto"/>
        </w:rPr>
      </w:pPr>
      <w:r>
        <w:rPr>
          <w:rFonts w:ascii="Times New Roman" w:cs="Times New Roman" w:eastAsia="Times New Roman" w:hAnsi="Times New Roman"/>
          <w:sz w:val="18"/>
          <w:szCs w:val="18"/>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5" w:name="page56"/>
    <w:bookmarkEnd w:id="55"/>
    <w:p>
      <w:pPr>
        <w:ind w:left="24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67"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biopharmaceutical products. Arrangements with third-party payors and customers can expose biopharmaceutical manufacturers to broadly applicable fraud and abuse and other healthcare laws and regulations, including, without limitation, the federal Anti-Kickback Statute and the federal False Claims Act, or FCA, which may constrain the business or financial arrangements and relationships through which such companies sell, market and distribute biopharmaceutical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The applicable federal, state and foreign healthcare laws and regulations laws that may affect our ability to operate include, but are not limited to:</w:t>
      </w:r>
    </w:p>
    <w:p>
      <w:pPr>
        <w:spacing w:after="0" w:line="86" w:lineRule="exact"/>
        <w:rPr>
          <w:sz w:val="20"/>
          <w:szCs w:val="20"/>
          <w:color w:val="auto"/>
        </w:rPr>
      </w:pPr>
    </w:p>
    <w:p>
      <w:pPr>
        <w:ind w:left="960" w:hanging="480"/>
        <w:spacing w:after="0" w:line="253"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In addition, a claim submitted for payment to any federal health care program that includes items or services that were made as a result of a violation of the federal Anti-Kickback Statute constitutes a false or fraudulent claim for purposes of the FCA.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86" w:lineRule="exact"/>
        <w:rPr>
          <w:rFonts w:ascii="Times New Roman" w:cs="Times New Roman" w:eastAsia="Times New Roman" w:hAnsi="Times New Roman"/>
          <w:sz w:val="18"/>
          <w:szCs w:val="18"/>
          <w:color w:val="auto"/>
        </w:rPr>
      </w:pPr>
    </w:p>
    <w:p>
      <w:pPr>
        <w:ind w:left="960" w:right="20" w:hanging="480"/>
        <w:spacing w:after="0" w:line="253"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or fraudulent claim or an obligation to pay or transmit money or property to the federal government; or knowingly concealing or knowingly and improperly avoiding or decreasing or concealing an obligation to pay money to the federal government. A claim that includes items or services resulting from a violation of the federal Anti-Kickback Statute constitutes a false or fraudulent claim under the FCA. Manufacturers can be held liable under the FCA even when they do not submit claims directly to government payors if they are deemed to “cause” the submission of false or fraudulent claims. The FCA also permits a private individual acting as a “whistleblower” to bring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actions on behalf of the federal government alleging violations of the FCA and to share in any monetary recovery;</w:t>
      </w:r>
    </w:p>
    <w:p>
      <w:pPr>
        <w:spacing w:after="0" w:line="86" w:lineRule="exact"/>
        <w:rPr>
          <w:rFonts w:ascii="Times New Roman" w:cs="Times New Roman" w:eastAsia="Times New Roman" w:hAnsi="Times New Roman"/>
          <w:sz w:val="18"/>
          <w:szCs w:val="18"/>
          <w:color w:val="auto"/>
        </w:rPr>
      </w:pPr>
    </w:p>
    <w:p>
      <w:pPr>
        <w:ind w:left="960" w:right="20" w:hanging="480"/>
        <w:spacing w:after="0" w:line="255"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80" w:lineRule="exact"/>
        <w:rPr>
          <w:rFonts w:ascii="Times New Roman" w:cs="Times New Roman" w:eastAsia="Times New Roman" w:hAnsi="Times New Roman"/>
          <w:sz w:val="18"/>
          <w:szCs w:val="18"/>
          <w:color w:val="auto"/>
        </w:rPr>
      </w:pPr>
    </w:p>
    <w:p>
      <w:pPr>
        <w:ind w:left="960" w:hanging="480"/>
        <w:spacing w:after="0" w:line="254" w:lineRule="auto"/>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among other things, requirements relating to the privacy, security and transmission of individually identifiable health information on certain covered healthcare providers, health plans, and healthcare clearinghouses, known as covered entities, as well as their respective “business associates,” those independent contractors or agents of covered entities that perform services for covered entities that involve the creation, use, receipt, maintenance or disclosure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83" w:lineRule="exact"/>
        <w:rPr>
          <w:rFonts w:ascii="Times New Roman" w:cs="Times New Roman" w:eastAsia="Times New Roman" w:hAnsi="Times New Roman"/>
          <w:sz w:val="18"/>
          <w:szCs w:val="18"/>
          <w:color w:val="auto"/>
        </w:rPr>
      </w:pPr>
    </w:p>
    <w:p>
      <w:pPr>
        <w:ind w:left="960" w:right="40" w:hanging="480"/>
        <w:spacing w:after="0" w:line="274" w:lineRule="auto"/>
        <w:tabs>
          <w:tab w:leader="none" w:pos="9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Payments Sunshine Act, created under the ACA, and its implementing regulations, which require some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transfers of value made in the previous year to certain non-physician providers such as physician assistants and nurse practitioners;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6" w:name="page57"/>
    <w:bookmarkEnd w:id="56"/>
    <w:p>
      <w:pPr>
        <w:ind w:left="960" w:right="300" w:hanging="480"/>
        <w:spacing w:after="0" w:line="282"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 and</w:t>
      </w:r>
    </w:p>
    <w:p>
      <w:pPr>
        <w:spacing w:after="0" w:line="53" w:lineRule="exact"/>
        <w:rPr>
          <w:rFonts w:ascii="Times New Roman" w:cs="Times New Roman" w:eastAsia="Times New Roman" w:hAnsi="Times New Roman"/>
          <w:sz w:val="18"/>
          <w:szCs w:val="18"/>
          <w:color w:val="auto"/>
        </w:rPr>
      </w:pPr>
    </w:p>
    <w:p>
      <w:pPr>
        <w:ind w:left="960" w:hanging="480"/>
        <w:spacing w:after="0" w:line="254" w:lineRule="auto"/>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third-party payors, including private insurers, and may be broader in scope than their federal equivalents; state and foreign laws that require biopharmaceutical companies to comply with the biopharmaceutical industry’s voluntary compliance guidelines and the relevant compliance guidance promulgated by the federal government or otherwise restrict payments that may be made to healthcare providers and other potential referral sources;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140" w:firstLine="482"/>
        <w:spacing w:after="0" w:line="282" w:lineRule="auto"/>
        <w:rPr>
          <w:sz w:val="20"/>
          <w:szCs w:val="20"/>
          <w:color w:val="auto"/>
        </w:rPr>
      </w:pPr>
      <w:r>
        <w:rPr>
          <w:rFonts w:ascii="Times New Roman" w:cs="Times New Roman" w:eastAsia="Times New Roman" w:hAnsi="Times New Roman"/>
          <w:sz w:val="18"/>
          <w:szCs w:val="18"/>
          <w:color w:val="auto"/>
        </w:rPr>
        <w:t>The distribution of biopharmaceutical products is subject to additional requirements and regulations, including extensive record-keeping, licensing, storage and security requirements intended to prevent the unauthorized sale of biopharmaceutical products.</w:t>
      </w:r>
    </w:p>
    <w:p>
      <w:pPr>
        <w:spacing w:after="0" w:line="162" w:lineRule="exact"/>
        <w:rPr>
          <w:sz w:val="20"/>
          <w:szCs w:val="20"/>
          <w:color w:val="auto"/>
        </w:rPr>
      </w:pPr>
    </w:p>
    <w:p>
      <w:pPr>
        <w:jc w:val="both"/>
        <w:ind w:right="40" w:firstLine="482"/>
        <w:spacing w:after="0" w:line="26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w:t>
      </w:r>
    </w:p>
    <w:p>
      <w:pPr>
        <w:spacing w:after="0" w:line="176"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spacing w:after="0" w:line="296" w:lineRule="exact"/>
        <w:rPr>
          <w:sz w:val="20"/>
          <w:szCs w:val="20"/>
          <w:color w:val="auto"/>
        </w:rPr>
      </w:pPr>
    </w:p>
    <w:p>
      <w:pPr>
        <w:ind w:left="24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140" w:firstLine="482"/>
        <w:spacing w:after="0" w:line="261" w:lineRule="auto"/>
        <w:rPr>
          <w:sz w:val="20"/>
          <w:szCs w:val="20"/>
          <w:color w:val="auto"/>
        </w:rPr>
      </w:pPr>
      <w:r>
        <w:rPr>
          <w:rFonts w:ascii="Times New Roman" w:cs="Times New Roman" w:eastAsia="Times New Roman" w:hAnsi="Times New Roman"/>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In addition, we will be subject to continued compliance with cGMP and GCP requirements for any clinical trials that we conduct post-approval.</w:t>
      </w:r>
    </w:p>
    <w:p>
      <w:pPr>
        <w:spacing w:after="0" w:line="180" w:lineRule="exact"/>
        <w:rPr>
          <w:sz w:val="20"/>
          <w:szCs w:val="20"/>
          <w:color w:val="auto"/>
        </w:rPr>
      </w:pPr>
    </w:p>
    <w:p>
      <w:pPr>
        <w:ind w:right="200" w:firstLine="482"/>
        <w:spacing w:after="0" w:line="258" w:lineRule="auto"/>
        <w:rPr>
          <w:sz w:val="20"/>
          <w:szCs w:val="20"/>
          <w:color w:val="auto"/>
        </w:rPr>
      </w:pPr>
      <w:r>
        <w:rPr>
          <w:rFonts w:ascii="Times New Roman" w:cs="Times New Roman" w:eastAsia="Times New Roman" w:hAnsi="Times New Roman"/>
          <w:sz w:val="18"/>
          <w:szCs w:val="18"/>
          <w:color w:val="auto"/>
        </w:rPr>
        <w:t>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83" w:lineRule="exact"/>
        <w:rPr>
          <w:sz w:val="20"/>
          <w:szCs w:val="20"/>
          <w:color w:val="auto"/>
        </w:rPr>
      </w:pPr>
    </w:p>
    <w:p>
      <w:pPr>
        <w:ind w:right="40" w:firstLine="482"/>
        <w:spacing w:after="0" w:line="255"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ind w:right="80" w:firstLine="482"/>
        <w:spacing w:after="0" w:line="256" w:lineRule="auto"/>
        <w:rPr>
          <w:sz w:val="20"/>
          <w:szCs w:val="20"/>
          <w:color w:val="auto"/>
        </w:rPr>
      </w:pPr>
      <w:r>
        <w:rPr>
          <w:rFonts w:ascii="Times New Roman" w:cs="Times New Roman" w:eastAsia="Times New Roman" w:hAnsi="Times New Roman"/>
          <w:sz w:val="18"/>
          <w:szCs w:val="18"/>
          <w:color w:val="auto"/>
        </w:rPr>
        <w:t>The FDA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960" w:right="80" w:hanging="480"/>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17" w:lineRule="exact"/>
        <w:rPr>
          <w:rFonts w:ascii="Times New Roman" w:cs="Times New Roman" w:eastAsia="Times New Roman" w:hAnsi="Times New Roman"/>
          <w:sz w:val="18"/>
          <w:szCs w:val="18"/>
          <w:color w:val="auto"/>
        </w:rPr>
      </w:pPr>
    </w:p>
    <w:p>
      <w:pPr>
        <w:ind w:left="960" w:hanging="480"/>
        <w:spacing w:after="0" w:line="282" w:lineRule="auto"/>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license approvals;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2" w:lineRule="exact"/>
        <w:rPr>
          <w:sz w:val="20"/>
          <w:szCs w:val="20"/>
          <w:color w:val="auto"/>
        </w:rPr>
      </w:pPr>
    </w:p>
    <w:p>
      <w:pPr>
        <w:jc w:val="right"/>
        <w:ind w:left="240" w:right="520"/>
        <w:spacing w:after="0" w:line="345" w:lineRule="auto"/>
        <w:rPr>
          <w:sz w:val="20"/>
          <w:szCs w:val="20"/>
          <w:color w:val="auto"/>
        </w:rPr>
      </w:pPr>
      <w:r>
        <w:rPr>
          <w:rFonts w:ascii="Times New Roman" w:cs="Times New Roman" w:eastAsia="Times New Roman" w:hAnsi="Times New Roman"/>
          <w:sz w:val="17"/>
          <w:szCs w:val="17"/>
          <w:b w:val="1"/>
          <w:bCs w:val="1"/>
          <w:i w:val="1"/>
          <w:iCs w:val="1"/>
          <w:color w:val="auto"/>
        </w:rPr>
        <w:t xml:space="preserve">Ongoing healthcare legislative and regulatory reform measures may have a material adverse effect on our business and results of operations. </w:t>
      </w:r>
      <w:r>
        <w:rPr>
          <w:rFonts w:ascii="Times New Roman" w:cs="Times New Roman" w:eastAsia="Times New Roman" w:hAnsi="Times New Roman"/>
          <w:sz w:val="17"/>
          <w:szCs w:val="17"/>
          <w:color w:val="auto"/>
        </w:rPr>
        <w:t>Changes in regulations, statutes or the interpretation of existing regulations could impact our business in the future by requiring, for example:</w:t>
      </w:r>
    </w:p>
    <w:p>
      <w:pPr>
        <w:ind w:left="220" w:hanging="212"/>
        <w:spacing w:after="0"/>
        <w:tabs>
          <w:tab w:leader="none" w:pos="2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arrangements; (ii) additions or modifications to product labeling; (iii) the recall or discontinuation of our products; or</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 requirements. If any such changes were to be imposed, they could adversely affect the operation of our business.</w:t>
      </w:r>
    </w:p>
    <w:p>
      <w:pPr>
        <w:spacing w:after="0" w:line="207"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passed, which substantially changed the way health care is financed by both governmental and private insurers, and significantly impacted the U.S. biopharmaceutical industry. The ACA,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ind w:right="40" w:firstLine="482"/>
        <w:spacing w:after="0" w:line="253" w:lineRule="auto"/>
        <w:rPr>
          <w:sz w:val="20"/>
          <w:szCs w:val="20"/>
          <w:color w:val="auto"/>
        </w:rPr>
      </w:pPr>
      <w:r>
        <w:rPr>
          <w:rFonts w:ascii="Times New Roman" w:cs="Times New Roman" w:eastAsia="Times New Roman" w:hAnsi="Times New Roman"/>
          <w:sz w:val="18"/>
          <w:szCs w:val="18"/>
          <w:color w:val="auto"/>
        </w:rPr>
        <w:t>Since its enactment, there have been numerous judicial, administrative, executive, and legislative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ACA will impact the ACA and our business. In addition, the Trump Administration has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Additionally, Congress has introduced several pieces of legislation aimed at significantly revising or repealing the ACA. It is unclear whether the ACA will be overturned, repealed, replaced, or further amended. We cannot predict what affect further changes to the ACA would have on our business.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8" w:name="page59"/>
    <w:bookmarkEnd w:id="58"/>
    <w:p>
      <w:pPr>
        <w:ind w:firstLine="482"/>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including aggregate reductions of Medicare payments to providers of 2% per fiscal year. These reductions went into effect on April 1, 2013 and, due to subsequent legislative amendments to the statute, including the Bipartisan Budget Act of 2018, or BBA, will remain in effect through 2030, unless additional congressional action is taken. However, these Medicare sequester reductions will be suspended from May 1, 2020 through December 31, 2020 due to the COVID-19 pandemic. The BBA also amended the ACA, effective January 1, 2019, by increasing the point-of-sale discount that is owed by pharmaceutical manufacturers who participate in Medicare Part D and closing the coverage gap in most Medicare drug plans, commonly referred to as the “donut hole”.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92" w:lineRule="exact"/>
        <w:rPr>
          <w:sz w:val="20"/>
          <w:szCs w:val="20"/>
          <w:color w:val="auto"/>
        </w:rPr>
      </w:pPr>
    </w:p>
    <w:p>
      <w:pPr>
        <w:ind w:right="160" w:firstLine="482"/>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87" w:lineRule="exact"/>
        <w:rPr>
          <w:sz w:val="20"/>
          <w:szCs w:val="20"/>
          <w:color w:val="auto"/>
        </w:rPr>
      </w:pPr>
    </w:p>
    <w:p>
      <w:pPr>
        <w:ind w:right="100" w:firstLine="482"/>
        <w:spacing w:after="0" w:line="252" w:lineRule="auto"/>
        <w:rPr>
          <w:sz w:val="20"/>
          <w:szCs w:val="20"/>
          <w:color w:val="auto"/>
        </w:rPr>
      </w:pPr>
      <w:r>
        <w:rPr>
          <w:rFonts w:ascii="Times New Roman" w:cs="Times New Roman" w:eastAsia="Times New Roman" w:hAnsi="Times New Roman"/>
          <w:sz w:val="18"/>
          <w:szCs w:val="18"/>
          <w:color w:val="auto"/>
        </w:rPr>
        <w:t>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or HHS, has solicited feedback on some of these measures and has implemented others under its existing authority. For example, in May 2019, CMS issued a final rule that would allow Medicare Advantage Plans the option of using step therapy, a type of prior authorization, for Part B drugs beginning January 1, 2020. This final rule codified CMS’s policy change that was effective January 1, 2019. Although a number of these and other measures may require additional authorization to become effective, Congress and the Trump administration have each indicated that it will continue to seek new legislative and/or administrative measures to control drug costs. 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5" w:lineRule="exact"/>
        <w:rPr>
          <w:sz w:val="20"/>
          <w:szCs w:val="20"/>
          <w:color w:val="auto"/>
        </w:rPr>
      </w:pPr>
    </w:p>
    <w:p>
      <w:pPr>
        <w:ind w:right="100" w:firstLine="482"/>
        <w:spacing w:after="0" w:line="266"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biopharmaceutical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6" w:lineRule="exact"/>
        <w:rPr>
          <w:sz w:val="20"/>
          <w:szCs w:val="20"/>
          <w:color w:val="auto"/>
        </w:rPr>
      </w:pPr>
    </w:p>
    <w:p>
      <w:pPr>
        <w:ind w:right="100" w:firstLine="482"/>
        <w:spacing w:after="0" w:line="258" w:lineRule="auto"/>
        <w:rPr>
          <w:sz w:val="20"/>
          <w:szCs w:val="20"/>
          <w:color w:val="auto"/>
        </w:rPr>
      </w:pPr>
      <w:r>
        <w:rPr>
          <w:rFonts w:ascii="Times New Roman" w:cs="Times New Roman" w:eastAsia="Times New Roman" w:hAnsi="Times New Roman"/>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 in connection with the sale of any future approved product candidates due to the trend toward managed healthcare, the increasing influence of health maintenance organizations, cost containment initiatives and additional legislative changes.</w:t>
      </w:r>
    </w:p>
    <w:p>
      <w:pPr>
        <w:spacing w:after="0" w:line="287" w:lineRule="exact"/>
        <w:rPr>
          <w:sz w:val="20"/>
          <w:szCs w:val="20"/>
          <w:color w:val="auto"/>
        </w:rPr>
      </w:pPr>
    </w:p>
    <w:p>
      <w:pPr>
        <w:ind w:left="24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7" w:lineRule="exact"/>
        <w:rPr>
          <w:sz w:val="20"/>
          <w:szCs w:val="20"/>
          <w:color w:val="auto"/>
        </w:rPr>
      </w:pPr>
    </w:p>
    <w:p>
      <w:pPr>
        <w:ind w:firstLine="482"/>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9" w:name="page60"/>
    <w:bookmarkEnd w:id="59"/>
    <w:p>
      <w:pPr>
        <w:ind w:firstLine="482"/>
        <w:spacing w:after="0" w:line="252"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Separately, in response to the COVID-19 pandemic, on March 10, 2020 the FDA announced its intention to temporarily postpone most inspections of foreign manufacturing facilities and products. On March 18, 2020, the FDA announced its intention to temporarily postpone routine surveillance inspections of domestic manufacturing facilities and provided guidance regarding the conduct of clinical trials, which has since been further updated. As of June 23, 2020, the FDA noted it was conducting mission critical domestic and foreign inspections to ensure compliance of manufacturing facilities with FDA quality standards. On July 10, 2020, the FDA announced its goal of restarting domestic on-site inspections during the week of July 20, 2020, but such activities will depend on data about the virus’ trajectory in a given state and locality and the rules and guidelines that are put in place by state and local governments. The FDA has developed a rating system to assist in determining when and where it is safest to conduct prioritized domestic inspections. In April 2020, the FDA stated that its New Drug Program was continuing to meet program user fee performance goals, but due to many agency staff working on COVID-19 activities, it was possible that the FDA would not be able to sustain that level of performance indefinitely. Additionally, as of June 23, 2020, the FDA noted it was continuing to ensure timely reviews of applications for medical products during the COVID-19 pandemic in line with its user fee performance goals. On July 16, 2020, FDA noted that it is continuing to expedite oncology product development with its staff teleworking full-time.</w:t>
      </w:r>
    </w:p>
    <w:p>
      <w:pPr>
        <w:spacing w:after="0" w:line="197" w:lineRule="exact"/>
        <w:rPr>
          <w:sz w:val="20"/>
          <w:szCs w:val="20"/>
          <w:color w:val="auto"/>
        </w:rPr>
      </w:pPr>
    </w:p>
    <w:p>
      <w:pPr>
        <w:ind w:right="60" w:firstLine="482"/>
        <w:spacing w:after="0" w:line="258" w:lineRule="auto"/>
        <w:rPr>
          <w:sz w:val="20"/>
          <w:szCs w:val="20"/>
          <w:color w:val="auto"/>
        </w:rPr>
      </w:pPr>
      <w:r>
        <w:rPr>
          <w:rFonts w:ascii="Times New Roman" w:cs="Times New Roman" w:eastAsia="Times New Roman" w:hAnsi="Times New Roman"/>
          <w:sz w:val="18"/>
          <w:szCs w:val="18"/>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87" w:lineRule="exact"/>
        <w:rPr>
          <w:sz w:val="20"/>
          <w:szCs w:val="20"/>
          <w:color w:val="auto"/>
        </w:rPr>
      </w:pPr>
    </w:p>
    <w:p>
      <w:pPr>
        <w:ind w:left="24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EU drug marketing and reimbursement regulations may materially affect our ability to market and receive coverage for our products in the European member states.</w:t>
      </w:r>
    </w:p>
    <w:p>
      <w:pPr>
        <w:spacing w:after="0" w:line="51" w:lineRule="exact"/>
        <w:rPr>
          <w:sz w:val="20"/>
          <w:szCs w:val="20"/>
          <w:color w:val="auto"/>
        </w:rPr>
      </w:pPr>
    </w:p>
    <w:p>
      <w:pPr>
        <w:ind w:right="120" w:firstLine="482"/>
        <w:spacing w:after="0" w:line="255" w:lineRule="auto"/>
        <w:rPr>
          <w:sz w:val="20"/>
          <w:szCs w:val="20"/>
          <w:color w:val="auto"/>
        </w:rPr>
      </w:pPr>
      <w:r>
        <w:rPr>
          <w:rFonts w:ascii="Times New Roman" w:cs="Times New Roman" w:eastAsia="Times New Roman" w:hAnsi="Times New Roman"/>
          <w:sz w:val="18"/>
          <w:szCs w:val="18"/>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89" w:lineRule="exact"/>
        <w:rPr>
          <w:sz w:val="20"/>
          <w:szCs w:val="20"/>
          <w:color w:val="auto"/>
        </w:rPr>
      </w:pPr>
    </w:p>
    <w:p>
      <w:pPr>
        <w:ind w:right="60" w:firstLine="482"/>
        <w:spacing w:after="0" w:line="261" w:lineRule="auto"/>
        <w:rPr>
          <w:sz w:val="20"/>
          <w:szCs w:val="20"/>
          <w:color w:val="auto"/>
        </w:rPr>
      </w:pPr>
      <w:r>
        <w:rPr>
          <w:rFonts w:ascii="Times New Roman" w:cs="Times New Roman" w:eastAsia="Times New Roman" w:hAnsi="Times New Roman"/>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 The provision of benefits or advantages to physicians is governed by the national anti-bribery laws of EU Member States, and in respect of the U.K. (which is longer a member of the EU), the U.K. Bribery Act 2010. Infringement of these laws could result in substantial fines and imprisonment.</w:t>
      </w:r>
    </w:p>
    <w:p>
      <w:pPr>
        <w:spacing w:after="0" w:line="180" w:lineRule="exact"/>
        <w:rPr>
          <w:sz w:val="20"/>
          <w:szCs w:val="20"/>
          <w:color w:val="auto"/>
        </w:rPr>
      </w:pPr>
    </w:p>
    <w:p>
      <w:pPr>
        <w:ind w:right="120" w:firstLine="482"/>
        <w:spacing w:after="0" w:line="258" w:lineRule="auto"/>
        <w:rPr>
          <w:sz w:val="20"/>
          <w:szCs w:val="20"/>
          <w:color w:val="auto"/>
        </w:rPr>
      </w:pPr>
      <w:r>
        <w:rPr>
          <w:rFonts w:ascii="Times New Roman" w:cs="Times New Roman" w:eastAsia="Times New Roman" w:hAnsi="Times New Roman"/>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83" w:lineRule="exact"/>
        <w:rPr>
          <w:sz w:val="20"/>
          <w:szCs w:val="20"/>
          <w:color w:val="auto"/>
        </w:rPr>
      </w:pPr>
    </w:p>
    <w:p>
      <w:pPr>
        <w:ind w:right="60" w:firstLine="482"/>
        <w:spacing w:after="0" w:line="253" w:lineRule="auto"/>
        <w:rPr>
          <w:sz w:val="20"/>
          <w:szCs w:val="20"/>
          <w:color w:val="auto"/>
        </w:rPr>
      </w:pPr>
      <w:r>
        <w:rPr>
          <w:rFonts w:ascii="Times New Roman" w:cs="Times New Roman" w:eastAsia="Times New Roman" w:hAnsi="Times New Roman"/>
          <w:sz w:val="18"/>
          <w:szCs w:val="18"/>
          <w:color w:val="auto"/>
        </w:rPr>
        <w:t>In addition, in most foreign countries, including the European Economic Area, or EEA, the proposed pricing for a drug must be approved before it may be lawfully marketed. 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0" w:name="page61"/>
    <w:bookmarkEnd w:id="60"/>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Additional laws and regulations governing international operations could negatively impact or restrict our operations.</w:t>
      </w:r>
    </w:p>
    <w:p>
      <w:pPr>
        <w:spacing w:after="0" w:line="121" w:lineRule="exact"/>
        <w:rPr>
          <w:sz w:val="20"/>
          <w:szCs w:val="20"/>
          <w:color w:val="auto"/>
        </w:rPr>
      </w:pPr>
    </w:p>
    <w:p>
      <w:pPr>
        <w:ind w:right="200" w:firstLine="482"/>
        <w:spacing w:after="0" w:line="255" w:lineRule="auto"/>
        <w:rPr>
          <w:sz w:val="20"/>
          <w:szCs w:val="20"/>
          <w:color w:val="auto"/>
        </w:rPr>
      </w:pPr>
      <w:r>
        <w:rPr>
          <w:rFonts w:ascii="Times New Roman" w:cs="Times New Roman" w:eastAsia="Times New Roman" w:hAnsi="Times New Roman"/>
          <w:sz w:val="18"/>
          <w:szCs w:val="18"/>
          <w:color w:val="auto"/>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right="20" w:firstLine="482"/>
        <w:spacing w:after="0" w:line="261" w:lineRule="auto"/>
        <w:rPr>
          <w:sz w:val="20"/>
          <w:szCs w:val="20"/>
          <w:color w:val="auto"/>
        </w:rPr>
      </w:pPr>
      <w:r>
        <w:rPr>
          <w:rFonts w:ascii="Times New Roman" w:cs="Times New Roman" w:eastAsia="Times New Roman" w:hAnsi="Times New Roman"/>
          <w:sz w:val="18"/>
          <w:szCs w:val="18"/>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spacing w:after="0" w:line="180" w:lineRule="exact"/>
        <w:rPr>
          <w:sz w:val="20"/>
          <w:szCs w:val="20"/>
          <w:color w:val="auto"/>
        </w:rPr>
      </w:pPr>
    </w:p>
    <w:p>
      <w:pPr>
        <w:ind w:right="80" w:firstLine="482"/>
        <w:spacing w:after="0" w:line="258" w:lineRule="auto"/>
        <w:rPr>
          <w:sz w:val="20"/>
          <w:szCs w:val="20"/>
          <w:color w:val="auto"/>
        </w:rPr>
      </w:pPr>
      <w:r>
        <w:rPr>
          <w:rFonts w:ascii="Times New Roman" w:cs="Times New Roman" w:eastAsia="Times New Roman" w:hAnsi="Times New Roman"/>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3" w:lineRule="exact"/>
        <w:rPr>
          <w:sz w:val="20"/>
          <w:szCs w:val="20"/>
          <w:color w:val="auto"/>
        </w:rPr>
      </w:pPr>
    </w:p>
    <w:p>
      <w:pPr>
        <w:jc w:val="both"/>
        <w:ind w:right="240" w:firstLine="482"/>
        <w:spacing w:after="0" w:line="266" w:lineRule="auto"/>
        <w:rPr>
          <w:sz w:val="20"/>
          <w:szCs w:val="20"/>
          <w:color w:val="auto"/>
        </w:rPr>
      </w:pPr>
      <w:r>
        <w:rPr>
          <w:rFonts w:ascii="Times New Roman" w:cs="Times New Roman" w:eastAsia="Times New Roman" w:hAnsi="Times New Roman"/>
          <w:sz w:val="18"/>
          <w:szCs w:val="18"/>
          <w:color w:val="auto"/>
        </w:rPr>
        <w:t>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FCPA’s accounting provisions.</w:t>
      </w:r>
    </w:p>
    <w:p>
      <w:pPr>
        <w:spacing w:after="0" w:line="2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w:t>
      </w:r>
    </w:p>
    <w:p>
      <w:pPr>
        <w:spacing w:after="0" w:line="3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can face serious consequences for violations.</w:t>
      </w:r>
    </w:p>
    <w:p>
      <w:pPr>
        <w:spacing w:after="0" w:line="99"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24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51" w:lineRule="exact"/>
        <w:rPr>
          <w:sz w:val="20"/>
          <w:szCs w:val="20"/>
          <w:color w:val="auto"/>
        </w:rPr>
      </w:pPr>
    </w:p>
    <w:p>
      <w:pPr>
        <w:ind w:right="20" w:firstLine="482"/>
        <w:spacing w:after="0" w:line="254" w:lineRule="auto"/>
        <w:rPr>
          <w:sz w:val="20"/>
          <w:szCs w:val="20"/>
          <w:color w:val="auto"/>
        </w:rPr>
      </w:pPr>
      <w:r>
        <w:rPr>
          <w:rFonts w:ascii="Times New Roman" w:cs="Times New Roman" w:eastAsia="Times New Roman" w:hAnsi="Times New Roman"/>
          <w:sz w:val="18"/>
          <w:szCs w:val="18"/>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192" w:lineRule="exact"/>
        <w:rPr>
          <w:sz w:val="20"/>
          <w:szCs w:val="20"/>
          <w:color w:val="auto"/>
        </w:rPr>
      </w:pPr>
    </w:p>
    <w:p>
      <w:pPr>
        <w:ind w:right="160" w:firstLine="482"/>
        <w:spacing w:after="0" w:line="258" w:lineRule="auto"/>
        <w:rPr>
          <w:sz w:val="20"/>
          <w:szCs w:val="20"/>
          <w:color w:val="auto"/>
        </w:rPr>
      </w:pPr>
      <w:r>
        <w:rPr>
          <w:rFonts w:ascii="Times New Roman" w:cs="Times New Roman" w:eastAsia="Times New Roman" w:hAnsi="Times New Roman"/>
          <w:sz w:val="18"/>
          <w:szCs w:val="18"/>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ind w:right="40" w:firstLine="482"/>
        <w:spacing w:after="0" w:line="254" w:lineRule="auto"/>
        <w:rPr>
          <w:sz w:val="20"/>
          <w:szCs w:val="20"/>
          <w:color w:val="auto"/>
        </w:rPr>
      </w:pPr>
      <w:r>
        <w:rPr>
          <w:rFonts w:ascii="Times New Roman" w:cs="Times New Roman" w:eastAsia="Times New Roman" w:hAnsi="Times New Roman"/>
          <w:sz w:val="18"/>
          <w:szCs w:val="18"/>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92" w:lineRule="exact"/>
        <w:rPr>
          <w:sz w:val="20"/>
          <w:szCs w:val="20"/>
          <w:color w:val="auto"/>
        </w:rPr>
      </w:pPr>
    </w:p>
    <w:p>
      <w:pPr>
        <w:ind w:right="80" w:firstLine="482"/>
        <w:spacing w:after="0" w:line="282" w:lineRule="auto"/>
        <w:rPr>
          <w:sz w:val="20"/>
          <w:szCs w:val="20"/>
          <w:color w:val="auto"/>
        </w:rPr>
      </w:pPr>
      <w:r>
        <w:rPr>
          <w:rFonts w:ascii="Times New Roman" w:cs="Times New Roman" w:eastAsia="Times New Roman" w:hAnsi="Times New Roman"/>
          <w:sz w:val="18"/>
          <w:szCs w:val="18"/>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162" w:lineRule="exact"/>
        <w:rPr>
          <w:sz w:val="20"/>
          <w:szCs w:val="20"/>
          <w:color w:val="auto"/>
        </w:rPr>
      </w:pPr>
    </w:p>
    <w:p>
      <w:pPr>
        <w:ind w:right="80" w:firstLine="482"/>
        <w:spacing w:after="0" w:line="256" w:lineRule="auto"/>
        <w:rPr>
          <w:sz w:val="20"/>
          <w:szCs w:val="20"/>
          <w:color w:val="auto"/>
        </w:rPr>
      </w:pPr>
      <w:r>
        <w:rPr>
          <w:rFonts w:ascii="Times New Roman" w:cs="Times New Roman" w:eastAsia="Times New Roman" w:hAnsi="Times New Roman"/>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187"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194"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2" w:lineRule="exact"/>
        <w:rPr>
          <w:sz w:val="20"/>
          <w:szCs w:val="20"/>
          <w:color w:val="auto"/>
        </w:rPr>
      </w:pPr>
    </w:p>
    <w:p>
      <w:pPr>
        <w:ind w:right="340" w:firstLine="482"/>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54" w:lineRule="exact"/>
        <w:rPr>
          <w:sz w:val="20"/>
          <w:szCs w:val="20"/>
          <w:color w:val="auto"/>
        </w:rPr>
      </w:pPr>
    </w:p>
    <w:p>
      <w:pPr>
        <w:ind w:left="960" w:right="260" w:hanging="480"/>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or use compounds that are similar to the compositions of our product candidates but that are not covered by the claims of our patents or those of our licensors;</w:t>
      </w:r>
    </w:p>
    <w:p>
      <w:pPr>
        <w:spacing w:after="0" w:line="53" w:lineRule="exact"/>
        <w:rPr>
          <w:rFonts w:ascii="Times New Roman" w:cs="Times New Roman" w:eastAsia="Times New Roman" w:hAnsi="Times New Roman"/>
          <w:sz w:val="18"/>
          <w:szCs w:val="18"/>
          <w:color w:val="auto"/>
        </w:rPr>
      </w:pPr>
    </w:p>
    <w:p>
      <w:pPr>
        <w:ind w:left="960" w:right="420" w:hanging="480"/>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as the case may be, might not have been the first to file patent applications for these inventions;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result in issued patents;</w:t>
      </w:r>
    </w:p>
    <w:p>
      <w:pPr>
        <w:spacing w:after="0" w:line="117" w:lineRule="exact"/>
        <w:rPr>
          <w:rFonts w:ascii="Times New Roman" w:cs="Times New Roman" w:eastAsia="Times New Roman" w:hAnsi="Times New Roman"/>
          <w:sz w:val="18"/>
          <w:szCs w:val="18"/>
          <w:color w:val="auto"/>
        </w:rPr>
      </w:pPr>
    </w:p>
    <w:p>
      <w:pPr>
        <w:ind w:left="960" w:right="360" w:hanging="480"/>
        <w:spacing w:after="0" w:line="282"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prior public disclosures that could invalidate our or our licensors’ patents, as the case may be, or parts of our or their patents;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others may circumvent our owned or in-licensed patents;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2" w:name="page63"/>
    <w:bookmarkEnd w:id="62"/>
    <w:p>
      <w:pPr>
        <w:ind w:left="960" w:right="80" w:hanging="480"/>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there are unpublished applications or patent applications maintained in secrecy that may later issue with claims covering our products or technology similar to ours;</w:t>
      </w:r>
    </w:p>
    <w:p>
      <w:pPr>
        <w:spacing w:after="0" w:line="53" w:lineRule="exact"/>
        <w:rPr>
          <w:rFonts w:ascii="Times New Roman" w:cs="Times New Roman" w:eastAsia="Times New Roman" w:hAnsi="Times New Roman"/>
          <w:sz w:val="18"/>
          <w:szCs w:val="18"/>
          <w:color w:val="auto"/>
        </w:rPr>
      </w:pPr>
    </w:p>
    <w:p>
      <w:pPr>
        <w:ind w:left="960" w:right="120" w:hanging="480"/>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foreign countries may not protect our or our licensors’, as the case may be, proprietary rights to the same extent as the laws of the United States;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claims of our owned or in-licensed issued patents or patent applications, if and when issued, may not cover our product candidates;</w:t>
      </w:r>
    </w:p>
    <w:p>
      <w:pPr>
        <w:spacing w:after="0" w:line="117" w:lineRule="exact"/>
        <w:rPr>
          <w:rFonts w:ascii="Times New Roman" w:cs="Times New Roman" w:eastAsia="Times New Roman" w:hAnsi="Times New Roman"/>
          <w:sz w:val="18"/>
          <w:szCs w:val="18"/>
          <w:color w:val="auto"/>
        </w:rPr>
      </w:pPr>
    </w:p>
    <w:p>
      <w:pPr>
        <w:ind w:left="960" w:right="80" w:hanging="480"/>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53" w:lineRule="exact"/>
        <w:rPr>
          <w:rFonts w:ascii="Times New Roman" w:cs="Times New Roman" w:eastAsia="Times New Roman" w:hAnsi="Times New Roman"/>
          <w:sz w:val="18"/>
          <w:szCs w:val="18"/>
          <w:color w:val="auto"/>
        </w:rPr>
      </w:pPr>
    </w:p>
    <w:p>
      <w:pPr>
        <w:ind w:left="960" w:right="20" w:hanging="480"/>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53" w:lineRule="exact"/>
        <w:rPr>
          <w:rFonts w:ascii="Times New Roman" w:cs="Times New Roman" w:eastAsia="Times New Roman" w:hAnsi="Times New Roman"/>
          <w:sz w:val="18"/>
          <w:szCs w:val="18"/>
          <w:color w:val="auto"/>
        </w:rPr>
      </w:pPr>
    </w:p>
    <w:p>
      <w:pPr>
        <w:ind w:left="960" w:hanging="480"/>
        <w:spacing w:after="0" w:line="266"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67" w:lineRule="exact"/>
        <w:rPr>
          <w:rFonts w:ascii="Times New Roman" w:cs="Times New Roman" w:eastAsia="Times New Roman" w:hAnsi="Times New Roman"/>
          <w:sz w:val="18"/>
          <w:szCs w:val="18"/>
          <w:color w:val="auto"/>
        </w:rPr>
      </w:pPr>
    </w:p>
    <w:p>
      <w:pPr>
        <w:ind w:left="960" w:right="180" w:hanging="480"/>
        <w:spacing w:after="0" w:line="282" w:lineRule="auto"/>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for which we can obtain patent protection;</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product candidates or diagnostic tests we develop may be covered by third parties’ patents or other exclusive rights; or</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329" w:lineRule="exact"/>
        <w:rPr>
          <w:sz w:val="20"/>
          <w:szCs w:val="20"/>
          <w:color w:val="auto"/>
        </w:rPr>
      </w:pPr>
    </w:p>
    <w:p>
      <w:pPr>
        <w:ind w:left="24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enter into license or other collaboration agreements in the future that may impose certain obligations on us. If we fail to comply with our obligations under such future agreements with third parties, we could lose license rights that may be important to our future business.</w:t>
      </w:r>
    </w:p>
    <w:p>
      <w:pPr>
        <w:spacing w:after="0" w:line="51" w:lineRule="exact"/>
        <w:rPr>
          <w:sz w:val="20"/>
          <w:szCs w:val="20"/>
          <w:color w:val="auto"/>
        </w:rPr>
      </w:pPr>
    </w:p>
    <w:p>
      <w:pPr>
        <w:ind w:right="160" w:firstLine="482"/>
        <w:spacing w:after="0" w:line="261" w:lineRule="auto"/>
        <w:rPr>
          <w:sz w:val="20"/>
          <w:szCs w:val="20"/>
          <w:color w:val="auto"/>
        </w:rPr>
      </w:pPr>
      <w:r>
        <w:rPr>
          <w:rFonts w:ascii="Times New Roman" w:cs="Times New Roman" w:eastAsia="Times New Roman" w:hAnsi="Times New Roman"/>
          <w:sz w:val="18"/>
          <w:szCs w:val="18"/>
          <w:color w:val="auto"/>
        </w:rPr>
        <w:t>In connection with our efforts to expand our pipeline of product candidates, we may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Moreover, disputes may arise regarding intellectual property subject to a licensing agreement, including:</w:t>
      </w:r>
    </w:p>
    <w:p>
      <w:pPr>
        <w:spacing w:after="0" w:line="117" w:lineRule="exact"/>
        <w:rPr>
          <w:sz w:val="20"/>
          <w:szCs w:val="20"/>
          <w:color w:val="auto"/>
        </w:rPr>
      </w:pPr>
    </w:p>
    <w:p>
      <w:pPr>
        <w:ind w:left="960" w:hanging="480"/>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960" w:right="120" w:hanging="480"/>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product candidates,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 under our collaborative development relationships;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117" w:lineRule="exact"/>
        <w:rPr>
          <w:rFonts w:ascii="Times New Roman" w:cs="Times New Roman" w:eastAsia="Times New Roman" w:hAnsi="Times New Roman"/>
          <w:sz w:val="18"/>
          <w:szCs w:val="18"/>
          <w:color w:val="auto"/>
        </w:rPr>
      </w:pPr>
    </w:p>
    <w:p>
      <w:pPr>
        <w:ind w:left="960" w:right="220" w:hanging="480"/>
        <w:spacing w:after="0" w:line="282" w:lineRule="auto"/>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right="20" w:firstLine="482"/>
        <w:spacing w:after="0" w:line="255"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3" w:name="page64"/>
    <w:bookmarkEnd w:id="63"/>
    <w:p>
      <w:pPr>
        <w:ind w:right="120" w:firstLine="482"/>
        <w:spacing w:after="0" w:line="256" w:lineRule="auto"/>
        <w:rPr>
          <w:sz w:val="20"/>
          <w:szCs w:val="20"/>
          <w:color w:val="auto"/>
        </w:rPr>
      </w:pPr>
      <w:r>
        <w:rPr>
          <w:rFonts w:ascii="Times New Roman" w:cs="Times New Roman" w:eastAsia="Times New Roman" w:hAnsi="Times New Roman"/>
          <w:sz w:val="18"/>
          <w:szCs w:val="18"/>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21"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heavily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spacing w:after="0" w:line="187" w:lineRule="exact"/>
        <w:rPr>
          <w:sz w:val="20"/>
          <w:szCs w:val="20"/>
          <w:color w:val="auto"/>
        </w:rPr>
      </w:pPr>
    </w:p>
    <w:p>
      <w:pPr>
        <w:ind w:right="100" w:firstLine="482"/>
        <w:spacing w:after="0" w:line="258" w:lineRule="auto"/>
        <w:rPr>
          <w:sz w:val="20"/>
          <w:szCs w:val="20"/>
          <w:color w:val="auto"/>
        </w:rPr>
      </w:pPr>
      <w:r>
        <w:rPr>
          <w:rFonts w:ascii="Times New Roman" w:cs="Times New Roman" w:eastAsia="Times New Roman" w:hAnsi="Times New Roman"/>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183" w:lineRule="exact"/>
        <w:rPr>
          <w:sz w:val="20"/>
          <w:szCs w:val="20"/>
          <w:color w:val="auto"/>
        </w:rPr>
      </w:pPr>
    </w:p>
    <w:p>
      <w:pPr>
        <w:ind w:right="140" w:firstLine="482"/>
        <w:spacing w:after="0" w:line="254" w:lineRule="auto"/>
        <w:rPr>
          <w:sz w:val="20"/>
          <w:szCs w:val="20"/>
          <w:color w:val="auto"/>
        </w:rPr>
      </w:pPr>
      <w:r>
        <w:rPr>
          <w:rFonts w:ascii="Times New Roman" w:cs="Times New Roman" w:eastAsia="Times New Roman" w:hAnsi="Times New Roman"/>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may prevent or delay our product discovery and development efforts.</w:t>
      </w:r>
    </w:p>
    <w:p>
      <w:pPr>
        <w:spacing w:after="0" w:line="121" w:lineRule="exact"/>
        <w:rPr>
          <w:sz w:val="20"/>
          <w:szCs w:val="20"/>
          <w:color w:val="auto"/>
        </w:rPr>
      </w:pPr>
    </w:p>
    <w:p>
      <w:pPr>
        <w:ind w:right="20" w:firstLine="482"/>
        <w:spacing w:after="0" w:line="253" w:lineRule="auto"/>
        <w:rPr>
          <w:sz w:val="20"/>
          <w:szCs w:val="20"/>
          <w:color w:val="auto"/>
        </w:rPr>
      </w:pPr>
      <w:r>
        <w:rPr>
          <w:rFonts w:ascii="Times New Roman" w:cs="Times New Roman" w:eastAsia="Times New Roman" w:hAnsi="Times New Roman"/>
          <w:sz w:val="18"/>
          <w:szCs w:val="18"/>
          <w:color w:val="auto"/>
        </w:rPr>
        <w:t xml:space="preserve">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If a third-party claim that we infringe its intellectual property rights, we may face a number of issues, including, but not limited to:</w:t>
      </w:r>
    </w:p>
    <w:p>
      <w:pPr>
        <w:spacing w:after="0" w:line="117" w:lineRule="exact"/>
        <w:rPr>
          <w:sz w:val="20"/>
          <w:szCs w:val="20"/>
          <w:color w:val="auto"/>
        </w:rPr>
      </w:pPr>
    </w:p>
    <w:p>
      <w:pPr>
        <w:ind w:left="960" w:right="420" w:hanging="480"/>
        <w:spacing w:after="0" w:line="282" w:lineRule="auto"/>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and other intellectual property claims which, regardless of merit, may be expensive and time-consuming to litigate and may divert our management’s attention from our core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jc w:val="both"/>
        <w:ind w:left="960" w:right="80" w:hanging="480"/>
        <w:spacing w:after="0" w:line="26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damages for infringement, which we may have to pay if a court decides that the product candidate or technology at issue infringes on or violates the third-party’s rights, and, if the court finds that the infringement was willful, we could be ordered to pay treble damages and the patent owner’s attorneys’ fees;</w:t>
      </w:r>
    </w:p>
    <w:p>
      <w:pPr>
        <w:spacing w:after="0" w:line="67" w:lineRule="exact"/>
        <w:rPr>
          <w:rFonts w:ascii="Times New Roman" w:cs="Times New Roman" w:eastAsia="Times New Roman" w:hAnsi="Times New Roman"/>
          <w:sz w:val="18"/>
          <w:szCs w:val="18"/>
          <w:color w:val="auto"/>
        </w:rPr>
      </w:pPr>
    </w:p>
    <w:p>
      <w:pPr>
        <w:ind w:left="960" w:right="920" w:hanging="480"/>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53" w:lineRule="exact"/>
        <w:rPr>
          <w:rFonts w:ascii="Times New Roman" w:cs="Times New Roman" w:eastAsia="Times New Roman" w:hAnsi="Times New Roman"/>
          <w:sz w:val="18"/>
          <w:szCs w:val="18"/>
          <w:color w:val="auto"/>
        </w:rPr>
      </w:pPr>
    </w:p>
    <w:p>
      <w:pPr>
        <w:jc w:val="both"/>
        <w:ind w:left="960" w:right="520" w:hanging="480"/>
        <w:spacing w:after="0" w:line="266"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is available from a third-party,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spacing w:after="0" w:line="67" w:lineRule="exact"/>
        <w:rPr>
          <w:rFonts w:ascii="Times New Roman" w:cs="Times New Roman" w:eastAsia="Times New Roman" w:hAnsi="Times New Roman"/>
          <w:sz w:val="18"/>
          <w:szCs w:val="18"/>
          <w:color w:val="auto"/>
        </w:rPr>
      </w:pPr>
    </w:p>
    <w:p>
      <w:pPr>
        <w:ind w:left="960" w:right="480" w:hanging="480"/>
        <w:spacing w:after="0" w:line="282" w:lineRule="auto"/>
        <w:tabs>
          <w:tab w:leader="none" w:pos="9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our product candidates or processes so they do not infringe, which may not be possible or may require substantial monetary expenditures and time.</w:t>
      </w:r>
    </w:p>
    <w:p>
      <w:pPr>
        <w:spacing w:after="0" w:line="162" w:lineRule="exact"/>
        <w:rPr>
          <w:sz w:val="20"/>
          <w:szCs w:val="20"/>
          <w:color w:val="auto"/>
        </w:rPr>
      </w:pPr>
    </w:p>
    <w:p>
      <w:pPr>
        <w:ind w:right="160" w:firstLine="482"/>
        <w:spacing w:after="0" w:line="258"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287" w:lineRule="exact"/>
        <w:rPr>
          <w:sz w:val="20"/>
          <w:szCs w:val="20"/>
          <w:color w:val="auto"/>
        </w:rPr>
      </w:pPr>
    </w:p>
    <w:p>
      <w:pPr>
        <w:ind w:left="24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spacing w:after="0" w:line="51" w:lineRule="exact"/>
        <w:rPr>
          <w:sz w:val="20"/>
          <w:szCs w:val="20"/>
          <w:color w:val="auto"/>
        </w:rPr>
      </w:pPr>
    </w:p>
    <w:p>
      <w:pPr>
        <w:ind w:right="20" w:firstLine="482"/>
        <w:spacing w:after="0" w:line="255" w:lineRule="auto"/>
        <w:rPr>
          <w:sz w:val="20"/>
          <w:szCs w:val="20"/>
          <w:color w:val="auto"/>
        </w:rPr>
      </w:pPr>
      <w:r>
        <w:rPr>
          <w:rFonts w:ascii="Times New Roman" w:cs="Times New Roman" w:eastAsia="Times New Roman" w:hAnsi="Times New Roman"/>
          <w:sz w:val="18"/>
          <w:szCs w:val="18"/>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assert that we are employing their proprietary technology without authorization.</w:t>
      </w:r>
    </w:p>
    <w:p>
      <w:pPr>
        <w:spacing w:after="0" w:line="121"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90"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65" w:name="page66"/>
    <w:bookmarkEnd w:id="65"/>
    <w:p>
      <w:pPr>
        <w:ind w:left="2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assert that our employees or consultants have wrongfully used or disclosed confidential information or misappropriated trade secrets.</w:t>
      </w:r>
    </w:p>
    <w:p>
      <w:pPr>
        <w:spacing w:after="0" w:line="51" w:lineRule="exact"/>
        <w:rPr>
          <w:sz w:val="20"/>
          <w:szCs w:val="20"/>
          <w:color w:val="auto"/>
        </w:rPr>
      </w:pPr>
    </w:p>
    <w:p>
      <w:pPr>
        <w:ind w:firstLine="482"/>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3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develop any future product candidates on acceptable terms.</w:t>
      </w:r>
    </w:p>
    <w:p>
      <w:pPr>
        <w:spacing w:after="0" w:line="121" w:lineRule="exact"/>
        <w:rPr>
          <w:sz w:val="20"/>
          <w:szCs w:val="20"/>
          <w:color w:val="auto"/>
        </w:rPr>
      </w:pPr>
    </w:p>
    <w:p>
      <w:pPr>
        <w:ind w:right="200" w:firstLine="482"/>
        <w:spacing w:after="0" w:line="282" w:lineRule="auto"/>
        <w:rPr>
          <w:sz w:val="20"/>
          <w:szCs w:val="20"/>
          <w:color w:val="auto"/>
        </w:rPr>
      </w:pPr>
      <w:r>
        <w:rPr>
          <w:rFonts w:ascii="Times New Roman" w:cs="Times New Roman" w:eastAsia="Times New Roman" w:hAnsi="Times New Roman"/>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162"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88"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87" w:lineRule="exact"/>
        <w:rPr>
          <w:sz w:val="20"/>
          <w:szCs w:val="20"/>
          <w:color w:val="auto"/>
        </w:rPr>
      </w:pPr>
    </w:p>
    <w:p>
      <w:pPr>
        <w:ind w:right="100" w:firstLine="482"/>
        <w:spacing w:after="0" w:line="256"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291" w:lineRule="exact"/>
        <w:rPr>
          <w:sz w:val="20"/>
          <w:szCs w:val="20"/>
          <w:color w:val="auto"/>
        </w:rPr>
      </w:pPr>
    </w:p>
    <w:p>
      <w:pPr>
        <w:ind w:left="2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licensors, which could be expensive, time-consuming and unsuccessful.</w:t>
      </w:r>
    </w:p>
    <w:p>
      <w:pPr>
        <w:spacing w:after="0" w:line="51"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66" w:name="page67"/>
    <w:bookmarkEnd w:id="66"/>
    <w:p>
      <w:pPr>
        <w:jc w:val="both"/>
        <w:ind w:firstLine="482"/>
        <w:spacing w:after="0" w:line="273" w:lineRule="auto"/>
        <w:rPr>
          <w:sz w:val="20"/>
          <w:szCs w:val="20"/>
          <w:color w:val="auto"/>
        </w:rPr>
      </w:pPr>
      <w:r>
        <w:rPr>
          <w:rFonts w:ascii="Times New Roman" w:cs="Times New Roman" w:eastAsia="Times New Roman" w:hAnsi="Times New Roman"/>
          <w:sz w:val="17"/>
          <w:szCs w:val="17"/>
          <w:color w:val="auto"/>
        </w:rPr>
        <w:t xml:space="preserve">We may choose to challenge the patentability of claims in a third-party’s U.S. patent by requesting that the USPTO review the patent claims in an </w:t>
      </w:r>
      <w:r>
        <w:rPr>
          <w:rFonts w:ascii="Times New Roman" w:cs="Times New Roman" w:eastAsia="Times New Roman" w:hAnsi="Times New Roman"/>
          <w:sz w:val="17"/>
          <w:szCs w:val="17"/>
          <w:i w:val="1"/>
          <w:iCs w:val="1"/>
          <w:color w:val="auto"/>
        </w:rPr>
        <w:t xml:space="preserve">ex-parte </w:t>
      </w:r>
      <w:r>
        <w:rPr>
          <w:rFonts w:ascii="Times New Roman" w:cs="Times New Roman" w:eastAsia="Times New Roman" w:hAnsi="Times New Roman"/>
          <w:sz w:val="17"/>
          <w:szCs w:val="17"/>
          <w:color w:val="auto"/>
        </w:rPr>
        <w:t>re-examination,</w:t>
      </w:r>
      <w:r>
        <w:rPr>
          <w:rFonts w:ascii="Times New Roman" w:cs="Times New Roman" w:eastAsia="Times New Roman" w:hAnsi="Times New Roman"/>
          <w:sz w:val="17"/>
          <w:szCs w:val="17"/>
          <w:i w:val="1"/>
          <w:iCs w:val="1"/>
          <w:color w:val="auto"/>
        </w:rPr>
        <w:t xml:space="preserve"> inter partes </w:t>
      </w:r>
      <w:r>
        <w:rPr>
          <w:rFonts w:ascii="Times New Roman" w:cs="Times New Roman" w:eastAsia="Times New Roman" w:hAnsi="Times New Roman"/>
          <w:sz w:val="17"/>
          <w:szCs w:val="17"/>
          <w:color w:val="auto"/>
        </w:rPr>
        <w:t>review or post-grant review proceedings. These proceedings are expensive and may consume our time or other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 may choose to challenge a third-party’s patent in patent opposition proceedings in the European Patent Office, or EPO, or other foreign patent office.</w:t>
      </w:r>
    </w:p>
    <w:p>
      <w:pPr>
        <w:spacing w:after="0" w:line="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86"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194" w:lineRule="exact"/>
        <w:rPr>
          <w:sz w:val="20"/>
          <w:szCs w:val="20"/>
          <w:color w:val="auto"/>
        </w:rPr>
      </w:pPr>
    </w:p>
    <w:p>
      <w:pPr>
        <w:ind w:right="100" w:firstLine="482"/>
        <w:spacing w:after="0" w:line="254"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2" w:lineRule="exact"/>
        <w:rPr>
          <w:sz w:val="20"/>
          <w:szCs w:val="20"/>
          <w:color w:val="auto"/>
        </w:rPr>
      </w:pPr>
    </w:p>
    <w:p>
      <w:pPr>
        <w:ind w:right="180" w:firstLine="482"/>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284" w:lineRule="exact"/>
        <w:rPr>
          <w:sz w:val="20"/>
          <w:szCs w:val="20"/>
          <w:color w:val="auto"/>
        </w:rPr>
      </w:pPr>
    </w:p>
    <w:p>
      <w:pPr>
        <w:jc w:val="both"/>
        <w:ind w:left="24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right="40" w:firstLine="482"/>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Any patents, if issued patents covering our product candidates could be found invalid or unenforceable if challenged in court or the USPTO.</w:t>
      </w:r>
    </w:p>
    <w:p>
      <w:pPr>
        <w:spacing w:after="0" w:line="121" w:lineRule="exact"/>
        <w:rPr>
          <w:sz w:val="20"/>
          <w:szCs w:val="20"/>
          <w:color w:val="auto"/>
        </w:rPr>
      </w:pPr>
    </w:p>
    <w:p>
      <w:pPr>
        <w:ind w:right="60" w:firstLine="482"/>
        <w:spacing w:after="0" w:line="253" w:lineRule="auto"/>
        <w:rPr>
          <w:sz w:val="20"/>
          <w:szCs w:val="20"/>
          <w:color w:val="auto"/>
        </w:rPr>
      </w:pPr>
      <w:r>
        <w:rPr>
          <w:rFonts w:ascii="Times New Roman" w:cs="Times New Roman" w:eastAsia="Times New Roman" w:hAnsi="Times New Roman"/>
          <w:sz w:val="18"/>
          <w:szCs w:val="18"/>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67" w:name="page68"/>
    <w:bookmarkEnd w:id="67"/>
    <w:p>
      <w:pPr>
        <w:ind w:right="20" w:firstLine="482"/>
        <w:spacing w:after="0" w:line="255" w:lineRule="auto"/>
        <w:rPr>
          <w:sz w:val="20"/>
          <w:szCs w:val="20"/>
          <w:color w:val="auto"/>
        </w:rPr>
      </w:pPr>
      <w:r>
        <w:rPr>
          <w:rFonts w:ascii="Times New Roman" w:cs="Times New Roman" w:eastAsia="Times New Roman" w:hAnsi="Times New Roman"/>
          <w:sz w:val="18"/>
          <w:szCs w:val="18"/>
          <w:color w:val="auto"/>
        </w:rPr>
        <w:t>Likewise, our current licensed patents covering our companion technologies, licensed from UCSF are expected to expire in 2036, without taking into account any possible patent term adjustments or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2040, without taking into account any possible patent term adjustments or extensions. However, we cannot be assured that the USPTO or relevant foreign patent offices will grant any of these patent applications.</w:t>
      </w:r>
    </w:p>
    <w:p>
      <w:pPr>
        <w:spacing w:after="0" w:line="293" w:lineRule="exact"/>
        <w:rPr>
          <w:sz w:val="20"/>
          <w:szCs w:val="20"/>
          <w:color w:val="auto"/>
        </w:rPr>
      </w:pPr>
    </w:p>
    <w:p>
      <w:pPr>
        <w:ind w:left="24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U.S. and in foreign jurisdictions could diminish the value of patents in general, thereby impairing our ability to protect our products.</w:t>
      </w:r>
    </w:p>
    <w:p>
      <w:pPr>
        <w:spacing w:after="0" w:line="51" w:lineRule="exact"/>
        <w:rPr>
          <w:sz w:val="20"/>
          <w:szCs w:val="20"/>
          <w:color w:val="auto"/>
        </w:rPr>
      </w:pPr>
    </w:p>
    <w:p>
      <w:pPr>
        <w:ind w:right="40" w:firstLine="482"/>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spacing w:after="0" w:line="192" w:lineRule="exact"/>
        <w:rPr>
          <w:sz w:val="20"/>
          <w:szCs w:val="20"/>
          <w:color w:val="auto"/>
        </w:rPr>
      </w:pPr>
    </w:p>
    <w:p>
      <w:pPr>
        <w:ind w:right="20" w:firstLine="482"/>
        <w:spacing w:after="0" w:line="253" w:lineRule="auto"/>
        <w:rPr>
          <w:sz w:val="20"/>
          <w:szCs w:val="20"/>
          <w:color w:val="auto"/>
        </w:rPr>
      </w:pPr>
      <w:r>
        <w:rPr>
          <w:rFonts w:ascii="Times New Roman" w:cs="Times New Roman" w:eastAsia="Times New Roman" w:hAnsi="Times New Roman"/>
          <w:sz w:val="18"/>
          <w:szCs w:val="18"/>
          <w:color w:val="auto"/>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94" w:lineRule="exact"/>
        <w:rPr>
          <w:sz w:val="20"/>
          <w:szCs w:val="20"/>
          <w:color w:val="auto"/>
        </w:rPr>
      </w:pPr>
    </w:p>
    <w:p>
      <w:pPr>
        <w:ind w:right="100" w:firstLine="482"/>
        <w:spacing w:after="0" w:line="258" w:lineRule="auto"/>
        <w:rPr>
          <w:sz w:val="20"/>
          <w:szCs w:val="20"/>
          <w:color w:val="auto"/>
        </w:rPr>
      </w:pPr>
      <w:r>
        <w:rPr>
          <w:rFonts w:ascii="Times New Roman" w:cs="Times New Roman" w:eastAsia="Times New Roman" w:hAnsi="Times New Roman"/>
          <w:sz w:val="18"/>
          <w:szCs w:val="18"/>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foreign intellectual property rights and may not be able to protect our intellectual property rights throughout the world.</w:t>
      </w:r>
    </w:p>
    <w:p>
      <w:pPr>
        <w:spacing w:after="0" w:line="121"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88" w:lineRule="exact"/>
        <w:rPr>
          <w:sz w:val="20"/>
          <w:szCs w:val="20"/>
          <w:color w:val="auto"/>
        </w:rPr>
      </w:pPr>
    </w:p>
    <w:p>
      <w:pPr>
        <w:ind w:right="20" w:firstLine="482"/>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8" w:name="page69"/>
    <w:bookmarkEnd w:id="68"/>
    <w:p>
      <w:pPr>
        <w:ind w:right="100"/>
        <w:spacing w:after="0" w:line="256" w:lineRule="auto"/>
        <w:rPr>
          <w:sz w:val="20"/>
          <w:szCs w:val="20"/>
          <w:color w:val="auto"/>
        </w:rPr>
      </w:pPr>
      <w:r>
        <w:rPr>
          <w:rFonts w:ascii="Times New Roman" w:cs="Times New Roman" w:eastAsia="Times New Roman" w:hAnsi="Times New Roman"/>
          <w:sz w:val="18"/>
          <w:szCs w:val="18"/>
          <w:color w:val="auto"/>
        </w:rPr>
        <w:t>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right="40" w:firstLine="482"/>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and data exclusivity for any product candidates we may develop, our business may be materially harmed.</w:t>
      </w:r>
    </w:p>
    <w:p>
      <w:pPr>
        <w:spacing w:after="0" w:line="121"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298" w:lineRule="exact"/>
        <w:rPr>
          <w:sz w:val="20"/>
          <w:szCs w:val="20"/>
          <w:color w:val="auto"/>
        </w:rPr>
      </w:pPr>
    </w:p>
    <w:p>
      <w:pPr>
        <w:ind w:left="2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60" w:firstLine="482"/>
        <w:spacing w:after="0" w:line="261" w:lineRule="auto"/>
        <w:rPr>
          <w:sz w:val="20"/>
          <w:szCs w:val="20"/>
          <w:color w:val="auto"/>
        </w:rPr>
      </w:pPr>
      <w:r>
        <w:rPr>
          <w:rFonts w:ascii="Times New Roman" w:cs="Times New Roman" w:eastAsia="Times New Roman" w:hAnsi="Times New Roman"/>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117" w:lineRule="exact"/>
        <w:rPr>
          <w:sz w:val="20"/>
          <w:szCs w:val="20"/>
          <w:color w:val="auto"/>
        </w:rPr>
      </w:pPr>
    </w:p>
    <w:p>
      <w:pPr>
        <w:ind w:left="24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 collaboration agreement with Novartis for the development of PLN-1474, and may in the future seek to enter into collaborations with third parties for the development and commercialization of other product candidates. If we fail to enter into such collaborations, or our collaborations are not successful, we may be unable to continue development of such product candidates, we would not receive any contemplated milestone payments or royalties, and we could fail to capitalize on the market potential of such product candidates.</w:t>
      </w:r>
    </w:p>
    <w:p>
      <w:pPr>
        <w:spacing w:after="0" w:line="72"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In October 2019, we entered into a license and collaboration agreement with Novartis for the development and commercialization of our then preclinical product candidate, PLN-1474 and up to three integrin research targets. In December 2019, we received an upfront license payment of $50.0 million for the worldwide exclusive license to PLN-1474. Pursuant to the Novartis Agreement, we expect to receive research and development funding totaling $19.6 million for PLN-1474 development services and funding of up to $13.4 million for option research and development services on the integrin research targets. Additionally, we are eligible to receive developmental, regulatory and commercial milestone payments of up to $416.0 million if defined development, regulatory and commercialization milestones are achieved and tiered royalties, on a product-by-product basis based on annual nets sales of products, at percentages ranging from high-single digits to low teens of the applicable licensed products and mid-single digits to high-single digits for any products resulting from the research programs. If we are unable to successfully advance the development of our product candidates or achieve milestones, revenue and cash resources from milestone payments under our collaboration agreements will be substantially less than expected.</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9" w:name="page70"/>
    <w:bookmarkEnd w:id="69"/>
    <w:p>
      <w:pPr>
        <w:ind w:right="20" w:firstLine="482"/>
        <w:spacing w:after="0" w:line="261" w:lineRule="auto"/>
        <w:rPr>
          <w:sz w:val="20"/>
          <w:szCs w:val="20"/>
          <w:color w:val="auto"/>
        </w:rPr>
      </w:pPr>
      <w:r>
        <w:rPr>
          <w:rFonts w:ascii="Times New Roman" w:cs="Times New Roman" w:eastAsia="Times New Roman" w:hAnsi="Times New Roman"/>
          <w:sz w:val="18"/>
          <w:szCs w:val="18"/>
          <w:color w:val="auto"/>
        </w:rPr>
        <w:t>In addition, to the extent that any of our existing or future collaborators were to terminate a collaboration agreement, we may be forced to independently develop these product candidates, including funding preclinical or clinical trials, assuming marketing and distribution costs and defending intellectual property rights, or, in certain instances, abandon product candidates altogether, any of which could result in a change to our business plan and a material and adverse effect on our business, financial condition, results of operations and prospects.</w:t>
      </w:r>
    </w:p>
    <w:p>
      <w:pPr>
        <w:spacing w:after="0" w:line="284" w:lineRule="exact"/>
        <w:rPr>
          <w:sz w:val="20"/>
          <w:szCs w:val="20"/>
          <w:color w:val="auto"/>
        </w:rPr>
      </w:pPr>
    </w:p>
    <w:p>
      <w:pPr>
        <w:jc w:val="both"/>
        <w:ind w:left="24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spacing w:after="0" w:line="67" w:lineRule="exact"/>
        <w:rPr>
          <w:sz w:val="20"/>
          <w:szCs w:val="20"/>
          <w:color w:val="auto"/>
        </w:rPr>
      </w:pPr>
    </w:p>
    <w:p>
      <w:pPr>
        <w:jc w:val="both"/>
        <w:ind w:right="300" w:firstLine="482"/>
        <w:spacing w:after="0" w:line="266" w:lineRule="auto"/>
        <w:rPr>
          <w:sz w:val="20"/>
          <w:szCs w:val="20"/>
          <w:color w:val="auto"/>
        </w:rPr>
      </w:pPr>
      <w:r>
        <w:rPr>
          <w:rFonts w:ascii="Times New Roman" w:cs="Times New Roman" w:eastAsia="Times New Roman" w:hAnsi="Times New Roman"/>
          <w:sz w:val="18"/>
          <w:szCs w:val="18"/>
          <w:color w:val="auto"/>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spacing w:after="0" w:line="176" w:lineRule="exact"/>
        <w:rPr>
          <w:sz w:val="20"/>
          <w:szCs w:val="20"/>
          <w:color w:val="auto"/>
        </w:rPr>
      </w:pPr>
    </w:p>
    <w:p>
      <w:pPr>
        <w:ind w:right="100" w:firstLine="482"/>
        <w:spacing w:after="0" w:line="253" w:lineRule="auto"/>
        <w:rPr>
          <w:sz w:val="20"/>
          <w:szCs w:val="20"/>
          <w:color w:val="auto"/>
        </w:rPr>
      </w:pPr>
      <w:r>
        <w:rPr>
          <w:rFonts w:ascii="Times New Roman" w:cs="Times New Roman" w:eastAsia="Times New Roman" w:hAnsi="Times New Roman"/>
          <w:sz w:val="18"/>
          <w:szCs w:val="18"/>
          <w:color w:val="auto"/>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spacing w:after="0" w:line="194" w:lineRule="exact"/>
        <w:rPr>
          <w:sz w:val="20"/>
          <w:szCs w:val="20"/>
          <w:color w:val="auto"/>
        </w:rPr>
      </w:pPr>
    </w:p>
    <w:p>
      <w:pPr>
        <w:jc w:val="both"/>
        <w:ind w:firstLine="482"/>
        <w:spacing w:after="0" w:line="266" w:lineRule="auto"/>
        <w:rPr>
          <w:sz w:val="20"/>
          <w:szCs w:val="20"/>
          <w:color w:val="auto"/>
        </w:rPr>
      </w:pPr>
      <w:r>
        <w:rPr>
          <w:rFonts w:ascii="Times New Roman" w:cs="Times New Roman" w:eastAsia="Times New Roman" w:hAnsi="Times New Roman"/>
          <w:sz w:val="18"/>
          <w:szCs w:val="18"/>
          <w:color w:val="auto"/>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76" w:lineRule="exact"/>
        <w:rPr>
          <w:sz w:val="20"/>
          <w:szCs w:val="20"/>
          <w:color w:val="auto"/>
        </w:rPr>
      </w:pPr>
    </w:p>
    <w:p>
      <w:pPr>
        <w:ind w:right="40" w:firstLine="482"/>
        <w:spacing w:after="0" w:line="253" w:lineRule="auto"/>
        <w:rPr>
          <w:sz w:val="20"/>
          <w:szCs w:val="20"/>
          <w:color w:val="auto"/>
        </w:rPr>
      </w:pPr>
      <w:r>
        <w:rPr>
          <w:rFonts w:ascii="Times New Roman" w:cs="Times New Roman" w:eastAsia="Times New Roman" w:hAnsi="Times New Roman"/>
          <w:sz w:val="18"/>
          <w:szCs w:val="18"/>
          <w:color w:val="auto"/>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the COVID-19 pandemic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94" w:lineRule="exact"/>
        <w:rPr>
          <w:sz w:val="20"/>
          <w:szCs w:val="20"/>
          <w:color w:val="auto"/>
        </w:rPr>
      </w:pPr>
    </w:p>
    <w:p>
      <w:pPr>
        <w:ind w:right="80" w:firstLine="482"/>
        <w:spacing w:after="0" w:line="282" w:lineRule="auto"/>
        <w:rPr>
          <w:sz w:val="20"/>
          <w:szCs w:val="20"/>
          <w:color w:val="auto"/>
        </w:rPr>
      </w:pPr>
      <w:r>
        <w:rPr>
          <w:rFonts w:ascii="Times New Roman" w:cs="Times New Roman" w:eastAsia="Times New Roman" w:hAnsi="Times New Roman"/>
          <w:sz w:val="18"/>
          <w:szCs w:val="18"/>
          <w:color w:val="auto"/>
        </w:rPr>
        <w:t>If any of our relationships with these third-party CROs or others terminate, we may not be able to enter into arrangements with alternative CROs or other third parties or to do so on commercially reasonable terms.</w:t>
      </w:r>
    </w:p>
    <w:p>
      <w:pPr>
        <w:spacing w:after="0" w:line="162" w:lineRule="exact"/>
        <w:rPr>
          <w:sz w:val="20"/>
          <w:szCs w:val="20"/>
          <w:color w:val="auto"/>
        </w:rPr>
      </w:pPr>
    </w:p>
    <w:p>
      <w:pPr>
        <w:ind w:right="180" w:firstLine="482"/>
        <w:spacing w:after="0" w:line="261" w:lineRule="auto"/>
        <w:rPr>
          <w:sz w:val="20"/>
          <w:szCs w:val="20"/>
          <w:color w:val="auto"/>
        </w:rPr>
      </w:pPr>
      <w:r>
        <w:rPr>
          <w:rFonts w:ascii="Times New Roman" w:cs="Times New Roman" w:eastAsia="Times New Roman" w:hAnsi="Times New Roman"/>
          <w:sz w:val="18"/>
          <w:szCs w:val="18"/>
          <w:color w:val="auto"/>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84" w:lineRule="exact"/>
        <w:rPr>
          <w:sz w:val="20"/>
          <w:szCs w:val="20"/>
          <w:color w:val="auto"/>
        </w:rPr>
      </w:pPr>
    </w:p>
    <w:p>
      <w:pPr>
        <w:ind w:left="2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tissue samples and other materials required for our research and development activities, and if we are unable to reach agreements with these third parties our research and development activities would be delayed.</w:t>
      </w:r>
    </w:p>
    <w:p>
      <w:pPr>
        <w:spacing w:after="0" w:line="51"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our ability to implement a key part of our development strategy will be compromised.</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70" w:name="page71"/>
    <w:bookmarkEnd w:id="70"/>
    <w:p>
      <w:pPr>
        <w:ind w:left="2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rely on third-party manufacturing and supply vendors, our supply of research and development, preclinical and clinical development materials may become limited or interrupted or may not be of satisfactory quantity or quality.</w:t>
      </w:r>
    </w:p>
    <w:p>
      <w:pPr>
        <w:spacing w:after="0" w:line="51" w:lineRule="exact"/>
        <w:rPr>
          <w:sz w:val="20"/>
          <w:szCs w:val="20"/>
          <w:color w:val="auto"/>
        </w:rPr>
      </w:pPr>
    </w:p>
    <w:p>
      <w:pPr>
        <w:ind w:right="120" w:firstLine="482"/>
        <w:spacing w:after="0" w:line="256" w:lineRule="auto"/>
        <w:rPr>
          <w:sz w:val="20"/>
          <w:szCs w:val="20"/>
          <w:color w:val="auto"/>
        </w:rPr>
      </w:pPr>
      <w:r>
        <w:rPr>
          <w:rFonts w:ascii="Times New Roman" w:cs="Times New Roman" w:eastAsia="Times New Roman" w:hAnsi="Times New Roman"/>
          <w:sz w:val="18"/>
          <w:szCs w:val="18"/>
          <w:color w:val="auto"/>
        </w:rPr>
        <w:t>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For example, the extent to which the COVID-19 pandemic impacts our ability to procure sufficient supplies for the development of our product candidates will depend on the severity and duration of the spread of the virus, and the actions undertaken to contain COVID-19 or treat its effects. In particular, any replacement of our manufacturer could require significant effort and expertise because there may be a limited number of qualified replacements.</w:t>
      </w:r>
    </w:p>
    <w:p>
      <w:pPr>
        <w:spacing w:after="0" w:line="187"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90" w:lineRule="exact"/>
        <w:rPr>
          <w:sz w:val="20"/>
          <w:szCs w:val="20"/>
          <w:color w:val="auto"/>
        </w:rPr>
      </w:pPr>
    </w:p>
    <w:p>
      <w:pPr>
        <w:ind w:right="140" w:firstLine="482"/>
        <w:spacing w:after="0" w:line="256" w:lineRule="auto"/>
        <w:rPr>
          <w:sz w:val="20"/>
          <w:szCs w:val="20"/>
          <w:color w:val="auto"/>
        </w:rPr>
      </w:pPr>
      <w:r>
        <w:rPr>
          <w:rFonts w:ascii="Times New Roman" w:cs="Times New Roman" w:eastAsia="Times New Roman" w:hAnsi="Times New Roman"/>
          <w:sz w:val="18"/>
          <w:szCs w:val="18"/>
          <w:color w:val="auto"/>
        </w:rPr>
        <w:t>We expect to continue to rely on third-party manufacturers if we receive regulatory approval for PLN-74809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and comply with cGMP could adversely affect our business in a number of ways, including:</w:t>
      </w:r>
    </w:p>
    <w:p>
      <w:pPr>
        <w:spacing w:after="0" w:line="79" w:lineRule="exact"/>
        <w:rPr>
          <w:sz w:val="20"/>
          <w:szCs w:val="20"/>
          <w:color w:val="auto"/>
        </w:rPr>
      </w:pPr>
    </w:p>
    <w:p>
      <w:pPr>
        <w:ind w:left="960" w:hanging="48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product candidates under development;</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regulatory approvals, for product candidates;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an existing or future collaborator;</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distribution or to recall batches of our product candidates;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a product candidate, an inability to meet commercial demands for our products.</w:t>
      </w:r>
    </w:p>
    <w:p>
      <w:pPr>
        <w:spacing w:after="0" w:line="225"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We rely on a sole supplier for the manufacture of PLN-74809.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187"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1" w:name="page72"/>
    <w:bookmarkEnd w:id="71"/>
    <w:p>
      <w:pPr>
        <w:ind w:left="2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collaborations and future collaborations are and will be important to our business. If we are unable to enter into new collaborations, or if these collaborations are not successful, our business could be adversely affected.</w:t>
      </w:r>
    </w:p>
    <w:p>
      <w:pPr>
        <w:spacing w:after="0" w:line="51" w:lineRule="exact"/>
        <w:rPr>
          <w:sz w:val="20"/>
          <w:szCs w:val="20"/>
          <w:color w:val="auto"/>
        </w:rPr>
      </w:pPr>
    </w:p>
    <w:p>
      <w:pPr>
        <w:ind w:firstLine="482"/>
        <w:spacing w:after="0" w:line="261" w:lineRule="auto"/>
        <w:rPr>
          <w:sz w:val="20"/>
          <w:szCs w:val="20"/>
          <w:color w:val="auto"/>
        </w:rPr>
      </w:pPr>
      <w:r>
        <w:rPr>
          <w:rFonts w:ascii="Times New Roman" w:cs="Times New Roman" w:eastAsia="Times New Roman" w:hAnsi="Times New Roman"/>
          <w:sz w:val="18"/>
          <w:szCs w:val="18"/>
          <w:color w:val="auto"/>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and may in the future enter into collaborations with other companies to provide us with important technologies and funding for our programs and technology.</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existing collaborations and any future collaborations we enter into may pose a number of risks, including the following:</w:t>
      </w:r>
    </w:p>
    <w:p>
      <w:pPr>
        <w:spacing w:after="0" w:line="117" w:lineRule="exact"/>
        <w:rPr>
          <w:sz w:val="20"/>
          <w:szCs w:val="20"/>
          <w:color w:val="auto"/>
        </w:rPr>
      </w:pPr>
    </w:p>
    <w:p>
      <w:pPr>
        <w:ind w:left="960" w:hanging="480"/>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ind w:left="960" w:right="60" w:hanging="480"/>
        <w:spacing w:after="0" w:line="261"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spacing w:after="0" w:line="71" w:lineRule="exact"/>
        <w:rPr>
          <w:rFonts w:ascii="Times New Roman" w:cs="Times New Roman" w:eastAsia="Times New Roman" w:hAnsi="Times New Roman"/>
          <w:sz w:val="18"/>
          <w:szCs w:val="18"/>
          <w:color w:val="auto"/>
        </w:rPr>
      </w:pPr>
    </w:p>
    <w:p>
      <w:pPr>
        <w:ind w:left="960" w:right="540" w:hanging="480"/>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960" w:right="280" w:hanging="480"/>
        <w:spacing w:after="0" w:line="266"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960" w:right="140" w:hanging="480"/>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960" w:right="160" w:hanging="480"/>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a product candidate or product;</w:t>
      </w:r>
    </w:p>
    <w:p>
      <w:pPr>
        <w:spacing w:after="0" w:line="53" w:lineRule="exact"/>
        <w:rPr>
          <w:rFonts w:ascii="Times New Roman" w:cs="Times New Roman" w:eastAsia="Times New Roman" w:hAnsi="Times New Roman"/>
          <w:sz w:val="18"/>
          <w:szCs w:val="18"/>
          <w:color w:val="auto"/>
        </w:rPr>
      </w:pPr>
    </w:p>
    <w:p>
      <w:pPr>
        <w:ind w:left="960" w:hanging="480"/>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with marketing and distribution rights to one or more of our product candidates that achieve regulatory approval may not commit sufficient resources to the marketing and distribution of such product or products;</w:t>
      </w:r>
    </w:p>
    <w:p>
      <w:pPr>
        <w:spacing w:after="0" w:line="53" w:lineRule="exact"/>
        <w:rPr>
          <w:rFonts w:ascii="Times New Roman" w:cs="Times New Roman" w:eastAsia="Times New Roman" w:hAnsi="Times New Roman"/>
          <w:sz w:val="18"/>
          <w:szCs w:val="18"/>
          <w:color w:val="auto"/>
        </w:rPr>
      </w:pPr>
    </w:p>
    <w:p>
      <w:pPr>
        <w:ind w:left="960" w:right="180" w:hanging="480"/>
        <w:spacing w:after="0" w:line="266"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spacing w:after="0" w:line="67" w:lineRule="exact"/>
        <w:rPr>
          <w:rFonts w:ascii="Times New Roman" w:cs="Times New Roman" w:eastAsia="Times New Roman" w:hAnsi="Times New Roman"/>
          <w:sz w:val="18"/>
          <w:szCs w:val="18"/>
          <w:color w:val="auto"/>
        </w:rPr>
      </w:pPr>
    </w:p>
    <w:p>
      <w:pPr>
        <w:ind w:left="960" w:right="280" w:hanging="480"/>
        <w:spacing w:after="0" w:line="261"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ind w:left="960" w:right="160" w:hanging="480"/>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17" w:lineRule="exact"/>
        <w:rPr>
          <w:rFonts w:ascii="Times New Roman" w:cs="Times New Roman" w:eastAsia="Times New Roman" w:hAnsi="Times New Roman"/>
          <w:sz w:val="18"/>
          <w:szCs w:val="18"/>
          <w:color w:val="auto"/>
        </w:rPr>
      </w:pPr>
    </w:p>
    <w:p>
      <w:pPr>
        <w:ind w:left="960" w:right="820" w:hanging="480"/>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is involved in a business combination, the collaborator might deemphasize or terminate the development or commercialization of any product candidate licensed to it by us; and</w:t>
      </w:r>
    </w:p>
    <w:p>
      <w:pPr>
        <w:spacing w:after="0" w:line="53" w:lineRule="exact"/>
        <w:rPr>
          <w:rFonts w:ascii="Times New Roman" w:cs="Times New Roman" w:eastAsia="Times New Roman" w:hAnsi="Times New Roman"/>
          <w:sz w:val="18"/>
          <w:szCs w:val="18"/>
          <w:color w:val="auto"/>
        </w:rPr>
      </w:pPr>
    </w:p>
    <w:p>
      <w:pPr>
        <w:ind w:left="960" w:right="420" w:hanging="480"/>
        <w:spacing w:after="0" w:line="282" w:lineRule="auto"/>
        <w:tabs>
          <w:tab w:leader="none" w:pos="9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by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right="100" w:firstLine="482"/>
        <w:spacing w:after="0" w:line="261" w:lineRule="auto"/>
        <w:rPr>
          <w:sz w:val="20"/>
          <w:szCs w:val="20"/>
          <w:color w:val="auto"/>
        </w:rPr>
      </w:pPr>
      <w:r>
        <w:rPr>
          <w:rFonts w:ascii="Times New Roman" w:cs="Times New Roman" w:eastAsia="Times New Roman" w:hAnsi="Times New Roman"/>
          <w:sz w:val="18"/>
          <w:szCs w:val="18"/>
          <w:color w:val="auto"/>
        </w:rPr>
        <w:t>If our existing collaborations and any future collaborations we enter into do not result in the successful discovery, development and commercialization of product candidates or if one of our collaborators terminates its agreement with us, we may not receive any future research funding or milestone or royalty payments under such collaboration. All of the risks relating to product development, regulatory approval and commercialization described in this Report also apply to the activities of our therapeutic collaborators.</w:t>
      </w:r>
    </w:p>
    <w:p>
      <w:pPr>
        <w:spacing w:after="0" w:line="180" w:lineRule="exact"/>
        <w:rPr>
          <w:sz w:val="20"/>
          <w:szCs w:val="20"/>
          <w:color w:val="auto"/>
        </w:rPr>
      </w:pPr>
    </w:p>
    <w:p>
      <w:pPr>
        <w:ind w:right="40" w:firstLine="482"/>
        <w:spacing w:after="0" w:line="282" w:lineRule="auto"/>
        <w:rPr>
          <w:sz w:val="20"/>
          <w:szCs w:val="20"/>
          <w:color w:val="auto"/>
        </w:rPr>
      </w:pPr>
      <w:r>
        <w:rPr>
          <w:rFonts w:ascii="Times New Roman" w:cs="Times New Roman" w:eastAsia="Times New Roman" w:hAnsi="Times New Roman"/>
          <w:sz w:val="18"/>
          <w:szCs w:val="18"/>
          <w:color w:val="auto"/>
        </w:rPr>
        <w:t>Additionally, if one of our existing or future collaborators terminates its agreement with us, we may find it more difficult to attract new collaborators and our perception in the business and financial communities could be adversely affected.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2" w:name="page73"/>
    <w:bookmarkEnd w:id="72"/>
    <w:p>
      <w:pPr>
        <w:ind w:firstLine="482"/>
        <w:spacing w:after="0" w:line="252"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Managing Our Business and Operations</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outbreak of the novel coronavirus disease, COVID-19, could adversely impact our business, including our preclinical studies and clinical trials.</w:t>
      </w:r>
    </w:p>
    <w:p>
      <w:pPr>
        <w:spacing w:after="0" w:line="121"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In December 2019, a novel strain of the coronavirus disease, COVID-19, was identified in Wuhan, China. This virus continues to spread globally and has spread to a number of countries globally,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significantly limited access to our executive offices with the majority of our administrative employees continuing their work outside of our offices and limited the presence of our staff in the laboratory and in the administrative spaces to levels that adhere to social distancing protocols. As a result of the COVID-19 pandemic, we have experienced disruptions and may continue to experience disruptions that could severely impact our business, preclinical studies and clinical trials, including:</w:t>
      </w:r>
    </w:p>
    <w:p>
      <w:pPr>
        <w:spacing w:after="0" w:line="84" w:lineRule="exact"/>
        <w:rPr>
          <w:sz w:val="20"/>
          <w:szCs w:val="20"/>
          <w:color w:val="auto"/>
        </w:rPr>
      </w:pPr>
    </w:p>
    <w:p>
      <w:pPr>
        <w:ind w:left="960" w:right="100" w:hanging="480"/>
        <w:spacing w:after="0" w:line="25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commencing enrollment of patients in our clinical trials, including our Phase 2a clinical trials of PLN-74809 in IPF and PSC and our Phase 1 clinical trial of PLN-1474. With respect to the ongoing Phase 2a trials of PLN-74809 in IPF and PSC, following delays in site initiation due to the impacts of COVID-19, both trials have resumed active enrollment of patients. With respect to the ongoing Phase 1 trial of PLN-1474, due to the location of the Phase 1 trial site has experienced delays due to its location in an area currently impacted by COVID-19; however, it is now open and expected to continue dosing the remaining cohorts with topline data expected in the first quarter of 2021, subject to further impact of the COVID-19 pandemic;</w:t>
      </w:r>
    </w:p>
    <w:p>
      <w:pPr>
        <w:spacing w:after="0" w:line="79" w:lineRule="exact"/>
        <w:rPr>
          <w:rFonts w:ascii="Times New Roman" w:cs="Times New Roman" w:eastAsia="Times New Roman" w:hAnsi="Times New Roman"/>
          <w:sz w:val="18"/>
          <w:szCs w:val="18"/>
          <w:color w:val="auto"/>
        </w:rPr>
      </w:pPr>
    </w:p>
    <w:p>
      <w:pPr>
        <w:ind w:left="960" w:right="560" w:hanging="480"/>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from potential delays, including potential difficulties in clinical site initiation, including difficulties in recruiting clinical site investigators and clinical site staff;</w:t>
      </w:r>
    </w:p>
    <w:p>
      <w:pPr>
        <w:spacing w:after="0" w:line="53" w:lineRule="exact"/>
        <w:rPr>
          <w:rFonts w:ascii="Times New Roman" w:cs="Times New Roman" w:eastAsia="Times New Roman" w:hAnsi="Times New Roman"/>
          <w:sz w:val="18"/>
          <w:szCs w:val="18"/>
          <w:color w:val="auto"/>
        </w:rPr>
      </w:pPr>
    </w:p>
    <w:p>
      <w:pPr>
        <w:ind w:left="960" w:right="80" w:hanging="480"/>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960" w:right="160" w:hanging="480"/>
        <w:spacing w:after="0" w:line="26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that are deemed non-essential, which may impact the integrity of subject data and clinical study endpoints;</w:t>
      </w:r>
    </w:p>
    <w:p>
      <w:pPr>
        <w:spacing w:after="0" w:line="6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17" w:lineRule="exact"/>
        <w:rPr>
          <w:rFonts w:ascii="Times New Roman" w:cs="Times New Roman" w:eastAsia="Times New Roman" w:hAnsi="Times New Roman"/>
          <w:sz w:val="18"/>
          <w:szCs w:val="18"/>
          <w:color w:val="auto"/>
        </w:rPr>
      </w:pPr>
    </w:p>
    <w:p>
      <w:pPr>
        <w:ind w:left="960" w:right="560" w:hanging="480"/>
        <w:spacing w:after="0" w:line="282"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preclinical studies due to restricted or limited operations at our laboratory facility;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3" w:name="page74"/>
    <w:bookmarkEnd w:id="73"/>
    <w:p>
      <w:pPr>
        <w:ind w:left="960" w:right="460" w:hanging="480"/>
        <w:spacing w:after="0" w:line="312" w:lineRule="auto"/>
        <w:tabs>
          <w:tab w:leader="none" w:pos="9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 and</w:t>
      </w:r>
    </w:p>
    <w:p>
      <w:pPr>
        <w:spacing w:after="0" w:line="31" w:lineRule="exact"/>
        <w:rPr>
          <w:rFonts w:ascii="Times New Roman" w:cs="Times New Roman" w:eastAsia="Times New Roman" w:hAnsi="Times New Roman"/>
          <w:sz w:val="17"/>
          <w:szCs w:val="17"/>
          <w:color w:val="auto"/>
        </w:rPr>
      </w:pPr>
    </w:p>
    <w:p>
      <w:pPr>
        <w:ind w:left="960" w:hanging="480"/>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225" w:lineRule="exact"/>
        <w:rPr>
          <w:sz w:val="20"/>
          <w:szCs w:val="20"/>
          <w:color w:val="auto"/>
        </w:rPr>
      </w:pPr>
    </w:p>
    <w:p>
      <w:pPr>
        <w:ind w:right="180" w:firstLine="482"/>
        <w:spacing w:after="0" w:line="261" w:lineRule="auto"/>
        <w:rPr>
          <w:sz w:val="20"/>
          <w:szCs w:val="20"/>
          <w:color w:val="auto"/>
        </w:rPr>
      </w:pPr>
      <w:r>
        <w:rPr>
          <w:rFonts w:ascii="Times New Roman" w:cs="Times New Roman" w:eastAsia="Times New Roman" w:hAnsi="Times New Roman"/>
          <w:sz w:val="18"/>
          <w:szCs w:val="18"/>
          <w:color w:val="auto"/>
        </w:rPr>
        <w:t>The COVID-19 pandemic continues to rapidly evolve. The extent to which the outbreak impacts our business,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2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adversely affect our operations.</w:t>
      </w:r>
    </w:p>
    <w:p>
      <w:pPr>
        <w:spacing w:after="0" w:line="121" w:lineRule="exact"/>
        <w:rPr>
          <w:sz w:val="20"/>
          <w:szCs w:val="20"/>
          <w:color w:val="auto"/>
        </w:rPr>
      </w:pPr>
    </w:p>
    <w:p>
      <w:pPr>
        <w:ind w:right="120" w:firstLine="482"/>
        <w:spacing w:after="0" w:line="258" w:lineRule="auto"/>
        <w:rPr>
          <w:sz w:val="20"/>
          <w:szCs w:val="20"/>
          <w:color w:val="auto"/>
        </w:rPr>
      </w:pPr>
      <w:r>
        <w:rPr>
          <w:rFonts w:ascii="Times New Roman" w:cs="Times New Roman" w:eastAsia="Times New Roman" w:hAnsi="Times New Roman"/>
          <w:sz w:val="18"/>
          <w:szCs w:val="18"/>
          <w:color w:val="auto"/>
        </w:rPr>
        <w:t>As of September 30, 2020, we had 70 full-time employees. As our clinical development and commercialization plans and strategies develop, and as we transition into operating as a public company,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spacing w:after="0" w:line="75" w:lineRule="exact"/>
        <w:rPr>
          <w:sz w:val="20"/>
          <w:szCs w:val="20"/>
          <w:color w:val="auto"/>
        </w:rPr>
      </w:pPr>
    </w:p>
    <w:p>
      <w:pPr>
        <w:ind w:left="960" w:hanging="480"/>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117" w:lineRule="exact"/>
        <w:rPr>
          <w:rFonts w:ascii="Times New Roman" w:cs="Times New Roman" w:eastAsia="Times New Roman" w:hAnsi="Times New Roman"/>
          <w:sz w:val="18"/>
          <w:szCs w:val="18"/>
          <w:color w:val="auto"/>
        </w:rPr>
      </w:pPr>
    </w:p>
    <w:p>
      <w:pPr>
        <w:ind w:left="960" w:right="120" w:hanging="480"/>
        <w:spacing w:after="0" w:line="282" w:lineRule="auto"/>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development and commercialization efforts effectively, including the clinical and FDA review process for PLN-74809 and any other product candidates, while complying with our contractual obligations to contractors and other third parties; and</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jc w:val="both"/>
        <w:ind w:right="80" w:firstLine="482"/>
        <w:spacing w:after="0" w:line="266" w:lineRule="auto"/>
        <w:rPr>
          <w:sz w:val="20"/>
          <w:szCs w:val="20"/>
          <w:color w:val="auto"/>
        </w:rPr>
      </w:pPr>
      <w:r>
        <w:rPr>
          <w:rFonts w:ascii="Times New Roman" w:cs="Times New Roman" w:eastAsia="Times New Roman" w:hAnsi="Times New Roman"/>
          <w:sz w:val="18"/>
          <w:szCs w:val="18"/>
          <w:color w:val="auto"/>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6"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contract manufacturers and companies focused on research and development and discovery activities.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accuracy or quantity of the services provided is compromised for any reason, our clinical trials may be extended, delayed or terminated, and we may not be able to obtain, or may be substantially delayed in obtaining, regulatory approval of our product candidates or otherwise advance our business. There can be no assurance that we will be able to manage our existing consultants or find other competent outside contractors and consultants on economically reasonable terms, or at all.</w:t>
      </w:r>
    </w:p>
    <w:p>
      <w:pPr>
        <w:spacing w:after="0" w:line="192" w:lineRule="exact"/>
        <w:rPr>
          <w:sz w:val="20"/>
          <w:szCs w:val="20"/>
          <w:color w:val="auto"/>
        </w:rPr>
      </w:pPr>
    </w:p>
    <w:p>
      <w:pPr>
        <w:ind w:right="80" w:firstLine="482"/>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PLN-74809 or any other product candidates and, accordingly, may not achieve our research, development and commercialization goals.</w:t>
      </w:r>
    </w:p>
    <w:p>
      <w:pPr>
        <w:spacing w:after="0" w:line="176" w:lineRule="exact"/>
        <w:rPr>
          <w:sz w:val="20"/>
          <w:szCs w:val="20"/>
          <w:color w:val="auto"/>
        </w:rPr>
      </w:pPr>
    </w:p>
    <w:p>
      <w:pPr>
        <w:ind w:right="120" w:firstLine="482"/>
        <w:spacing w:after="0" w:line="261" w:lineRule="auto"/>
        <w:rPr>
          <w:sz w:val="20"/>
          <w:szCs w:val="20"/>
          <w:color w:val="auto"/>
        </w:rPr>
      </w:pPr>
      <w:r>
        <w:rPr>
          <w:rFonts w:ascii="Times New Roman" w:cs="Times New Roman" w:eastAsia="Times New Roman" w:hAnsi="Times New Roman"/>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284" w:lineRule="exact"/>
        <w:rPr>
          <w:sz w:val="20"/>
          <w:szCs w:val="20"/>
          <w:color w:val="auto"/>
        </w:rPr>
      </w:pPr>
    </w:p>
    <w:p>
      <w:pPr>
        <w:ind w:left="2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spacing w:after="0" w:line="51" w:lineRule="exact"/>
        <w:rPr>
          <w:sz w:val="20"/>
          <w:szCs w:val="20"/>
          <w:color w:val="auto"/>
        </w:rPr>
      </w:pPr>
    </w:p>
    <w:p>
      <w:pPr>
        <w:ind w:firstLine="482"/>
        <w:spacing w:after="0" w:line="256"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Bernard Coulie, M.D., Ph.D., our Chief Executive Officer and President, Keith Cummings, M.D., our Chief Financial Officer, Barbara Howes, our Chief Human Resources Officer, Johannes (Hans) Hull, J.D., our Chief Business Officer and Éric Lefebvre, M.D., our Chief Medical Officer. The loss of the services of any of our executive officers, other key employees, and other scientific and medical advisors, and our inability to find suitable replacements could result in delays in product development and harm our business.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4" w:name="page75"/>
    <w:bookmarkEnd w:id="74"/>
    <w:p>
      <w:pPr>
        <w:ind w:right="140" w:firstLine="482"/>
        <w:spacing w:after="0" w:line="266" w:lineRule="auto"/>
        <w:rPr>
          <w:sz w:val="20"/>
          <w:szCs w:val="20"/>
          <w:color w:val="auto"/>
        </w:rPr>
      </w:pPr>
      <w:r>
        <w:rPr>
          <w:rFonts w:ascii="Times New Roman" w:cs="Times New Roman" w:eastAsia="Times New Roman" w:hAnsi="Times New Roman"/>
          <w:sz w:val="18"/>
          <w:szCs w:val="18"/>
          <w:color w:val="auto"/>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spacing w:after="0" w:line="176" w:lineRule="exact"/>
        <w:rPr>
          <w:sz w:val="20"/>
          <w:szCs w:val="20"/>
          <w:color w:val="auto"/>
        </w:rPr>
      </w:pPr>
    </w:p>
    <w:p>
      <w:pPr>
        <w:ind w:right="40" w:firstLine="482"/>
        <w:spacing w:after="0" w:line="255" w:lineRule="auto"/>
        <w:rPr>
          <w:sz w:val="20"/>
          <w:szCs w:val="20"/>
          <w:color w:val="auto"/>
        </w:rPr>
      </w:pPr>
      <w:r>
        <w:rPr>
          <w:rFonts w:ascii="Times New Roman" w:cs="Times New Roman" w:eastAsia="Times New Roman" w:hAnsi="Times New Roman"/>
          <w:sz w:val="18"/>
          <w:szCs w:val="18"/>
          <w:color w:val="auto"/>
        </w:rPr>
        <w:t>To induce valuable employees to remain at our company, in addition to salary and cash incentives, we have provided restricted stock awards and stock options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spacing w:after="0" w:line="293" w:lineRule="exact"/>
        <w:rPr>
          <w:sz w:val="20"/>
          <w:szCs w:val="20"/>
          <w:color w:val="auto"/>
        </w:rPr>
      </w:pPr>
    </w:p>
    <w:p>
      <w:pPr>
        <w:ind w:left="240" w:right="6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spacing w:after="0" w:line="67" w:lineRule="exact"/>
        <w:rPr>
          <w:sz w:val="20"/>
          <w:szCs w:val="20"/>
          <w:color w:val="auto"/>
        </w:rPr>
      </w:pPr>
    </w:p>
    <w:p>
      <w:pPr>
        <w:ind w:right="40" w:firstLine="482"/>
        <w:spacing w:after="0" w:line="253" w:lineRule="auto"/>
        <w:rPr>
          <w:sz w:val="20"/>
          <w:szCs w:val="20"/>
          <w:color w:val="auto"/>
        </w:rPr>
      </w:pPr>
      <w:r>
        <w:rPr>
          <w:rFonts w:ascii="Times New Roman" w:cs="Times New Roman" w:eastAsia="Times New Roman" w:hAnsi="Times New Roman"/>
          <w:sz w:val="18"/>
          <w:szCs w:val="18"/>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spacing w:after="0" w:line="194" w:lineRule="exact"/>
        <w:rPr>
          <w:sz w:val="20"/>
          <w:szCs w:val="20"/>
          <w:color w:val="auto"/>
        </w:rPr>
      </w:pPr>
    </w:p>
    <w:p>
      <w:pPr>
        <w:ind w:right="60" w:firstLine="482"/>
        <w:spacing w:after="0" w:line="256" w:lineRule="auto"/>
        <w:rPr>
          <w:sz w:val="20"/>
          <w:szCs w:val="20"/>
          <w:color w:val="auto"/>
        </w:rPr>
      </w:pPr>
      <w:r>
        <w:rPr>
          <w:rFonts w:ascii="Times New Roman" w:cs="Times New Roman" w:eastAsia="Times New Roman" w:hAnsi="Times New Roman"/>
          <w:sz w:val="18"/>
          <w:szCs w:val="18"/>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spacing w:after="0" w:line="291" w:lineRule="exact"/>
        <w:rPr>
          <w:sz w:val="20"/>
          <w:szCs w:val="20"/>
          <w:color w:val="auto"/>
        </w:rPr>
      </w:pPr>
    </w:p>
    <w:p>
      <w:pPr>
        <w:ind w:left="2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collaborators and vendors may engage in misconduct or other improper activities, including noncompliance with regulatory standards and requirements.</w:t>
      </w:r>
    </w:p>
    <w:p>
      <w:pPr>
        <w:spacing w:after="0" w:line="51" w:lineRule="exact"/>
        <w:rPr>
          <w:sz w:val="20"/>
          <w:szCs w:val="20"/>
          <w:color w:val="auto"/>
        </w:rPr>
      </w:pPr>
    </w:p>
    <w:p>
      <w:pPr>
        <w:ind w:firstLine="482"/>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5" w:name="page76"/>
    <w:bookmarkEnd w:id="75"/>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use and generate materials that may expose us to material liability.</w:t>
      </w:r>
    </w:p>
    <w:p>
      <w:pPr>
        <w:spacing w:after="0" w:line="121" w:lineRule="exact"/>
        <w:rPr>
          <w:sz w:val="20"/>
          <w:szCs w:val="20"/>
          <w:color w:val="auto"/>
        </w:rPr>
      </w:pPr>
    </w:p>
    <w:p>
      <w:pPr>
        <w:ind w:right="60" w:firstLine="482"/>
        <w:spacing w:after="0" w:line="254" w:lineRule="auto"/>
        <w:rPr>
          <w:sz w:val="20"/>
          <w:szCs w:val="20"/>
          <w:color w:val="auto"/>
        </w:rPr>
      </w:pPr>
      <w:r>
        <w:rPr>
          <w:rFonts w:ascii="Times New Roman" w:cs="Times New Roman" w:eastAsia="Times New Roman" w:hAnsi="Times New Roman"/>
          <w:sz w:val="18"/>
          <w:szCs w:val="18"/>
          <w:color w:val="auto"/>
        </w:rPr>
        <w:t>Our research programs involve the use of hazardous materials and chemicals, which are currently only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spacing w:after="0" w:line="296" w:lineRule="exact"/>
        <w:rPr>
          <w:sz w:val="20"/>
          <w:szCs w:val="20"/>
          <w:color w:val="auto"/>
        </w:rPr>
      </w:pPr>
    </w:p>
    <w:p>
      <w:pPr>
        <w:ind w:left="24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9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spacing w:after="0" w:line="284" w:lineRule="exact"/>
        <w:rPr>
          <w:sz w:val="20"/>
          <w:szCs w:val="20"/>
          <w:color w:val="auto"/>
        </w:rPr>
      </w:pPr>
    </w:p>
    <w:p>
      <w:pPr>
        <w:ind w:left="24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governmental regulations regarding the treatment of animals used in research could increase our operating costs, which would adversely affect the commercialization of our products.</w:t>
      </w:r>
    </w:p>
    <w:p>
      <w:pPr>
        <w:spacing w:after="0" w:line="51"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tax credit carryforwards may be subject to limitation.</w:t>
      </w:r>
    </w:p>
    <w:p>
      <w:pPr>
        <w:spacing w:after="0" w:line="121" w:lineRule="exact"/>
        <w:rPr>
          <w:sz w:val="20"/>
          <w:szCs w:val="20"/>
          <w:color w:val="auto"/>
        </w:rPr>
      </w:pPr>
    </w:p>
    <w:p>
      <w:pPr>
        <w:ind w:firstLine="482"/>
        <w:spacing w:after="0" w:line="252" w:lineRule="auto"/>
        <w:rPr>
          <w:sz w:val="20"/>
          <w:szCs w:val="20"/>
          <w:color w:val="auto"/>
        </w:rPr>
      </w:pPr>
      <w:r>
        <w:rPr>
          <w:rFonts w:ascii="Times New Roman" w:cs="Times New Roman" w:eastAsia="Times New Roman" w:hAnsi="Times New Roman"/>
          <w:sz w:val="18"/>
          <w:szCs w:val="18"/>
          <w:color w:val="auto"/>
        </w:rPr>
        <w:t>As of December 31, 2019, we had net operating loss carryforwards for U.S. federal and state income tax purposes of $58.7 million and $60.7 million, respectively, some of which will begin to expire in 2035. As of December 31, 2019, we also had available tax credit carryforwards for U.S. federal income tax purposes of $4.7 million, which begin to expire in 2036, and state income tax purposes of $2.1 million. Under Section 382 of the Internal Revenue Code of 1986,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Private placements and other transactions that have occurred since our inception, as well as our IPO and the Concurrent Private Placement that we completed in June 2020, may trigger such an ownership change pursuant to Section 382. Any such limitation, whether as the result of the IPO, the Concurrent Private Placement, prior private placements, sales of our common stock by our existing stockholders or additional sales of our common stock by us,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1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stock price of our common stock may be volatile or may decline regardless of our operating performance.</w:t>
      </w:r>
    </w:p>
    <w:p>
      <w:pPr>
        <w:spacing w:after="0" w:line="121" w:lineRule="exact"/>
        <w:rPr>
          <w:sz w:val="20"/>
          <w:szCs w:val="20"/>
          <w:color w:val="auto"/>
        </w:rPr>
      </w:pPr>
    </w:p>
    <w:p>
      <w:pPr>
        <w:ind w:right="100" w:firstLine="482"/>
        <w:spacing w:after="0" w:line="266" w:lineRule="auto"/>
        <w:rPr>
          <w:sz w:val="20"/>
          <w:szCs w:val="20"/>
          <w:color w:val="auto"/>
        </w:rPr>
      </w:pPr>
      <w:r>
        <w:rPr>
          <w:rFonts w:ascii="Times New Roman" w:cs="Times New Roman" w:eastAsia="Times New Roman" w:hAnsi="Times New Roman"/>
          <w:sz w:val="18"/>
          <w:szCs w:val="18"/>
          <w:color w:val="auto"/>
        </w:rPr>
        <w:t>Prior to our initial public offering in June 2020, there was no public market for shares of our common stock. In connection with our initial public offering, our common stock was listed for trading on the Nasdaq Global Select Market. However, an active or liquid market in our common stock may not develop, and if it does develop, it may not be sustainable.</w:t>
      </w:r>
    </w:p>
    <w:p>
      <w:pPr>
        <w:spacing w:after="0" w:line="176" w:lineRule="exact"/>
        <w:rPr>
          <w:sz w:val="20"/>
          <w:szCs w:val="20"/>
          <w:color w:val="auto"/>
        </w:rPr>
      </w:pPr>
    </w:p>
    <w:p>
      <w:pPr>
        <w:ind w:firstLine="482"/>
        <w:spacing w:after="0" w:line="282" w:lineRule="auto"/>
        <w:rPr>
          <w:sz w:val="20"/>
          <w:szCs w:val="20"/>
          <w:color w:val="auto"/>
        </w:rPr>
      </w:pPr>
      <w:r>
        <w:rPr>
          <w:rFonts w:ascii="Times New Roman" w:cs="Times New Roman" w:eastAsia="Times New Roman" w:hAnsi="Times New Roman"/>
          <w:sz w:val="18"/>
          <w:szCs w:val="18"/>
          <w:color w:val="auto"/>
        </w:rPr>
        <w:t>Further,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21" w:lineRule="exact"/>
        <w:rPr>
          <w:sz w:val="20"/>
          <w:szCs w:val="20"/>
          <w:color w:val="auto"/>
        </w:rPr>
      </w:pPr>
    </w:p>
    <w:p>
      <w:pPr>
        <w:ind w:firstLine="482"/>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spacing w:after="0" w:line="68" w:lineRule="exact"/>
        <w:rPr>
          <w:sz w:val="20"/>
          <w:szCs w:val="20"/>
          <w:color w:val="auto"/>
        </w:rPr>
      </w:pPr>
    </w:p>
    <w:p>
      <w:pPr>
        <w:ind w:left="960" w:right="120" w:hanging="480"/>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our current Phase 2a clinical trials of PLN-74809 and our ongoing Phase 1 clinical trial of PLN-1474;</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identifying and advancing a clinical candidate for our other development programs;</w:t>
      </w:r>
    </w:p>
    <w:p>
      <w:pPr>
        <w:spacing w:after="0" w:line="117" w:lineRule="exact"/>
        <w:rPr>
          <w:rFonts w:ascii="Times New Roman" w:cs="Times New Roman" w:eastAsia="Times New Roman" w:hAnsi="Times New Roman"/>
          <w:sz w:val="18"/>
          <w:szCs w:val="18"/>
          <w:color w:val="auto"/>
        </w:rPr>
      </w:pPr>
    </w:p>
    <w:p>
      <w:pPr>
        <w:ind w:left="960" w:right="120" w:hanging="480"/>
        <w:spacing w:after="0" w:line="266"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for PLN-74809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6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future clinical trials;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of PLN-74809 or any other product candidate;</w:t>
      </w:r>
    </w:p>
    <w:p>
      <w:pPr>
        <w:spacing w:after="0" w:line="117" w:lineRule="exact"/>
        <w:rPr>
          <w:rFonts w:ascii="Times New Roman" w:cs="Times New Roman" w:eastAsia="Times New Roman" w:hAnsi="Times New Roman"/>
          <w:sz w:val="18"/>
          <w:szCs w:val="18"/>
          <w:color w:val="auto"/>
        </w:rPr>
      </w:pPr>
    </w:p>
    <w:p>
      <w:pPr>
        <w:ind w:left="960" w:right="20" w:hanging="480"/>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PLN-74809 or any other product candidate,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product supply for any approved product or inability to do so at acceptable prices;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 if approved;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PLN-74809 or any other product candidate;</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960" w:right="540" w:hanging="480"/>
        <w:spacing w:after="0" w:line="282" w:lineRule="auto"/>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product candidates in particular,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the healthcare payment systems;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77" w:name="page78"/>
    <w:bookmarkEnd w:id="77"/>
    <w:p>
      <w:pPr>
        <w:ind w:left="960" w:hanging="480"/>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960" w:right="40" w:hanging="480"/>
        <w:spacing w:after="0" w:line="282" w:lineRule="auto"/>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17"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225"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Broad market and industry factors may negatively affect the market price of our common stock, regardless of our actual operating performance. If the market price of our common stock does not exceed the initial public offering price,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2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so any returns will be limited to the value of our stock.</w:t>
      </w:r>
    </w:p>
    <w:p>
      <w:pPr>
        <w:spacing w:after="0" w:line="121" w:lineRule="exact"/>
        <w:rPr>
          <w:sz w:val="20"/>
          <w:szCs w:val="20"/>
          <w:color w:val="auto"/>
        </w:rPr>
      </w:pPr>
    </w:p>
    <w:p>
      <w:pPr>
        <w:ind w:right="140" w:firstLine="482"/>
        <w:spacing w:after="0" w:line="261"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284" w:lineRule="exact"/>
        <w:rPr>
          <w:sz w:val="20"/>
          <w:szCs w:val="20"/>
          <w:color w:val="auto"/>
        </w:rPr>
      </w:pPr>
    </w:p>
    <w:p>
      <w:pPr>
        <w:ind w:left="24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their affiliates and our principal stockholders own a significant percentage of our stock and will be able to exert significant control over matters subject to stockholder approval.</w:t>
      </w:r>
    </w:p>
    <w:p>
      <w:pPr>
        <w:spacing w:after="0" w:line="51" w:lineRule="exact"/>
        <w:rPr>
          <w:sz w:val="20"/>
          <w:szCs w:val="20"/>
          <w:color w:val="auto"/>
        </w:rPr>
      </w:pPr>
    </w:p>
    <w:p>
      <w:pPr>
        <w:ind w:right="20" w:firstLine="482"/>
        <w:spacing w:after="0" w:line="258" w:lineRule="auto"/>
        <w:rPr>
          <w:sz w:val="20"/>
          <w:szCs w:val="20"/>
          <w:color w:val="auto"/>
        </w:rPr>
      </w:pPr>
      <w:r>
        <w:rPr>
          <w:rFonts w:ascii="Times New Roman" w:cs="Times New Roman" w:eastAsia="Times New Roman" w:hAnsi="Times New Roman"/>
          <w:sz w:val="18"/>
          <w:szCs w:val="18"/>
          <w:color w:val="auto"/>
        </w:rPr>
        <w:t>Based on shares outstanding as of September 30, 2020, our executive officers, directors and their affiliates and our principal stockholders beneficially held, in the aggregate, approximately 25.6%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spacing w:after="0" w:line="287" w:lineRule="exact"/>
        <w:rPr>
          <w:sz w:val="20"/>
          <w:szCs w:val="20"/>
          <w:color w:val="auto"/>
        </w:rPr>
      </w:pPr>
    </w:p>
    <w:p>
      <w:pPr>
        <w:ind w:lef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51"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or EGC, as defined in the Jumpstart Our Business Startups Act, or the JOBS Act, enacted in April 2012. For as long as we continue to be an EGC, we may take advantage of exemptions from various reporting requirements that are applicable to other public companies that are not EGCs, including not being required to comply with the auditor attestation requirements of Section 404 of the Sarbanes-Oxley Act of 2002, as amended, or the Sarbanes-Oxley Act, reduced disclosure obligations regarding executive compensation and our periodic reports and proxy statements and exemptions from the requirements of holding nonbinding advisory votes on executive compensation and stockholder approval of any golden parachute payments not previously approved. We could be an EGC for up to five years following the year in which we complete the IPO, although circumstances could cause us to lose that status earlier. We will remain an EGC until the earlier of (i) the last day of the fiscal year (a) following the fifth anniversary of the completion of the IPO, (b) in which we have total annual gross revenue of at least $1.07 billion or (c) in which we are deemed to be a large accelerated filer, which requires the market value of our common stock that is held by non-affiliates to exceed $700.0 million as of the prior June 30th, and (ii) the date on which we have issued more than $1.0 billion in non-convertible debt during the prior three-year period.</w:t>
      </w:r>
    </w:p>
    <w:p>
      <w:pPr>
        <w:spacing w:after="0" w:line="194" w:lineRule="exact"/>
        <w:rPr>
          <w:sz w:val="20"/>
          <w:szCs w:val="20"/>
          <w:color w:val="auto"/>
        </w:rPr>
      </w:pPr>
    </w:p>
    <w:p>
      <w:pPr>
        <w:jc w:val="both"/>
        <w:ind w:right="40" w:firstLine="482"/>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360" w:firstLine="482"/>
        <w:spacing w:after="0" w:line="266" w:lineRule="auto"/>
        <w:rPr>
          <w:sz w:val="20"/>
          <w:szCs w:val="20"/>
          <w:color w:val="auto"/>
        </w:rPr>
      </w:pPr>
      <w:r>
        <w:rPr>
          <w:rFonts w:ascii="Times New Roman" w:cs="Times New Roman" w:eastAsia="Times New Roman" w:hAnsi="Times New Roman"/>
          <w:sz w:val="18"/>
          <w:szCs w:val="18"/>
          <w:color w:val="auto"/>
        </w:rPr>
        <w:t>Under the JOBS Act, EGCs can also delay adopting new or revised accounting standards until such time as those standards apply to private companies, which may make our financial statements less comparable to companies that comply with new or revised accounting pronouncements as of public company effective dates.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8" w:name="page79"/>
    <w:bookmarkEnd w:id="78"/>
    <w:p>
      <w:pPr>
        <w:ind w:left="24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20" w:firstLine="482"/>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We will be subject to the reporting requirements of the Securities Exchange Act of 1934, as amended, which will require,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EGCs to implement many of these requirements over a longer period and up to five years from the pricing of the IPO.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2"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96" w:lineRule="exact"/>
        <w:rPr>
          <w:sz w:val="20"/>
          <w:szCs w:val="20"/>
          <w:color w:val="auto"/>
        </w:rPr>
      </w:pPr>
    </w:p>
    <w:p>
      <w:pPr>
        <w:ind w:left="2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ind w:right="100" w:firstLine="482"/>
        <w:spacing w:after="0" w:line="255"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89" w:lineRule="exact"/>
        <w:rPr>
          <w:sz w:val="20"/>
          <w:szCs w:val="20"/>
          <w:color w:val="auto"/>
        </w:rPr>
      </w:pPr>
    </w:p>
    <w:p>
      <w:pPr>
        <w:ind w:right="140" w:firstLine="482"/>
        <w:spacing w:after="0" w:line="256" w:lineRule="auto"/>
        <w:rPr>
          <w:sz w:val="20"/>
          <w:szCs w:val="20"/>
          <w:color w:val="auto"/>
        </w:rPr>
      </w:pPr>
      <w:r>
        <w:rPr>
          <w:rFonts w:ascii="Times New Roman" w:cs="Times New Roman" w:eastAsia="Times New Roman" w:hAnsi="Times New Roman"/>
          <w:sz w:val="18"/>
          <w:szCs w:val="18"/>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2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260" w:firstLine="482"/>
        <w:spacing w:after="0" w:line="254" w:lineRule="auto"/>
        <w:rPr>
          <w:sz w:val="20"/>
          <w:szCs w:val="20"/>
          <w:color w:val="auto"/>
        </w:rPr>
      </w:pPr>
      <w:r>
        <w:rPr>
          <w:rFonts w:ascii="Times New Roman" w:cs="Times New Roman" w:eastAsia="Times New Roman" w:hAnsi="Times New Roman"/>
          <w:sz w:val="18"/>
          <w:szCs w:val="18"/>
          <w:color w:val="auto"/>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9" w:name="page80"/>
    <w:bookmarkEnd w:id="79"/>
    <w:p>
      <w:pPr>
        <w:ind w:left="24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amounts of our outstanding shares may be sold into the market when lock-up or market standoff periods end. If there are substantial sales of shares of our common stock, the price of our common stock could decline.</w:t>
      </w:r>
    </w:p>
    <w:p>
      <w:pPr>
        <w:spacing w:after="0" w:line="51" w:lineRule="exact"/>
        <w:rPr>
          <w:sz w:val="20"/>
          <w:szCs w:val="20"/>
          <w:color w:val="auto"/>
        </w:rPr>
      </w:pPr>
    </w:p>
    <w:p>
      <w:pPr>
        <w:ind w:right="20" w:firstLine="482"/>
        <w:spacing w:after="0" w:line="254" w:lineRule="auto"/>
        <w:rPr>
          <w:sz w:val="20"/>
          <w:szCs w:val="20"/>
          <w:color w:val="auto"/>
        </w:rPr>
      </w:pPr>
      <w:r>
        <w:rPr>
          <w:rFonts w:ascii="Times New Roman" w:cs="Times New Roman" w:eastAsia="Times New Roman" w:hAnsi="Times New Roman"/>
          <w:sz w:val="18"/>
          <w:szCs w:val="18"/>
          <w:color w:val="auto"/>
        </w:rPr>
        <w:t>In connection with our IPO, our directors, officers and holders of substantially all of our common stock prior to the IPO entered into lock-up agreements that restrict the sale or disposition of their shares for a period of time following our IPO. These lock-up agreements pertaining to the IPO will expire 180 days from the date of the prospectus used for our initial public offering in June 2020, subject to earlier release of all or a portion of the shares subject to such agreements by the representatives of the underwriters in the IPO in their sole discretion. After the lock-up agreements expire up to an additional approximately 24.6 million shares of common stock will be eligible for sale in the public market. Approximately 36.8% of these additional shares are beneficially held by directors, executive officers and their affiliates and will be subject to certain limitations of Rule 144 under the Securities Act of 1933, as amended, or the Securities Act. If our stockholders sell, or indicate an intention to sell, substantial amounts of our common stock in the public market after the lock-up and other legal restrictions on resale lapse, the trading price of our common stock could decline.</w:t>
      </w:r>
    </w:p>
    <w:p>
      <w:pPr>
        <w:spacing w:after="0" w:line="192" w:lineRule="exact"/>
        <w:rPr>
          <w:sz w:val="20"/>
          <w:szCs w:val="20"/>
          <w:color w:val="auto"/>
        </w:rPr>
      </w:pPr>
    </w:p>
    <w:p>
      <w:pPr>
        <w:ind w:right="60" w:firstLine="482"/>
        <w:spacing w:after="0" w:line="253" w:lineRule="auto"/>
        <w:rPr>
          <w:sz w:val="20"/>
          <w:szCs w:val="20"/>
          <w:color w:val="auto"/>
        </w:rPr>
      </w:pPr>
      <w:r>
        <w:rPr>
          <w:rFonts w:ascii="Times New Roman" w:cs="Times New Roman" w:eastAsia="Times New Roman" w:hAnsi="Times New Roman"/>
          <w:sz w:val="18"/>
          <w:szCs w:val="18"/>
          <w:color w:val="auto"/>
        </w:rPr>
        <w:t>In addition, shares of common stock that are either subject to outstanding options or reserved for future issuance under our existing equity compensation plans will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beginning on January 1, 2021,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will automatically increase on January 1 of each year, beginning on January 1, 2021,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spacing w:after="0" w:line="192" w:lineRule="exact"/>
        <w:rPr>
          <w:sz w:val="20"/>
          <w:szCs w:val="20"/>
          <w:color w:val="auto"/>
        </w:rPr>
      </w:pPr>
    </w:p>
    <w:p>
      <w:pPr>
        <w:ind w:firstLine="482"/>
        <w:spacing w:after="0" w:line="258" w:lineRule="auto"/>
        <w:rPr>
          <w:sz w:val="20"/>
          <w:szCs w:val="20"/>
          <w:color w:val="auto"/>
        </w:rPr>
      </w:pPr>
      <w:r>
        <w:rPr>
          <w:rFonts w:ascii="Times New Roman" w:cs="Times New Roman" w:eastAsia="Times New Roman" w:hAnsi="Times New Roman"/>
          <w:sz w:val="18"/>
          <w:szCs w:val="18"/>
          <w:color w:val="auto"/>
        </w:rPr>
        <w:t>The holders of approximately 23.1 million shares of our common stock are entitled to rights with respect to the registration of their shares under the Securities Act as provided under the terms of an investors’ rights agreement between us and the holders of our redeemable convertible preferred stock,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common stock.</w:t>
      </w:r>
    </w:p>
    <w:p>
      <w:pPr>
        <w:spacing w:after="0" w:line="28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existing cash, cash equivalents and short-term investments and may not use them effectively.</w:t>
      </w:r>
    </w:p>
    <w:p>
      <w:pPr>
        <w:spacing w:after="0" w:line="121" w:lineRule="exact"/>
        <w:rPr>
          <w:sz w:val="20"/>
          <w:szCs w:val="20"/>
          <w:color w:val="auto"/>
        </w:rPr>
      </w:pPr>
    </w:p>
    <w:p>
      <w:pPr>
        <w:ind w:right="20" w:firstLine="482"/>
        <w:spacing w:after="0" w:line="255"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our existing cash, cash equivalents and short-term investments. Because of the number and variability of factors that will determine our use of our existing cash, cash equivalents and short-term investments, their ultimate use may vary substantially from their currently intended use. Our management might not apply our existing cash, cash equivalents and short-term investments in ways that ultimately increase the value of your investment. The failure by our management to apply these funds effectively could harm our business. Pending their use, we may invest in short-term, investment-grade, interest-bearing securities. These investments may not yield a favorable return to our stockholders. If we do not invest or apply our existing cash, cash equivalents and short-term investments in ways that enhance stockholder value, we may fail to achieve expected financial results, which could cause our stock price to decline.</w:t>
      </w:r>
    </w:p>
    <w:p>
      <w:pPr>
        <w:spacing w:after="0" w:line="293" w:lineRule="exact"/>
        <w:rPr>
          <w:sz w:val="20"/>
          <w:szCs w:val="20"/>
          <w:color w:val="auto"/>
        </w:rPr>
      </w:pPr>
    </w:p>
    <w:p>
      <w:pPr>
        <w:ind w:left="2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51" w:lineRule="exact"/>
        <w:rPr>
          <w:sz w:val="20"/>
          <w:szCs w:val="20"/>
          <w:color w:val="auto"/>
        </w:rPr>
      </w:pPr>
    </w:p>
    <w:p>
      <w:pPr>
        <w:ind w:right="20" w:firstLine="482"/>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which became effective upon the completion of our IPO, contain provisions that could delay or prevent a change of control of our company or changes in our board of directors that our stockholders might consider favorable. Some of these provisions include:</w:t>
      </w:r>
    </w:p>
    <w:p>
      <w:pPr>
        <w:spacing w:after="0" w:line="68" w:lineRule="exact"/>
        <w:rPr>
          <w:sz w:val="20"/>
          <w:szCs w:val="20"/>
          <w:color w:val="auto"/>
        </w:rPr>
      </w:pPr>
    </w:p>
    <w:p>
      <w:pPr>
        <w:ind w:left="960" w:right="40" w:hanging="480"/>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board of directors divided into three classes serving staggered three-year terms, such that not all members of the board will be elected at one time;</w:t>
      </w:r>
    </w:p>
    <w:p>
      <w:pPr>
        <w:spacing w:after="0" w:line="53" w:lineRule="exact"/>
        <w:rPr>
          <w:rFonts w:ascii="Times New Roman" w:cs="Times New Roman" w:eastAsia="Times New Roman" w:hAnsi="Times New Roman"/>
          <w:sz w:val="18"/>
          <w:szCs w:val="18"/>
          <w:color w:val="auto"/>
        </w:rPr>
      </w:pPr>
    </w:p>
    <w:p>
      <w:pPr>
        <w:ind w:left="960" w:right="800" w:hanging="480"/>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 which requires that all stockholder actions be taken at a meeting of our stockholders;</w:t>
      </w:r>
    </w:p>
    <w:p>
      <w:pPr>
        <w:spacing w:after="0" w:line="53" w:lineRule="exact"/>
        <w:rPr>
          <w:rFonts w:ascii="Times New Roman" w:cs="Times New Roman" w:eastAsia="Times New Roman" w:hAnsi="Times New Roman"/>
          <w:sz w:val="18"/>
          <w:szCs w:val="18"/>
          <w:color w:val="auto"/>
        </w:rPr>
      </w:pPr>
    </w:p>
    <w:p>
      <w:pPr>
        <w:ind w:left="960" w:right="280" w:hanging="480"/>
        <w:spacing w:after="0" w:line="282"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960" w:hanging="480"/>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for election to our board of directors;</w:t>
      </w:r>
    </w:p>
    <w:p>
      <w:pPr>
        <w:spacing w:after="0" w:line="117" w:lineRule="exact"/>
        <w:rPr>
          <w:rFonts w:ascii="Times New Roman" w:cs="Times New Roman" w:eastAsia="Times New Roman" w:hAnsi="Times New Roman"/>
          <w:sz w:val="18"/>
          <w:szCs w:val="18"/>
          <w:color w:val="auto"/>
        </w:rPr>
      </w:pPr>
    </w:p>
    <w:p>
      <w:pPr>
        <w:ind w:left="960" w:right="80" w:hanging="480"/>
        <w:spacing w:after="0" w:line="266"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80" w:name="page81"/>
    <w:bookmarkEnd w:id="80"/>
    <w:p>
      <w:pPr>
        <w:ind w:left="960" w:right="120" w:hanging="480"/>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53" w:lineRule="exact"/>
        <w:rPr>
          <w:rFonts w:ascii="Times New Roman" w:cs="Times New Roman" w:eastAsia="Times New Roman" w:hAnsi="Times New Roman"/>
          <w:sz w:val="18"/>
          <w:szCs w:val="18"/>
          <w:color w:val="auto"/>
        </w:rPr>
      </w:pPr>
    </w:p>
    <w:p>
      <w:pPr>
        <w:ind w:left="960" w:right="200" w:hanging="480"/>
        <w:spacing w:after="0" w:line="282" w:lineRule="auto"/>
        <w:tabs>
          <w:tab w:leader="none" w:pos="9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162" w:lineRule="exact"/>
        <w:rPr>
          <w:sz w:val="20"/>
          <w:szCs w:val="20"/>
          <w:color w:val="auto"/>
        </w:rPr>
      </w:pPr>
    </w:p>
    <w:p>
      <w:pPr>
        <w:ind w:right="40" w:firstLine="482"/>
        <w:spacing w:after="0" w:line="254"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296" w:lineRule="exact"/>
        <w:rPr>
          <w:sz w:val="20"/>
          <w:szCs w:val="20"/>
          <w:color w:val="auto"/>
        </w:rPr>
      </w:pPr>
    </w:p>
    <w:p>
      <w:pPr>
        <w:ind w:left="24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jc w:val="both"/>
        <w:ind w:right="120" w:firstLine="482"/>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284" w:lineRule="exact"/>
        <w:rPr>
          <w:sz w:val="20"/>
          <w:szCs w:val="20"/>
          <w:color w:val="auto"/>
        </w:rPr>
      </w:pPr>
    </w:p>
    <w:p>
      <w:pPr>
        <w:ind w:left="24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certain courts as the exclusive forum for certain litigation that may be initiated by our stockholders, which could limit our stockholders’ ability to litigate disputes with us in a different judicial forum.</w:t>
      </w:r>
    </w:p>
    <w:p>
      <w:pPr>
        <w:spacing w:after="0" w:line="51" w:lineRule="exact"/>
        <w:rPr>
          <w:sz w:val="20"/>
          <w:szCs w:val="20"/>
          <w:color w:val="auto"/>
        </w:rPr>
      </w:pPr>
    </w:p>
    <w:p>
      <w:pPr>
        <w:ind w:firstLine="482"/>
        <w:spacing w:after="0" w:line="252" w:lineRule="auto"/>
        <w:rPr>
          <w:sz w:val="20"/>
          <w:szCs w:val="20"/>
          <w:color w:val="auto"/>
        </w:rPr>
      </w:pPr>
      <w:r>
        <w:rPr>
          <w:rFonts w:ascii="Times New Roman" w:cs="Times New Roman" w:eastAsia="Times New Roman" w:hAnsi="Times New Roman"/>
          <w:sz w:val="18"/>
          <w:szCs w:val="18"/>
          <w:color w:val="auto"/>
        </w:rPr>
        <w:t>Pursuant to our amended and restated by-laws, that became effective upon the completion of our IPO,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General Corporation Law of the State of Delaware, our amended and restated certificate of incorporation or our amended and restated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United States District Court for the Northern District of California shall be the sole and exclusive forum for resolving any complaint asserting a cause of action arising under the Securities Act, or the federal forum provision, as our principal office is located in South San Francisco, California. In addition, our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97"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24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51" w:lineRule="exact"/>
        <w:rPr>
          <w:sz w:val="20"/>
          <w:szCs w:val="20"/>
          <w:color w:val="auto"/>
        </w:rPr>
      </w:pPr>
    </w:p>
    <w:p>
      <w:pPr>
        <w:ind w:right="100" w:firstLine="482"/>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87" w:lineRule="exact"/>
        <w:rPr>
          <w:sz w:val="20"/>
          <w:szCs w:val="20"/>
          <w:color w:val="auto"/>
        </w:rPr>
      </w:pPr>
    </w:p>
    <w:p>
      <w:pPr>
        <w:ind w:left="24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substantial costs in our efforts to comply with evolving global data protection laws and regulations, and any failure or perceived failure by us to comply with such laws and regulations may harm our business and operations.</w:t>
      </w:r>
    </w:p>
    <w:p>
      <w:pPr>
        <w:spacing w:after="0" w:line="51" w:lineRule="exact"/>
        <w:rPr>
          <w:sz w:val="20"/>
          <w:szCs w:val="20"/>
          <w:color w:val="auto"/>
        </w:rPr>
      </w:pPr>
    </w:p>
    <w:p>
      <w:pPr>
        <w:ind w:right="80" w:firstLine="482"/>
        <w:spacing w:after="0" w:line="252"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Recently, California passed the California Data Privacy Protection Act of 2018, or the CCPA, which went into effect in January 2020 and provides new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The new California law may lead to similar laws in other U.S. states or at a national level, which could increase our potential liability and adversely affect our business.</w:t>
      </w:r>
    </w:p>
    <w:p>
      <w:pPr>
        <w:spacing w:after="0" w:line="197" w:lineRule="exact"/>
        <w:rPr>
          <w:sz w:val="20"/>
          <w:szCs w:val="20"/>
          <w:color w:val="auto"/>
        </w:rPr>
      </w:pPr>
    </w:p>
    <w:p>
      <w:pPr>
        <w:ind w:right="20" w:firstLine="482"/>
        <w:spacing w:after="0" w:line="252" w:lineRule="auto"/>
        <w:rPr>
          <w:sz w:val="20"/>
          <w:szCs w:val="20"/>
          <w:color w:val="auto"/>
        </w:rPr>
      </w:pPr>
      <w:r>
        <w:rPr>
          <w:rFonts w:ascii="Times New Roman" w:cs="Times New Roman" w:eastAsia="Times New Roman" w:hAnsi="Times New Roman"/>
          <w:sz w:val="18"/>
          <w:szCs w:val="18"/>
          <w:color w:val="auto"/>
        </w:rPr>
        <w:t>In addition to our operations in the United States, which may be subject to healthcare and other laws relating to the privacy and security of health information and other personal information, may seek to conduct clinical trials in EEA and may become subject to additional European data privacy laws, regulations and guidelines. The General Data Protection Regulation, (EU) 2016/679, or GDPR, became effective on May 25, 2018, and deals with the collection, use, storage, disclosure, transfer, or other processing of personal data, including personal health data, regarding individuals in the EEA. The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health and other sensitive data, obtaining consent of the individuals to whom the personal data relates,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whichever is greater, for more serious offenses.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w:t>
      </w:r>
    </w:p>
    <w:p>
      <w:pPr>
        <w:spacing w:after="0" w:line="196" w:lineRule="exact"/>
        <w:rPr>
          <w:sz w:val="20"/>
          <w:szCs w:val="20"/>
          <w:color w:val="auto"/>
        </w:rPr>
      </w:pPr>
    </w:p>
    <w:p>
      <w:pPr>
        <w:ind w:firstLine="482"/>
        <w:spacing w:after="0" w:line="255" w:lineRule="auto"/>
        <w:rPr>
          <w:sz w:val="20"/>
          <w:szCs w:val="20"/>
          <w:color w:val="auto"/>
        </w:rPr>
      </w:pPr>
      <w:r>
        <w:rPr>
          <w:rFonts w:ascii="Times New Roman" w:cs="Times New Roman" w:eastAsia="Times New Roman" w:hAnsi="Times New Roman"/>
          <w:sz w:val="18"/>
          <w:szCs w:val="18"/>
          <w:color w:val="auto"/>
        </w:rPr>
        <w:t>Further, national laws of member states of the EU are in the process of being adapted to the requirements under the GDPR, thereby implementing national laws which may partially deviate from the GDPR and impose different obligations from country to country, so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The United Kingdom’s decision to leave the EU, often referred to as Brexit, has created uncertainty with regard to data protection regulation in the United Kingdom. In particular, it is unclear how data transfers to and from the United Kingdom will be regulated now that the United Kingdom has left the EU.</w:t>
      </w:r>
    </w:p>
    <w:p>
      <w:pPr>
        <w:spacing w:after="0" w:line="189" w:lineRule="exact"/>
        <w:rPr>
          <w:sz w:val="20"/>
          <w:szCs w:val="20"/>
          <w:color w:val="auto"/>
        </w:rPr>
      </w:pPr>
    </w:p>
    <w:p>
      <w:pPr>
        <w:ind w:right="40" w:firstLine="482"/>
        <w:spacing w:after="0" w:line="254" w:lineRule="auto"/>
        <w:rPr>
          <w:sz w:val="20"/>
          <w:szCs w:val="20"/>
          <w:color w:val="auto"/>
        </w:rPr>
      </w:pPr>
      <w:r>
        <w:rPr>
          <w:rFonts w:ascii="Times New Roman" w:cs="Times New Roman" w:eastAsia="Times New Roman" w:hAnsi="Times New Roman"/>
          <w:sz w:val="18"/>
          <w:szCs w:val="18"/>
          <w:color w:val="auto"/>
        </w:rPr>
        <w:t>In the event we commence clinical trials in the EEA, the GDPR may increase our responsibility and liability in relation to personal data that we process where such processing is subject to the GDPR, and we may be required to put in place additional mechanisms and safeguards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 on our ability to attract and retain</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2" w:name="page83"/>
    <w:bookmarkEnd w:id="82"/>
    <w:p>
      <w:pPr>
        <w:spacing w:after="0" w:line="256" w:lineRule="auto"/>
        <w:rPr>
          <w:sz w:val="20"/>
          <w:szCs w:val="20"/>
          <w:color w:val="auto"/>
        </w:rPr>
      </w:pPr>
      <w:r>
        <w:rPr>
          <w:rFonts w:ascii="Times New Roman" w:cs="Times New Roman" w:eastAsia="Times New Roman" w:hAnsi="Times New Roman"/>
          <w:sz w:val="18"/>
          <w:szCs w:val="18"/>
          <w:color w:val="auto"/>
        </w:rPr>
        <w:t>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spacing w:after="0" w:line="291" w:lineRule="exact"/>
        <w:rPr>
          <w:sz w:val="20"/>
          <w:szCs w:val="20"/>
          <w:color w:val="auto"/>
        </w:rPr>
      </w:pPr>
    </w:p>
    <w:p>
      <w:pPr>
        <w:jc w:val="both"/>
        <w:ind w:left="24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spacing w:after="0" w:line="67"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On June 23, 2016, the U.K. held a referendum in which a majority of the eligible members of the electorate voted to leave the EU, commonly referred to as Brexit. Pursuant to Article 50 of the Treaty on EU, the U.K. ceased being a Member State of the EU on January 31, 2020. However, the terms of the withdrawal have yet to be fully negotiated. The implementation period began February 1, 2020 and will continue until December 31, 2020. During this 11-month period, the U.K. will continue to follow all of the EU’s rules, the EU’s pharmaceutical law remains applicable to the U.K. and the U.K.’s trading relationship will remain the same. However, regulations (including financial laws and regulations, tax and free trade agreements, intellectual property rights, data protection laws, supply chain logistics, environmental, health and safety laws and regulations medicine licensing and regulations, immigration laws and employment laws), have yet to be addressed. This lack of clarity on future U.K. laws and regulations and their interaction with the EU laws and regulations may negatively impact foreign direct investment in the U.K., increase costs, depress economic activity and restrict access to capital.</w:t>
      </w:r>
    </w:p>
    <w:p>
      <w:pPr>
        <w:spacing w:after="0" w:line="188" w:lineRule="exact"/>
        <w:rPr>
          <w:sz w:val="20"/>
          <w:szCs w:val="20"/>
          <w:color w:val="auto"/>
        </w:rPr>
      </w:pPr>
    </w:p>
    <w:p>
      <w:pPr>
        <w:ind w:right="240" w:firstLine="482"/>
        <w:spacing w:after="0" w:line="266" w:lineRule="auto"/>
        <w:rPr>
          <w:sz w:val="20"/>
          <w:szCs w:val="20"/>
          <w:color w:val="auto"/>
        </w:rPr>
      </w:pPr>
      <w:r>
        <w:rPr>
          <w:rFonts w:ascii="Times New Roman" w:cs="Times New Roman" w:eastAsia="Times New Roman" w:hAnsi="Times New Roman"/>
          <w:sz w:val="18"/>
          <w:szCs w:val="18"/>
          <w:color w:val="auto"/>
        </w:rPr>
        <w:t>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176" w:lineRule="exact"/>
        <w:rPr>
          <w:sz w:val="20"/>
          <w:szCs w:val="20"/>
          <w:color w:val="auto"/>
        </w:rPr>
      </w:pPr>
    </w:p>
    <w:p>
      <w:pPr>
        <w:ind w:right="40" w:firstLine="482"/>
        <w:spacing w:after="0" w:line="281" w:lineRule="auto"/>
        <w:rPr>
          <w:sz w:val="20"/>
          <w:szCs w:val="20"/>
          <w:color w:val="auto"/>
        </w:rPr>
      </w:pPr>
      <w:r>
        <w:rPr>
          <w:rFonts w:ascii="Times New Roman" w:cs="Times New Roman" w:eastAsia="Times New Roman" w:hAnsi="Times New Roman"/>
          <w:sz w:val="17"/>
          <w:szCs w:val="17"/>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64" w:lineRule="exact"/>
        <w:rPr>
          <w:sz w:val="20"/>
          <w:szCs w:val="20"/>
          <w:color w:val="auto"/>
        </w:rPr>
      </w:pPr>
    </w:p>
    <w:p>
      <w:pPr>
        <w:ind w:right="160" w:firstLine="482"/>
        <w:spacing w:after="0" w:line="261" w:lineRule="auto"/>
        <w:rPr>
          <w:sz w:val="20"/>
          <w:szCs w:val="20"/>
          <w:color w:val="auto"/>
        </w:rPr>
      </w:pPr>
      <w:r>
        <w:rPr>
          <w:rFonts w:ascii="Times New Roman" w:cs="Times New Roman" w:eastAsia="Times New Roman" w:hAnsi="Times New Roman"/>
          <w:sz w:val="18"/>
          <w:szCs w:val="18"/>
          <w:color w:val="auto"/>
        </w:rPr>
        <w:t>If the U.K. and the EU are unable to negotiate acceptable agreements or if other EU member states pursue withdrawal, barrier-free access between the U.K. and other EU member states or among the European Economic Area overall could be diminished or eliminated. The long-term effects of Brexit will depend on any agreements (or lack thereof) between the U.K. and the EU and, in particular, any arrangements for the U.K. to retain access to EU markets either during a transitional period from January 1, 2021 or more permanently.</w:t>
      </w:r>
    </w:p>
    <w:p>
      <w:pPr>
        <w:spacing w:after="0" w:line="180" w:lineRule="exact"/>
        <w:rPr>
          <w:sz w:val="20"/>
          <w:szCs w:val="20"/>
          <w:color w:val="auto"/>
        </w:rPr>
      </w:pPr>
    </w:p>
    <w:p>
      <w:pPr>
        <w:ind w:right="60" w:firstLine="482"/>
        <w:spacing w:after="0" w:line="258" w:lineRule="auto"/>
        <w:rPr>
          <w:sz w:val="20"/>
          <w:szCs w:val="20"/>
          <w:color w:val="auto"/>
        </w:rPr>
      </w:pPr>
      <w:r>
        <w:rPr>
          <w:rFonts w:ascii="Times New Roman" w:cs="Times New Roman" w:eastAsia="Times New Roman" w:hAnsi="Times New Roman"/>
          <w:sz w:val="18"/>
          <w:szCs w:val="18"/>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 In addition to the foregoing, our U.K. operations support our current and future operations and clinical activities in the EU and European Economic Area, or EEA, and these operations and clinical activities could be disrupted by Brexit.</w:t>
      </w:r>
    </w:p>
    <w:p>
      <w:pPr>
        <w:spacing w:after="0" w:line="183" w:lineRule="exact"/>
        <w:rPr>
          <w:sz w:val="20"/>
          <w:szCs w:val="20"/>
          <w:color w:val="auto"/>
        </w:rPr>
      </w:pPr>
    </w:p>
    <w:p>
      <w:pPr>
        <w:ind w:right="40" w:firstLine="482"/>
        <w:spacing w:after="0" w:line="252" w:lineRule="auto"/>
        <w:rPr>
          <w:sz w:val="20"/>
          <w:szCs w:val="20"/>
          <w:color w:val="auto"/>
        </w:rPr>
      </w:pPr>
      <w:r>
        <w:rPr>
          <w:rFonts w:ascii="Times New Roman" w:cs="Times New Roman" w:eastAsia="Times New Roman" w:hAnsi="Times New Roman"/>
          <w:sz w:val="18"/>
          <w:szCs w:val="18"/>
          <w:color w:val="auto"/>
        </w:rPr>
        <w:t>We may also face new regulatory costs and challenges that could have an adverse effect on our operations. Depending on the terms of the U.K.’s withdrawal from the EU, the U.K. could lose the benefits of global trade agreements negotiated by the EU on behalf of its members, which may result in increased trade barriers that could make our doing business in the EU and the EEA more difficult.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For instance, in November 2017, EU member states voted to move the EMA, the EU’s regulatory body, from London to Amsterdam. Operations in Amsterdam commenced in March 2019, and the move itself may cause significant disruption to the regulatory approval process in Europe. It remains to be seen how, if at all, Brexit will impact regulatory requirements for product candidates and products in the U.K.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Even prior to any change to the U.K.’s relationship with the EU, the announcement of Brexit has created economic uncertainty surrounding the terms of Brexit and its consequences could adversely impact customer confidence resulting in customers reducing their spending budgets on our product candidates, if approved, which could adversely affect our business, financial condition, results of operations and could adversely affect the market price of our common stock.</w:t>
      </w:r>
    </w:p>
    <w:p>
      <w:pPr>
        <w:spacing w:after="0" w:line="1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3" w:name="page84"/>
    <w:bookmarkEnd w:id="83"/>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 could adversely affect our financial condition and results of operations.</w:t>
      </w:r>
    </w:p>
    <w:p>
      <w:pPr>
        <w:spacing w:after="0" w:line="121" w:lineRule="exact"/>
        <w:rPr>
          <w:sz w:val="20"/>
          <w:szCs w:val="20"/>
          <w:color w:val="auto"/>
        </w:rPr>
      </w:pPr>
    </w:p>
    <w:p>
      <w:pPr>
        <w:ind w:right="80" w:firstLine="482"/>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spacing w:after="0" w:line="291" w:lineRule="exact"/>
        <w:rPr>
          <w:sz w:val="20"/>
          <w:szCs w:val="20"/>
          <w:color w:val="auto"/>
        </w:rPr>
      </w:pPr>
    </w:p>
    <w:p>
      <w:pPr>
        <w:ind w:left="24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51" w:lineRule="exact"/>
        <w:rPr>
          <w:sz w:val="20"/>
          <w:szCs w:val="20"/>
          <w:color w:val="auto"/>
        </w:rPr>
      </w:pPr>
    </w:p>
    <w:p>
      <w:pPr>
        <w:ind w:right="20" w:firstLine="482"/>
        <w:spacing w:after="0" w:line="254" w:lineRule="auto"/>
        <w:rPr>
          <w:sz w:val="20"/>
          <w:szCs w:val="20"/>
          <w:color w:val="auto"/>
        </w:rPr>
      </w:pPr>
      <w:r>
        <w:rPr>
          <w:rFonts w:ascii="Times New Roman" w:cs="Times New Roman" w:eastAsia="Times New Roman" w:hAnsi="Times New Roman"/>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While we have not experienced any such material system failure, accident or security breach to date, if such an event were to occur and cause interruptions in our operations, it could result in a disruption of our development programs and our business operations, whether due to a loss of our trade secrets or other proprietary information or other similar disruptions.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192" w:lineRule="exact"/>
        <w:rPr>
          <w:sz w:val="20"/>
          <w:szCs w:val="20"/>
          <w:color w:val="auto"/>
        </w:rPr>
      </w:pPr>
    </w:p>
    <w:p>
      <w:pPr>
        <w:ind w:right="40" w:firstLine="482"/>
        <w:spacing w:after="0" w:line="252" w:lineRule="auto"/>
        <w:rPr>
          <w:sz w:val="20"/>
          <w:szCs w:val="20"/>
          <w:color w:val="auto"/>
        </w:rPr>
      </w:pPr>
      <w:r>
        <w:rPr>
          <w:rFonts w:ascii="Times New Roman" w:cs="Times New Roman" w:eastAsia="Times New Roman" w:hAnsi="Times New Roman"/>
          <w:sz w:val="18"/>
          <w:szCs w:val="18"/>
          <w:color w:val="auto"/>
        </w:rPr>
        <w:t>We could be subject to risks caused by misappropriation, misuse, leakage, falsification or intentional or accidental release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codes and viruses, phishing and other cyberattack. The number and complexity of these threats continue to increase over time. If a material breach of, or accidental or intentional loss of data from, our information technology systems or those of our vendors occurs, the market perception of the effectiveness of our security measures could be harmed and our reputation and credibility could be damaged. We could be required to expend significant amounts of money and other resources to repair or replace information systems or networks. 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cloud-based information systems, the related security risks will increase and we will need to expend additional resources to protect our technology and information systems. In addition, there can be no assurance that our internal information technology systems or those of our third-party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spacing w:after="0" w:line="2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21" w:lineRule="exact"/>
        <w:rPr>
          <w:sz w:val="20"/>
          <w:szCs w:val="20"/>
          <w:color w:val="auto"/>
        </w:rPr>
      </w:pPr>
    </w:p>
    <w:p>
      <w:pPr>
        <w:ind w:firstLine="482"/>
        <w:spacing w:after="0" w:line="254"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including due to the impact of the COVID-19 pandemic,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The increasing use of social media platforms presents new risks and challenges.</w:t>
      </w:r>
    </w:p>
    <w:p>
      <w:pPr>
        <w:spacing w:after="0" w:line="121" w:lineRule="exact"/>
        <w:rPr>
          <w:sz w:val="20"/>
          <w:szCs w:val="20"/>
          <w:color w:val="auto"/>
        </w:rPr>
      </w:pPr>
    </w:p>
    <w:p>
      <w:pPr>
        <w:ind w:firstLine="482"/>
        <w:spacing w:after="0" w:line="253" w:lineRule="auto"/>
        <w:rPr>
          <w:sz w:val="20"/>
          <w:szCs w:val="20"/>
          <w:color w:val="auto"/>
        </w:rPr>
      </w:pPr>
      <w:r>
        <w:rPr>
          <w:rFonts w:ascii="Times New Roman" w:cs="Times New Roman" w:eastAsia="Times New Roman" w:hAnsi="Times New Roman"/>
          <w:sz w:val="18"/>
          <w:szCs w:val="18"/>
          <w:color w:val="auto"/>
        </w:rPr>
        <w:t>Social media is increasingly being used to communicate about our clinical development programs and the diseases our therapeutics are being developed to treat, and we intend to utilize appropriate social media in connection with our 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we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spacing w:after="0" w:line="296" w:lineRule="exact"/>
        <w:rPr>
          <w:sz w:val="20"/>
          <w:szCs w:val="20"/>
          <w:color w:val="auto"/>
        </w:rPr>
      </w:pPr>
    </w:p>
    <w:p>
      <w:pPr>
        <w:ind w:left="24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51" w:lineRule="exact"/>
        <w:rPr>
          <w:sz w:val="20"/>
          <w:szCs w:val="20"/>
          <w:color w:val="auto"/>
        </w:rPr>
      </w:pPr>
    </w:p>
    <w:p>
      <w:pPr>
        <w:ind w:right="80" w:firstLine="482"/>
        <w:spacing w:after="0" w:line="261" w:lineRule="auto"/>
        <w:rPr>
          <w:sz w:val="20"/>
          <w:szCs w:val="20"/>
          <w:color w:val="auto"/>
        </w:rPr>
      </w:pPr>
      <w:r>
        <w:rPr>
          <w:rFonts w:ascii="Times New Roman" w:cs="Times New Roman" w:eastAsia="Times New Roman" w:hAnsi="Times New Roman"/>
          <w:sz w:val="18"/>
          <w:szCs w:val="18"/>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our Initial Public Offering of Common Stock</w:t>
      </w:r>
    </w:p>
    <w:p>
      <w:pPr>
        <w:spacing w:after="0" w:line="121" w:lineRule="exact"/>
        <w:rPr>
          <w:sz w:val="20"/>
          <w:szCs w:val="20"/>
          <w:color w:val="auto"/>
        </w:rPr>
      </w:pPr>
    </w:p>
    <w:p>
      <w:pPr>
        <w:ind w:firstLine="482"/>
        <w:spacing w:after="0" w:line="258" w:lineRule="auto"/>
        <w:rPr>
          <w:sz w:val="20"/>
          <w:szCs w:val="20"/>
          <w:color w:val="auto"/>
        </w:rPr>
      </w:pPr>
      <w:r>
        <w:rPr>
          <w:rFonts w:ascii="Times New Roman" w:cs="Times New Roman" w:eastAsia="Times New Roman" w:hAnsi="Times New Roman"/>
          <w:sz w:val="18"/>
          <w:szCs w:val="18"/>
          <w:color w:val="auto"/>
        </w:rPr>
        <w:t>In June 2020, our Registration Statement on Form S-1 (No. 333-2381146) was declared effective by the SEC pursuant to which we issued and sold an aggregate of 10,350,000 shares of common stock (inclusive of 9,000,000 shares of common stock and 1,350,000 shares of common stock pursuant to the underwriters’ exercise of their over-allotment option) at a public offering price of $16.00 per share for aggregate net cash proceeds of $148.3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183" w:lineRule="exact"/>
        <w:rPr>
          <w:sz w:val="20"/>
          <w:szCs w:val="20"/>
          <w:color w:val="auto"/>
        </w:rPr>
      </w:pPr>
    </w:p>
    <w:p>
      <w:pPr>
        <w:ind w:right="100" w:firstLine="482"/>
        <w:spacing w:after="0" w:line="282" w:lineRule="auto"/>
        <w:rPr>
          <w:sz w:val="20"/>
          <w:szCs w:val="20"/>
          <w:color w:val="auto"/>
        </w:rPr>
      </w:pPr>
      <w:r>
        <w:rPr>
          <w:rFonts w:ascii="Times New Roman" w:cs="Times New Roman" w:eastAsia="Times New Roman" w:hAnsi="Times New Roman"/>
          <w:sz w:val="18"/>
          <w:szCs w:val="18"/>
          <w:color w:val="auto"/>
        </w:rPr>
        <w:t>The sale and issuance of 10,350,000 shares closed on June 5, 2020. Citigroup Global Markets Inc., Cowen and Company, LLC and Piper Sandler &amp; Co. acted as joint book-running managers for the offering.</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initial public offering from that described in the Prospectus.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of Shares of Company Equity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Exhibit 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6920" w:type="dxa"/>
            <w:vAlign w:val="bottom"/>
            <w:gridSpan w:val="12"/>
          </w:tcPr>
          <w:p>
            <w:pPr>
              <w:ind w:left="7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2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520" w:type="dxa"/>
            <w:vAlign w:val="bottom"/>
            <w:gridSpan w:val="11"/>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552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9800" w:type="dxa"/>
            <w:vAlign w:val="bottom"/>
            <w:gridSpan w:val="14"/>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Amended and Restated Certificate of Incorporation of the Registrant, as currently in effect (incorporated by reference to Exhibit 3.1 of</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90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the Registrant’s quarterly report on Form 10-Q (File No. 001-39303) filed on August 11, 2020).</w:t>
              </w:r>
            </w:hyperlink>
          </w:p>
        </w:tc>
        <w:tc>
          <w:tcPr>
            <w:tcW w:w="2780" w:type="dxa"/>
            <w:vAlign w:val="bottom"/>
            <w:tcBorders>
              <w:top w:val="single" w:sz="8" w:color="0000EE"/>
            </w:tcBorders>
            <w:gridSpan w:val="4"/>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9800" w:type="dxa"/>
            <w:vAlign w:val="bottom"/>
            <w:gridSpan w:val="14"/>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Amended and Restated Bylaws of the Registrant, as currently in effect (incorporated by reference to Exhibit 3.2 of the Registrant’s</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quarterly report on Form 10-Q (File No. 001-39303) filed on August 11, 2020).</w:t>
              </w:r>
            </w:hyperlink>
          </w:p>
        </w:tc>
        <w:tc>
          <w:tcPr>
            <w:tcW w:w="3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9800" w:type="dxa"/>
            <w:vAlign w:val="bottom"/>
            <w:gridSpan w:val="14"/>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Specimen Common Stock Certificate (incorporated by reference to Exhibit 4.1 of the Registrant’s Registration Statement on Form S-1,</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8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as amended (File No. 333-238146) filed on May 26, 2020).</w:t>
              </w:r>
            </w:hyperlink>
          </w:p>
        </w:tc>
        <w:tc>
          <w:tcPr>
            <w:tcW w:w="5440" w:type="dxa"/>
            <w:vAlign w:val="bottom"/>
            <w:tcBorders>
              <w:top w:val="single" w:sz="8" w:color="0000EE"/>
            </w:tcBorders>
            <w:gridSpan w:val="9"/>
          </w:tcPr>
          <w:p>
            <w:pPr>
              <w:spacing w:after="0"/>
              <w:rPr>
                <w:sz w:val="17"/>
                <w:szCs w:val="17"/>
                <w:color w:val="auto"/>
              </w:rPr>
            </w:pP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24"/>
                <w:szCs w:val="24"/>
                <w:color w:val="auto"/>
              </w:rPr>
            </w:pPr>
          </w:p>
        </w:tc>
        <w:tc>
          <w:tcPr>
            <w:tcW w:w="9800" w:type="dxa"/>
            <w:vAlign w:val="bottom"/>
            <w:gridSpan w:val="14"/>
          </w:tcPr>
          <w:p>
            <w:pPr>
              <w:spacing w:after="0"/>
              <w:rPr>
                <w:rFonts w:ascii="Times New Roman" w:cs="Times New Roman" w:eastAsia="Times New Roman" w:hAnsi="Times New Roman"/>
                <w:sz w:val="18"/>
                <w:szCs w:val="18"/>
                <w:color w:val="0000EE"/>
              </w:rPr>
            </w:pPr>
            <w:hyperlink w:anchor="page88">
              <w:r>
                <w:rPr>
                  <w:rFonts w:ascii="Times New Roman" w:cs="Times New Roman" w:eastAsia="Times New Roman" w:hAnsi="Times New Roman"/>
                  <w:sz w:val="18"/>
                  <w:szCs w:val="18"/>
                  <w:u w:val="single" w:color="auto"/>
                  <w:color w:val="0000EE"/>
                </w:rPr>
                <w:t>Offer Letter, by and between the Registrant and Mike Ouimette, dated August 17, 2020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29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9800" w:type="dxa"/>
            <w:vAlign w:val="bottom"/>
            <w:gridSpan w:val="14"/>
          </w:tcPr>
          <w:p>
            <w:pPr>
              <w:spacing w:after="0"/>
              <w:rPr>
                <w:rFonts w:ascii="Times New Roman" w:cs="Times New Roman" w:eastAsia="Times New Roman" w:hAnsi="Times New Roman"/>
                <w:sz w:val="18"/>
                <w:szCs w:val="18"/>
                <w:color w:val="0000EE"/>
              </w:rPr>
            </w:pPr>
            <w:hyperlink w:anchor="page92">
              <w:r>
                <w:rPr>
                  <w:rFonts w:ascii="Times New Roman" w:cs="Times New Roman" w:eastAsia="Times New Roman" w:hAnsi="Times New Roman"/>
                  <w:sz w:val="18"/>
                  <w:szCs w:val="18"/>
                  <w:color w:val="0000EE"/>
                </w:rPr>
                <w:t>Certification of Chief Executive Officer required by Rule 13a-14(a) or Rule 15d-14(a) of the Securities Exchange Act of 1934, as</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92">
              <w:r>
                <w:rPr>
                  <w:rFonts w:ascii="Times New Roman" w:cs="Times New Roman" w:eastAsia="Times New Roman" w:hAnsi="Times New Roman"/>
                  <w:sz w:val="18"/>
                  <w:szCs w:val="18"/>
                  <w:color w:val="0000EE"/>
                  <w:w w:val="99"/>
                </w:rPr>
                <w:t>adopted pursuant to Section 302 of the Sarbanes-Oxley Act of 2002.</w:t>
              </w:r>
            </w:hyperlink>
          </w:p>
        </w:tc>
        <w:tc>
          <w:tcPr>
            <w:tcW w:w="4380" w:type="dxa"/>
            <w:vAlign w:val="bottom"/>
            <w:tcBorders>
              <w:top w:val="single" w:sz="8" w:color="0000EE"/>
            </w:tcBorders>
            <w:gridSpan w:val="4"/>
          </w:tcPr>
          <w:p>
            <w:pPr>
              <w:spacing w:after="0"/>
              <w:rPr>
                <w:sz w:val="17"/>
                <w:szCs w:val="17"/>
                <w:color w:val="auto"/>
              </w:rPr>
            </w:pPr>
          </w:p>
        </w:tc>
        <w:tc>
          <w:tcPr>
            <w:tcW w:w="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92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93">
              <w:r>
                <w:rPr>
                  <w:rFonts w:ascii="Times New Roman" w:cs="Times New Roman" w:eastAsia="Times New Roman" w:hAnsi="Times New Roman"/>
                  <w:sz w:val="18"/>
                  <w:szCs w:val="18"/>
                  <w:color w:val="0000EE"/>
                  <w:w w:val="99"/>
                </w:rPr>
                <w:t>Certification of Chief Financial Officer required by Rule 13a-14(a) or Rule 15d-14(a) of the Securities Exchange Act of 1934, as</w:t>
              </w:r>
            </w:hyperlink>
          </w:p>
        </w:tc>
        <w:tc>
          <w:tcPr>
            <w:tcW w:w="5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0" w:type="dxa"/>
            <w:vAlign w:val="bottom"/>
            <w:gridSpan w:val="14"/>
          </w:tcPr>
          <w:p>
            <w:pPr>
              <w:spacing w:after="0" w:line="196" w:lineRule="exact"/>
              <w:rPr>
                <w:rFonts w:ascii="Times New Roman" w:cs="Times New Roman" w:eastAsia="Times New Roman" w:hAnsi="Times New Roman"/>
                <w:sz w:val="18"/>
                <w:szCs w:val="18"/>
                <w:color w:val="0000EE"/>
              </w:rPr>
            </w:pPr>
            <w:hyperlink w:anchor="page93">
              <w:r>
                <w:rPr>
                  <w:rFonts w:ascii="Times New Roman" w:cs="Times New Roman" w:eastAsia="Times New Roman" w:hAnsi="Times New Roman"/>
                  <w:sz w:val="18"/>
                  <w:szCs w:val="18"/>
                  <w:color w:val="0000EE"/>
                </w:rPr>
                <w:t>adopted pursuant to Section 302 of the Sarbanes-Oxley Act of 2002.</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8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9800" w:type="dxa"/>
            <w:vAlign w:val="bottom"/>
            <w:gridSpan w:val="14"/>
          </w:tcPr>
          <w:p>
            <w:pPr>
              <w:spacing w:after="0"/>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Certification of Chief Executive Officer and Chief Financial Officer pursuant to 18 U.S.C. Section 1350, as adopted pursuant to Section</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94">
              <w:r>
                <w:rPr>
                  <w:rFonts w:ascii="Times New Roman" w:cs="Times New Roman" w:eastAsia="Times New Roman" w:hAnsi="Times New Roman"/>
                  <w:sz w:val="18"/>
                  <w:szCs w:val="18"/>
                  <w:color w:val="0000EE"/>
                  <w:w w:val="99"/>
                </w:rPr>
                <w:t>906 of the Sarbanes-Oxley Act of 2002.</w:t>
              </w:r>
            </w:hyperlink>
          </w:p>
        </w:tc>
        <w:tc>
          <w:tcPr>
            <w:tcW w:w="690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98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98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98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0" w:type="dxa"/>
            <w:vAlign w:val="bottom"/>
          </w:tcPr>
          <w:p>
            <w:pPr>
              <w:spacing w:after="0"/>
              <w:rPr>
                <w:sz w:val="1"/>
                <w:szCs w:val="1"/>
                <w:color w:val="auto"/>
              </w:rPr>
            </w:pPr>
          </w:p>
        </w:tc>
      </w:tr>
      <w:tr>
        <w:trPr>
          <w:trHeight w:val="33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98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Definition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98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0" w:type="dxa"/>
            <w:vAlign w:val="bottom"/>
          </w:tcPr>
          <w:p>
            <w:pPr>
              <w:spacing w:after="0"/>
              <w:rPr>
                <w:sz w:val="1"/>
                <w:szCs w:val="1"/>
                <w:color w:val="auto"/>
              </w:rPr>
            </w:pP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98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001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1200150" cy="8890"/>
                    </a:xfrm>
                    <a:prstGeom prst="rect">
                      <a:avLst/>
                    </a:prstGeom>
                    <a:noFill/>
                  </pic:spPr>
                </pic:pic>
              </a:graphicData>
            </a:graphic>
          </wp:anchor>
        </w:drawing>
      </w:r>
    </w:p>
    <w:p>
      <w:pPr>
        <w:spacing w:after="0" w:line="151" w:lineRule="exact"/>
        <w:rPr>
          <w:sz w:val="20"/>
          <w:szCs w:val="20"/>
          <w:color w:val="auto"/>
        </w:rPr>
      </w:pPr>
    </w:p>
    <w:p>
      <w:pPr>
        <w:ind w:left="480" w:hanging="472"/>
        <w:spacing w:after="0"/>
        <w:tabs>
          <w:tab w:leader="none" w:pos="4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80" w:right="20" w:hanging="472"/>
        <w:spacing w:after="0" w:line="250" w:lineRule="auto"/>
        <w:tabs>
          <w:tab w:leader="none" w:pos="4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w:t>
      </w:r>
    </w:p>
    <w:p>
      <w:pPr>
        <w:spacing w:after="0" w:line="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incorporates them by reference</w:t>
      </w:r>
    </w:p>
    <w:p>
      <w:pPr>
        <w:spacing w:after="0" w:line="9" w:lineRule="exact"/>
        <w:rPr>
          <w:sz w:val="20"/>
          <w:szCs w:val="20"/>
          <w:color w:val="auto"/>
        </w:rPr>
      </w:pPr>
    </w:p>
    <w:p>
      <w:pPr>
        <w:ind w:left="480" w:hanging="472"/>
        <w:spacing w:after="0"/>
        <w:tabs>
          <w:tab w:leader="none" w:pos="4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management compensation plan, contract or arrangement.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48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PLIANT THERAPEUTICS, INC.</w:t>
            </w:r>
          </w:p>
        </w:tc>
      </w:tr>
      <w:tr>
        <w:trPr>
          <w:trHeight w:val="432"/>
        </w:trPr>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Bernard Coulie</w:t>
            </w:r>
          </w:p>
        </w:tc>
      </w:tr>
      <w:tr>
        <w:trPr>
          <w:trHeight w:val="191"/>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Bernard Coulie, M.D., Ph.D.</w:t>
            </w:r>
          </w:p>
        </w:tc>
      </w:tr>
      <w:tr>
        <w:trPr>
          <w:trHeight w:val="234"/>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2"/>
        </w:trPr>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Cummings</w:t>
            </w:r>
          </w:p>
        </w:tc>
      </w:tr>
      <w:tr>
        <w:trPr>
          <w:trHeight w:val="191"/>
        </w:trPr>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9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Keith Cummings, M.D., M.B.A.</w:t>
            </w:r>
          </w:p>
        </w:tc>
      </w:tr>
      <w:tr>
        <w:trPr>
          <w:trHeight w:val="234"/>
        </w:trPr>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5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87</w:t>
            </w:r>
          </w:p>
        </w:tc>
        <w:tc>
          <w:tcPr>
            <w:tcW w:w="260" w:type="dxa"/>
            <w:vAlign w:val="bottom"/>
          </w:tcPr>
          <w:p>
            <w:pPr>
              <w:spacing w:after="0"/>
              <w:rPr>
                <w:sz w:val="24"/>
                <w:szCs w:val="24"/>
                <w:color w:val="auto"/>
              </w:rPr>
            </w:pPr>
          </w:p>
        </w:tc>
        <w:tc>
          <w:tcPr>
            <w:tcW w:w="4940" w:type="dxa"/>
            <w:vAlign w:val="bottom"/>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156845</wp:posOffset>
            </wp:positionV>
            <wp:extent cx="1294130" cy="7461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129413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12, 2020</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Mike:</w:t>
      </w:r>
    </w:p>
    <w:p>
      <w:pPr>
        <w:spacing w:after="0" w:line="206"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We are very pleased to offer you the position of General Counsel &amp; Corporate Secretary, at Pliant Therapeutics,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with an employment commencement date by October 1, 2020. This letter outlines certain terms and conditions of your employment with the Company. We would be delighted to answer any questions you may have.</w:t>
      </w:r>
    </w:p>
    <w:p>
      <w:pPr>
        <w:spacing w:after="0" w:line="180" w:lineRule="exact"/>
        <w:rPr>
          <w:sz w:val="20"/>
          <w:szCs w:val="20"/>
          <w:color w:val="auto"/>
        </w:rPr>
      </w:pPr>
    </w:p>
    <w:p>
      <w:pPr>
        <w:jc w:val="both"/>
        <w:ind w:firstLine="864"/>
        <w:spacing w:after="0" w:line="239" w:lineRule="auto"/>
        <w:rPr>
          <w:sz w:val="20"/>
          <w:szCs w:val="20"/>
          <w:color w:val="auto"/>
        </w:rPr>
      </w:pPr>
      <w:r>
        <w:rPr>
          <w:rFonts w:ascii="Times New Roman" w:cs="Times New Roman" w:eastAsia="Times New Roman" w:hAnsi="Times New Roman"/>
          <w:sz w:val="22"/>
          <w:szCs w:val="22"/>
          <w:color w:val="auto"/>
        </w:rPr>
        <w:t>You will report to the Bernard Coulie, President &amp; CEO at Pliant. You agree that you will devote your best efforts and your full business time to the business and affairs of the Company and its subsidiaries, and you will be expected to be present during regular business hours. Your work location will be at the Company’s offices at 260 Littlefield Avenue, South San Francisco, CA 94080. This is a full-time exempt position.</w:t>
      </w:r>
    </w:p>
    <w:p>
      <w:pPr>
        <w:spacing w:after="0" w:line="176" w:lineRule="exact"/>
        <w:rPr>
          <w:sz w:val="20"/>
          <w:szCs w:val="20"/>
          <w:color w:val="auto"/>
        </w:rPr>
      </w:pPr>
    </w:p>
    <w:p>
      <w:pPr>
        <w:jc w:val="both"/>
        <w:ind w:firstLine="864"/>
        <w:spacing w:after="0" w:line="282" w:lineRule="exact"/>
        <w:rPr>
          <w:sz w:val="20"/>
          <w:szCs w:val="20"/>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We are offering you starting compensation at the annual salary of $360,000, less applicable withholdings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deductions. Wages are paid semi</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monthly in accordance with the Company’s normal payroll procedures.</w:t>
      </w:r>
    </w:p>
    <w:p>
      <w:pPr>
        <w:spacing w:after="0" w:line="153" w:lineRule="exact"/>
        <w:rPr>
          <w:sz w:val="20"/>
          <w:szCs w:val="20"/>
          <w:color w:val="auto"/>
        </w:rPr>
      </w:pPr>
    </w:p>
    <w:p>
      <w:pPr>
        <w:jc w:val="both"/>
        <w:ind w:firstLine="864"/>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Annual Cash Incentive Bonus. </w:t>
      </w:r>
      <w:r>
        <w:rPr>
          <w:rFonts w:ascii="Times New Roman" w:cs="Times New Roman" w:eastAsia="Times New Roman" w:hAnsi="Times New Roman"/>
          <w:sz w:val="22"/>
          <w:szCs w:val="22"/>
          <w:color w:val="auto"/>
        </w:rPr>
        <w:t>Beginning with calendar year 2020, you will be eligible to receive an annual cash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bonus based upon the achievement of annual performance goals or objectives established and measured by the Compensation Committee (the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of the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in its sole discretion. You will have a target annual incentive bonus opportunity equal to 35% of your annual base salary, payable in accordance with the Company’s annual cash incentive bonus program, as may be amended from time to time. Actual bonus awards may pay below or above your target opportunity, including a zero payout, based on your and the Company’s achievement of the applicable performance goals or objectives. In order to earn a bonus for any particular calendar year of employment, you must remain employed by the Company through the date the bonus is paid.</w:t>
      </w:r>
    </w:p>
    <w:p>
      <w:pPr>
        <w:spacing w:after="0" w:line="178" w:lineRule="exact"/>
        <w:rPr>
          <w:sz w:val="20"/>
          <w:szCs w:val="20"/>
          <w:color w:val="auto"/>
        </w:rPr>
      </w:pPr>
    </w:p>
    <w:p>
      <w:pPr>
        <w:jc w:val="both"/>
        <w:ind w:firstLine="864"/>
        <w:spacing w:after="0" w:line="251" w:lineRule="exact"/>
        <w:rPr>
          <w:sz w:val="20"/>
          <w:szCs w:val="20"/>
          <w:color w:val="auto"/>
        </w:rPr>
      </w:pPr>
      <w:r>
        <w:rPr>
          <w:rFonts w:ascii="Times New Roman" w:cs="Times New Roman" w:eastAsia="Times New Roman" w:hAnsi="Times New Roman"/>
          <w:sz w:val="22"/>
          <w:szCs w:val="22"/>
          <w:b w:val="1"/>
          <w:bCs w:val="1"/>
          <w:color w:val="auto"/>
        </w:rPr>
        <w:t xml:space="preserve">Incentive Compensation. </w:t>
      </w:r>
      <w:r>
        <w:rPr>
          <w:rFonts w:ascii="Times New Roman" w:cs="Times New Roman" w:eastAsia="Times New Roman" w:hAnsi="Times New Roman"/>
          <w:sz w:val="22"/>
          <w:szCs w:val="22"/>
          <w:color w:val="auto"/>
        </w:rPr>
        <w:t>In addition, if you decide to join the Company, subject to approval by the Board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following the commencement of your employment, you will be granted an option to purchase 108,240 shares of the Company’s Common Stock at an exercise price per share equal to the fair market value per share of such Common Stock on the date of grant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Twenty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five percent (25%) of the shares subject to the Option shall vest on the one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year anniversary of the commencement date of your employment (the “</w:t>
      </w:r>
      <w:r>
        <w:rPr>
          <w:rFonts w:ascii="Times New Roman" w:cs="Times New Roman" w:eastAsia="Times New Roman" w:hAnsi="Times New Roman"/>
          <w:sz w:val="22"/>
          <w:szCs w:val="22"/>
          <w:b w:val="1"/>
          <w:bCs w:val="1"/>
          <w:i w:val="1"/>
          <w:iCs w:val="1"/>
          <w:color w:val="auto"/>
        </w:rPr>
        <w:t>Vesting Commencement Date</w:t>
      </w:r>
      <w:r>
        <w:rPr>
          <w:rFonts w:ascii="Times New Roman" w:cs="Times New Roman" w:eastAsia="Times New Roman" w:hAnsi="Times New Roman"/>
          <w:sz w:val="22"/>
          <w:szCs w:val="22"/>
          <w:color w:val="auto"/>
        </w:rPr>
        <w:t>”), and 1/48</w:t>
      </w:r>
      <w:r>
        <w:rPr>
          <w:rFonts w:ascii="Times New Roman" w:cs="Times New Roman" w:eastAsia="Times New Roman" w:hAnsi="Times New Roman"/>
          <w:sz w:val="18"/>
          <w:szCs w:val="18"/>
          <w:color w:val="auto"/>
        </w:rPr>
        <w:t>th</w:t>
      </w:r>
      <w:r>
        <w:rPr>
          <w:rFonts w:ascii="Times New Roman" w:cs="Times New Roman" w:eastAsia="Times New Roman" w:hAnsi="Times New Roman"/>
          <w:sz w:val="22"/>
          <w:szCs w:val="22"/>
          <w:color w:val="auto"/>
        </w:rPr>
        <w:t xml:space="preserve"> of the shares subject to the Option shall vest each month thereafter on the same day of the month as the Vesting Commencement Date (or if there is no corresponding day, on the last day of such month), subject to your continued service relationship</w:t>
      </w: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1F3864"/>
        </w:rPr>
        <w:t>PLIANT THERAPEUTICS | 260 LITTLEFIELD AVE. | SOUTH SAN FRANCISCO, CA 94080 PLIANTRX.COM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jc w:val="both"/>
        <w:spacing w:after="0" w:line="238" w:lineRule="auto"/>
        <w:rPr>
          <w:sz w:val="20"/>
          <w:szCs w:val="20"/>
          <w:color w:val="auto"/>
        </w:rPr>
      </w:pPr>
      <w:r>
        <w:rPr>
          <w:rFonts w:ascii="Times New Roman" w:cs="Times New Roman" w:eastAsia="Times New Roman" w:hAnsi="Times New Roman"/>
          <w:sz w:val="22"/>
          <w:szCs w:val="22"/>
          <w:color w:val="auto"/>
        </w:rPr>
        <w:t>with the Company through each such date. Your Option shall be subject to the terms and conditions of the Company’s 2020 Stock Option and Incentive Plan, as amended from time to time, and form of stock option agreement thereunder, which you will be required to sign as a condition to receiving the Option. No right to any stock is earned or accrued until such time that Company Common Stock is delivered to you upon the exercise of the Option, nor does the Option confer any right to continue vesting, employment or other service relationship with the Company.</w:t>
      </w:r>
    </w:p>
    <w:p>
      <w:pPr>
        <w:spacing w:after="0" w:line="173" w:lineRule="exact"/>
        <w:rPr>
          <w:sz w:val="20"/>
          <w:szCs w:val="20"/>
          <w:color w:val="auto"/>
        </w:rPr>
      </w:pPr>
    </w:p>
    <w:p>
      <w:pPr>
        <w:jc w:val="both"/>
        <w:ind w:firstLine="864"/>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Employee Benefits. </w:t>
      </w:r>
      <w:r>
        <w:rPr>
          <w:rFonts w:ascii="Times New Roman" w:cs="Times New Roman" w:eastAsia="Times New Roman" w:hAnsi="Times New Roman"/>
          <w:sz w:val="22"/>
          <w:szCs w:val="22"/>
          <w:color w:val="auto"/>
        </w:rPr>
        <w:t>You will be eligible to participate in the Company’s standard employee benefits including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vacation, sick leave, medical, dental, life, 401(k), accidental life and dismemberment, and disability benefits, as in effect at the time of hire. Certain participation costs for our employee benefit programs are borne by our employees. Participation in our employee benefit programs is subject to the terms of the underlying plans and requirements established by the group insurance carriers. The Company reserves the right to discontinue or amend its employee benefits, including group insurance programs, from time to time in its sole discretion. Participation in any benefit program is not to be regarded as assurance of continued employment or other service relationship with the Company for any particular period of time.</w:t>
      </w:r>
    </w:p>
    <w:p>
      <w:pPr>
        <w:spacing w:after="0" w:line="176" w:lineRule="exact"/>
        <w:rPr>
          <w:sz w:val="20"/>
          <w:szCs w:val="20"/>
          <w:color w:val="auto"/>
        </w:rPr>
      </w:pPr>
    </w:p>
    <w:p>
      <w:pPr>
        <w:jc w:val="both"/>
        <w:ind w:firstLine="864"/>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No conflicts. </w:t>
      </w:r>
      <w:r>
        <w:rPr>
          <w:rFonts w:ascii="Times New Roman" w:cs="Times New Roman" w:eastAsia="Times New Roman" w:hAnsi="Times New Roman"/>
          <w:sz w:val="22"/>
          <w:szCs w:val="22"/>
          <w:color w:val="auto"/>
        </w:rPr>
        <w:t>By signing below, you agree that there is no lawful reason to prevent you from accepting a position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We also ask that, if you have not already done so, you disclose to the Company any and all agreements relating to your prior employment that may affect your eligibility to be employed by the Company or limit the manner in which you may be employed by the Company. It is the Company’s understanding that any such agreements will not prevent you from performing the duties of your position with the Company, and you represent that such is the case.</w:t>
      </w:r>
    </w:p>
    <w:p>
      <w:pPr>
        <w:spacing w:after="0" w:line="177" w:lineRule="exact"/>
        <w:rPr>
          <w:sz w:val="20"/>
          <w:szCs w:val="20"/>
          <w:color w:val="auto"/>
        </w:rPr>
      </w:pPr>
    </w:p>
    <w:p>
      <w:pPr>
        <w:jc w:val="both"/>
        <w:ind w:firstLine="864"/>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Company Policies. </w:t>
      </w:r>
      <w:r>
        <w:rPr>
          <w:rFonts w:ascii="Times New Roman" w:cs="Times New Roman" w:eastAsia="Times New Roman" w:hAnsi="Times New Roman"/>
          <w:sz w:val="22"/>
          <w:szCs w:val="22"/>
          <w:color w:val="auto"/>
        </w:rPr>
        <w:t>As a Company employee, you will be expected to abide by the Company’s rules and policies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may change from time to time in accordance with applicable laws. Such policies may include, without limitation, stock ownership guidelines, clawback policies, insider trading policies and policies regarding hedging or pledging of Company Common Stock.</w:t>
      </w:r>
    </w:p>
    <w:p>
      <w:pPr>
        <w:spacing w:after="0" w:line="172" w:lineRule="exact"/>
        <w:rPr>
          <w:sz w:val="20"/>
          <w:szCs w:val="20"/>
          <w:color w:val="auto"/>
        </w:rPr>
      </w:pPr>
    </w:p>
    <w:p>
      <w:pPr>
        <w:jc w:val="both"/>
        <w:ind w:firstLine="864"/>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Confidential Information/Nondisclosure/Nonsolicitation of Employees. </w:t>
      </w:r>
      <w:r>
        <w:rPr>
          <w:rFonts w:ascii="Times New Roman" w:cs="Times New Roman" w:eastAsia="Times New Roman" w:hAnsi="Times New Roman"/>
          <w:sz w:val="22"/>
          <w:szCs w:val="22"/>
          <w:color w:val="auto"/>
        </w:rPr>
        <w:t>As a condition of your employment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Company, you will be required to sign the Company’s Confidential Information and Invention Assignment Agreement, a copy of which is enclosed (the “</w:t>
      </w:r>
      <w:r>
        <w:rPr>
          <w:rFonts w:ascii="Times New Roman" w:cs="Times New Roman" w:eastAsia="Times New Roman" w:hAnsi="Times New Roman"/>
          <w:sz w:val="22"/>
          <w:szCs w:val="22"/>
          <w:b w:val="1"/>
          <w:bCs w:val="1"/>
          <w:i w:val="1"/>
          <w:iCs w:val="1"/>
          <w:color w:val="auto"/>
        </w:rPr>
        <w:t>Confidentiality Agreement</w:t>
      </w:r>
      <w:r>
        <w:rPr>
          <w:rFonts w:ascii="Times New Roman" w:cs="Times New Roman" w:eastAsia="Times New Roman" w:hAnsi="Times New Roman"/>
          <w:sz w:val="22"/>
          <w:szCs w:val="22"/>
          <w:color w:val="auto"/>
        </w:rPr>
        <w:t>”). For the avoidance of doubt, nothing contained in this letter or the Confidentiality Agreement limits your ability to report possible violations of law or regulation to, or file a charge or complaint with any federal, state or local governmental agency or commission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b w:val="1"/>
          <w:bCs w:val="1"/>
          <w:i w:val="1"/>
          <w:iCs w:val="1"/>
          <w:color w:val="auto"/>
        </w:rPr>
        <w:t>Government Agencies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Further, nothing in this letter or the Confidentiality Agreement shall limit your ability under applicable law to (i) disclose in confidence trade secrets to federal, state, and local government officials, or to an attorney, for the sole purpose of reporting or investigating a suspected violation of law, (ii) disclose trade secrets in a document filed in a lawsuit or other proceeding, but only if the filing is made under seal and protected from public disclosure or (iii) communicate with any Government Agencies or otherwise participate in any investigation or proceeding that may be conducted by any Government Agency, including providing documents or other information, without notice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9" w:name="page90"/>
    <w:bookmarkEnd w:id="89"/>
    <w:p>
      <w:pPr>
        <w:jc w:val="both"/>
        <w:ind w:right="20"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Dispute Resolution Arbitration. </w:t>
      </w:r>
      <w:r>
        <w:rPr>
          <w:rFonts w:ascii="Times New Roman" w:cs="Times New Roman" w:eastAsia="Times New Roman" w:hAnsi="Times New Roman"/>
          <w:sz w:val="22"/>
          <w:szCs w:val="22"/>
          <w:color w:val="auto"/>
        </w:rPr>
        <w:t>As a condition of your employment, you must sign the enclosed Mutual Arbitration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which you should carefully review. Also enclosed are the related JAMS Rules.</w:t>
      </w:r>
    </w:p>
    <w:p>
      <w:pPr>
        <w:spacing w:after="0" w:line="133" w:lineRule="exact"/>
        <w:rPr>
          <w:sz w:val="20"/>
          <w:szCs w:val="20"/>
          <w:color w:val="auto"/>
        </w:rPr>
      </w:pPr>
    </w:p>
    <w:p>
      <w:pPr>
        <w:jc w:val="both"/>
        <w:ind w:firstLine="864"/>
        <w:spacing w:after="0" w:line="261" w:lineRule="exact"/>
        <w:rPr>
          <w:sz w:val="20"/>
          <w:szCs w:val="20"/>
          <w:color w:val="auto"/>
        </w:rPr>
      </w:pPr>
      <w:r>
        <w:rPr>
          <w:rFonts w:ascii="Times New Roman" w:cs="Times New Roman" w:eastAsia="Times New Roman" w:hAnsi="Times New Roman"/>
          <w:sz w:val="22"/>
          <w:szCs w:val="22"/>
          <w:b w:val="1"/>
          <w:bCs w:val="1"/>
          <w:color w:val="auto"/>
        </w:rPr>
        <w:t>At</w:t>
      </w:r>
      <w:r>
        <w:rPr>
          <w:rFonts w:ascii="MS PGothic" w:cs="MS PGothic" w:eastAsia="MS PGothic" w:hAnsi="MS PGothic"/>
          <w:sz w:val="22"/>
          <w:szCs w:val="22"/>
          <w:color w:val="auto"/>
          <w:strike w:val="1"/>
        </w:rPr>
        <w:t>‑</w:t>
      </w:r>
      <w:r>
        <w:rPr>
          <w:rFonts w:ascii="Times New Roman" w:cs="Times New Roman" w:eastAsia="Times New Roman" w:hAnsi="Times New Roman"/>
          <w:sz w:val="22"/>
          <w:szCs w:val="22"/>
          <w:b w:val="1"/>
          <w:bCs w:val="1"/>
          <w:color w:val="auto"/>
        </w:rPr>
        <w:t xml:space="preserve">Will Employment. </w:t>
      </w:r>
      <w:r>
        <w:rPr>
          <w:rFonts w:ascii="Times New Roman" w:cs="Times New Roman" w:eastAsia="Times New Roman" w:hAnsi="Times New Roman"/>
          <w:sz w:val="22"/>
          <w:szCs w:val="22"/>
          <w:color w:val="auto"/>
        </w:rPr>
        <w:t>Your employment is at will, which means that either you or the Company can terminate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at any time with or without notice and with or without cause. Nothing in this letter or the Offer Package Documents (as defined below) shall be construed to alter the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will nature of your employment relationship with the Company. In addition, nothing in this letter prohibits the Company from terminating or modifying any of its compensation or benefits programs at any time.</w:t>
      </w:r>
    </w:p>
    <w:p>
      <w:pPr>
        <w:spacing w:after="0" w:line="173" w:lineRule="exact"/>
        <w:rPr>
          <w:sz w:val="20"/>
          <w:szCs w:val="20"/>
          <w:color w:val="auto"/>
        </w:rPr>
      </w:pPr>
    </w:p>
    <w:p>
      <w:pPr>
        <w:jc w:val="both"/>
        <w:ind w:firstLine="864"/>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Conditions to Employment. </w:t>
      </w:r>
      <w:r>
        <w:rPr>
          <w:rFonts w:ascii="Times New Roman" w:cs="Times New Roman" w:eastAsia="Times New Roman" w:hAnsi="Times New Roman"/>
          <w:sz w:val="22"/>
          <w:szCs w:val="22"/>
          <w:color w:val="auto"/>
        </w:rPr>
        <w:t>The Company reserves the right to conduct background investigations and reference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checks on all of its potential employees. Your job offer, therefore, is contingent upon a clearance of such background investigations and reference checks. For purposes of federal immigration law, you are required, as a condition of employment, to provide to the Company documentary evidence of your identity and eligibility for employment in the United States. Such documentation must be provided to us within three (3) business days of your date of hire or our employment relationship with you may be terminated.</w:t>
      </w:r>
    </w:p>
    <w:p>
      <w:pPr>
        <w:spacing w:after="0" w:line="175"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Severability. </w:t>
      </w:r>
      <w:r>
        <w:rPr>
          <w:rFonts w:ascii="Times New Roman" w:cs="Times New Roman" w:eastAsia="Times New Roman" w:hAnsi="Times New Roman"/>
          <w:sz w:val="22"/>
          <w:szCs w:val="22"/>
          <w:color w:val="auto"/>
        </w:rPr>
        <w:t>Should any provision contained in this letter be held as invalid, illegal or unenforceable, such holding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affect the validity of the remainder of this letter, the balance of which shall continue to be binding upon the parties with any such modification to become a part hereof and treated as though originally set forth herein.</w:t>
      </w:r>
    </w:p>
    <w:p>
      <w:pPr>
        <w:spacing w:after="0" w:line="167" w:lineRule="exact"/>
        <w:rPr>
          <w:sz w:val="20"/>
          <w:szCs w:val="20"/>
          <w:color w:val="auto"/>
        </w:rPr>
      </w:pPr>
    </w:p>
    <w:p>
      <w:pPr>
        <w:jc w:val="both"/>
        <w:ind w:right="20" w:firstLine="864"/>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Enclosures. </w:t>
      </w:r>
      <w:r>
        <w:rPr>
          <w:rFonts w:ascii="Times New Roman" w:cs="Times New Roman" w:eastAsia="Times New Roman" w:hAnsi="Times New Roman"/>
          <w:sz w:val="22"/>
          <w:szCs w:val="22"/>
          <w:color w:val="auto"/>
        </w:rPr>
        <w:t>The Confidentiality Agreement and the Mutual Arbitration Agreement are collectively referred to 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Offer Package Documents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firstLine="864"/>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Acceptance of Offer. </w:t>
      </w:r>
      <w:r>
        <w:rPr>
          <w:rFonts w:ascii="Times New Roman" w:cs="Times New Roman" w:eastAsia="Times New Roman" w:hAnsi="Times New Roman"/>
          <w:sz w:val="22"/>
          <w:szCs w:val="22"/>
          <w:color w:val="auto"/>
        </w:rPr>
        <w:t>To accept the Company’s offer of employment, please sign and date this letter in the space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provided below and return it to me no later than seven (7) days after the date of this letter (the “</w:t>
      </w:r>
      <w:r>
        <w:rPr>
          <w:rFonts w:ascii="Times New Roman" w:cs="Times New Roman" w:eastAsia="Times New Roman" w:hAnsi="Times New Roman"/>
          <w:sz w:val="22"/>
          <w:szCs w:val="22"/>
          <w:b w:val="1"/>
          <w:bCs w:val="1"/>
          <w:color w:val="auto"/>
        </w:rPr>
        <w:t>Offer Deadline</w:t>
      </w:r>
      <w:r>
        <w:rPr>
          <w:rFonts w:ascii="Times New Roman" w:cs="Times New Roman" w:eastAsia="Times New Roman" w:hAnsi="Times New Roman"/>
          <w:sz w:val="22"/>
          <w:szCs w:val="22"/>
          <w:color w:val="auto"/>
        </w:rPr>
        <w:t>”) along with the Offer Package Documents. A duplicate original of this letter is enclosed for your records.</w:t>
      </w:r>
    </w:p>
    <w:p>
      <w:pPr>
        <w:spacing w:after="0" w:line="167" w:lineRule="exact"/>
        <w:rPr>
          <w:sz w:val="20"/>
          <w:szCs w:val="20"/>
          <w:color w:val="auto"/>
        </w:rPr>
      </w:pPr>
    </w:p>
    <w:p>
      <w:pPr>
        <w:jc w:val="both"/>
        <w:ind w:firstLine="864"/>
        <w:spacing w:after="0" w:line="255" w:lineRule="exact"/>
        <w:rPr>
          <w:sz w:val="20"/>
          <w:szCs w:val="20"/>
          <w:color w:val="auto"/>
        </w:rPr>
      </w:pPr>
      <w:r>
        <w:rPr>
          <w:rFonts w:ascii="Times New Roman" w:cs="Times New Roman" w:eastAsia="Times New Roman" w:hAnsi="Times New Roman"/>
          <w:sz w:val="22"/>
          <w:szCs w:val="22"/>
          <w:b w:val="1"/>
          <w:bCs w:val="1"/>
          <w:color w:val="auto"/>
        </w:rPr>
        <w:t xml:space="preserve">Entire Agreement. </w:t>
      </w:r>
      <w:r>
        <w:rPr>
          <w:rFonts w:ascii="Times New Roman" w:cs="Times New Roman" w:eastAsia="Times New Roman" w:hAnsi="Times New Roman"/>
          <w:sz w:val="22"/>
          <w:szCs w:val="22"/>
          <w:color w:val="auto"/>
        </w:rPr>
        <w:t>This letter, along with the Offer Package Documents, sets forth the terms of your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and supersedes any prior representations or agreements including, but not limited to, any representations made during your recruitment, interviews or pre</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employment negotiations, whether written or oral. This letter, including, but not limited to, its at</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will employment provision, may not be modified or amended except by a written agreement signed by you and the Company’s Chief Executive Officer. This offer of employment will terminate if it is not accepted, signed and returned by the Offer Deadline.</w:t>
      </w:r>
    </w:p>
    <w:p>
      <w:pPr>
        <w:spacing w:after="0" w:line="1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21"/>
          <w:szCs w:val="21"/>
          <w:color w:val="auto"/>
        </w:rPr>
        <w:t>We are excited by the prospect of your joining our team and our working together to promote you and the Company’s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success.</w:t>
      </w:r>
    </w:p>
    <w:p>
      <w:pPr>
        <w:spacing w:after="0" w:line="18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u w:val="single" w:color="auto"/>
          <w:color w:val="auto"/>
        </w:rPr>
        <w:t>/s/Bernard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4862830</wp:posOffset>
            </wp:positionH>
            <wp:positionV relativeFrom="paragraph">
              <wp:posOffset>-13970</wp:posOffset>
            </wp:positionV>
            <wp:extent cx="20574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ind w:left="5520"/>
        <w:spacing w:after="0"/>
        <w:rPr>
          <w:sz w:val="20"/>
          <w:szCs w:val="20"/>
          <w:color w:val="auto"/>
        </w:rPr>
      </w:pPr>
      <w:r>
        <w:rPr>
          <w:rFonts w:ascii="Times New Roman" w:cs="Times New Roman" w:eastAsia="Times New Roman" w:hAnsi="Times New Roman"/>
          <w:sz w:val="22"/>
          <w:szCs w:val="22"/>
          <w:color w:val="auto"/>
        </w:rPr>
        <w:t>Bernard Coulie, M.D., Ph.D.</w:t>
      </w:r>
    </w:p>
    <w:p>
      <w:pPr>
        <w:ind w:left="552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Agreed to and accepted:</w:t>
      </w:r>
    </w:p>
    <w:p>
      <w:pPr>
        <w:spacing w:after="0" w:line="207"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u w:val="single" w:color="auto"/>
          <w:color w:val="auto"/>
        </w:rPr>
        <w:t>/s/ Mike Ouimette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Printed Name: </w:t>
      </w:r>
      <w:r>
        <w:rPr>
          <w:rFonts w:ascii="Times New Roman" w:cs="Times New Roman" w:eastAsia="Times New Roman" w:hAnsi="Times New Roman"/>
          <w:sz w:val="22"/>
          <w:szCs w:val="22"/>
          <w:u w:val="single" w:color="auto"/>
          <w:color w:val="auto"/>
        </w:rPr>
        <w:t>Mike Ouimette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 </w:t>
      </w:r>
      <w:r>
        <w:rPr>
          <w:rFonts w:ascii="Times New Roman" w:cs="Times New Roman" w:eastAsia="Times New Roman" w:hAnsi="Times New Roman"/>
          <w:sz w:val="22"/>
          <w:szCs w:val="22"/>
          <w:u w:val="single" w:color="auto"/>
          <w:color w:val="auto"/>
        </w:rPr>
        <w:t>8/17/2020</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Enclosures: </w:t>
      </w:r>
      <w:r>
        <w:rPr>
          <w:rFonts w:ascii="Times New Roman" w:cs="Times New Roman" w:eastAsia="Times New Roman" w:hAnsi="Times New Roman"/>
          <w:sz w:val="22"/>
          <w:szCs w:val="22"/>
          <w:color w:val="auto"/>
        </w:rPr>
        <w:t>Confidential Information and Invention Assignment Agreement; Mutual Arbitration Agreement; JAMS Rules;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Severance Document, Executive Severance Letter</w:t>
      </w:r>
    </w:p>
    <w:p>
      <w:pPr>
        <w:sectPr>
          <w:pgSz w:w="11900" w:h="16838" w:orient="portrait"/>
          <w:cols w:equalWidth="0" w:num="1">
            <w:col w:w="10740"/>
          </w:cols>
          <w:pgMar w:left="320" w:top="111" w:right="8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Bernard Coulie, certify that:</w:t>
      </w:r>
    </w:p>
    <w:p>
      <w:pPr>
        <w:spacing w:after="0" w:line="225" w:lineRule="exact"/>
        <w:rPr>
          <w:sz w:val="20"/>
          <w:szCs w:val="20"/>
          <w:color w:val="auto"/>
        </w:rPr>
      </w:pPr>
    </w:p>
    <w:p>
      <w:pPr>
        <w:ind w:left="500" w:hanging="492"/>
        <w:spacing w:after="0"/>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Pliant Therapeutics,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460" w:hanging="492"/>
        <w:spacing w:after="0" w:line="282"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Coulie, M.D.,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Keith Cummings, certify that:</w:t>
      </w:r>
    </w:p>
    <w:p>
      <w:pPr>
        <w:spacing w:after="0" w:line="225" w:lineRule="exact"/>
        <w:rPr>
          <w:sz w:val="20"/>
          <w:szCs w:val="20"/>
          <w:color w:val="auto"/>
        </w:rPr>
      </w:pPr>
    </w:p>
    <w:p>
      <w:pPr>
        <w:ind w:left="500" w:hanging="492"/>
        <w:spacing w:after="0"/>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Pliant Therapeutics,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46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00" w:right="500" w:hanging="493"/>
        <w:spacing w:after="0" w:line="282" w:lineRule="auto"/>
        <w:tabs>
          <w:tab w:leader="none" w:pos="10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00" w:right="20" w:hanging="493"/>
        <w:spacing w:after="0" w:line="266" w:lineRule="auto"/>
        <w:tabs>
          <w:tab w:leader="none" w:pos="10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00" w:right="740" w:hanging="493"/>
        <w:spacing w:after="0" w:line="282" w:lineRule="auto"/>
        <w:tabs>
          <w:tab w:leader="none" w:pos="10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00" w:right="440" w:hanging="493"/>
        <w:spacing w:after="0" w:line="282" w:lineRule="auto"/>
        <w:tabs>
          <w:tab w:leader="none" w:pos="100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Cummings, M.D., MBA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spacing w:after="0" w:line="176" w:lineRule="exact"/>
        <w:rPr>
          <w:sz w:val="20"/>
          <w:szCs w:val="20"/>
          <w:color w:val="auto"/>
        </w:rPr>
      </w:pPr>
    </w:p>
    <w:p>
      <w:pPr>
        <w:ind w:left="500" w:right="20" w:hanging="492"/>
        <w:spacing w:after="0" w:line="282"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2020,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500" w:right="420" w:hanging="492"/>
        <w:spacing w:after="0" w:line="282" w:lineRule="auto"/>
        <w:tabs>
          <w:tab w:leader="none" w:pos="5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10,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Bernard Coulie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Bernard Coulie, M.D., Ph.D.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Keith Cummings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Cummings, M.D., MBA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20" w:lineRule="exact"/>
        <w:rPr>
          <w:sz w:val="20"/>
          <w:szCs w:val="20"/>
          <w:color w:val="auto"/>
        </w:rPr>
      </w:pPr>
    </w:p>
    <w:p>
      <w:pPr>
        <w:jc w:val="both"/>
        <w:ind w:firstLine="444"/>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3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1."/>
      <w:numFmt w:val="decimal"/>
      <w:start w:val="2"/>
    </w:lvl>
  </w:abstractNum>
  <w:abstractNum w:abstractNumId="5">
    <w:nsid w:val="4516DDE9"/>
    <w:multiLevelType w:val="hybridMultilevel"/>
    <w:lvl w:ilvl="0">
      <w:lvlJc w:val="left"/>
      <w:lvlText w:val="(%1)"/>
      <w:numFmt w:val="lowerRoman"/>
      <w:start w:val="3"/>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lowerRoman"/>
      <w:start w:val="4"/>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1)"/>
      <w:numFmt w:val="lowerRoman"/>
      <w:start w:val="2"/>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1)"/>
      <w:numFmt w:val="lowerRoman"/>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
      <w:numFmt w:val="bullet"/>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1)"/>
      <w:numFmt w:val="lowerRoman"/>
      <w:start w:val="1"/>
    </w:lvl>
  </w:abstractNum>
  <w:abstractNum w:abstractNumId="39">
    <w:nsid w:val="749ABB43"/>
    <w:multiLevelType w:val="hybridMultilevel"/>
    <w:lvl w:ilvl="0">
      <w:lvlJc w:val="left"/>
      <w:lvlText w:val="(%1)"/>
      <w:numFmt w:val="lowerRoman"/>
      <w:start w:val="4"/>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
      <w:numFmt w:val="bullet"/>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
      <w:numFmt w:val="bullet"/>
      <w:start w:val="1"/>
    </w:lvl>
  </w:abstractNum>
  <w:abstractNum w:abstractNumId="49">
    <w:nsid w:val="23F9C13C"/>
    <w:multiLevelType w:val="hybridMultilevel"/>
    <w:lvl w:ilvl="0">
      <w:lvlJc w:val="left"/>
      <w:lvlText w:val="•"/>
      <w:numFmt w:val="bullet"/>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jpe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02" Type="http://schemas.openxmlformats.org/officeDocument/2006/relationships/hyperlink" Target="http://www.sec.gov/Archives/edgar/data/1746473/000156459020039327/plrx-ex31_301.htm" TargetMode="External"/><Relationship Id="rId103" Type="http://schemas.openxmlformats.org/officeDocument/2006/relationships/hyperlink" Target="http://www.sec.gov/Archives/edgar/data/1746473/000156459020039327/plrx-ex32_300.htm" TargetMode="External"/><Relationship Id="rId104" Type="http://schemas.openxmlformats.org/officeDocument/2006/relationships/hyperlink" Target="http://www.sec.gov/Archives/edgar/data/1746473/000119312520150643/d72925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2020-11-10T15:35:17Z</dcterms:created>
  <dcterms:modified xsi:type="dcterms:W3CDTF">2020-11-10T15:35:17Z</dcterms:modified>
</cp:coreProperties>
</file>