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054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400" w:lineRule="exact"/>
        <w:rPr>
          <w:sz w:val="24"/>
          <w:szCs w:val="24"/>
          <w:color w:val="auto"/>
        </w:rPr>
      </w:pPr>
    </w:p>
    <w:p>
      <w:pPr>
        <w:ind w:left="820" w:hanging="794"/>
        <w:spacing w:after="0"/>
        <w:tabs>
          <w:tab w:leader="none" w:pos="82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39" w:lineRule="exact"/>
        <w:rPr>
          <w:sz w:val="24"/>
          <w:szCs w:val="24"/>
          <w:color w:val="auto"/>
        </w:rPr>
      </w:pPr>
    </w:p>
    <w:p>
      <w:pPr>
        <w:ind w:left="820" w:hanging="794"/>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9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3947795</wp:posOffset>
            </wp:positionH>
            <wp:positionV relativeFrom="paragraph">
              <wp:posOffset>-7620</wp:posOffset>
            </wp:positionV>
            <wp:extent cx="723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001-39303</w:t>
      </w:r>
    </w:p>
    <w:p>
      <w:pPr>
        <w:spacing w:after="0" w:line="1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PLIANT THERAPEUTICS,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480" w:type="dxa"/>
        <w:tblCellMar>
          <w:top w:w="0" w:type="dxa"/>
          <w:left w:w="0" w:type="dxa"/>
          <w:bottom w:w="0" w:type="dxa"/>
          <w:right w:w="0" w:type="dxa"/>
        </w:tblCellMar>
      </w:tblPr>
      <w:tr>
        <w:trPr>
          <w:trHeight w:val="225"/>
        </w:trPr>
        <w:tc>
          <w:tcPr>
            <w:tcW w:w="438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41"/>
              <w:spacing w:after="0"/>
              <w:rPr>
                <w:sz w:val="20"/>
                <w:szCs w:val="20"/>
                <w:color w:val="auto"/>
              </w:rPr>
            </w:pPr>
            <w:r>
              <w:rPr>
                <w:rFonts w:ascii="Arial" w:cs="Arial" w:eastAsia="Arial" w:hAnsi="Arial"/>
                <w:sz w:val="18"/>
                <w:szCs w:val="18"/>
                <w:b w:val="1"/>
                <w:bCs w:val="1"/>
                <w:color w:val="auto"/>
              </w:rPr>
              <w:t>47-4272481</w:t>
            </w:r>
          </w:p>
        </w:tc>
      </w:tr>
      <w:tr>
        <w:trPr>
          <w:trHeight w:val="186"/>
        </w:trPr>
        <w:tc>
          <w:tcPr>
            <w:tcW w:w="4380" w:type="dxa"/>
            <w:vAlign w:val="bottom"/>
          </w:tcPr>
          <w:p>
            <w:pPr>
              <w:jc w:val="center"/>
              <w:ind w:right="1899"/>
              <w:spacing w:after="0"/>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1"/>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438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jc w:val="center"/>
              <w:ind w:left="194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438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260 Littlefield Avenue</w:t>
            </w:r>
          </w:p>
        </w:tc>
        <w:tc>
          <w:tcPr>
            <w:tcW w:w="3140" w:type="dxa"/>
            <w:vAlign w:val="bottom"/>
          </w:tcPr>
          <w:p>
            <w:pPr>
              <w:spacing w:after="0"/>
              <w:rPr>
                <w:sz w:val="20"/>
                <w:szCs w:val="20"/>
                <w:color w:val="auto"/>
              </w:rPr>
            </w:pPr>
          </w:p>
        </w:tc>
      </w:tr>
      <w:tr>
        <w:trPr>
          <w:trHeight w:val="225"/>
        </w:trPr>
        <w:tc>
          <w:tcPr>
            <w:tcW w:w="4380" w:type="dxa"/>
            <w:vAlign w:val="bottom"/>
          </w:tcPr>
          <w:p>
            <w:pPr>
              <w:jc w:val="center"/>
              <w:ind w:right="1919"/>
              <w:spacing w:after="0"/>
              <w:rPr>
                <w:sz w:val="20"/>
                <w:szCs w:val="20"/>
                <w:color w:val="auto"/>
              </w:rPr>
            </w:pPr>
            <w:r>
              <w:rPr>
                <w:rFonts w:ascii="Arial" w:cs="Arial" w:eastAsia="Arial" w:hAnsi="Arial"/>
                <w:sz w:val="18"/>
                <w:szCs w:val="18"/>
                <w:b w:val="1"/>
                <w:bCs w:val="1"/>
                <w:color w:val="auto"/>
                <w:w w:val="90"/>
              </w:rPr>
              <w:t>South San Francisco, CA</w:t>
            </w:r>
          </w:p>
        </w:tc>
        <w:tc>
          <w:tcPr>
            <w:tcW w:w="314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4380" w:type="dxa"/>
            <w:vAlign w:val="bottom"/>
          </w:tcPr>
          <w:p>
            <w:pPr>
              <w:jc w:val="center"/>
              <w:ind w:right="19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40" w:type="dxa"/>
            <w:vAlign w:val="bottom"/>
          </w:tcPr>
          <w:p>
            <w:pPr>
              <w:jc w:val="center"/>
              <w:ind w:left="1941"/>
              <w:spacing w:after="0"/>
              <w:rPr>
                <w:sz w:val="20"/>
                <w:szCs w:val="20"/>
                <w:color w:val="auto"/>
              </w:rPr>
            </w:pPr>
            <w:r>
              <w:rPr>
                <w:rFonts w:ascii="Arial" w:cs="Arial" w:eastAsia="Arial" w:hAnsi="Arial"/>
                <w:sz w:val="14"/>
                <w:szCs w:val="14"/>
                <w:b w:val="1"/>
                <w:bCs w:val="1"/>
                <w:color w:val="auto"/>
                <w:w w:val="98"/>
              </w:rPr>
              <w:t>(Zip Code)</w:t>
            </w:r>
          </w:p>
        </w:tc>
      </w:tr>
    </w:tbl>
    <w:p>
      <w:pPr>
        <w:spacing w:after="0" w:line="178"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Registrant’s telephone number, including area code: (650) 481-6770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7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Trading</w:t>
            </w:r>
          </w:p>
        </w:tc>
        <w:tc>
          <w:tcPr>
            <w:tcW w:w="4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30"/>
        </w:trPr>
        <w:tc>
          <w:tcPr>
            <w:tcW w:w="47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46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PLRX</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72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25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8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jc w:val="right"/>
        <w:ind w:left="180" w:right="190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5, 2021, the registrant had 36,038,994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54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100" w:type="dxa"/>
            <w:vAlign w:val="bottom"/>
            <w:gridSpan w:val="8"/>
          </w:tcPr>
          <w:p>
            <w:pPr>
              <w:ind w:left="1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00" w:type="dxa"/>
            <w:vAlign w:val="bottom"/>
            <w:gridSpan w:val="2"/>
          </w:tcPr>
          <w:p>
            <w:pPr>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PART I.</w:t>
              </w:r>
            </w:hyperlink>
          </w:p>
        </w:tc>
        <w:tc>
          <w:tcPr>
            <w:tcW w:w="964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INFORMATION</w:t>
              </w:r>
            </w:hyperlink>
          </w:p>
        </w:tc>
        <w:tc>
          <w:tcPr>
            <w:tcW w:w="3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0" w:type="dxa"/>
            <w:vAlign w:val="bottom"/>
            <w:gridSpan w:val="2"/>
          </w:tcPr>
          <w:p>
            <w:pPr>
              <w:spacing w:after="0"/>
              <w:rPr>
                <w:rFonts w:ascii="Arial" w:cs="Arial" w:eastAsia="Arial" w:hAnsi="Arial"/>
                <w:sz w:val="18"/>
                <w:szCs w:val="18"/>
                <w:color w:val="auto"/>
              </w:rPr>
            </w:pPr>
            <w:hyperlink w:anchor="page7">
              <w:r>
                <w:rPr>
                  <w:rFonts w:ascii="Arial" w:cs="Arial" w:eastAsia="Arial" w:hAnsi="Arial"/>
                  <w:sz w:val="18"/>
                  <w:szCs w:val="18"/>
                  <w:color w:val="auto"/>
                </w:rPr>
                <w:t>Item 1.</w:t>
              </w:r>
            </w:hyperlink>
          </w:p>
        </w:tc>
        <w:tc>
          <w:tcPr>
            <w:tcW w:w="964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Financial Statements</w:t>
              </w:r>
            </w:hyperlink>
          </w:p>
        </w:tc>
        <w:tc>
          <w:tcPr>
            <w:tcW w:w="3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Balance Sheets as of September 30, 2021 (Unaudited) and December 31, 2020</w:t>
              </w:r>
            </w:hyperlink>
          </w:p>
        </w:tc>
        <w:tc>
          <w:tcPr>
            <w:tcW w:w="3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gridSpan w:val="18"/>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Condensed Statements of Operations and Comprehensive Loss for the three and nine months ended September 30, 2021 and 2020</w:t>
              </w:r>
            </w:hyperlink>
          </w:p>
        </w:tc>
        <w:tc>
          <w:tcPr>
            <w:tcW w:w="3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(Unaudited)</w:t>
              </w:r>
            </w:hyperlink>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gridSpan w:val="18"/>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Condensed Statements of Redeemable Convertible Preferred Stock and Stockholders’ Equity (Deficit) for the three and nine months</w:t>
              </w:r>
            </w:hyperlink>
          </w:p>
        </w:tc>
        <w:tc>
          <w:tcPr>
            <w:tcW w:w="3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8"/>
              </w:rPr>
            </w:pPr>
            <w:hyperlink w:anchor="page8">
              <w:r>
                <w:rPr>
                  <w:rFonts w:ascii="Arial" w:cs="Arial" w:eastAsia="Arial" w:hAnsi="Arial"/>
                  <w:sz w:val="18"/>
                  <w:szCs w:val="18"/>
                  <w:color w:val="0000FF"/>
                  <w:w w:val="88"/>
                </w:rPr>
                <w:t>ended September 30, 2021 and 2020 (Unaudited)</w:t>
              </w:r>
            </w:hyperlink>
          </w:p>
        </w:tc>
        <w:tc>
          <w:tcPr>
            <w:tcW w:w="5980" w:type="dxa"/>
            <w:vAlign w:val="bottom"/>
            <w:tcBorders>
              <w:top w:val="single" w:sz="8" w:color="0000FF"/>
            </w:tcBorders>
            <w:gridSpan w:val="7"/>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gridSpan w:val="18"/>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Statements of Cash Flows for the nine months ended September 30, 2021 and 2020 (Unaudited)</w:t>
              </w:r>
            </w:hyperlink>
          </w:p>
        </w:tc>
        <w:tc>
          <w:tcPr>
            <w:tcW w:w="32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40" w:type="dxa"/>
            <w:vAlign w:val="bottom"/>
            <w:tcBorders>
              <w:top w:val="single" w:sz="8" w:color="0000FF"/>
            </w:tcBorders>
            <w:gridSpan w:val="15"/>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Financial Statements (Unaudited)</w:t>
              </w:r>
            </w:hyperlink>
          </w:p>
        </w:tc>
        <w:tc>
          <w:tcPr>
            <w:tcW w:w="1900" w:type="dxa"/>
            <w:vAlign w:val="bottom"/>
            <w:gridSpan w:val="3"/>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648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3160" w:type="dxa"/>
            <w:vAlign w:val="bottom"/>
            <w:gridSpan w:val="4"/>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3.</w:t>
              </w:r>
            </w:hyperlink>
          </w:p>
        </w:tc>
        <w:tc>
          <w:tcPr>
            <w:tcW w:w="43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Quantitative and Qualitative Disclosures About Market Risk</w:t>
              </w:r>
            </w:hyperlink>
          </w:p>
        </w:tc>
        <w:tc>
          <w:tcPr>
            <w:tcW w:w="5280" w:type="dxa"/>
            <w:vAlign w:val="bottom"/>
            <w:gridSpan w:val="5"/>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4.</w:t>
              </w:r>
            </w:hyperlink>
          </w:p>
        </w:tc>
        <w:tc>
          <w:tcPr>
            <w:tcW w:w="964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3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PART II.</w:t>
              </w:r>
            </w:hyperlink>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31">
              <w:r>
                <w:rPr>
                  <w:rFonts w:ascii="Arial" w:cs="Arial" w:eastAsia="Arial" w:hAnsi="Arial"/>
                  <w:sz w:val="18"/>
                  <w:szCs w:val="18"/>
                  <w:color w:val="0000FF"/>
                  <w:w w:val="95"/>
                </w:rPr>
                <w:t>OTHER INFORMATION</w:t>
              </w:r>
            </w:hyperlink>
          </w:p>
        </w:tc>
        <w:tc>
          <w:tcPr>
            <w:tcW w:w="7760" w:type="dxa"/>
            <w:vAlign w:val="bottom"/>
            <w:gridSpan w:val="11"/>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371"/>
        </w:trPr>
        <w:tc>
          <w:tcPr>
            <w:tcW w:w="1200" w:type="dxa"/>
            <w:vAlign w:val="bottom"/>
            <w:gridSpan w:val="2"/>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w:t>
              </w:r>
            </w:hyperlink>
          </w:p>
        </w:tc>
        <w:tc>
          <w:tcPr>
            <w:tcW w:w="964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3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8320" w:type="dxa"/>
            <w:vAlign w:val="bottom"/>
            <w:gridSpan w:val="13"/>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auto"/>
              </w:rPr>
            </w:pPr>
            <w:hyperlink w:anchor="page84">
              <w:r>
                <w:rPr>
                  <w:rFonts w:ascii="Arial" w:cs="Arial" w:eastAsia="Arial" w:hAnsi="Arial"/>
                  <w:sz w:val="18"/>
                  <w:szCs w:val="18"/>
                  <w:color w:val="auto"/>
                </w:rPr>
                <w:t>Item 2.</w:t>
              </w:r>
            </w:hyperlink>
          </w:p>
        </w:tc>
        <w:tc>
          <w:tcPr>
            <w:tcW w:w="9640" w:type="dxa"/>
            <w:vAlign w:val="bottom"/>
            <w:gridSpan w:val="18"/>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Unregistered Sales of Equity Securities and Use of Proceeds</w:t>
              </w:r>
            </w:hyperlink>
          </w:p>
        </w:tc>
        <w:tc>
          <w:tcPr>
            <w:tcW w:w="32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84">
              <w:r>
                <w:rPr>
                  <w:rFonts w:ascii="Arial" w:cs="Arial" w:eastAsia="Arial" w:hAnsi="Arial"/>
                  <w:sz w:val="18"/>
                  <w:szCs w:val="18"/>
                  <w:color w:val="auto"/>
                </w:rPr>
                <w:t>Item 3.</w:t>
              </w:r>
            </w:hyperlink>
          </w:p>
        </w:tc>
        <w:tc>
          <w:tcPr>
            <w:tcW w:w="23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0"/>
              </w:rPr>
            </w:pPr>
            <w:hyperlink w:anchor="page84">
              <w:r>
                <w:rPr>
                  <w:rFonts w:ascii="Arial" w:cs="Arial" w:eastAsia="Arial" w:hAnsi="Arial"/>
                  <w:sz w:val="18"/>
                  <w:szCs w:val="18"/>
                  <w:color w:val="0000FF"/>
                  <w:w w:val="90"/>
                </w:rPr>
                <w:t>Defaults Upon Senior Securities</w:t>
              </w:r>
            </w:hyperlink>
          </w:p>
        </w:tc>
        <w:tc>
          <w:tcPr>
            <w:tcW w:w="2000" w:type="dxa"/>
            <w:vAlign w:val="bottom"/>
            <w:tcBorders>
              <w:top w:val="single" w:sz="8" w:color="0000FF"/>
            </w:tcBorders>
            <w:gridSpan w:val="3"/>
          </w:tcPr>
          <w:p>
            <w:pPr>
              <w:spacing w:after="0"/>
              <w:rPr>
                <w:sz w:val="18"/>
                <w:szCs w:val="18"/>
                <w:color w:val="auto"/>
              </w:rPr>
            </w:pPr>
          </w:p>
        </w:tc>
        <w:tc>
          <w:tcPr>
            <w:tcW w:w="5300" w:type="dxa"/>
            <w:vAlign w:val="bottom"/>
            <w:gridSpan w:val="6"/>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84">
              <w:r>
                <w:rPr>
                  <w:rFonts w:ascii="Arial" w:cs="Arial" w:eastAsia="Arial" w:hAnsi="Arial"/>
                  <w:sz w:val="18"/>
                  <w:szCs w:val="18"/>
                  <w:color w:val="auto"/>
                </w:rPr>
                <w:t>Item 4.</w:t>
              </w:r>
            </w:hyperlink>
          </w:p>
        </w:tc>
        <w:tc>
          <w:tcPr>
            <w:tcW w:w="9640" w:type="dxa"/>
            <w:vAlign w:val="bottom"/>
            <w:gridSpan w:val="18"/>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Mine Safety Disclosures</w:t>
              </w:r>
            </w:hyperlink>
          </w:p>
        </w:tc>
        <w:tc>
          <w:tcPr>
            <w:tcW w:w="32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auto"/>
              </w:rPr>
            </w:pPr>
            <w:hyperlink w:anchor="page84">
              <w:r>
                <w:rPr>
                  <w:rFonts w:ascii="Arial" w:cs="Arial" w:eastAsia="Arial" w:hAnsi="Arial"/>
                  <w:sz w:val="18"/>
                  <w:szCs w:val="18"/>
                  <w:color w:val="auto"/>
                </w:rPr>
                <w:t>Item 5.</w:t>
              </w:r>
            </w:hyperlink>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Other Information</w:t>
              </w:r>
            </w:hyperlink>
          </w:p>
        </w:tc>
        <w:tc>
          <w:tcPr>
            <w:tcW w:w="7880" w:type="dxa"/>
            <w:vAlign w:val="bottom"/>
            <w:gridSpan w:val="12"/>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84">
              <w:r>
                <w:rPr>
                  <w:rFonts w:ascii="Arial" w:cs="Arial" w:eastAsia="Arial" w:hAnsi="Arial"/>
                  <w:sz w:val="18"/>
                  <w:szCs w:val="18"/>
                  <w:color w:val="auto"/>
                </w:rPr>
                <w:t>Item 6.</w:t>
              </w:r>
            </w:hyperlink>
          </w:p>
        </w:tc>
        <w:tc>
          <w:tcPr>
            <w:tcW w:w="1300" w:type="dxa"/>
            <w:vAlign w:val="bottom"/>
            <w:tcBorders>
              <w:top w:val="single" w:sz="8" w:color="0000FF"/>
            </w:tcBorders>
            <w:gridSpan w:val="4"/>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Exhibits</w:t>
              </w:r>
            </w:hyperlink>
          </w:p>
        </w:tc>
        <w:tc>
          <w:tcPr>
            <w:tcW w:w="8340" w:type="dxa"/>
            <w:vAlign w:val="bottom"/>
            <w:gridSpan w:val="14"/>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85</w:t>
              </w:r>
            </w:hyperlink>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891"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 w:lineRule="exact"/>
        <w:rPr>
          <w:sz w:val="20"/>
          <w:szCs w:val="20"/>
          <w:color w:val="auto"/>
        </w:rPr>
      </w:pPr>
    </w:p>
    <w:p>
      <w:pPr>
        <w:ind w:right="60" w:firstLine="1134"/>
        <w:spacing w:after="0" w:line="268" w:lineRule="auto"/>
        <w:rPr>
          <w:sz w:val="20"/>
          <w:szCs w:val="20"/>
          <w:color w:val="auto"/>
        </w:rPr>
      </w:pPr>
      <w:r>
        <w:rPr>
          <w:rFonts w:ascii="Arial" w:cs="Arial" w:eastAsia="Arial" w:hAnsi="Arial"/>
          <w:sz w:val="17"/>
          <w:szCs w:val="17"/>
          <w:color w:val="auto"/>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spacing w:after="0" w:line="75" w:lineRule="exact"/>
        <w:rPr>
          <w:sz w:val="20"/>
          <w:szCs w:val="20"/>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2280" w:right="80" w:hanging="1138"/>
        <w:spacing w:after="0" w:line="277" w:lineRule="auto"/>
        <w:tabs>
          <w:tab w:leader="none" w:pos="138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of our lead product candidate, PLN-74809, as well as PLN-1474 and our other product candidates;</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the impact of the COVID-19 pandemic on our business and operations, and our ability to manage such impacts;</w:t>
      </w:r>
    </w:p>
    <w:p>
      <w:pPr>
        <w:spacing w:after="0" w:line="140" w:lineRule="exact"/>
        <w:rPr>
          <w:rFonts w:ascii="Arial" w:cs="Arial" w:eastAsia="Arial" w:hAnsi="Arial"/>
          <w:sz w:val="16"/>
          <w:szCs w:val="16"/>
          <w:color w:val="auto"/>
        </w:rPr>
      </w:pPr>
    </w:p>
    <w:p>
      <w:pPr>
        <w:ind w:left="228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our current or future collaborators plans to initiate, recruit and enroll patients in, and conduct our clinical trials at the pace that we project;</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to obtain and maintain regulatory approvals of our product candidates;</w:t>
      </w:r>
    </w:p>
    <w:p>
      <w:pPr>
        <w:spacing w:after="0" w:line="117" w:lineRule="exact"/>
        <w:rPr>
          <w:rFonts w:ascii="Arial" w:cs="Arial" w:eastAsia="Arial" w:hAnsi="Arial"/>
          <w:sz w:val="18"/>
          <w:szCs w:val="18"/>
          <w:color w:val="auto"/>
        </w:rPr>
      </w:pPr>
    </w:p>
    <w:p>
      <w:pPr>
        <w:ind w:left="2280" w:right="34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to obtain funding for our operations, including funding necessary to complete further development and, upon successful development, if approved, commercialize any of our product candidates;</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 of orphan drug designations for PLN-74809;</w:t>
      </w:r>
    </w:p>
    <w:p>
      <w:pPr>
        <w:spacing w:after="0" w:line="117"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companies currently marketing or engaged in the development of treatments for fibrosis;</w:t>
      </w:r>
    </w:p>
    <w:p>
      <w:pPr>
        <w:spacing w:after="0" w:line="117" w:lineRule="exact"/>
        <w:rPr>
          <w:rFonts w:ascii="Arial" w:cs="Arial" w:eastAsia="Arial" w:hAnsi="Arial"/>
          <w:sz w:val="18"/>
          <w:szCs w:val="18"/>
          <w:color w:val="auto"/>
        </w:rPr>
      </w:pPr>
    </w:p>
    <w:p>
      <w:pPr>
        <w:ind w:left="2280" w:right="14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regarding obtaining and maintaining intellectual property protection for our product candidates and the duration of such protection;</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the manufacture of our product candidates for clinical trials and for commercial use, if approved;</w:t>
      </w:r>
    </w:p>
    <w:p>
      <w:pPr>
        <w:spacing w:after="0" w:line="128" w:lineRule="exact"/>
        <w:rPr>
          <w:rFonts w:ascii="Arial" w:cs="Arial" w:eastAsia="Arial" w:hAnsi="Arial"/>
          <w:sz w:val="17"/>
          <w:szCs w:val="17"/>
          <w:color w:val="auto"/>
        </w:rPr>
      </w:pPr>
    </w:p>
    <w:p>
      <w:pPr>
        <w:ind w:left="2280" w:right="40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current and future collaborators for developing, obtaining regulatory approval for and commercializing product candidates in the collaboration;</w:t>
      </w:r>
    </w:p>
    <w:p>
      <w:pPr>
        <w:spacing w:after="0" w:line="62" w:lineRule="exact"/>
        <w:rPr>
          <w:rFonts w:ascii="Arial" w:cs="Arial" w:eastAsia="Arial" w:hAnsi="Arial"/>
          <w:sz w:val="18"/>
          <w:szCs w:val="18"/>
          <w:color w:val="auto"/>
        </w:rPr>
      </w:pPr>
    </w:p>
    <w:p>
      <w:pPr>
        <w:ind w:left="2280" w:right="16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receipt and timing of any milestone payments or royalties under any current of future research collaboration or license agreements or arrangements;</w:t>
      </w:r>
    </w:p>
    <w:p>
      <w:pPr>
        <w:spacing w:after="0" w:line="62" w:lineRule="exact"/>
        <w:rPr>
          <w:rFonts w:ascii="Arial" w:cs="Arial" w:eastAsia="Arial" w:hAnsi="Arial"/>
          <w:sz w:val="18"/>
          <w:szCs w:val="18"/>
          <w:color w:val="auto"/>
        </w:rPr>
      </w:pPr>
    </w:p>
    <w:p>
      <w:pPr>
        <w:ind w:left="2280" w:right="40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regarding the commercialization of any products that are approved for marketing and our ability to establish adequate pricing in the U.S. and international markets;</w:t>
      </w:r>
    </w:p>
    <w:p>
      <w:pPr>
        <w:spacing w:after="0" w:line="62" w:lineRule="exact"/>
        <w:rPr>
          <w:rFonts w:ascii="Arial" w:cs="Arial" w:eastAsia="Arial" w:hAnsi="Arial"/>
          <w:sz w:val="18"/>
          <w:szCs w:val="18"/>
          <w:color w:val="auto"/>
        </w:rPr>
      </w:pPr>
    </w:p>
    <w:p>
      <w:pPr>
        <w:ind w:left="2280" w:right="600" w:hanging="1138"/>
        <w:spacing w:after="0" w:line="277" w:lineRule="auto"/>
        <w:tabs>
          <w:tab w:leader="none" w:pos="138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 either alone or in combination with others;</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w:t>
      </w:r>
    </w:p>
    <w:p>
      <w:pPr>
        <w:spacing w:after="0" w:line="117"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government and third-party payor coverage and reimbursement.</w:t>
      </w:r>
    </w:p>
    <w:p>
      <w:pPr>
        <w:spacing w:after="0" w:line="117" w:lineRule="exact"/>
        <w:rPr>
          <w:sz w:val="20"/>
          <w:szCs w:val="20"/>
          <w:color w:val="auto"/>
        </w:rPr>
      </w:pPr>
    </w:p>
    <w:p>
      <w:pPr>
        <w:ind w:right="80" w:firstLine="1134"/>
        <w:spacing w:after="0" w:line="293" w:lineRule="auto"/>
        <w:rPr>
          <w:sz w:val="20"/>
          <w:szCs w:val="20"/>
          <w:color w:val="auto"/>
        </w:rPr>
      </w:pPr>
      <w:r>
        <w:rPr>
          <w:rFonts w:ascii="Arial" w:cs="Arial" w:eastAsia="Arial" w:hAnsi="Arial"/>
          <w:sz w:val="16"/>
          <w:szCs w:val="16"/>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27" w:lineRule="exact"/>
        <w:rPr>
          <w:sz w:val="20"/>
          <w:szCs w:val="20"/>
          <w:color w:val="auto"/>
        </w:rPr>
      </w:pPr>
    </w:p>
    <w:p>
      <w:pPr>
        <w:ind w:right="40" w:firstLine="1134"/>
        <w:spacing w:after="0" w:line="268" w:lineRule="auto"/>
        <w:rPr>
          <w:sz w:val="20"/>
          <w:szCs w:val="20"/>
          <w:color w:val="auto"/>
        </w:rPr>
      </w:pPr>
      <w:r>
        <w:rPr>
          <w:rFonts w:ascii="Arial" w:cs="Arial" w:eastAsia="Arial" w:hAnsi="Arial"/>
          <w:sz w:val="17"/>
          <w:szCs w:val="17"/>
          <w:color w:val="auto"/>
        </w:rPr>
        <w:t>Our business involves significant risks, some of which are summarized below. The summary risk factors listed below should be read together with the text of the full risk factors discussed in "Part II,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Financial Position and Need for Additional Capital</w:t>
      </w:r>
    </w:p>
    <w:p>
      <w:pPr>
        <w:spacing w:after="0" w:line="117" w:lineRule="exact"/>
        <w:rPr>
          <w:sz w:val="20"/>
          <w:szCs w:val="20"/>
          <w:color w:val="auto"/>
        </w:rPr>
      </w:pPr>
    </w:p>
    <w:p>
      <w:pPr>
        <w:ind w:left="2280" w:right="400" w:hanging="1138"/>
        <w:spacing w:after="0" w:line="277" w:lineRule="auto"/>
        <w:tabs>
          <w:tab w:leader="none" w:pos="138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net losses since inception, and we expect to continue to incur significant net losses for the foreseeable future.</w:t>
      </w:r>
    </w:p>
    <w:p>
      <w:pPr>
        <w:spacing w:after="0" w:line="62" w:lineRule="exact"/>
        <w:rPr>
          <w:rFonts w:ascii="Arial" w:cs="Arial" w:eastAsia="Arial" w:hAnsi="Arial"/>
          <w:sz w:val="18"/>
          <w:szCs w:val="18"/>
          <w:color w:val="auto"/>
        </w:rPr>
      </w:pPr>
    </w:p>
    <w:p>
      <w:pPr>
        <w:ind w:left="2280" w:right="280" w:hanging="1138"/>
        <w:spacing w:after="0" w:line="263" w:lineRule="auto"/>
        <w:tabs>
          <w:tab w:leader="none" w:pos="138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Research and Development and the Biopharmaceutical Industry</w:t>
      </w:r>
    </w:p>
    <w:p>
      <w:pPr>
        <w:spacing w:after="0" w:line="117" w:lineRule="exact"/>
        <w:rPr>
          <w:sz w:val="20"/>
          <w:szCs w:val="20"/>
          <w:color w:val="auto"/>
        </w:rPr>
      </w:pPr>
    </w:p>
    <w:p>
      <w:pPr>
        <w:ind w:left="1380" w:hanging="238"/>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our prospects and likelihood of success.</w:t>
      </w:r>
    </w:p>
    <w:p>
      <w:pPr>
        <w:spacing w:after="0" w:line="117" w:lineRule="exact"/>
        <w:rPr>
          <w:rFonts w:ascii="Arial" w:cs="Arial" w:eastAsia="Arial" w:hAnsi="Arial"/>
          <w:sz w:val="18"/>
          <w:szCs w:val="18"/>
          <w:color w:val="auto"/>
        </w:rPr>
      </w:pPr>
    </w:p>
    <w:p>
      <w:pPr>
        <w:ind w:left="2280" w:right="60" w:hanging="1138"/>
        <w:spacing w:after="0" w:line="311" w:lineRule="auto"/>
        <w:tabs>
          <w:tab w:leader="none" w:pos="138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40" w:lineRule="exact"/>
        <w:rPr>
          <w:rFonts w:ascii="Arial" w:cs="Arial" w:eastAsia="Arial" w:hAnsi="Arial"/>
          <w:sz w:val="16"/>
          <w:szCs w:val="16"/>
          <w:color w:val="auto"/>
        </w:rPr>
      </w:pPr>
    </w:p>
    <w:p>
      <w:pPr>
        <w:ind w:left="2280" w:right="720" w:hanging="1138"/>
        <w:spacing w:after="0" w:line="277" w:lineRule="auto"/>
        <w:tabs>
          <w:tab w:leader="none" w:pos="2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approach to drug discovery and development in the area of fibrotic diseases is unproven and may not result in marketable products.</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development involves a lengthy, complex, and expensive process, with an uncertain outcome.</w:t>
      </w:r>
    </w:p>
    <w:p>
      <w:pPr>
        <w:spacing w:after="0" w:line="117" w:lineRule="exact"/>
        <w:rPr>
          <w:rFonts w:ascii="Arial" w:cs="Arial" w:eastAsia="Arial" w:hAnsi="Arial"/>
          <w:sz w:val="18"/>
          <w:szCs w:val="18"/>
          <w:color w:val="auto"/>
        </w:rPr>
      </w:pPr>
    </w:p>
    <w:p>
      <w:pPr>
        <w:ind w:left="2280" w:right="860" w:hanging="1138"/>
        <w:spacing w:after="0" w:line="277" w:lineRule="auto"/>
        <w:tabs>
          <w:tab w:leader="none" w:pos="1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PLN-74809 or any other product candidates.</w:t>
      </w:r>
    </w:p>
    <w:p>
      <w:pPr>
        <w:spacing w:after="0" w:line="62" w:lineRule="exact"/>
        <w:rPr>
          <w:rFonts w:ascii="Arial" w:cs="Arial" w:eastAsia="Arial" w:hAnsi="Arial"/>
          <w:sz w:val="18"/>
          <w:szCs w:val="18"/>
          <w:color w:val="auto"/>
        </w:rPr>
      </w:pPr>
    </w:p>
    <w:p>
      <w:pPr>
        <w:ind w:left="2280" w:right="20" w:hanging="1138"/>
        <w:spacing w:after="0" w:line="277" w:lineRule="auto"/>
        <w:tabs>
          <w:tab w:leader="none" w:pos="2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obtain and maintain orphan designations in some jurisdictions and therefore fail to secure orphan exclusivity in those jurisdictions.</w:t>
      </w:r>
    </w:p>
    <w:p>
      <w:pPr>
        <w:spacing w:after="0" w:line="62" w:lineRule="exact"/>
        <w:rPr>
          <w:rFonts w:ascii="Arial" w:cs="Arial" w:eastAsia="Arial" w:hAnsi="Arial"/>
          <w:sz w:val="18"/>
          <w:szCs w:val="18"/>
          <w:color w:val="auto"/>
        </w:rPr>
      </w:pPr>
    </w:p>
    <w:p>
      <w:pPr>
        <w:ind w:left="2280" w:hanging="1138"/>
        <w:spacing w:after="0" w:line="263" w:lineRule="auto"/>
        <w:tabs>
          <w:tab w:leader="none" w:pos="2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75" w:lineRule="exact"/>
        <w:rPr>
          <w:rFonts w:ascii="Arial" w:cs="Arial" w:eastAsia="Arial" w:hAnsi="Arial"/>
          <w:sz w:val="18"/>
          <w:szCs w:val="18"/>
          <w:color w:val="auto"/>
        </w:rPr>
      </w:pPr>
    </w:p>
    <w:p>
      <w:pPr>
        <w:ind w:left="2280" w:right="360" w:hanging="1138"/>
        <w:spacing w:after="0" w:line="277" w:lineRule="auto"/>
        <w:tabs>
          <w:tab w:leader="none" w:pos="1389"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spacing w:after="0" w:line="62" w:lineRule="exact"/>
        <w:rPr>
          <w:rFonts w:ascii="Arial" w:cs="Arial" w:eastAsia="Arial" w:hAnsi="Arial"/>
          <w:sz w:val="18"/>
          <w:szCs w:val="18"/>
          <w:color w:val="auto"/>
        </w:rPr>
      </w:pPr>
    </w:p>
    <w:p>
      <w:pPr>
        <w:ind w:left="2280" w:right="500" w:hanging="1138"/>
        <w:spacing w:after="0" w:line="277" w:lineRule="auto"/>
        <w:tabs>
          <w:tab w:leader="none" w:pos="1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117" w:lineRule="exact"/>
        <w:rPr>
          <w:sz w:val="20"/>
          <w:szCs w:val="20"/>
          <w:color w:val="auto"/>
        </w:rPr>
      </w:pPr>
    </w:p>
    <w:p>
      <w:pPr>
        <w:ind w:left="2280" w:right="380" w:hanging="1138"/>
        <w:spacing w:after="0" w:line="342" w:lineRule="auto"/>
        <w:tabs>
          <w:tab w:leader="none" w:pos="138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success depends in part on our ability to obtain patent term extensions and to protect our intellectual property. It is difficult and costly to protect our proprietary rights and technology, and we may not be able to ensure their protection.</w:t>
      </w:r>
    </w:p>
    <w:p>
      <w:pPr>
        <w:spacing w:after="0" w:line="15" w:lineRule="exact"/>
        <w:rPr>
          <w:rFonts w:ascii="Arial" w:cs="Arial" w:eastAsia="Arial" w:hAnsi="Arial"/>
          <w:sz w:val="16"/>
          <w:szCs w:val="16"/>
          <w:color w:val="auto"/>
        </w:rPr>
      </w:pPr>
    </w:p>
    <w:p>
      <w:pPr>
        <w:ind w:left="2280" w:right="220" w:hanging="1138"/>
        <w:spacing w:after="0" w:line="263" w:lineRule="auto"/>
        <w:tabs>
          <w:tab w:leader="none" w:pos="138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Reliance on Third Parties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 w:name="page6"/>
    <w:bookmarkEnd w:id="5"/>
    <w:p>
      <w:pPr>
        <w:ind w:left="2280" w:hanging="1138"/>
        <w:spacing w:after="0" w:line="296" w:lineRule="auto"/>
        <w:tabs>
          <w:tab w:leader="none" w:pos="1386"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entered into a collaboration agreement with Novartis Institutes for Biomedical Research, Inc., or Novartis, for the development of PLN-1474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53" w:lineRule="exact"/>
        <w:rPr>
          <w:rFonts w:ascii="Arial" w:cs="Arial" w:eastAsia="Arial" w:hAnsi="Arial"/>
          <w:sz w:val="16"/>
          <w:szCs w:val="16"/>
          <w:color w:val="auto"/>
        </w:rPr>
      </w:pPr>
    </w:p>
    <w:p>
      <w:pPr>
        <w:ind w:left="2280" w:right="40" w:hanging="1138"/>
        <w:spacing w:after="0" w:line="277" w:lineRule="auto"/>
        <w:tabs>
          <w:tab w:leader="none" w:pos="138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 parties to conduct certain aspects of our preclinical studies and clinical trials and for tissue samples and other materials required for our research and development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Managing Our Business and Operations</w:t>
      </w:r>
    </w:p>
    <w:p>
      <w:pPr>
        <w:spacing w:after="0" w:line="117" w:lineRule="exact"/>
        <w:rPr>
          <w:sz w:val="20"/>
          <w:szCs w:val="20"/>
          <w:color w:val="auto"/>
        </w:rPr>
      </w:pPr>
    </w:p>
    <w:p>
      <w:pPr>
        <w:ind w:left="2280" w:right="200" w:hanging="1138"/>
        <w:spacing w:after="0" w:line="277" w:lineRule="auto"/>
        <w:tabs>
          <w:tab w:leader="none" w:pos="138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could adversely impact our business, including our preclinical studies and clinical trials.</w:t>
      </w:r>
    </w:p>
    <w:p>
      <w:pPr>
        <w:spacing w:after="0" w:line="62" w:lineRule="exact"/>
        <w:rPr>
          <w:rFonts w:ascii="Arial" w:cs="Arial" w:eastAsia="Arial" w:hAnsi="Arial"/>
          <w:sz w:val="18"/>
          <w:szCs w:val="18"/>
          <w:color w:val="auto"/>
        </w:rPr>
      </w:pPr>
    </w:p>
    <w:p>
      <w:pPr>
        <w:ind w:left="2280" w:right="140" w:hanging="1138"/>
        <w:spacing w:after="0" w:line="263" w:lineRule="auto"/>
        <w:tabs>
          <w:tab w:leader="none" w:pos="138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4" w:right="37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4"/>
          <w:szCs w:val="14"/>
          <w:b w:val="1"/>
          <w:bCs w:val="1"/>
          <w:color w:val="auto"/>
        </w:rPr>
        <w:t>PART I—FINANCIAL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Condensed Financial Statements.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Pliant Therapeutics, Inc.</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Condensed Balance Sheets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(In thousands, except number of shares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50,882</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175,813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226,012</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9,279</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Tax credit receivable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0" w:type="dxa"/>
            <w:vAlign w:val="bottom"/>
          </w:tcPr>
          <w:p>
            <w:pPr>
              <w:spacing w:after="0"/>
              <w:rPr>
                <w:sz w:val="1"/>
                <w:szCs w:val="1"/>
                <w:color w:val="auto"/>
              </w:rPr>
            </w:pPr>
          </w:p>
        </w:tc>
      </w:tr>
      <w:tr>
        <w:trPr>
          <w:trHeight w:val="207"/>
        </w:trPr>
        <w:tc>
          <w:tcPr>
            <w:tcW w:w="766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228,584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290,754</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3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234,121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2,605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 (Note 5)</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9,576</w:t>
            </w:r>
          </w:p>
        </w:tc>
        <w:tc>
          <w:tcPr>
            <w:tcW w:w="0" w:type="dxa"/>
            <w:vAlign w:val="bottom"/>
          </w:tcPr>
          <w:p>
            <w:pPr>
              <w:spacing w:after="0"/>
              <w:rPr>
                <w:sz w:val="1"/>
                <w:szCs w:val="1"/>
                <w:color w:val="auto"/>
              </w:rPr>
            </w:pPr>
          </w:p>
        </w:tc>
      </w:tr>
      <w:tr>
        <w:trPr>
          <w:trHeight w:val="207"/>
        </w:trPr>
        <w:tc>
          <w:tcPr>
            <w:tcW w:w="766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12,925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11,599</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liabilities (Note 5)</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07"/>
        </w:trPr>
        <w:tc>
          <w:tcPr>
            <w:tcW w:w="7660" w:type="dxa"/>
            <w:vAlign w:val="bottom"/>
          </w:tcPr>
          <w:p>
            <w:pPr>
              <w:ind w:left="56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13,681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12,465</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660" w:type="dxa"/>
            <w:vAlign w:val="bottom"/>
          </w:tcPr>
          <w:p>
            <w:pPr>
              <w:ind w:left="220"/>
              <w:spacing w:after="0" w:line="166" w:lineRule="exact"/>
              <w:rPr>
                <w:sz w:val="20"/>
                <w:szCs w:val="20"/>
                <w:color w:val="auto"/>
              </w:rPr>
            </w:pPr>
            <w:r>
              <w:rPr>
                <w:rFonts w:ascii="Arial" w:cs="Arial" w:eastAsia="Arial" w:hAnsi="Arial"/>
                <w:sz w:val="16"/>
                <w:szCs w:val="16"/>
                <w:color w:val="auto"/>
                <w:w w:val="95"/>
              </w:rPr>
              <w:t>Common stock, $0.0001 par value; 300,000,000 shares authorized at September 30, 2021 and December 31,</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400"/>
              <w:spacing w:after="0" w:line="162" w:lineRule="exact"/>
              <w:rPr>
                <w:sz w:val="20"/>
                <w:szCs w:val="20"/>
                <w:color w:val="auto"/>
              </w:rPr>
            </w:pPr>
            <w:r>
              <w:rPr>
                <w:rFonts w:ascii="Arial" w:cs="Arial" w:eastAsia="Arial" w:hAnsi="Arial"/>
                <w:sz w:val="16"/>
                <w:szCs w:val="16"/>
                <w:color w:val="auto"/>
                <w:w w:val="90"/>
              </w:rPr>
              <w:t>2020; and 35,977,294 and 35,552,795 shares issued and outstanding at September 30, 2021 and December 31,</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7660" w:type="dxa"/>
            <w:vAlign w:val="bottom"/>
          </w:tcPr>
          <w:p>
            <w:pPr>
              <w:ind w:left="400"/>
              <w:spacing w:after="0"/>
              <w:rPr>
                <w:sz w:val="20"/>
                <w:szCs w:val="20"/>
                <w:color w:val="auto"/>
              </w:rPr>
            </w:pPr>
            <w:r>
              <w:rPr>
                <w:rFonts w:ascii="Arial" w:cs="Arial" w:eastAsia="Arial" w:hAnsi="Arial"/>
                <w:sz w:val="16"/>
                <w:szCs w:val="16"/>
                <w:color w:val="auto"/>
              </w:rPr>
              <w:t>2020, respectively;</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400,918</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(190,560)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(117,828)</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6"/>
        </w:trPr>
        <w:tc>
          <w:tcPr>
            <w:tcW w:w="76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220,440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283,061</w:t>
            </w:r>
          </w:p>
        </w:tc>
        <w:tc>
          <w:tcPr>
            <w:tcW w:w="0" w:type="dxa"/>
            <w:vAlign w:val="bottom"/>
          </w:tcPr>
          <w:p>
            <w:pPr>
              <w:spacing w:after="0"/>
              <w:rPr>
                <w:sz w:val="1"/>
                <w:szCs w:val="1"/>
                <w:color w:val="auto"/>
              </w:rPr>
            </w:pPr>
          </w:p>
        </w:tc>
      </w:tr>
      <w:tr>
        <w:trPr>
          <w:trHeight w:val="23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234,121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560" w:right="1420" w:hanging="2552"/>
        <w:spacing w:after="0" w:line="48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condensed balance sheet as of December 31, 2020 has been derived from the audited financial statements as of that date</w:t>
      </w:r>
      <w:r>
        <w:rPr>
          <w:rFonts w:ascii="Arial" w:cs="Arial" w:eastAsia="Arial" w:hAnsi="Arial"/>
          <w:sz w:val="14"/>
          <w:szCs w:val="14"/>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The accompanying notes are an integral part of these condensed financial statements</w:t>
      </w: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86" w:right="519" w:bottom="1440" w:gutter="0" w:footer="0" w:header="0"/>
        </w:sectPr>
      </w:pPr>
    </w:p>
    <w:bookmarkStart w:id="7" w:name="page8"/>
    <w:bookmarkEnd w:id="7"/>
    <w:p>
      <w:pPr>
        <w:jc w:val="center"/>
        <w:ind w:right="-4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 related party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(22,629)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rPr>
              <w:t>Shares used in computing net loss per share attributable to common</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35,906,303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35,445,504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35,787,022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16,592,746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35,906,303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35,445,504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35,787,022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16,592,746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unrealized gain (loss) on short-term investments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(72,740)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891" w:right="77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Redeemable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9"/>
          </w:tcPr>
          <w:p>
            <w:pPr>
              <w:ind w:left="260"/>
              <w:spacing w:after="0"/>
              <w:rPr>
                <w:sz w:val="20"/>
                <w:szCs w:val="20"/>
                <w:color w:val="auto"/>
              </w:rPr>
            </w:pPr>
            <w:r>
              <w:rPr>
                <w:rFonts w:ascii="Arial" w:cs="Arial" w:eastAsia="Arial" w:hAnsi="Arial"/>
                <w:sz w:val="11"/>
                <w:szCs w:val="11"/>
                <w:b w:val="1"/>
                <w:bCs w:val="1"/>
                <w:color w:val="auto"/>
              </w:rPr>
              <w:t>Redeemable Convertible Preferred Stock</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7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320" w:type="dxa"/>
            <w:vAlign w:val="bottom"/>
            <w:gridSpan w:val="5"/>
          </w:tcPr>
          <w:p>
            <w:pPr>
              <w:ind w:left="420"/>
              <w:spacing w:after="0" w:line="122" w:lineRule="exact"/>
              <w:rPr>
                <w:sz w:val="20"/>
                <w:szCs w:val="20"/>
                <w:color w:val="auto"/>
              </w:rPr>
            </w:pPr>
            <w:r>
              <w:rPr>
                <w:rFonts w:ascii="Arial" w:cs="Arial" w:eastAsia="Arial" w:hAnsi="Arial"/>
                <w:sz w:val="11"/>
                <w:szCs w:val="11"/>
                <w:b w:val="1"/>
                <w:bCs w:val="1"/>
                <w:color w:val="auto"/>
              </w:rPr>
              <w:t>Series A</w:t>
            </w:r>
          </w:p>
        </w:tc>
        <w:tc>
          <w:tcPr>
            <w:tcW w:w="1320" w:type="dxa"/>
            <w:vAlign w:val="bottom"/>
            <w:gridSpan w:val="5"/>
          </w:tcPr>
          <w:p>
            <w:pPr>
              <w:ind w:left="440"/>
              <w:spacing w:after="0" w:line="122" w:lineRule="exact"/>
              <w:rPr>
                <w:sz w:val="20"/>
                <w:szCs w:val="20"/>
                <w:color w:val="auto"/>
              </w:rPr>
            </w:pPr>
            <w:r>
              <w:rPr>
                <w:rFonts w:ascii="Arial" w:cs="Arial" w:eastAsia="Arial" w:hAnsi="Arial"/>
                <w:sz w:val="11"/>
                <w:szCs w:val="11"/>
                <w:b w:val="1"/>
                <w:bCs w:val="1"/>
                <w:color w:val="auto"/>
              </w:rPr>
              <w:t>Series B</w:t>
            </w:r>
          </w:p>
        </w:tc>
        <w:tc>
          <w:tcPr>
            <w:tcW w:w="1340" w:type="dxa"/>
            <w:vAlign w:val="bottom"/>
            <w:tcBorders>
              <w:right w:val="single" w:sz="8" w:color="auto"/>
            </w:tcBorders>
            <w:gridSpan w:val="5"/>
          </w:tcPr>
          <w:p>
            <w:pPr>
              <w:ind w:left="440"/>
              <w:spacing w:after="0" w:line="122" w:lineRule="exact"/>
              <w:rPr>
                <w:sz w:val="20"/>
                <w:szCs w:val="20"/>
                <w:color w:val="auto"/>
              </w:rPr>
            </w:pPr>
            <w:r>
              <w:rPr>
                <w:rFonts w:ascii="Arial" w:cs="Arial" w:eastAsia="Arial" w:hAnsi="Arial"/>
                <w:sz w:val="11"/>
                <w:szCs w:val="11"/>
                <w:b w:val="1"/>
                <w:bCs w:val="1"/>
                <w:color w:val="auto"/>
              </w:rPr>
              <w:t>Series C</w:t>
            </w:r>
          </w:p>
        </w:tc>
        <w:tc>
          <w:tcPr>
            <w:tcW w:w="60" w:type="dxa"/>
            <w:vAlign w:val="bottom"/>
          </w:tcPr>
          <w:p>
            <w:pPr>
              <w:spacing w:after="0"/>
              <w:rPr>
                <w:sz w:val="10"/>
                <w:szCs w:val="10"/>
                <w:color w:val="auto"/>
              </w:rPr>
            </w:pPr>
          </w:p>
        </w:tc>
        <w:tc>
          <w:tcPr>
            <w:tcW w:w="1380" w:type="dxa"/>
            <w:vAlign w:val="bottom"/>
            <w:gridSpan w:val="5"/>
          </w:tcPr>
          <w:p>
            <w:pPr>
              <w:ind w:left="300"/>
              <w:spacing w:after="0" w:line="122" w:lineRule="exact"/>
              <w:rPr>
                <w:sz w:val="20"/>
                <w:szCs w:val="20"/>
                <w:color w:val="auto"/>
              </w:rPr>
            </w:pPr>
            <w:r>
              <w:rPr>
                <w:rFonts w:ascii="Arial" w:cs="Arial" w:eastAsia="Arial" w:hAnsi="Arial"/>
                <w:sz w:val="11"/>
                <w:szCs w:val="11"/>
                <w:b w:val="1"/>
                <w:bCs w:val="1"/>
                <w:color w:val="auto"/>
              </w:rPr>
              <w:t>Common Stock</w:t>
            </w:r>
          </w:p>
        </w:tc>
        <w:tc>
          <w:tcPr>
            <w:tcW w:w="68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Additional</w:t>
            </w:r>
          </w:p>
        </w:tc>
        <w:tc>
          <w:tcPr>
            <w:tcW w:w="60" w:type="dxa"/>
            <w:vAlign w:val="bottom"/>
          </w:tcPr>
          <w:p>
            <w:pPr>
              <w:spacing w:after="0"/>
              <w:rPr>
                <w:sz w:val="10"/>
                <w:szCs w:val="10"/>
                <w:color w:val="auto"/>
              </w:rPr>
            </w:pP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Paid-In</w:t>
            </w:r>
          </w:p>
        </w:tc>
        <w:tc>
          <w:tcPr>
            <w:tcW w:w="84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Comprehensive</w:t>
            </w:r>
          </w:p>
        </w:tc>
        <w:tc>
          <w:tcPr>
            <w:tcW w:w="72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740" w:type="dxa"/>
            <w:vAlign w:val="bottom"/>
            <w:gridSpan w:val="2"/>
            <w:vMerge w:val="restart"/>
          </w:tcPr>
          <w:p>
            <w:pPr>
              <w:jc w:val="center"/>
              <w:spacing w:after="0" w:line="95"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line="20" w:lineRule="exact"/>
              <w:rPr>
                <w:sz w:val="1"/>
                <w:szCs w:val="1"/>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line="20" w:lineRule="exact"/>
              <w:rPr>
                <w:sz w:val="1"/>
                <w:szCs w:val="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7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Gain (Loss)</w:t>
            </w:r>
          </w:p>
        </w:tc>
        <w:tc>
          <w:tcPr>
            <w:tcW w:w="1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600" w:type="dxa"/>
            <w:vAlign w:val="bottom"/>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35,552,795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400,918</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CCEEFF"/>
            </w:tcBorders>
            <w:shd w:val="clear" w:color="auto" w:fill="CCEEFF"/>
          </w:tcPr>
          <w:p>
            <w:pPr>
              <w:jc w:val="center"/>
              <w:ind w:left="386"/>
              <w:spacing w:after="0"/>
              <w:rPr>
                <w:sz w:val="20"/>
                <w:szCs w:val="20"/>
                <w:color w:val="auto"/>
              </w:rPr>
            </w:pPr>
            <w:r>
              <w:rPr>
                <w:rFonts w:ascii="Arial" w:cs="Arial" w:eastAsia="Arial" w:hAnsi="Arial"/>
                <w:sz w:val="11"/>
                <w:szCs w:val="11"/>
                <w:color w:val="auto"/>
                <w:w w:val="91"/>
              </w:rPr>
              <w:t>(32)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(117,828)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283,061</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Vesting of restricted stock awards</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30,277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 exercises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165,264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1,370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1,370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2,578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2,578</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unrealized gain on short-term investments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center"/>
              <w:ind w:left="426"/>
              <w:spacing w:after="0"/>
              <w:rPr>
                <w:sz w:val="20"/>
                <w:szCs w:val="20"/>
                <w:color w:val="auto"/>
              </w:rPr>
            </w:pPr>
            <w:r>
              <w:rPr>
                <w:rFonts w:ascii="Arial" w:cs="Arial" w:eastAsia="Arial" w:hAnsi="Arial"/>
                <w:sz w:val="11"/>
                <w:szCs w:val="11"/>
                <w:color w:val="auto"/>
                <w:w w:val="81"/>
              </w:rPr>
              <w:t>14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(22,856)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(22,856)</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2021</w:t>
            </w: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35,748,336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404,868</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center"/>
              <w:ind w:left="386"/>
              <w:spacing w:after="0"/>
              <w:rPr>
                <w:sz w:val="20"/>
                <w:szCs w:val="20"/>
                <w:color w:val="auto"/>
              </w:rPr>
            </w:pPr>
            <w:r>
              <w:rPr>
                <w:rFonts w:ascii="Arial" w:cs="Arial" w:eastAsia="Arial" w:hAnsi="Arial"/>
                <w:sz w:val="11"/>
                <w:szCs w:val="11"/>
                <w:color w:val="auto"/>
                <w:w w:val="91"/>
              </w:rPr>
              <w:t>(18)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(140,684)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264,169</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20"/>
              <w:spacing w:after="0"/>
              <w:rPr>
                <w:sz w:val="20"/>
                <w:szCs w:val="20"/>
                <w:color w:val="auto"/>
              </w:rPr>
            </w:pPr>
            <w:r>
              <w:rPr>
                <w:rFonts w:ascii="Arial" w:cs="Arial" w:eastAsia="Arial" w:hAnsi="Arial"/>
                <w:sz w:val="11"/>
                <w:szCs w:val="11"/>
                <w:color w:val="auto"/>
              </w:rPr>
              <w:t>Vesting of restricted stock awards</w:t>
            </w: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780" w:type="dxa"/>
            <w:vAlign w:val="bottom"/>
            <w:vMerge w:val="continue"/>
          </w:tcPr>
          <w:p>
            <w:pPr>
              <w:spacing w:after="0"/>
              <w:rPr>
                <w:sz w:val="9"/>
                <w:szCs w:val="9"/>
                <w:color w:val="auto"/>
              </w:rPr>
            </w:pPr>
          </w:p>
        </w:tc>
        <w:tc>
          <w:tcPr>
            <w:tcW w:w="660" w:type="dxa"/>
            <w:vAlign w:val="bottom"/>
            <w:gridSpan w:val="2"/>
          </w:tcPr>
          <w:p>
            <w:pPr>
              <w:ind w:left="420"/>
              <w:spacing w:after="0" w:line="11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tcPr>
          <w:p>
            <w:pPr>
              <w:ind w:left="340"/>
              <w:spacing w:after="0" w:line="114" w:lineRule="exact"/>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line="11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tcPr>
          <w:p>
            <w:pPr>
              <w:ind w:left="340"/>
              <w:spacing w:after="0" w:line="114" w:lineRule="exact"/>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line="11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tcBorders>
              <w:right w:val="single" w:sz="8" w:color="auto"/>
            </w:tcBorders>
            <w:gridSpan w:val="2"/>
          </w:tcPr>
          <w:p>
            <w:pPr>
              <w:ind w:left="340"/>
              <w:spacing w:after="0" w:line="11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00" w:type="dxa"/>
            <w:vAlign w:val="bottom"/>
          </w:tcPr>
          <w:p>
            <w:pPr>
              <w:jc w:val="right"/>
              <w:ind w:right="6"/>
              <w:spacing w:after="0" w:line="114" w:lineRule="exact"/>
              <w:rPr>
                <w:sz w:val="20"/>
                <w:szCs w:val="20"/>
                <w:color w:val="auto"/>
              </w:rPr>
            </w:pPr>
            <w:r>
              <w:rPr>
                <w:rFonts w:ascii="Arial" w:cs="Arial" w:eastAsia="Arial" w:hAnsi="Arial"/>
                <w:sz w:val="11"/>
                <w:szCs w:val="11"/>
                <w:color w:val="auto"/>
              </w:rPr>
              <w:t>30,136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tcPr>
          <w:p>
            <w:pPr>
              <w:jc w:val="right"/>
              <w:ind w:right="6"/>
              <w:spacing w:after="0" w:line="114" w:lineRule="exact"/>
              <w:rPr>
                <w:sz w:val="20"/>
                <w:szCs w:val="20"/>
                <w:color w:val="auto"/>
              </w:rPr>
            </w:pPr>
            <w:r>
              <w:rPr>
                <w:rFonts w:ascii="Arial" w:cs="Arial" w:eastAsia="Arial" w:hAnsi="Arial"/>
                <w:sz w:val="11"/>
                <w:szCs w:val="11"/>
                <w:color w:val="auto"/>
              </w:rPr>
              <w:t>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left="346"/>
              <w:spacing w:after="0" w:line="114"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9"/>
                <w:szCs w:val="9"/>
                <w:color w:val="auto"/>
              </w:rPr>
            </w:pPr>
          </w:p>
        </w:tc>
        <w:tc>
          <w:tcPr>
            <w:tcW w:w="600" w:type="dxa"/>
            <w:vAlign w:val="bottom"/>
            <w:gridSpan w:val="2"/>
          </w:tcPr>
          <w:p>
            <w:pPr>
              <w:ind w:left="360"/>
              <w:spacing w:after="0" w:line="114"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 exercises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75,444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372</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2,280</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unrealized loss on short-term investments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center"/>
              <w:ind w:left="386"/>
              <w:spacing w:after="0"/>
              <w:rPr>
                <w:sz w:val="20"/>
                <w:szCs w:val="20"/>
                <w:color w:val="auto"/>
              </w:rPr>
            </w:pPr>
            <w:r>
              <w:rPr>
                <w:rFonts w:ascii="Arial" w:cs="Arial" w:eastAsia="Arial" w:hAnsi="Arial"/>
                <w:sz w:val="11"/>
                <w:szCs w:val="11"/>
                <w:color w:val="auto"/>
                <w:w w:val="91"/>
              </w:rPr>
              <w:t>(12)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(22,831)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(22,831)</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2021</w:t>
            </w: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35,853,916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407,522</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center"/>
              <w:ind w:left="386"/>
              <w:spacing w:after="0"/>
              <w:rPr>
                <w:sz w:val="20"/>
                <w:szCs w:val="20"/>
                <w:color w:val="auto"/>
              </w:rPr>
            </w:pPr>
            <w:r>
              <w:rPr>
                <w:rFonts w:ascii="Arial" w:cs="Arial" w:eastAsia="Arial" w:hAnsi="Arial"/>
                <w:sz w:val="11"/>
                <w:szCs w:val="11"/>
                <w:color w:val="auto"/>
                <w:w w:val="91"/>
              </w:rPr>
              <w:t>(30)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(163,515)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243,980</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20"/>
              <w:spacing w:after="0"/>
              <w:rPr>
                <w:sz w:val="20"/>
                <w:szCs w:val="20"/>
                <w:color w:val="auto"/>
              </w:rPr>
            </w:pPr>
            <w:r>
              <w:rPr>
                <w:rFonts w:ascii="Arial" w:cs="Arial" w:eastAsia="Arial" w:hAnsi="Arial"/>
                <w:sz w:val="11"/>
                <w:szCs w:val="11"/>
                <w:color w:val="auto"/>
              </w:rPr>
              <w:t>Vesting of restricted stock awards</w:t>
            </w: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780" w:type="dxa"/>
            <w:vAlign w:val="bottom"/>
            <w:vMerge w:val="continue"/>
          </w:tcPr>
          <w:p>
            <w:pPr>
              <w:spacing w:after="0"/>
              <w:rPr>
                <w:sz w:val="9"/>
                <w:szCs w:val="9"/>
                <w:color w:val="auto"/>
              </w:rPr>
            </w:pPr>
          </w:p>
        </w:tc>
        <w:tc>
          <w:tcPr>
            <w:tcW w:w="660" w:type="dxa"/>
            <w:vAlign w:val="bottom"/>
            <w:gridSpan w:val="2"/>
          </w:tcPr>
          <w:p>
            <w:pPr>
              <w:ind w:left="420"/>
              <w:spacing w:after="0" w:line="11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tcPr>
          <w:p>
            <w:pPr>
              <w:ind w:left="340"/>
              <w:spacing w:after="0" w:line="114" w:lineRule="exact"/>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line="11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tcPr>
          <w:p>
            <w:pPr>
              <w:ind w:left="340"/>
              <w:spacing w:after="0" w:line="114" w:lineRule="exact"/>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line="11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tcBorders>
              <w:right w:val="single" w:sz="8" w:color="auto"/>
            </w:tcBorders>
            <w:gridSpan w:val="2"/>
          </w:tcPr>
          <w:p>
            <w:pPr>
              <w:ind w:left="340"/>
              <w:spacing w:after="0" w:line="11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00" w:type="dxa"/>
            <w:vAlign w:val="bottom"/>
          </w:tcPr>
          <w:p>
            <w:pPr>
              <w:jc w:val="right"/>
              <w:ind w:right="6"/>
              <w:spacing w:after="0" w:line="114" w:lineRule="exact"/>
              <w:rPr>
                <w:sz w:val="20"/>
                <w:szCs w:val="20"/>
                <w:color w:val="auto"/>
              </w:rPr>
            </w:pPr>
            <w:r>
              <w:rPr>
                <w:rFonts w:ascii="Arial" w:cs="Arial" w:eastAsia="Arial" w:hAnsi="Arial"/>
                <w:sz w:val="11"/>
                <w:szCs w:val="11"/>
                <w:color w:val="auto"/>
              </w:rPr>
              <w:t>26,791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tcPr>
          <w:p>
            <w:pPr>
              <w:jc w:val="right"/>
              <w:ind w:right="6"/>
              <w:spacing w:after="0" w:line="114" w:lineRule="exact"/>
              <w:rPr>
                <w:sz w:val="20"/>
                <w:szCs w:val="20"/>
                <w:color w:val="auto"/>
              </w:rPr>
            </w:pPr>
            <w:r>
              <w:rPr>
                <w:rFonts w:ascii="Arial" w:cs="Arial" w:eastAsia="Arial" w:hAnsi="Arial"/>
                <w:sz w:val="11"/>
                <w:szCs w:val="11"/>
                <w:color w:val="auto"/>
              </w:rPr>
              <w:t>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left="346"/>
              <w:spacing w:after="0" w:line="114"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9"/>
                <w:szCs w:val="9"/>
                <w:color w:val="auto"/>
              </w:rPr>
            </w:pPr>
          </w:p>
        </w:tc>
        <w:tc>
          <w:tcPr>
            <w:tcW w:w="600" w:type="dxa"/>
            <w:vAlign w:val="bottom"/>
            <w:gridSpan w:val="2"/>
          </w:tcPr>
          <w:p>
            <w:pPr>
              <w:ind w:left="360"/>
              <w:spacing w:after="0" w:line="114"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 exercises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96,587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702</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2,811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2,811</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unrealized gain on short-term investments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center"/>
              <w:ind w:left="386"/>
              <w:spacing w:after="0"/>
              <w:rPr>
                <w:sz w:val="20"/>
                <w:szCs w:val="20"/>
                <w:color w:val="auto"/>
              </w:rPr>
            </w:pPr>
            <w:r>
              <w:rPr>
                <w:rFonts w:ascii="Arial" w:cs="Arial" w:eastAsia="Arial" w:hAnsi="Arial"/>
                <w:sz w:val="11"/>
                <w:szCs w:val="11"/>
                <w:color w:val="auto"/>
                <w:w w:val="91"/>
              </w:rPr>
              <w:t>(10)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80" w:type="dxa"/>
            <w:vAlign w:val="bottom"/>
            <w:gridSpan w:val="2"/>
          </w:tcPr>
          <w:p>
            <w:pPr>
              <w:jc w:val="center"/>
              <w:ind w:left="3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(27,045)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(27,045)</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 2021</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4"/>
              </w:rPr>
              <w:t>35,977,294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411,037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center"/>
              <w:ind w:left="386"/>
              <w:spacing w:after="0"/>
              <w:rPr>
                <w:sz w:val="20"/>
                <w:szCs w:val="20"/>
                <w:color w:val="auto"/>
              </w:rPr>
            </w:pPr>
            <w:r>
              <w:rPr>
                <w:rFonts w:ascii="Arial" w:cs="Arial" w:eastAsia="Arial" w:hAnsi="Arial"/>
                <w:sz w:val="11"/>
                <w:szCs w:val="11"/>
                <w:color w:val="auto"/>
                <w:w w:val="91"/>
              </w:rPr>
              <w:t>(40)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(190,560)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220,440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Redeemable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9"/>
          </w:tcPr>
          <w:p>
            <w:pPr>
              <w:jc w:val="center"/>
              <w:ind w:right="180"/>
              <w:spacing w:after="0"/>
              <w:rPr>
                <w:sz w:val="20"/>
                <w:szCs w:val="20"/>
                <w:color w:val="auto"/>
              </w:rPr>
            </w:pPr>
            <w:r>
              <w:rPr>
                <w:rFonts w:ascii="Arial" w:cs="Arial" w:eastAsia="Arial" w:hAnsi="Arial"/>
                <w:sz w:val="11"/>
                <w:szCs w:val="11"/>
                <w:b w:val="1"/>
                <w:bCs w:val="1"/>
                <w:color w:val="auto"/>
                <w:w w:val="89"/>
              </w:rPr>
              <w:t>Redeemable Convertible Preferred Stock</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vMerge w:val="restart"/>
          </w:tcPr>
          <w:p>
            <w:pPr>
              <w:jc w:val="center"/>
              <w:ind w:right="80"/>
              <w:spacing w:after="0" w:line="108" w:lineRule="exact"/>
              <w:rPr>
                <w:sz w:val="20"/>
                <w:szCs w:val="20"/>
                <w:color w:val="auto"/>
              </w:rPr>
            </w:pPr>
            <w:r>
              <w:rPr>
                <w:rFonts w:ascii="Arial" w:cs="Arial" w:eastAsia="Arial" w:hAnsi="Arial"/>
                <w:sz w:val="11"/>
                <w:szCs w:val="11"/>
                <w:b w:val="1"/>
                <w:bCs w:val="1"/>
                <w:color w:val="auto"/>
                <w:w w:val="89"/>
              </w:rPr>
              <w:t>Additional</w:t>
            </w:r>
          </w:p>
        </w:tc>
        <w:tc>
          <w:tcPr>
            <w:tcW w:w="60" w:type="dxa"/>
            <w:vAlign w:val="bottom"/>
          </w:tcPr>
          <w:p>
            <w:pPr>
              <w:spacing w:after="0"/>
              <w:rPr>
                <w:sz w:val="2"/>
                <w:szCs w:val="2"/>
                <w:color w:val="auto"/>
              </w:rPr>
            </w:pPr>
          </w:p>
        </w:tc>
        <w:tc>
          <w:tcPr>
            <w:tcW w:w="780" w:type="dxa"/>
            <w:vAlign w:val="bottom"/>
            <w:gridSpan w:val="2"/>
            <w:vMerge w:val="restart"/>
          </w:tcPr>
          <w:p>
            <w:pPr>
              <w:jc w:val="center"/>
              <w:ind w:right="140"/>
              <w:spacing w:after="0" w:line="108"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restart"/>
          </w:tcPr>
          <w:p>
            <w:pPr>
              <w:jc w:val="center"/>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61"/>
        </w:trPr>
        <w:tc>
          <w:tcPr>
            <w:tcW w:w="2700" w:type="dxa"/>
            <w:vAlign w:val="bottom"/>
          </w:tcPr>
          <w:p>
            <w:pPr>
              <w:spacing w:after="0"/>
              <w:rPr>
                <w:sz w:val="5"/>
                <w:szCs w:val="5"/>
                <w:color w:val="auto"/>
              </w:rPr>
            </w:pPr>
          </w:p>
        </w:tc>
        <w:tc>
          <w:tcPr>
            <w:tcW w:w="1360" w:type="dxa"/>
            <w:vAlign w:val="bottom"/>
            <w:gridSpan w:val="5"/>
            <w:vMerge w:val="restart"/>
          </w:tcPr>
          <w:p>
            <w:pPr>
              <w:ind w:left="460"/>
              <w:spacing w:after="0"/>
              <w:rPr>
                <w:sz w:val="20"/>
                <w:szCs w:val="20"/>
                <w:color w:val="auto"/>
              </w:rPr>
            </w:pPr>
            <w:r>
              <w:rPr>
                <w:rFonts w:ascii="Arial" w:cs="Arial" w:eastAsia="Arial" w:hAnsi="Arial"/>
                <w:sz w:val="11"/>
                <w:szCs w:val="11"/>
                <w:b w:val="1"/>
                <w:bCs w:val="1"/>
                <w:color w:val="auto"/>
              </w:rPr>
              <w:t>Series A</w:t>
            </w:r>
          </w:p>
        </w:tc>
        <w:tc>
          <w:tcPr>
            <w:tcW w:w="134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6"/>
              </w:rPr>
              <w:t>Series B</w:t>
            </w:r>
          </w:p>
        </w:tc>
        <w:tc>
          <w:tcPr>
            <w:tcW w:w="1380" w:type="dxa"/>
            <w:vAlign w:val="bottom"/>
            <w:tcBorders>
              <w:right w:val="single" w:sz="8" w:color="auto"/>
            </w:tcBorders>
            <w:gridSpan w:val="5"/>
            <w:vMerge w:val="restart"/>
          </w:tcPr>
          <w:p>
            <w:pPr>
              <w:ind w:left="460"/>
              <w:spacing w:after="0"/>
              <w:rPr>
                <w:sz w:val="20"/>
                <w:szCs w:val="20"/>
                <w:color w:val="auto"/>
              </w:rPr>
            </w:pPr>
            <w:r>
              <w:rPr>
                <w:rFonts w:ascii="Arial" w:cs="Arial" w:eastAsia="Arial" w:hAnsi="Arial"/>
                <w:sz w:val="11"/>
                <w:szCs w:val="11"/>
                <w:b w:val="1"/>
                <w:bCs w:val="1"/>
                <w:color w:val="auto"/>
              </w:rPr>
              <w:t>Series C</w:t>
            </w:r>
          </w:p>
        </w:tc>
        <w:tc>
          <w:tcPr>
            <w:tcW w:w="60" w:type="dxa"/>
            <w:vAlign w:val="bottom"/>
          </w:tcPr>
          <w:p>
            <w:pPr>
              <w:spacing w:after="0"/>
              <w:rPr>
                <w:sz w:val="5"/>
                <w:szCs w:val="5"/>
                <w:color w:val="auto"/>
              </w:rPr>
            </w:pPr>
          </w:p>
        </w:tc>
        <w:tc>
          <w:tcPr>
            <w:tcW w:w="1360" w:type="dxa"/>
            <w:vAlign w:val="bottom"/>
            <w:gridSpan w:val="5"/>
            <w:vMerge w:val="restart"/>
          </w:tcPr>
          <w:p>
            <w:pPr>
              <w:ind w:left="280"/>
              <w:spacing w:after="0"/>
              <w:rPr>
                <w:sz w:val="20"/>
                <w:szCs w:val="20"/>
                <w:color w:val="auto"/>
              </w:rPr>
            </w:pPr>
            <w:r>
              <w:rPr>
                <w:rFonts w:ascii="Arial" w:cs="Arial" w:eastAsia="Arial" w:hAnsi="Arial"/>
                <w:sz w:val="11"/>
                <w:szCs w:val="11"/>
                <w:b w:val="1"/>
                <w:bCs w:val="1"/>
                <w:color w:val="auto"/>
              </w:rPr>
              <w:t>Common Stock</w:t>
            </w:r>
          </w:p>
        </w:tc>
        <w:tc>
          <w:tcPr>
            <w:tcW w:w="6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1340" w:type="dxa"/>
            <w:vAlign w:val="bottom"/>
            <w:gridSpan w:val="5"/>
            <w:vMerge w:val="continue"/>
          </w:tcPr>
          <w:p>
            <w:pPr>
              <w:spacing w:after="0"/>
              <w:rPr>
                <w:sz w:val="6"/>
                <w:szCs w:val="6"/>
                <w:color w:val="auto"/>
              </w:rPr>
            </w:pPr>
          </w:p>
        </w:tc>
        <w:tc>
          <w:tcPr>
            <w:tcW w:w="138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vMerge w:val="restart"/>
          </w:tcPr>
          <w:p>
            <w:pPr>
              <w:jc w:val="center"/>
              <w:ind w:right="180"/>
              <w:spacing w:after="0" w:line="88" w:lineRule="exact"/>
              <w:rPr>
                <w:sz w:val="20"/>
                <w:szCs w:val="20"/>
                <w:color w:val="auto"/>
              </w:rPr>
            </w:pPr>
            <w:r>
              <w:rPr>
                <w:rFonts w:ascii="Arial" w:cs="Arial" w:eastAsia="Arial" w:hAnsi="Arial"/>
                <w:sz w:val="10"/>
                <w:szCs w:val="10"/>
                <w:b w:val="1"/>
                <w:bCs w:val="1"/>
                <w:color w:val="auto"/>
              </w:rPr>
              <w:t>Paid-In</w:t>
            </w:r>
          </w:p>
        </w:tc>
        <w:tc>
          <w:tcPr>
            <w:tcW w:w="840" w:type="dxa"/>
            <w:vAlign w:val="bottom"/>
            <w:gridSpan w:val="3"/>
            <w:vMerge w:val="restart"/>
          </w:tcPr>
          <w:p>
            <w:pPr>
              <w:ind w:left="20"/>
              <w:spacing w:after="0" w:line="88" w:lineRule="exact"/>
              <w:rPr>
                <w:sz w:val="20"/>
                <w:szCs w:val="20"/>
                <w:color w:val="auto"/>
              </w:rPr>
            </w:pPr>
            <w:r>
              <w:rPr>
                <w:rFonts w:ascii="Arial" w:cs="Arial" w:eastAsia="Arial" w:hAnsi="Arial"/>
                <w:sz w:val="10"/>
                <w:szCs w:val="10"/>
                <w:b w:val="1"/>
                <w:bCs w:val="1"/>
                <w:color w:val="auto"/>
              </w:rPr>
              <w:t>Comprehensive</w:t>
            </w:r>
          </w:p>
        </w:tc>
        <w:tc>
          <w:tcPr>
            <w:tcW w:w="720" w:type="dxa"/>
            <w:vAlign w:val="bottom"/>
            <w:gridSpan w:val="3"/>
            <w:vMerge w:val="restart"/>
          </w:tcPr>
          <w:p>
            <w:pPr>
              <w:ind w:left="20"/>
              <w:spacing w:after="0" w:line="88"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6"/>
                <w:szCs w:val="6"/>
                <w:color w:val="auto"/>
              </w:rPr>
            </w:pPr>
          </w:p>
        </w:tc>
        <w:tc>
          <w:tcPr>
            <w:tcW w:w="600" w:type="dxa"/>
            <w:vAlign w:val="bottom"/>
            <w:vMerge w:val="restart"/>
          </w:tcPr>
          <w:p>
            <w:pPr>
              <w:jc w:val="center"/>
              <w:ind w:right="66"/>
              <w:spacing w:after="0" w:line="88"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700" w:type="dxa"/>
            <w:vAlign w:val="bottom"/>
          </w:tcPr>
          <w:p>
            <w:pPr>
              <w:spacing w:after="0"/>
              <w:rPr>
                <w:sz w:val="11"/>
                <w:szCs w:val="11"/>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60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60" w:type="dxa"/>
            <w:vAlign w:val="bottom"/>
          </w:tcPr>
          <w:p>
            <w:pPr>
              <w:spacing w:after="0"/>
              <w:rPr>
                <w:sz w:val="11"/>
                <w:szCs w:val="11"/>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Gain (Loss)</w:t>
            </w:r>
          </w:p>
        </w:tc>
        <w:tc>
          <w:tcPr>
            <w:tcW w:w="120" w:type="dxa"/>
            <w:vAlign w:val="bottom"/>
          </w:tcPr>
          <w:p>
            <w:pPr>
              <w:spacing w:after="0"/>
              <w:rPr>
                <w:sz w:val="11"/>
                <w:szCs w:val="11"/>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1"/>
                <w:szCs w:val="11"/>
                <w:color w:val="auto"/>
              </w:rPr>
            </w:pPr>
          </w:p>
        </w:tc>
        <w:tc>
          <w:tcPr>
            <w:tcW w:w="600" w:type="dxa"/>
            <w:vAlign w:val="bottom"/>
          </w:tcPr>
          <w:p>
            <w:pPr>
              <w:jc w:val="center"/>
              <w:ind w:right="8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270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right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6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4"/>
              </w:rPr>
              <w:t>56,000,000</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62,468</w:t>
            </w:r>
          </w:p>
        </w:tc>
        <w:tc>
          <w:tcPr>
            <w:tcW w:w="8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4"/>
              </w:rPr>
              <w:t>49,501,221</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75,860</w:t>
            </w:r>
          </w:p>
        </w:tc>
        <w:tc>
          <w:tcPr>
            <w:tcW w:w="8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4"/>
              </w:rPr>
              <w:t>26,360,745</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47,947</w:t>
            </w:r>
          </w:p>
        </w:tc>
        <w:tc>
          <w:tcPr>
            <w:tcW w:w="100" w:type="dxa"/>
            <w:vAlign w:val="bottom"/>
            <w:tcBorders>
              <w:bottom w:val="single" w:sz="8" w:color="CFF0FC"/>
              <w:right w:val="single" w:sz="8" w:color="auto"/>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1,846,024</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(76,295)</w:t>
            </w: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(76,295)</w:t>
            </w:r>
          </w:p>
        </w:tc>
        <w:tc>
          <w:tcPr>
            <w:tcW w:w="0" w:type="dxa"/>
            <w:vAlign w:val="bottom"/>
          </w:tcPr>
          <w:p>
            <w:pPr>
              <w:spacing w:after="0"/>
              <w:rPr>
                <w:sz w:val="1"/>
                <w:szCs w:val="1"/>
                <w:color w:val="auto"/>
              </w:rPr>
            </w:pPr>
          </w:p>
        </w:tc>
      </w:tr>
      <w:tr>
        <w:trPr>
          <w:trHeight w:val="112"/>
        </w:trPr>
        <w:tc>
          <w:tcPr>
            <w:tcW w:w="2700" w:type="dxa"/>
            <w:vAlign w:val="bottom"/>
          </w:tcPr>
          <w:p>
            <w:pPr>
              <w:ind w:left="20"/>
              <w:spacing w:after="0" w:line="112" w:lineRule="exact"/>
              <w:rPr>
                <w:sz w:val="20"/>
                <w:szCs w:val="20"/>
                <w:color w:val="auto"/>
              </w:rPr>
            </w:pPr>
            <w:r>
              <w:rPr>
                <w:rFonts w:ascii="Arial" w:cs="Arial" w:eastAsia="Arial" w:hAnsi="Arial"/>
                <w:sz w:val="11"/>
                <w:szCs w:val="11"/>
                <w:color w:val="auto"/>
                <w:w w:val="97"/>
              </w:rPr>
              <w:t>Issuance of Series C redeemable preferred stock, net of</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w w:val="94"/>
              </w:rPr>
              <w:t>28,527,313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52,038</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700" w:type="dxa"/>
            <w:vAlign w:val="bottom"/>
          </w:tcPr>
          <w:p>
            <w:pPr>
              <w:ind w:left="180"/>
              <w:spacing w:after="0"/>
              <w:rPr>
                <w:sz w:val="20"/>
                <w:szCs w:val="20"/>
                <w:color w:val="auto"/>
              </w:rPr>
            </w:pPr>
            <w:r>
              <w:rPr>
                <w:rFonts w:ascii="Arial" w:cs="Arial" w:eastAsia="Arial" w:hAnsi="Arial"/>
                <w:sz w:val="11"/>
                <w:szCs w:val="11"/>
                <w:color w:val="auto"/>
              </w:rPr>
              <w:t>issuance costs</w:t>
            </w: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Vesting of restricted stock awards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52,093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Arial" w:cs="Arial" w:eastAsia="Arial" w:hAnsi="Arial"/>
                <w:sz w:val="11"/>
                <w:szCs w:val="11"/>
                <w:color w:val="auto"/>
              </w:rPr>
              <w:t>Option exercises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8,232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425</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425</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Arial" w:cs="Arial" w:eastAsia="Arial" w:hAnsi="Arial"/>
                <w:sz w:val="11"/>
                <w:szCs w:val="11"/>
                <w:color w:val="auto"/>
              </w:rPr>
              <w:t>Net unrealized gain on short- term investments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tcPr>
          <w:p>
            <w:pPr>
              <w:ind w:left="540"/>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11,029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11,029</w:t>
            </w:r>
          </w:p>
        </w:tc>
        <w:tc>
          <w:tcPr>
            <w:tcW w:w="0" w:type="dxa"/>
            <w:vAlign w:val="bottom"/>
          </w:tcPr>
          <w:p>
            <w:pPr>
              <w:spacing w:after="0"/>
              <w:rPr>
                <w:sz w:val="1"/>
                <w:szCs w:val="1"/>
                <w:color w:val="auto"/>
              </w:rPr>
            </w:pPr>
          </w:p>
        </w:tc>
      </w:tr>
      <w:tr>
        <w:trPr>
          <w:trHeight w:val="155"/>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Balance at March 31, 2020</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4"/>
              </w:rPr>
              <w:t>56,000,000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62,468</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4"/>
              </w:rPr>
              <w:t>49,501,221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75,860</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4"/>
              </w:rPr>
              <w:t>54,888,058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99,985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1,906,349</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455</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(65,266)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(64,751)</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700" w:type="dxa"/>
            <w:vAlign w:val="bottom"/>
            <w:shd w:val="clear" w:color="auto" w:fill="CCEEFF"/>
          </w:tcPr>
          <w:p>
            <w:pPr>
              <w:ind w:left="20"/>
              <w:spacing w:after="0" w:line="79" w:lineRule="exact"/>
              <w:rPr>
                <w:sz w:val="20"/>
                <w:szCs w:val="20"/>
                <w:color w:val="auto"/>
              </w:rPr>
            </w:pPr>
            <w:r>
              <w:rPr>
                <w:rFonts w:ascii="Arial" w:cs="Arial" w:eastAsia="Arial" w:hAnsi="Arial"/>
                <w:sz w:val="9"/>
                <w:szCs w:val="9"/>
                <w:color w:val="auto"/>
              </w:rPr>
              <w:t>Issuance of common stock upon initial public offering, net of</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6"/>
                <w:szCs w:val="6"/>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6"/>
                <w:szCs w:val="6"/>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6"/>
                <w:szCs w:val="6"/>
                <w:color w:val="auto"/>
              </w:rPr>
            </w:pPr>
          </w:p>
        </w:tc>
        <w:tc>
          <w:tcPr>
            <w:tcW w:w="6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4"/>
              </w:rPr>
              <w:t>10,350,000</w:t>
            </w:r>
          </w:p>
        </w:tc>
        <w:tc>
          <w:tcPr>
            <w:tcW w:w="100" w:type="dxa"/>
            <w:vAlign w:val="bottom"/>
            <w:shd w:val="clear" w:color="auto" w:fill="CCEEFF"/>
          </w:tcPr>
          <w:p>
            <w:pPr>
              <w:spacing w:after="0"/>
              <w:rPr>
                <w:sz w:val="6"/>
                <w:szCs w:val="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6"/>
                <w:szCs w:val="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148,399</w:t>
            </w:r>
          </w:p>
        </w:tc>
        <w:tc>
          <w:tcPr>
            <w:tcW w:w="80" w:type="dxa"/>
            <w:vAlign w:val="bottom"/>
            <w:shd w:val="clear" w:color="auto" w:fill="CCEEFF"/>
          </w:tcPr>
          <w:p>
            <w:pPr>
              <w:spacing w:after="0"/>
              <w:rPr>
                <w:sz w:val="6"/>
                <w:szCs w:val="6"/>
                <w:color w:val="auto"/>
              </w:rPr>
            </w:pP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80" w:type="dxa"/>
            <w:vAlign w:val="bottom"/>
            <w:gridSpan w:val="2"/>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148,400</w:t>
            </w:r>
          </w:p>
        </w:tc>
        <w:tc>
          <w:tcPr>
            <w:tcW w:w="0" w:type="dxa"/>
            <w:vAlign w:val="bottom"/>
          </w:tcPr>
          <w:p>
            <w:pPr>
              <w:spacing w:after="0"/>
              <w:rPr>
                <w:sz w:val="1"/>
                <w:szCs w:val="1"/>
                <w:color w:val="auto"/>
              </w:rPr>
            </w:pPr>
          </w:p>
        </w:tc>
      </w:tr>
      <w:tr>
        <w:trPr>
          <w:trHeight w:val="13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costs</w:t>
            </w: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Arial" w:cs="Arial" w:eastAsia="Arial" w:hAnsi="Arial"/>
                <w:sz w:val="11"/>
                <w:szCs w:val="11"/>
                <w:color w:val="auto"/>
              </w:rPr>
              <w:t>Issuance of common stock upon private placement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625,000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10,000</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7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8"/>
              </w:rPr>
              <w:t>Vesting of founders' common stock and restricted stock</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40,102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awards</w:t>
            </w: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Arial" w:cs="Arial" w:eastAsia="Arial" w:hAnsi="Arial"/>
                <w:sz w:val="11"/>
                <w:szCs w:val="11"/>
                <w:color w:val="auto"/>
              </w:rPr>
              <w:t>Option exercises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73,719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177</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7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3"/>
              </w:rPr>
              <w:t>Conversion of Series A, B, C convertible preferred stock to</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(56,000,000)</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(62,468)</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(49,501,221)</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(75,860)</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(54,888,058)</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(99,985)</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4"/>
              </w:rPr>
              <w:t>22,432,029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238,292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238,293</w:t>
            </w:r>
          </w:p>
        </w:tc>
        <w:tc>
          <w:tcPr>
            <w:tcW w:w="0" w:type="dxa"/>
            <w:vAlign w:val="bottom"/>
          </w:tcPr>
          <w:p>
            <w:pPr>
              <w:spacing w:after="0"/>
              <w:rPr>
                <w:sz w:val="1"/>
                <w:szCs w:val="1"/>
                <w:color w:val="auto"/>
              </w:rPr>
            </w:pPr>
          </w:p>
        </w:tc>
      </w:tr>
      <w:tr>
        <w:trPr>
          <w:trHeight w:val="13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w:t>
            </w: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786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786</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unrealized loss on short-term investments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Arial" w:cs="Arial" w:eastAsia="Arial" w:hAnsi="Arial"/>
                <w:sz w:val="11"/>
                <w:szCs w:val="11"/>
                <w:color w:val="auto"/>
              </w:rPr>
              <w:t>Net loss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(17,001)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(17,001)</w:t>
            </w:r>
          </w:p>
        </w:tc>
        <w:tc>
          <w:tcPr>
            <w:tcW w:w="0" w:type="dxa"/>
            <w:vAlign w:val="bottom"/>
          </w:tcPr>
          <w:p>
            <w:pPr>
              <w:spacing w:after="0"/>
              <w:rPr>
                <w:sz w:val="1"/>
                <w:szCs w:val="1"/>
                <w:color w:val="auto"/>
              </w:rPr>
            </w:pPr>
          </w:p>
        </w:tc>
      </w:tr>
      <w:tr>
        <w:trPr>
          <w:trHeight w:val="22"/>
        </w:trPr>
        <w:tc>
          <w:tcPr>
            <w:tcW w:w="27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2020</w:t>
            </w: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35,427,199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398,110</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(82,267)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315,816</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1"/>
                <w:szCs w:val="11"/>
                <w:color w:val="auto"/>
                <w:w w:val="97"/>
              </w:rPr>
              <w:t>Additional issuance costs related to initial public offering</w:t>
            </w: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700" w:type="dxa"/>
            <w:vAlign w:val="bottom"/>
            <w:vMerge w:val="continue"/>
          </w:tcPr>
          <w:p>
            <w:pPr>
              <w:spacing w:after="0"/>
              <w:rPr>
                <w:sz w:val="9"/>
                <w:szCs w:val="9"/>
                <w:color w:val="auto"/>
              </w:rPr>
            </w:pPr>
          </w:p>
        </w:tc>
        <w:tc>
          <w:tcPr>
            <w:tcW w:w="68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tcPr>
          <w:p>
            <w:pPr>
              <w:jc w:val="right"/>
              <w:ind w:right="120"/>
              <w:spacing w:after="0" w:line="114"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0" w:type="dxa"/>
            <w:vAlign w:val="bottom"/>
            <w:tcBorders>
              <w:right w:val="single" w:sz="8" w:color="auto"/>
            </w:tcBorders>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 w:type="dxa"/>
            <w:vAlign w:val="bottom"/>
          </w:tcPr>
          <w:p>
            <w:pPr>
              <w:jc w:val="right"/>
              <w:spacing w:after="0" w:line="114" w:lineRule="exact"/>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100" w:type="dxa"/>
            <w:vAlign w:val="bottom"/>
          </w:tcPr>
          <w:p>
            <w:pPr>
              <w:jc w:val="right"/>
              <w:spacing w:after="0" w:line="114" w:lineRule="exact"/>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line="114" w:lineRule="exact"/>
              <w:rPr>
                <w:sz w:val="20"/>
                <w:szCs w:val="20"/>
                <w:color w:val="auto"/>
              </w:rPr>
            </w:pPr>
            <w:r>
              <w:rPr>
                <w:rFonts w:ascii="Arial" w:cs="Arial" w:eastAsia="Arial" w:hAnsi="Arial"/>
                <w:sz w:val="11"/>
                <w:szCs w:val="11"/>
                <w:color w:val="auto"/>
              </w:rPr>
              <w:t>(123)</w:t>
            </w:r>
          </w:p>
        </w:tc>
        <w:tc>
          <w:tcPr>
            <w:tcW w:w="80" w:type="dxa"/>
            <w:vAlign w:val="bottom"/>
          </w:tcPr>
          <w:p>
            <w:pPr>
              <w:spacing w:after="0"/>
              <w:rPr>
                <w:sz w:val="9"/>
                <w:szCs w:val="9"/>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ind w:left="540"/>
              <w:spacing w:after="0" w:line="114" w:lineRule="exact"/>
              <w:rPr>
                <w:sz w:val="20"/>
                <w:szCs w:val="20"/>
                <w:color w:val="auto"/>
              </w:rPr>
            </w:pPr>
            <w:r>
              <w:rPr>
                <w:rFonts w:ascii="Arial" w:cs="Arial" w:eastAsia="Arial" w:hAnsi="Arial"/>
                <w:sz w:val="11"/>
                <w:szCs w:val="11"/>
                <w:color w:val="auto"/>
              </w:rPr>
              <w:t>—</w:t>
            </w:r>
          </w:p>
        </w:tc>
        <w:tc>
          <w:tcPr>
            <w:tcW w:w="120" w:type="dxa"/>
            <w:vAlign w:val="bottom"/>
          </w:tcPr>
          <w:p>
            <w:pPr>
              <w:ind w:left="20"/>
              <w:spacing w:after="0" w:line="114"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line="114" w:lineRule="exact"/>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line="114" w:lineRule="exact"/>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7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8"/>
              </w:rPr>
              <w:t>Vesting of founders' common stock and restricted stock</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38,058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awards</w:t>
            </w: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Arial" w:cs="Arial" w:eastAsia="Arial" w:hAnsi="Arial"/>
                <w:sz w:val="11"/>
                <w:szCs w:val="11"/>
                <w:color w:val="auto"/>
              </w:rPr>
              <w:t>Option exercises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1,169</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1,169</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Arial" w:cs="Arial" w:eastAsia="Arial" w:hAnsi="Arial"/>
                <w:sz w:val="11"/>
                <w:szCs w:val="11"/>
                <w:color w:val="auto"/>
              </w:rPr>
              <w:t>Net unrealized loss on short-term investments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tcPr>
          <w:p>
            <w:pPr>
              <w:ind w:left="540"/>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(16,534)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(16,534)</w:t>
            </w:r>
          </w:p>
        </w:tc>
        <w:tc>
          <w:tcPr>
            <w:tcW w:w="0" w:type="dxa"/>
            <w:vAlign w:val="bottom"/>
          </w:tcPr>
          <w:p>
            <w:pPr>
              <w:spacing w:after="0"/>
              <w:rPr>
                <w:sz w:val="1"/>
                <w:szCs w:val="1"/>
                <w:color w:val="auto"/>
              </w:rPr>
            </w:pPr>
          </w:p>
        </w:tc>
      </w:tr>
      <w:tr>
        <w:trPr>
          <w:trHeight w:val="133"/>
        </w:trPr>
        <w:tc>
          <w:tcPr>
            <w:tcW w:w="2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Balance at September 30, 2020</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4"/>
              </w:rPr>
              <w:t>35,465,715</w:t>
            </w: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399,162</w:t>
            </w:r>
          </w:p>
        </w:tc>
        <w:tc>
          <w:tcPr>
            <w:tcW w:w="80" w:type="dxa"/>
            <w:vAlign w:val="bottom"/>
          </w:tcPr>
          <w:p>
            <w:pPr>
              <w:spacing w:after="0"/>
              <w:rPr>
                <w:sz w:val="11"/>
                <w:szCs w:val="11"/>
                <w:color w:val="auto"/>
              </w:rPr>
            </w:pPr>
          </w:p>
        </w:tc>
        <w:tc>
          <w:tcPr>
            <w:tcW w:w="60" w:type="dxa"/>
            <w:vAlign w:val="bottom"/>
            <w:tcBorders>
              <w:top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1"/>
                <w:szCs w:val="1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(98,801)</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300,346</w:t>
            </w:r>
          </w:p>
        </w:tc>
        <w:tc>
          <w:tcPr>
            <w:tcW w:w="0" w:type="dxa"/>
            <w:vAlign w:val="bottom"/>
          </w:tcPr>
          <w:p>
            <w:pPr>
              <w:spacing w:after="0"/>
              <w:rPr>
                <w:sz w:val="1"/>
                <w:szCs w:val="1"/>
                <w:color w:val="auto"/>
              </w:rPr>
            </w:pPr>
          </w:p>
        </w:tc>
      </w:tr>
      <w:tr>
        <w:trPr>
          <w:trHeight w:val="62"/>
        </w:trPr>
        <w:tc>
          <w:tcPr>
            <w:tcW w:w="270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86"/>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84"/>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(72,732)</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(22,506)</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800" w:type="dxa"/>
            <w:vAlign w:val="bottom"/>
          </w:tcPr>
          <w:p>
            <w:pPr>
              <w:ind w:left="480"/>
              <w:spacing w:after="0"/>
              <w:rPr>
                <w:sz w:val="20"/>
                <w:szCs w:val="20"/>
                <w:color w:val="auto"/>
              </w:rPr>
            </w:pPr>
            <w:r>
              <w:rPr>
                <w:rFonts w:ascii="Arial" w:cs="Arial" w:eastAsia="Arial" w:hAnsi="Arial"/>
                <w:sz w:val="18"/>
                <w:szCs w:val="18"/>
                <w:color w:val="auto"/>
              </w:rPr>
              <w:t>Tax credit receivable</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80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(4,774)</w:t>
            </w:r>
          </w:p>
        </w:tc>
      </w:tr>
      <w:tr>
        <w:trPr>
          <w:trHeight w:val="229"/>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8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1,826</w:t>
            </w:r>
          </w:p>
        </w:tc>
      </w:tr>
      <w:tr>
        <w:trPr>
          <w:trHeight w:val="229"/>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29"/>
        </w:trPr>
        <w:tc>
          <w:tcPr>
            <w:tcW w:w="78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8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(55,578)</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w:t>
            </w:r>
          </w:p>
        </w:tc>
      </w:tr>
      <w:tr>
        <w:trPr>
          <w:trHeight w:val="20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short-term investments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(267,818)</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Maturity of short-term investments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231,244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45,997</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short-term investments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r>
      <w:tr>
        <w:trPr>
          <w:trHeight w:val="223"/>
        </w:trPr>
        <w:tc>
          <w:tcPr>
            <w:tcW w:w="7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47,916</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(222,772)</w:t>
            </w:r>
          </w:p>
        </w:tc>
      </w:tr>
      <w:tr>
        <w:trPr>
          <w:trHeight w:val="20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upon initial public offering, net of issuance costs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150,751</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upon completion of private placement</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Series C preferred stock, net of issuance costs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52,019</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Proceeds from issuances of common stock</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deferred offering costs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212,975</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(30,583)</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50,882</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85,807</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45,231</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55,224</w:t>
            </w: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Reclassification of restricted stock award liabilities to common stock upon vesting</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liabilities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unrealized gain/(loss) on short-term investments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ind w:right="80" w:firstLine="1134"/>
        <w:spacing w:after="0" w:line="255" w:lineRule="auto"/>
        <w:rPr>
          <w:sz w:val="20"/>
          <w:szCs w:val="20"/>
          <w:color w:val="auto"/>
        </w:rPr>
      </w:pPr>
      <w:r>
        <w:rPr>
          <w:rFonts w:ascii="Arial" w:cs="Arial" w:eastAsia="Arial" w:hAnsi="Arial"/>
          <w:sz w:val="18"/>
          <w:szCs w:val="18"/>
          <w:color w:val="auto"/>
        </w:rPr>
        <w:t>Pliant Therapeutics, Inc. (the “Company” or "Pliant" or “we” or “our” or “us”)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240" w:firstLine="1134"/>
        <w:spacing w:after="0" w:line="291" w:lineRule="auto"/>
        <w:rPr>
          <w:sz w:val="20"/>
          <w:szCs w:val="20"/>
          <w:color w:val="auto"/>
        </w:rPr>
      </w:pPr>
      <w:r>
        <w:rPr>
          <w:rFonts w:ascii="Arial" w:cs="Arial" w:eastAsia="Arial" w:hAnsi="Arial"/>
          <w:sz w:val="16"/>
          <w:szCs w:val="16"/>
          <w:color w:val="auto"/>
        </w:rPr>
        <w:t>On May 22, 2020, the Company implemented a 1-for-7.15 reverse stock split of the Company’s common stock. Stockholders entitled to fractional shares as a result of the reverse stock split received a cash payment in lieu of receiving fractional shares.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convertible preferred stock were proportionately reduced and the respective conversion prices were proportionately increased. As of June 3, 2020, all outstanding preferred stock had been converted into common stock.</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firstLine="1134"/>
        <w:spacing w:after="0" w:line="293" w:lineRule="auto"/>
        <w:rPr>
          <w:sz w:val="20"/>
          <w:szCs w:val="20"/>
          <w:color w:val="auto"/>
        </w:rPr>
      </w:pPr>
      <w:r>
        <w:rPr>
          <w:rFonts w:ascii="Arial" w:cs="Arial" w:eastAsia="Arial" w:hAnsi="Arial"/>
          <w:sz w:val="16"/>
          <w:szCs w:val="16"/>
          <w:color w:val="auto"/>
        </w:rPr>
        <w:t>In June 2020, the Company completed its initial public offering (the "IPO"), in which the Company issued and sold an aggregate of 10,350,000 shares of common stock, which consisted of 9,000,000 shares of common stock and 1,350,000 shares of common stock sold pursuant to the underwriters’ exercise of their option to purchase additional shares, at a public offering price of $16.00 per share. The aggregate net proceeds received by the Company from the offering were $148.3 million, net of underwriting discounts, commissions and offering expenses of $5.7 million. Upon the closing of the IPO, 160,389,279 shares of the Company’s outstanding convertible preferred stock were automatically converted to common stock on a 7.15:1 basis and the related carrying amount of $238.3 million was reclassified to common stock and additional paid-in capital within stockholders’ equity (deficit).</w:t>
      </w:r>
    </w:p>
    <w:p>
      <w:pPr>
        <w:spacing w:after="0" w:line="56" w:lineRule="exact"/>
        <w:rPr>
          <w:sz w:val="20"/>
          <w:szCs w:val="20"/>
          <w:color w:val="auto"/>
        </w:rPr>
      </w:pPr>
    </w:p>
    <w:p>
      <w:pPr>
        <w:ind w:right="100" w:firstLine="1134"/>
        <w:spacing w:after="0" w:line="259" w:lineRule="auto"/>
        <w:rPr>
          <w:sz w:val="20"/>
          <w:szCs w:val="20"/>
          <w:color w:val="auto"/>
        </w:rPr>
      </w:pPr>
      <w:r>
        <w:rPr>
          <w:rFonts w:ascii="Arial" w:cs="Arial" w:eastAsia="Arial" w:hAnsi="Arial"/>
          <w:sz w:val="18"/>
          <w:szCs w:val="18"/>
          <w:color w:val="auto"/>
        </w:rPr>
        <w:t>Concurrent with the completion of the IPO, the Company also issued 625,000 shares of its common stock to Novartis Institutes for Biomedical Research, Inc. (“Novartis”), a strategic partner and existing stockholder of the Company, in a private placement at a price of $16.00 per share for proceeds of $10.0 million, which resulted in Novartis owning approximately 6.1% of the Company’s outstanding shares of common stock immediately after the IPO.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40" w:firstLine="1134"/>
        <w:spacing w:after="0" w:line="342"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(“U.S. GAAP”). Certain prior year reported amounts have been reclassified to conform with the current period presentation.</w:t>
      </w:r>
    </w:p>
    <w:p>
      <w:pPr>
        <w:spacing w:after="0" w:line="124" w:lineRule="exact"/>
        <w:rPr>
          <w:sz w:val="20"/>
          <w:szCs w:val="20"/>
          <w:color w:val="auto"/>
        </w:rPr>
      </w:pPr>
    </w:p>
    <w:p>
      <w:pPr>
        <w:ind w:firstLine="1134"/>
        <w:spacing w:after="0" w:line="290" w:lineRule="auto"/>
        <w:rPr>
          <w:sz w:val="20"/>
          <w:szCs w:val="20"/>
          <w:color w:val="auto"/>
        </w:rPr>
      </w:pPr>
      <w:r>
        <w:rPr>
          <w:rFonts w:ascii="Arial" w:cs="Arial" w:eastAsia="Arial" w:hAnsi="Arial"/>
          <w:sz w:val="16"/>
          <w:szCs w:val="16"/>
          <w:color w:val="auto"/>
        </w:rPr>
        <w:t>The accompanying condensed balance sheet as of September 30, 2021, condensed statements of operations and comprehensive loss, condensed statements of cash flows, and the condensed statements of redeemable convertible preferred stock and stockholders’ equity (deficit) for the three and nine months ended September 30, 2021 and 2020, are unaudited. The balance sheet as of December 31, 2020 was derived from audited financial statements as of and for the year ended December 31, 2020. The unaudited interim financial statements have been prepared on the same basis as the audited annual financial statements as of and for the year ended December 31, 2020, and, in the opinion of management, reflect all adjustments, which include only normal recurring adjustments, necessary for the fair statement of the Company’s financial position as of September 30, 2021, and the results of its operations and its cash flows for the three and nine months ended September 30, 2021 and 2020. The financial data and other information disclosed in these notes related to the three and nine months ended September 30, 2021 and 2020, are also unaudited.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1134"/>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and accruals for research and development costs. The Company assesses estimates on an ongoing basis, however, actual results could materially differ from those estimates.</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00" w:firstLine="1134"/>
        <w:spacing w:after="0" w:line="263" w:lineRule="auto"/>
        <w:rPr>
          <w:sz w:val="20"/>
          <w:szCs w:val="20"/>
          <w:color w:val="auto"/>
        </w:rPr>
      </w:pPr>
      <w:r>
        <w:rPr>
          <w:rFonts w:ascii="Arial" w:cs="Arial" w:eastAsia="Arial" w:hAnsi="Arial"/>
          <w:sz w:val="18"/>
          <w:szCs w:val="18"/>
          <w:color w:val="auto"/>
        </w:rPr>
        <w:t>There have been no significant changes to the accounting policies during the nine months ended September 30, 2021, as compared to the significant accounting policies described in Note 2 of the "Notes to the Financial Statements" in the Company's audited financial statements included in its Annual Report on Form 10-K for the fiscal year ended December 31, 2020.</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40" w:firstLine="1134"/>
        <w:spacing w:after="0" w:line="272"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 Update (“ASU”) No. 2016-2,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which requires an entity to recognize assets and liabilities arising from a lease for both financing and operating leases. For public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2016-2 is effective for fiscal years beginning after December 15, 2018. The ASU will also require new qualitative and quantitative disclosures to help investors and other financial statement users better understand the amount, timing, and uncertainty of cash flows arising from leases. As a result of the Company's ceasing to be an emerging growth company on December 31, 2021, Topic 842 will be effective for the Company for its Annual Report on Form 10-K for the year ending December 31, 2021 and interim periods thereafter. The Company is currently in the process of evaluating the impact of the adoption of ASU No. 2016-2 on the Company’s financial statements.</w:t>
      </w:r>
    </w:p>
    <w:p>
      <w:pPr>
        <w:spacing w:after="0" w:line="177" w:lineRule="exact"/>
        <w:rPr>
          <w:sz w:val="20"/>
          <w:szCs w:val="20"/>
          <w:color w:val="auto"/>
        </w:rPr>
      </w:pPr>
    </w:p>
    <w:p>
      <w:pPr>
        <w:ind w:right="80" w:firstLine="1134"/>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The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new standard amends guidance on measuring and reporting credit losses for financial assets held at amortized cost basis,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accounts receivable and investments classified as available for sale, such as our debt securities. This ASU requires a new forward-looking model based on expected credit losses rather than the current one based on incurred losses. As a result of the Company's ceasing to be an emerging growth company on December 31, 2021, this standard will be effective for the Company for its Annual Report on Form 10-K for the year ending December 31, 2021 and interim periods thereafter. The Company is currently in the process of evaluating the impact of the adoption of ASU 2016-13 on the Company’s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w:t>
      </w:r>
    </w:p>
    <w:p>
      <w:pPr>
        <w:spacing w:after="0" w:line="121" w:lineRule="exact"/>
        <w:rPr>
          <w:sz w:val="20"/>
          <w:szCs w:val="20"/>
          <w:color w:val="auto"/>
        </w:rPr>
      </w:pPr>
    </w:p>
    <w:p>
      <w:pPr>
        <w:ind w:right="20" w:firstLine="1134"/>
        <w:spacing w:after="0" w:line="273" w:lineRule="auto"/>
        <w:rPr>
          <w:sz w:val="20"/>
          <w:szCs w:val="20"/>
          <w:color w:val="auto"/>
        </w:rPr>
      </w:pPr>
      <w:r>
        <w:rPr>
          <w:rFonts w:ascii="Arial" w:cs="Arial" w:eastAsia="Arial" w:hAnsi="Arial"/>
          <w:sz w:val="17"/>
          <w:szCs w:val="17"/>
          <w:color w:val="auto"/>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losses or income recognized in other comprehensive income (loss).</w:t>
      </w:r>
    </w:p>
    <w:p>
      <w:pPr>
        <w:spacing w:after="0" w:line="178" w:lineRule="exact"/>
        <w:rPr>
          <w:sz w:val="20"/>
          <w:szCs w:val="20"/>
          <w:color w:val="auto"/>
        </w:rPr>
      </w:pPr>
    </w:p>
    <w:p>
      <w:pPr>
        <w:ind w:firstLine="1134"/>
        <w:spacing w:after="0" w:line="301" w:lineRule="auto"/>
        <w:rPr>
          <w:sz w:val="20"/>
          <w:szCs w:val="20"/>
          <w:color w:val="auto"/>
        </w:rPr>
      </w:pPr>
      <w:r>
        <w:rPr>
          <w:rFonts w:ascii="Arial" w:cs="Arial" w:eastAsia="Arial" w:hAnsi="Arial"/>
          <w:sz w:val="16"/>
          <w:szCs w:val="16"/>
          <w:color w:val="auto"/>
        </w:rPr>
        <w:t>The Company’s cash equivalent Money Market Funds are classified as Level 1 because they are valued using quoted market prices. The fair value of the Company’s U.S. Treasury securities, U.S. government agency securities and corporate debt securities are classified as Level 2 because they are valued using observable inputs to quoted market prices, benchmark yields, reported trades, broker/dealer quotes or alternative pricing sources with reasonable levels of price transparency and include U.S. government agency securities, U.S. Treasury securities and corporate debt securities.</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There were no Level 3 assets or liabilities as of September 30, 2021 and as of December 31, 2020.</w:t>
      </w:r>
    </w:p>
    <w:p>
      <w:pPr>
        <w:spacing w:after="0" w:line="225" w:lineRule="exact"/>
        <w:rPr>
          <w:sz w:val="20"/>
          <w:szCs w:val="20"/>
          <w:color w:val="auto"/>
        </w:rPr>
      </w:pPr>
    </w:p>
    <w:p>
      <w:pPr>
        <w:ind w:right="480" w:firstLine="1134"/>
        <w:spacing w:after="0" w:line="277" w:lineRule="auto"/>
        <w:rPr>
          <w:sz w:val="20"/>
          <w:szCs w:val="20"/>
          <w:color w:val="auto"/>
        </w:rPr>
      </w:pPr>
      <w:r>
        <w:rPr>
          <w:rFonts w:ascii="Arial" w:cs="Arial" w:eastAsia="Arial" w:hAnsi="Arial"/>
          <w:sz w:val="18"/>
          <w:szCs w:val="18"/>
          <w:color w:val="auto"/>
        </w:rPr>
        <w:t>The following tables show the Company’s cash and cash equivalents, Money Market Funds and short-term investments by significant investment category as of September 30, 2021 and December 31, 2020 (in thousands):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As of September 30, 2021</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tcPr>
          <w:p>
            <w:pPr>
              <w:jc w:val="center"/>
              <w:ind w:left="259"/>
              <w:spacing w:after="0" w:line="135"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000" w:type="dxa"/>
            <w:vAlign w:val="bottom"/>
          </w:tcPr>
          <w:p>
            <w:pPr>
              <w:jc w:val="center"/>
              <w:ind w:left="239"/>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56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Level 1:</w:t>
            </w: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19,981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19,981</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U.S. Treasury securities included in short-term investments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176"/>
        </w:trPr>
        <w:tc>
          <w:tcPr>
            <w:tcW w:w="5600" w:type="dxa"/>
            <w:vAlign w:val="bottom"/>
            <w:shd w:val="clear" w:color="auto" w:fill="CFF0FC"/>
          </w:tcPr>
          <w:p>
            <w:pPr>
              <w:ind w:left="220"/>
              <w:spacing w:after="0" w:line="176" w:lineRule="exact"/>
              <w:rPr>
                <w:sz w:val="20"/>
                <w:szCs w:val="20"/>
                <w:color w:val="auto"/>
              </w:rPr>
            </w:pPr>
            <w:r>
              <w:rPr>
                <w:rFonts w:ascii="Arial" w:cs="Arial" w:eastAsia="Arial" w:hAnsi="Arial"/>
                <w:sz w:val="18"/>
                <w:szCs w:val="18"/>
                <w:color w:val="auto"/>
                <w:w w:val="91"/>
              </w:rPr>
              <w:t>U.S. government agency securities included in cash and cash equivalents</w:t>
            </w:r>
          </w:p>
        </w:tc>
        <w:tc>
          <w:tcPr>
            <w:tcW w:w="24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17,057</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40" w:type="dxa"/>
            <w:vAlign w:val="bottom"/>
            <w:gridSpan w:val="2"/>
            <w:vMerge w:val="restart"/>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17,058</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and short-term investments</w:t>
            </w:r>
          </w:p>
        </w:tc>
        <w:tc>
          <w:tcPr>
            <w:tcW w:w="24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00" w:type="dxa"/>
            <w:vAlign w:val="bottom"/>
          </w:tcPr>
          <w:p>
            <w:pPr>
              <w:ind w:left="220"/>
              <w:spacing w:after="0" w:line="176" w:lineRule="exact"/>
              <w:rPr>
                <w:sz w:val="20"/>
                <w:szCs w:val="20"/>
                <w:color w:val="auto"/>
              </w:rPr>
            </w:pPr>
            <w:r>
              <w:rPr>
                <w:rFonts w:ascii="Arial" w:cs="Arial" w:eastAsia="Arial" w:hAnsi="Arial"/>
                <w:sz w:val="18"/>
                <w:szCs w:val="18"/>
                <w:color w:val="auto"/>
                <w:w w:val="90"/>
              </w:rPr>
              <w:t>Corporate debt securities included in cash and cash equivalents and short-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164,292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164,251</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term investments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203,833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(48)</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203,793</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tcPr>
          <w:p>
            <w:pPr>
              <w:jc w:val="center"/>
              <w:ind w:left="259"/>
              <w:spacing w:after="0" w:line="135"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000" w:type="dxa"/>
            <w:vAlign w:val="bottom"/>
          </w:tcPr>
          <w:p>
            <w:pPr>
              <w:jc w:val="center"/>
              <w:ind w:left="239"/>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56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Level 1:</w:t>
            </w: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27,686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27,686</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U.S. Treasury securities included in short-term investments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63,104</w:t>
            </w:r>
          </w:p>
        </w:tc>
        <w:tc>
          <w:tcPr>
            <w:tcW w:w="0" w:type="dxa"/>
            <w:vAlign w:val="bottom"/>
          </w:tcPr>
          <w:p>
            <w:pPr>
              <w:spacing w:after="0"/>
              <w:rPr>
                <w:sz w:val="1"/>
                <w:szCs w:val="1"/>
                <w:color w:val="auto"/>
              </w:rPr>
            </w:pPr>
          </w:p>
        </w:tc>
      </w:tr>
      <w:tr>
        <w:trPr>
          <w:trHeight w:val="175"/>
        </w:trPr>
        <w:tc>
          <w:tcPr>
            <w:tcW w:w="5600" w:type="dxa"/>
            <w:vAlign w:val="bottom"/>
            <w:shd w:val="clear" w:color="auto" w:fill="CFF0FC"/>
          </w:tcPr>
          <w:p>
            <w:pPr>
              <w:ind w:left="220"/>
              <w:spacing w:after="0" w:line="176" w:lineRule="exact"/>
              <w:rPr>
                <w:sz w:val="20"/>
                <w:szCs w:val="20"/>
                <w:color w:val="auto"/>
              </w:rPr>
            </w:pPr>
            <w:r>
              <w:rPr>
                <w:rFonts w:ascii="Arial" w:cs="Arial" w:eastAsia="Arial" w:hAnsi="Arial"/>
                <w:sz w:val="18"/>
                <w:szCs w:val="18"/>
                <w:color w:val="auto"/>
                <w:w w:val="91"/>
              </w:rPr>
              <w:t>U.S. government agency securities included in cash and cash equivalents</w:t>
            </w:r>
          </w:p>
        </w:tc>
        <w:tc>
          <w:tcPr>
            <w:tcW w:w="24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54,183</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40" w:type="dxa"/>
            <w:vAlign w:val="bottom"/>
            <w:gridSpan w:val="2"/>
            <w:vMerge w:val="restart"/>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54,193</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and short-term investments</w:t>
            </w:r>
          </w:p>
        </w:tc>
        <w:tc>
          <w:tcPr>
            <w:tcW w:w="24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00" w:type="dxa"/>
            <w:vAlign w:val="bottom"/>
          </w:tcPr>
          <w:p>
            <w:pPr>
              <w:ind w:left="220"/>
              <w:spacing w:after="0" w:line="176" w:lineRule="exact"/>
              <w:rPr>
                <w:sz w:val="20"/>
                <w:szCs w:val="20"/>
                <w:color w:val="auto"/>
              </w:rPr>
            </w:pPr>
            <w:r>
              <w:rPr>
                <w:rFonts w:ascii="Arial" w:cs="Arial" w:eastAsia="Arial" w:hAnsi="Arial"/>
                <w:sz w:val="18"/>
                <w:szCs w:val="18"/>
                <w:color w:val="auto"/>
                <w:w w:val="90"/>
              </w:rPr>
              <w:t>Corporate debt securities included in cash and cash equivalents and short-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118,759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118,714</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term investments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263,697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40" w:firstLine="1134"/>
        <w:spacing w:after="0" w:line="277" w:lineRule="auto"/>
        <w:rPr>
          <w:sz w:val="20"/>
          <w:szCs w:val="20"/>
          <w:color w:val="auto"/>
        </w:rPr>
      </w:pPr>
      <w:r>
        <w:rPr>
          <w:rFonts w:ascii="Arial" w:cs="Arial" w:eastAsia="Arial" w:hAnsi="Arial"/>
          <w:sz w:val="18"/>
          <w:szCs w:val="18"/>
          <w:color w:val="auto"/>
        </w:rPr>
        <w:t>The Company may sell certain of its short-term securities prior to their stated maturities for reasons including, but not limited to, managing liquidity, credit risk, duration and asset allocation.</w:t>
      </w:r>
    </w:p>
    <w:p>
      <w:pPr>
        <w:spacing w:after="0" w:line="170" w:lineRule="exact"/>
        <w:rPr>
          <w:sz w:val="20"/>
          <w:szCs w:val="20"/>
          <w:color w:val="auto"/>
        </w:rPr>
      </w:pPr>
    </w:p>
    <w:p>
      <w:pPr>
        <w:jc w:val="both"/>
        <w:ind w:right="20" w:firstLine="1134"/>
        <w:spacing w:after="0" w:line="263" w:lineRule="auto"/>
        <w:rPr>
          <w:sz w:val="20"/>
          <w:szCs w:val="20"/>
          <w:color w:val="auto"/>
        </w:rPr>
      </w:pPr>
      <w:r>
        <w:rPr>
          <w:rFonts w:ascii="Arial" w:cs="Arial" w:eastAsia="Arial" w:hAnsi="Arial"/>
          <w:sz w:val="18"/>
          <w:szCs w:val="18"/>
          <w:color w:val="auto"/>
        </w:rPr>
        <w:t>There were no liabilities measured at fair value on a recurring basis as of September 30, 2021 and December 31, 2020. There have been no transfers between fair value measurement levels during the nine months ended September 30, 2021 and 2020. In addition, there were no assets or liabilities measured at fair value on a non-recurring basis as of September 30, 2021 and December 31, 2020.</w:t>
      </w:r>
    </w:p>
    <w:p>
      <w:pPr>
        <w:spacing w:after="0" w:line="184" w:lineRule="exact"/>
        <w:rPr>
          <w:sz w:val="20"/>
          <w:szCs w:val="20"/>
          <w:color w:val="auto"/>
        </w:rPr>
      </w:pPr>
    </w:p>
    <w:p>
      <w:pPr>
        <w:ind w:right="40" w:firstLine="1134"/>
        <w:spacing w:after="0" w:line="275" w:lineRule="auto"/>
        <w:rPr>
          <w:sz w:val="20"/>
          <w:szCs w:val="20"/>
          <w:color w:val="auto"/>
        </w:rPr>
      </w:pPr>
      <w:r>
        <w:rPr>
          <w:rFonts w:ascii="Arial" w:cs="Arial" w:eastAsia="Arial" w:hAnsi="Arial"/>
          <w:sz w:val="17"/>
          <w:szCs w:val="17"/>
          <w:color w:val="auto"/>
        </w:rPr>
        <w:t>As of September 30, 2021,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spacing w:after="0" w:line="176" w:lineRule="exact"/>
        <w:rPr>
          <w:sz w:val="20"/>
          <w:szCs w:val="20"/>
          <w:color w:val="auto"/>
        </w:rPr>
      </w:pPr>
    </w:p>
    <w:p>
      <w:pPr>
        <w:ind w:right="160" w:firstLine="1134"/>
        <w:spacing w:after="0" w:line="342" w:lineRule="auto"/>
        <w:rPr>
          <w:sz w:val="20"/>
          <w:szCs w:val="20"/>
          <w:color w:val="auto"/>
        </w:rPr>
      </w:pPr>
      <w:r>
        <w:rPr>
          <w:rFonts w:ascii="Arial" w:cs="Arial" w:eastAsia="Arial" w:hAnsi="Arial"/>
          <w:sz w:val="16"/>
          <w:szCs w:val="16"/>
          <w:color w:val="auto"/>
        </w:rPr>
        <w:t>The Company records interest income and accretion income earned on Money Market Funds and U.S. Treasury, U.S. government agency and corporate debt securities to interest and other income (expense), net in its condensed statement of operations and comprehensive loss.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8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1"/>
                <w:szCs w:val="11"/>
                <w:color w:val="auto"/>
              </w:rPr>
            </w:pPr>
          </w:p>
        </w:tc>
        <w:tc>
          <w:tcPr>
            <w:tcW w:w="124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88"/>
        </w:trPr>
        <w:tc>
          <w:tcPr>
            <w:tcW w:w="82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6,540</w:t>
            </w: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8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w:t>
            </w: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r>
      <w:tr>
        <w:trPr>
          <w:trHeight w:val="248"/>
        </w:trPr>
        <w:tc>
          <w:tcPr>
            <w:tcW w:w="8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Depreciation expense for the three months ended September 30, 2021 and 2020 was $0.4 million and $0.3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nine months ended September 30, 2021 and 2020 was $1.1 million and $1.0 million,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 and Other Long-Term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1"/>
                <w:szCs w:val="11"/>
                <w:color w:val="auto"/>
              </w:rPr>
            </w:pPr>
          </w:p>
        </w:tc>
        <w:tc>
          <w:tcPr>
            <w:tcW w:w="124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Deferred rent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9,576</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bottom w:val="single" w:sz="8" w:color="CFF0FC"/>
            </w:tcBorders>
            <w:vMerge w:val="restart"/>
          </w:tcPr>
          <w:p>
            <w:pPr>
              <w:ind w:left="1140"/>
              <w:spacing w:after="0"/>
              <w:rPr>
                <w:sz w:val="20"/>
                <w:szCs w:val="20"/>
                <w:color w:val="auto"/>
              </w:rPr>
            </w:pPr>
            <w:r>
              <w:rPr>
                <w:rFonts w:ascii="Arial" w:cs="Arial" w:eastAsia="Arial" w:hAnsi="Arial"/>
                <w:sz w:val="18"/>
                <w:szCs w:val="18"/>
                <w:color w:val="auto"/>
                <w:w w:val="92"/>
              </w:rPr>
              <w:t>Accrued compensation and benefits consist primarily of accrued bonuses and accrued vacation.</w:t>
            </w: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24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40" w:type="dxa"/>
            <w:vAlign w:val="bottom"/>
          </w:tcPr>
          <w:p>
            <w:pPr>
              <w:ind w:left="114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21"/>
                <w:szCs w:val="21"/>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1"/>
                <w:szCs w:val="11"/>
                <w:color w:val="auto"/>
              </w:rPr>
            </w:pPr>
          </w:p>
        </w:tc>
        <w:tc>
          <w:tcPr>
            <w:tcW w:w="124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Leasehold incentive obligation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 — deposits</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Novartis Collaboration and License Agreement (the "Novartis Agreement")</w:t>
      </w:r>
    </w:p>
    <w:p>
      <w:pPr>
        <w:spacing w:after="0" w:line="121" w:lineRule="exact"/>
        <w:rPr>
          <w:sz w:val="20"/>
          <w:szCs w:val="20"/>
          <w:color w:val="auto"/>
        </w:rPr>
      </w:pPr>
    </w:p>
    <w:p>
      <w:pPr>
        <w:ind w:firstLine="1134"/>
        <w:spacing w:after="0" w:line="254" w:lineRule="auto"/>
        <w:rPr>
          <w:sz w:val="20"/>
          <w:szCs w:val="20"/>
          <w:color w:val="auto"/>
        </w:rPr>
      </w:pPr>
      <w:r>
        <w:rPr>
          <w:rFonts w:ascii="Arial" w:cs="Arial" w:eastAsia="Arial" w:hAnsi="Arial"/>
          <w:sz w:val="18"/>
          <w:szCs w:val="18"/>
          <w:color w:val="auto"/>
        </w:rPr>
        <w:t>In 2019, we entered into the Novartis Agreement for the development and commercialization of our preclinical product candidate, PLN-1474 and up to three additional integrin research targets. PLN-1474 is an internally discovered small molecule selective inhibitor of integrin α</w:t>
      </w:r>
      <w:r>
        <w:rPr>
          <w:rFonts w:ascii="Arial" w:cs="Arial" w:eastAsia="Arial" w:hAnsi="Arial"/>
          <w:sz w:val="16"/>
          <w:szCs w:val="16"/>
          <w:color w:val="auto"/>
        </w:rPr>
        <w:t>v</w:t>
      </w:r>
      <w:r>
        <w:rPr>
          <w:rFonts w:ascii="Arial" w:cs="Arial" w:eastAsia="Arial" w:hAnsi="Arial"/>
          <w:sz w:val="18"/>
          <w:szCs w:val="18"/>
          <w:color w:val="auto"/>
        </w:rPr>
        <w:t>ß1, currently being developed for the treatment of liver fibrosis associated with nonalcoholic steatohepatitis (“NASH”). Pursuant to the agreement, we received an upfront, non-refundable license fee of $50.0 million and were eligible to receive additional payments of $416.0 million contingent upon achievement of specified research, development, regulatory and commercial events and royalties on world-wide net sales thereafter. Additionally, Novartis is funding up to $19.6 million associated with research and development services for PLN-1474 and up to $13.4 million for research and development services on the integrin research targets.</w:t>
      </w:r>
    </w:p>
    <w:p>
      <w:pPr>
        <w:sectPr>
          <w:pgSz w:w="11900" w:h="16838" w:orient="portrait"/>
          <w:cols w:equalWidth="0" w:num="1">
            <w:col w:w="11220"/>
          </w:cols>
          <w:pgMar w:left="320" w:top="1215"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type w:val="continuous"/>
        </w:sectPr>
      </w:pPr>
    </w:p>
    <w:bookmarkStart w:id="15" w:name="page16"/>
    <w:bookmarkEnd w:id="15"/>
    <w:p>
      <w:pPr>
        <w:ind w:right="40" w:firstLine="1134"/>
        <w:spacing w:after="0" w:line="259" w:lineRule="auto"/>
        <w:rPr>
          <w:sz w:val="20"/>
          <w:szCs w:val="20"/>
          <w:color w:val="auto"/>
        </w:rPr>
      </w:pPr>
      <w:r>
        <w:rPr>
          <w:rFonts w:ascii="Arial" w:cs="Arial" w:eastAsia="Arial" w:hAnsi="Arial"/>
          <w:sz w:val="18"/>
          <w:szCs w:val="18"/>
          <w:color w:val="auto"/>
        </w:rPr>
        <w:t>To date, we have received $25.0 million in contingent payments and $391.0 million remain eligible for achievement. No contingent payments were recognized during the three and nine months ended September 30, 2021 and one contingent payment of $25.0 million was recognized in the first quarter of 2020. Revenues for research and development services for the three and nine months ended September 30, 2021 and 2020 were $1.6 million and $5.6 million, and $4.8 million and $37.4 million, respectively.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Regents of the University of California License Agreement (the "UC Agreement")</w:t>
      </w:r>
    </w:p>
    <w:p>
      <w:pPr>
        <w:spacing w:after="0" w:line="121" w:lineRule="exact"/>
        <w:rPr>
          <w:sz w:val="20"/>
          <w:szCs w:val="20"/>
          <w:color w:val="auto"/>
        </w:rPr>
      </w:pPr>
    </w:p>
    <w:p>
      <w:pPr>
        <w:ind w:right="100" w:firstLine="1134"/>
        <w:spacing w:after="0" w:line="257" w:lineRule="auto"/>
        <w:rPr>
          <w:sz w:val="20"/>
          <w:szCs w:val="20"/>
          <w:color w:val="auto"/>
        </w:rPr>
      </w:pPr>
      <w:r>
        <w:rPr>
          <w:rFonts w:ascii="Arial" w:cs="Arial" w:eastAsia="Arial" w:hAnsi="Arial"/>
          <w:sz w:val="18"/>
          <w:szCs w:val="18"/>
          <w:color w:val="auto"/>
        </w:rPr>
        <w:t>In 2015, we entered into the UC Agreement to obtain an exclusive, worldwide license relating to the use of certain patents and technology relating to α</w:t>
      </w:r>
      <w:r>
        <w:rPr>
          <w:rFonts w:ascii="Arial" w:cs="Arial" w:eastAsia="Arial" w:hAnsi="Arial"/>
          <w:sz w:val="16"/>
          <w:szCs w:val="16"/>
          <w:color w:val="auto"/>
        </w:rPr>
        <w:t>v</w:t>
      </w:r>
      <w:r>
        <w:rPr>
          <w:rFonts w:ascii="Arial" w:cs="Arial" w:eastAsia="Arial" w:hAnsi="Arial"/>
          <w:sz w:val="18"/>
          <w:szCs w:val="18"/>
          <w:color w:val="auto"/>
        </w:rPr>
        <w:t>ß1 compound in fibrosis indications. Pursuant to the UC Agreement, we made a $2.4 million milestone payment upon the close of our IPO in June 2020. Subsequently, we determined the licensed technology was no longer relevant to the development of our product candidates and, therefore, we exercised our right to terminate the UC Agreement which became effective in the first quarter of 2021. No further obligations or financial commitments survive the termination.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Adimab Development and Option Agreement (the "Adimab Agreement")</w:t>
      </w:r>
    </w:p>
    <w:p>
      <w:pPr>
        <w:spacing w:after="0" w:line="121" w:lineRule="exact"/>
        <w:rPr>
          <w:sz w:val="20"/>
          <w:szCs w:val="20"/>
          <w:color w:val="auto"/>
        </w:rPr>
      </w:pPr>
    </w:p>
    <w:p>
      <w:pPr>
        <w:ind w:right="60" w:firstLine="1134"/>
        <w:spacing w:after="0" w:line="273" w:lineRule="auto"/>
        <w:rPr>
          <w:sz w:val="20"/>
          <w:szCs w:val="20"/>
          <w:color w:val="auto"/>
        </w:rPr>
      </w:pPr>
      <w:r>
        <w:rPr>
          <w:rFonts w:ascii="Arial" w:cs="Arial" w:eastAsia="Arial" w:hAnsi="Arial"/>
          <w:sz w:val="17"/>
          <w:szCs w:val="17"/>
          <w:color w:val="auto"/>
        </w:rPr>
        <w:t>In 2018, we entered into a development and option agreement with Adimab, LLC (“Adimab”) for the discovery and optimization of proprietary antibodies as potential therapeutic product candidates. Under the Adimab Agreement, we will select biological targets against which Adimab will use its proprietary platform technology to research and develop antibody proteins using a mutually agreed upon research plan. We are required to pay Adimab an agreed upon rate for its full-time employees during the discovery period while Adimab performs research on each target under the applicable research plan. We have an exclusive option to obtain a worldwide, royalty-bearing, sublicensable license under Adimab platform patents and other Adimab technology to research, develop and commercialize up to 24 antibodies of our selection.</w:t>
      </w:r>
    </w:p>
    <w:p>
      <w:pPr>
        <w:spacing w:after="0" w:line="70" w:lineRule="exact"/>
        <w:rPr>
          <w:sz w:val="20"/>
          <w:szCs w:val="20"/>
          <w:color w:val="auto"/>
        </w:rPr>
      </w:pPr>
    </w:p>
    <w:p>
      <w:pPr>
        <w:ind w:right="160" w:firstLine="1134"/>
        <w:spacing w:after="0" w:line="301" w:lineRule="auto"/>
        <w:rPr>
          <w:sz w:val="20"/>
          <w:szCs w:val="20"/>
          <w:color w:val="auto"/>
        </w:rPr>
      </w:pPr>
      <w:r>
        <w:rPr>
          <w:rFonts w:ascii="Arial" w:cs="Arial" w:eastAsia="Arial" w:hAnsi="Arial"/>
          <w:sz w:val="16"/>
          <w:szCs w:val="16"/>
          <w:color w:val="auto"/>
        </w:rPr>
        <w:t>As of September 30, 2021, we have not exercised our option to further develop any antibody proteins. During the nine months ended September 30, 2021, we recognized research and development expenses under the Adimab Agreement of $28,000 related to full-time employee costs. No research and development expenses under the Adimab Agreement was recognized during the three months ended September 30, 2021. The Company recognized costs of $37,000 during the nine months ended September 30, 2020 and no costs during the three months ended September 30, 2020.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ind w:firstLine="1134"/>
        <w:spacing w:after="0" w:line="296" w:lineRule="auto"/>
        <w:rPr>
          <w:sz w:val="20"/>
          <w:szCs w:val="20"/>
          <w:color w:val="auto"/>
        </w:rPr>
      </w:pPr>
      <w:r>
        <w:rPr>
          <w:rFonts w:ascii="Arial" w:cs="Arial" w:eastAsia="Arial" w:hAnsi="Arial"/>
          <w:sz w:val="16"/>
          <w:szCs w:val="16"/>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a result of the IPO in June 2020, in which all then outstanding convertible preferred stock was converted into shares of common stock of the Company, there are no outstanding shares of preferred stock as of September 30,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right="360" w:firstLine="1134"/>
        <w:spacing w:after="0" w:line="277" w:lineRule="auto"/>
        <w:rPr>
          <w:sz w:val="20"/>
          <w:szCs w:val="20"/>
          <w:color w:val="auto"/>
        </w:rPr>
      </w:pPr>
      <w:r>
        <w:rPr>
          <w:rFonts w:ascii="Arial" w:cs="Arial" w:eastAsia="Arial" w:hAnsi="Arial"/>
          <w:sz w:val="18"/>
          <w:szCs w:val="18"/>
          <w:color w:val="auto"/>
        </w:rPr>
        <w:t>As of September 30, 2021 and December 31, 2020, the Company was authorized to issue 300,000,000 shares of common stock at a par value of $0.0001 per share. The common stock has the following rights and privileges:</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120" w:firstLine="1134"/>
        <w:spacing w:after="0" w:line="277"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any meeting of stockholders and at the time of any written action in lieu of a meeting.</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340" w:firstLine="1134"/>
        <w:spacing w:after="0" w:line="263" w:lineRule="auto"/>
        <w:rPr>
          <w:sz w:val="20"/>
          <w:szCs w:val="20"/>
          <w:color w:val="auto"/>
        </w:rPr>
      </w:pPr>
      <w:r>
        <w:rPr>
          <w:rFonts w:ascii="Arial" w:cs="Arial" w:eastAsia="Arial" w:hAnsi="Arial"/>
          <w:sz w:val="18"/>
          <w:szCs w:val="18"/>
          <w:color w:val="auto"/>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right="80" w:firstLine="1134"/>
        <w:spacing w:after="0" w:line="263" w:lineRule="auto"/>
        <w:rPr>
          <w:sz w:val="20"/>
          <w:szCs w:val="20"/>
          <w:color w:val="auto"/>
        </w:rPr>
      </w:pPr>
      <w:r>
        <w:rPr>
          <w:rFonts w:ascii="Arial" w:cs="Arial" w:eastAsia="Arial" w:hAnsi="Arial"/>
          <w:sz w:val="18"/>
          <w:szCs w:val="18"/>
          <w:color w:val="auto"/>
        </w:rPr>
        <w:t>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824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86"/>
        </w:trPr>
        <w:tc>
          <w:tcPr>
            <w:tcW w:w="82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6"/>
        </w:trPr>
        <w:tc>
          <w:tcPr>
            <w:tcW w:w="8240" w:type="dxa"/>
            <w:vAlign w:val="bottom"/>
          </w:tcPr>
          <w:p>
            <w:pPr>
              <w:ind w:left="20"/>
              <w:spacing w:after="0"/>
              <w:rPr>
                <w:sz w:val="20"/>
                <w:szCs w:val="20"/>
                <w:color w:val="auto"/>
              </w:rPr>
            </w:pPr>
            <w:r>
              <w:rPr>
                <w:rFonts w:ascii="Arial" w:cs="Arial" w:eastAsia="Arial" w:hAnsi="Arial"/>
                <w:sz w:val="18"/>
                <w:szCs w:val="18"/>
                <w:color w:val="auto"/>
              </w:rPr>
              <w:t>Exercises of outstanding stock option awards</w:t>
            </w:r>
          </w:p>
        </w:tc>
        <w:tc>
          <w:tcPr>
            <w:tcW w:w="1440" w:type="dxa"/>
            <w:vAlign w:val="bottom"/>
          </w:tcPr>
          <w:p>
            <w:pPr>
              <w:jc w:val="right"/>
              <w:spacing w:after="0"/>
              <w:rPr>
                <w:sz w:val="20"/>
                <w:szCs w:val="20"/>
                <w:color w:val="auto"/>
              </w:rPr>
            </w:pPr>
            <w:r>
              <w:rPr>
                <w:rFonts w:ascii="Arial" w:cs="Arial" w:eastAsia="Arial" w:hAnsi="Arial"/>
                <w:sz w:val="18"/>
                <w:szCs w:val="18"/>
                <w:color w:val="auto"/>
              </w:rPr>
              <w:t>3,687,930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2,993,855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available for future grants under the 2020 Equity Incentive Plan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4,290,283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3,644,459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of common stock available for future issuance under the 2020 ESPP</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613,098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reserved for future issuance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8,591,311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7,338,314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 and Stock-Based Compensation</w:t>
      </w:r>
    </w:p>
    <w:p>
      <w:pPr>
        <w:spacing w:after="0" w:line="121" w:lineRule="exact"/>
        <w:rPr>
          <w:sz w:val="20"/>
          <w:szCs w:val="20"/>
          <w:color w:val="auto"/>
        </w:rPr>
      </w:pPr>
    </w:p>
    <w:p>
      <w:pPr>
        <w:ind w:right="80" w:firstLine="1134"/>
        <w:spacing w:after="0" w:line="272" w:lineRule="auto"/>
        <w:rPr>
          <w:sz w:val="20"/>
          <w:szCs w:val="20"/>
          <w:color w:val="auto"/>
        </w:rPr>
      </w:pPr>
      <w:r>
        <w:rPr>
          <w:rFonts w:ascii="Arial" w:cs="Arial" w:eastAsia="Arial" w:hAnsi="Arial"/>
          <w:sz w:val="17"/>
          <w:szCs w:val="17"/>
          <w:color w:val="auto"/>
        </w:rPr>
        <w:t>In August 2015, the Company's board of directors adopted the 2015 Equity Incentive Plan (as amended, the “2015 Plan”), which provides for the grant of incentive stock options, nonqualified stock options or other awards including stock appreciation rights and restricted stock awards to the Company’s employees, officers, directors, advisors, and consultants for the purchase of up to 1.5 million shares of the Company’s common stock. In July 2018 and January 2019, the 2015 Plan was amended to increase the number of shares reserved thereunder by 1.0 million and 0.4 million shares, respectively. In March 2020, the Company’s board of directors and stockholders voted to increase the number of shares reserved for issuance under the 2015 Plan by 1.4 million shares. In May 2020, the board of directors adopted the 2020 Stock Options and Incentive Plan (the “2020 Plan”). The 2015 Plan was suspended and no further grants may be issued under the 2015 Plan.</w:t>
      </w:r>
    </w:p>
    <w:p>
      <w:pPr>
        <w:spacing w:after="0" w:line="69" w:lineRule="exact"/>
        <w:rPr>
          <w:sz w:val="20"/>
          <w:szCs w:val="20"/>
          <w:color w:val="auto"/>
        </w:rPr>
      </w:pPr>
    </w:p>
    <w:p>
      <w:pPr>
        <w:ind w:right="40" w:firstLine="1134"/>
        <w:spacing w:after="0" w:line="288" w:lineRule="auto"/>
        <w:rPr>
          <w:sz w:val="20"/>
          <w:szCs w:val="20"/>
          <w:color w:val="auto"/>
        </w:rPr>
      </w:pPr>
      <w:r>
        <w:rPr>
          <w:rFonts w:ascii="Arial" w:cs="Arial" w:eastAsia="Arial" w:hAnsi="Arial"/>
          <w:sz w:val="16"/>
          <w:szCs w:val="16"/>
          <w:color w:val="auto"/>
        </w:rPr>
        <w:t>The 2020 Plan provides for the grant of incentive stock options, nonqualified stock options or other awards including stock appreciation rights, restricted stock awards and restricted stock units to the Company’s employees, officers, directors, advisors, and consultants for the purchase of up to 4.2 million shares of the Company’s common stock. In addition, to the extent that awards outstanding under the 2020 Plan or the 2015 Plan are cancelled, forfeited or held back upon exercise or settlement of an award to satisfy the exercise price or tax withholding, reacquired by the Company prior to vesting, satisfied without any issuance of stock, expire or are otherwise terminated (other than by exercise) subsequent to May 2020, the shares of common stock reserved for issuance pursuant to such awards will become available for issuance as shares of common stock under the 2020 Plan. The 2020 Plan provides that an additional number of shares will automatically be added to the shares authorized for issuance under the 2020 Plan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of the Company. As of September 30, 2021, 4.3 million shares remained available for issuance under the 2020 Plan.</w:t>
      </w:r>
    </w:p>
    <w:p>
      <w:pPr>
        <w:spacing w:after="0" w:line="168" w:lineRule="exact"/>
        <w:rPr>
          <w:sz w:val="20"/>
          <w:szCs w:val="20"/>
          <w:color w:val="auto"/>
        </w:rPr>
      </w:pPr>
    </w:p>
    <w:p>
      <w:pPr>
        <w:ind w:firstLine="1053"/>
        <w:spacing w:after="0" w:line="275" w:lineRule="auto"/>
        <w:rPr>
          <w:sz w:val="20"/>
          <w:szCs w:val="20"/>
          <w:color w:val="auto"/>
        </w:rPr>
      </w:pPr>
      <w:r>
        <w:rPr>
          <w:rFonts w:ascii="Arial" w:cs="Arial" w:eastAsia="Arial" w:hAnsi="Arial"/>
          <w:sz w:val="17"/>
          <w:szCs w:val="17"/>
          <w:color w:val="auto"/>
        </w:rPr>
        <w:t>Prior to the adoption of the 2020 Plan, options under the 2015 Plan could be granted for periods of up to 10 years and at prices no less than 100% of the estimated fair value of the shares on the date of grant as determined by our board of directors, provided, however, that the exercise price of an incentive stock option granted to a person owning (or deemed to own) stock possessing more than ten percent of the total combined voting power of all classes of stock of the Company or any affiliate of the Company (a "10% shareholder") could not be less than 110% of the estimated fair value of the shares on the date of grant and the option was not exercisable after the expiration of five years from the date of grant.</w:t>
      </w:r>
    </w:p>
    <w:p>
      <w:pPr>
        <w:spacing w:after="0" w:line="176" w:lineRule="exact"/>
        <w:rPr>
          <w:sz w:val="20"/>
          <w:szCs w:val="20"/>
          <w:color w:val="auto"/>
        </w:rPr>
      </w:pPr>
    </w:p>
    <w:p>
      <w:pPr>
        <w:ind w:right="60" w:firstLine="1053"/>
        <w:spacing w:after="0" w:line="259" w:lineRule="auto"/>
        <w:rPr>
          <w:sz w:val="20"/>
          <w:szCs w:val="20"/>
          <w:color w:val="auto"/>
        </w:rPr>
      </w:pPr>
      <w:r>
        <w:rPr>
          <w:rFonts w:ascii="Arial" w:cs="Arial" w:eastAsia="Arial" w:hAnsi="Arial"/>
          <w:sz w:val="18"/>
          <w:szCs w:val="18"/>
          <w:color w:val="auto"/>
        </w:rPr>
        <w:t>Options under the 2020 Plan may be granted for periods of up to 10 years and at prices no less than the market price of the Company’s common stock on the date of grant,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Common Stock Awards</w:t>
      </w:r>
    </w:p>
    <w:p>
      <w:pPr>
        <w:spacing w:after="0" w:line="117" w:lineRule="exact"/>
        <w:rPr>
          <w:sz w:val="20"/>
          <w:szCs w:val="20"/>
          <w:color w:val="auto"/>
        </w:rPr>
      </w:pPr>
    </w:p>
    <w:p>
      <w:pPr>
        <w:ind w:right="40" w:firstLine="1134"/>
        <w:spacing w:after="0" w:line="257" w:lineRule="auto"/>
        <w:rPr>
          <w:sz w:val="20"/>
          <w:szCs w:val="20"/>
          <w:color w:val="auto"/>
        </w:rPr>
      </w:pPr>
      <w:r>
        <w:rPr>
          <w:rFonts w:ascii="Arial" w:cs="Arial" w:eastAsia="Arial" w:hAnsi="Arial"/>
          <w:sz w:val="18"/>
          <w:szCs w:val="18"/>
          <w:color w:val="auto"/>
        </w:rPr>
        <w:t>The Company granted restricted stock awards under the 2015 Plan. The purchase price of the restricted common stock awards was the estimated fair value as determined by the Company's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w:t>
      </w:r>
    </w:p>
    <w:p>
      <w:pPr>
        <w:sectPr>
          <w:pgSz w:w="11900" w:h="16838" w:orient="portrait"/>
          <w:cols w:equalWidth="0" w:num="1">
            <w:col w:w="11220"/>
          </w:cols>
          <w:pgMar w:left="320" w:top="1219"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type w:val="continuous"/>
        </w:sectPr>
      </w:pPr>
    </w:p>
    <w:bookmarkStart w:id="17" w:name="page18"/>
    <w:bookmarkEnd w:id="17"/>
    <w:p>
      <w:pPr>
        <w:ind w:right="520"/>
        <w:spacing w:after="0" w:line="277" w:lineRule="auto"/>
        <w:rPr>
          <w:sz w:val="20"/>
          <w:szCs w:val="20"/>
          <w:color w:val="auto"/>
        </w:rPr>
      </w:pPr>
      <w:r>
        <w:rPr>
          <w:rFonts w:ascii="Arial" w:cs="Arial" w:eastAsia="Arial" w:hAnsi="Arial"/>
          <w:sz w:val="18"/>
          <w:szCs w:val="18"/>
          <w:color w:val="auto"/>
        </w:rPr>
        <w:t>of common stock will be the lower of (i) the fair market value on the date of repurchase or (ii) their original purchase price. During the vesting term, holders of restricted stock awards are deemed to be common stock shareholders and have dividends and voting rights.</w:t>
      </w:r>
    </w:p>
    <w:p>
      <w:pPr>
        <w:spacing w:after="0" w:line="170" w:lineRule="exact"/>
        <w:rPr>
          <w:sz w:val="20"/>
          <w:szCs w:val="20"/>
          <w:color w:val="auto"/>
        </w:rPr>
      </w:pPr>
    </w:p>
    <w:p>
      <w:pPr>
        <w:ind w:right="120" w:firstLine="1134"/>
        <w:spacing w:after="0" w:line="259" w:lineRule="auto"/>
        <w:rPr>
          <w:sz w:val="20"/>
          <w:szCs w:val="20"/>
          <w:color w:val="auto"/>
        </w:rPr>
      </w:pPr>
      <w:r>
        <w:rPr>
          <w:rFonts w:ascii="Arial" w:cs="Arial" w:eastAsia="Arial" w:hAnsi="Arial"/>
          <w:sz w:val="18"/>
          <w:szCs w:val="18"/>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September 30, 2021 and December 31, 2020, the Company recorded a liability included in accrued expenses and other liabilities of $3,000 and $10,000, respectively.</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There were no grants of restricted stock awards for the nine months ended months ended September 30, 2021 and 2020.</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following table summarizes restricted stock activity during the nine months ended months ended September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1"/>
                <w:szCs w:val="11"/>
                <w:color w:val="auto"/>
              </w:rPr>
            </w:pPr>
          </w:p>
        </w:tc>
        <w:tc>
          <w:tcPr>
            <w:tcW w:w="120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24"/>
        </w:trPr>
        <w:tc>
          <w:tcPr>
            <w:tcW w:w="82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and unvested, as of December 31, 2020</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126,522</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Issued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Repurchases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and unvested, as of September 30, 2021</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37,838</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20" w:firstLine="1134"/>
        <w:spacing w:after="0" w:line="342" w:lineRule="auto"/>
        <w:rPr>
          <w:sz w:val="20"/>
          <w:szCs w:val="20"/>
          <w:color w:val="auto"/>
        </w:rPr>
      </w:pPr>
      <w:r>
        <w:rPr>
          <w:rFonts w:ascii="Arial" w:cs="Arial" w:eastAsia="Arial" w:hAnsi="Arial"/>
          <w:sz w:val="16"/>
          <w:szCs w:val="16"/>
          <w:color w:val="auto"/>
        </w:rPr>
        <w:t>Restricted stock awards of 4,195 shares with a weighted-average grant date fair value of $0.08 per share, were not purchased by the award holders as of September 30, 2021. As these shares of the restricted common stock awards were not issued, they are not included in the table above.</w:t>
      </w:r>
    </w:p>
    <w:p>
      <w:pPr>
        <w:spacing w:after="0" w:line="1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aggregate fair value of restricted stock awards vested during the nine months ended months ended September 30, 2021 was $150,000.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intrinsic value of outstanding unvested restricted stock awards as of September 30, 2021 was $0.6 million.</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Incentive Stock Options and Nonqualified Stock Options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Stock options issued under either the 2015 Plan or the 2020 Plan generally vest over four years and expire ten years from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options provide for accelerated vesting if there is a change in control, as defined in the respective plans.</w:t>
      </w:r>
    </w:p>
    <w:p>
      <w:pPr>
        <w:spacing w:after="0" w:line="211" w:lineRule="exact"/>
        <w:rPr>
          <w:sz w:val="20"/>
          <w:szCs w:val="20"/>
          <w:color w:val="auto"/>
        </w:rPr>
      </w:pPr>
    </w:p>
    <w:p>
      <w:pPr>
        <w:ind w:right="280" w:firstLine="1134"/>
        <w:spacing w:after="0" w:line="277" w:lineRule="auto"/>
        <w:rPr>
          <w:sz w:val="20"/>
          <w:szCs w:val="20"/>
          <w:color w:val="auto"/>
        </w:rPr>
      </w:pPr>
      <w:r>
        <w:rPr>
          <w:rFonts w:ascii="Arial" w:cs="Arial" w:eastAsia="Arial" w:hAnsi="Arial"/>
          <w:sz w:val="18"/>
          <w:szCs w:val="18"/>
          <w:color w:val="auto"/>
        </w:rPr>
        <w:t>The Company used Black-Scholes option pricing model to estimate stock-based compensation expense for stock option awards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Nine Months Ended September 30,</w:t>
            </w:r>
          </w:p>
        </w:tc>
        <w:tc>
          <w:tcPr>
            <w:tcW w:w="1340" w:type="dxa"/>
            <w:vAlign w:val="bottom"/>
            <w:tcBorders>
              <w:bottom w:val="single" w:sz="8" w:color="auto"/>
            </w:tcBorders>
          </w:tcPr>
          <w:p>
            <w:pPr>
              <w:spacing w:after="0"/>
              <w:rPr>
                <w:sz w:val="16"/>
                <w:szCs w:val="16"/>
                <w:color w:val="auto"/>
              </w:rPr>
            </w:pPr>
          </w:p>
        </w:tc>
      </w:tr>
      <w:tr>
        <w:trPr>
          <w:trHeight w:val="187"/>
        </w:trPr>
        <w:tc>
          <w:tcPr>
            <w:tcW w:w="588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gridSpan w:val="2"/>
          </w:tcPr>
          <w:p>
            <w:pPr>
              <w:jc w:val="right"/>
              <w:ind w:right="10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- 76.31%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- 77.50%</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jc w:val="right"/>
              <w:spacing w:after="0"/>
              <w:rPr>
                <w:sz w:val="20"/>
                <w:szCs w:val="20"/>
                <w:color w:val="auto"/>
              </w:rPr>
            </w:pPr>
            <w:r>
              <w:rPr>
                <w:rFonts w:ascii="Arial" w:cs="Arial" w:eastAsia="Arial" w:hAnsi="Arial"/>
                <w:sz w:val="18"/>
                <w:szCs w:val="18"/>
                <w:color w:val="auto"/>
              </w:rPr>
              <w:t>0.61%</w:t>
            </w:r>
          </w:p>
        </w:tc>
        <w:tc>
          <w:tcPr>
            <w:tcW w:w="1340" w:type="dxa"/>
            <w:vAlign w:val="bottom"/>
          </w:tcPr>
          <w:p>
            <w:pPr>
              <w:ind w:left="20"/>
              <w:spacing w:after="0"/>
              <w:rPr>
                <w:sz w:val="20"/>
                <w:szCs w:val="20"/>
                <w:color w:val="auto"/>
              </w:rPr>
            </w:pPr>
            <w:r>
              <w:rPr>
                <w:rFonts w:ascii="Arial" w:cs="Arial" w:eastAsia="Arial" w:hAnsi="Arial"/>
                <w:sz w:val="18"/>
                <w:szCs w:val="18"/>
                <w:color w:val="auto"/>
              </w:rPr>
              <w:t>- 1.07%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0.27%</w:t>
            </w:r>
          </w:p>
        </w:tc>
        <w:tc>
          <w:tcPr>
            <w:tcW w:w="1340" w:type="dxa"/>
            <w:vAlign w:val="bottom"/>
          </w:tcPr>
          <w:p>
            <w:pPr>
              <w:ind w:left="20"/>
              <w:spacing w:after="0"/>
              <w:rPr>
                <w:sz w:val="20"/>
                <w:szCs w:val="20"/>
                <w:color w:val="auto"/>
              </w:rPr>
            </w:pPr>
            <w:r>
              <w:rPr>
                <w:rFonts w:ascii="Arial" w:cs="Arial" w:eastAsia="Arial" w:hAnsi="Arial"/>
                <w:sz w:val="18"/>
                <w:szCs w:val="18"/>
                <w:color w:val="auto"/>
              </w:rPr>
              <w:t>- 0.82%</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w:t>
            </w:r>
          </w:p>
        </w:tc>
        <w:tc>
          <w:tcPr>
            <w:tcW w:w="26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5.44</w:t>
            </w:r>
          </w:p>
        </w:tc>
        <w:tc>
          <w:tcPr>
            <w:tcW w:w="1340" w:type="dxa"/>
            <w:vAlign w:val="bottom"/>
          </w:tcPr>
          <w:p>
            <w:pPr>
              <w:ind w:left="20"/>
              <w:spacing w:after="0"/>
              <w:rPr>
                <w:sz w:val="20"/>
                <w:szCs w:val="20"/>
                <w:color w:val="auto"/>
              </w:rPr>
            </w:pPr>
            <w:r>
              <w:rPr>
                <w:rFonts w:ascii="Arial" w:cs="Arial" w:eastAsia="Arial" w:hAnsi="Arial"/>
                <w:sz w:val="18"/>
                <w:szCs w:val="18"/>
                <w:color w:val="auto"/>
              </w:rPr>
              <w:t>- 6.08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w:t>
            </w:r>
          </w:p>
        </w:tc>
        <w:tc>
          <w:tcPr>
            <w:tcW w:w="1340" w:type="dxa"/>
            <w:vAlign w:val="bottom"/>
          </w:tcPr>
          <w:p>
            <w:pPr>
              <w:ind w:left="20"/>
              <w:spacing w:after="0"/>
              <w:rPr>
                <w:sz w:val="20"/>
                <w:szCs w:val="20"/>
                <w:color w:val="auto"/>
              </w:rPr>
            </w:pPr>
            <w:r>
              <w:rPr>
                <w:rFonts w:ascii="Arial" w:cs="Arial" w:eastAsia="Arial" w:hAnsi="Arial"/>
                <w:sz w:val="18"/>
                <w:szCs w:val="18"/>
                <w:color w:val="auto"/>
              </w:rPr>
              <w:t>- 6.75</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Underlying common stock fair value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- 38.23</w:t>
            </w:r>
          </w:p>
        </w:tc>
        <w:tc>
          <w:tcPr>
            <w:tcW w:w="10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6.22 - 24.64</w:t>
            </w:r>
          </w:p>
        </w:tc>
      </w:tr>
    </w:tbl>
    <w:p>
      <w:pPr>
        <w:spacing w:after="0" w:line="2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Company granted 63,350 stock options under the 2020 Plan during the three months ended September 30, 2021.</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 summary of option activity under the 2015 Plan and the 2020 Plan is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tcPr>
          <w:p>
            <w:pPr>
              <w:ind w:left="660"/>
              <w:spacing w:after="0" w:line="135"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Average Exercise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1"/>
                <w:szCs w:val="11"/>
                <w:color w:val="auto"/>
              </w:rPr>
            </w:pPr>
          </w:p>
        </w:tc>
        <w:tc>
          <w:tcPr>
            <w:tcW w:w="11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 per Share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 (in Years)</w:t>
            </w:r>
          </w:p>
        </w:tc>
        <w:tc>
          <w:tcPr>
            <w:tcW w:w="260" w:type="dxa"/>
            <w:vAlign w:val="bottom"/>
          </w:tcPr>
          <w:p>
            <w:pPr>
              <w:spacing w:after="0"/>
              <w:rPr>
                <w:sz w:val="16"/>
                <w:szCs w:val="16"/>
                <w:color w:val="auto"/>
              </w:rPr>
            </w:pPr>
          </w:p>
        </w:tc>
        <w:tc>
          <w:tcPr>
            <w:tcW w:w="118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2020</w:t>
            </w:r>
          </w:p>
        </w:tc>
        <w:tc>
          <w:tcPr>
            <w:tcW w:w="14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7"/>
              </w:rPr>
              <w:t>2,993,855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43,890</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ind w:left="640"/>
              <w:spacing w:after="0"/>
              <w:rPr>
                <w:sz w:val="20"/>
                <w:szCs w:val="20"/>
                <w:color w:val="auto"/>
              </w:rPr>
            </w:pPr>
            <w:r>
              <w:rPr>
                <w:rFonts w:ascii="Arial" w:cs="Arial" w:eastAsia="Arial" w:hAnsi="Arial"/>
                <w:sz w:val="18"/>
                <w:szCs w:val="18"/>
                <w:color w:val="auto"/>
                <w:w w:val="97"/>
              </w:rPr>
              <w:t>1,347,091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3"/>
              </w:rPr>
              <w:t>(250,488)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Forfeited / expired</w:t>
            </w:r>
          </w:p>
        </w:tc>
        <w:tc>
          <w:tcPr>
            <w:tcW w:w="14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3"/>
              </w:rPr>
              <w:t>(402,528)</w:t>
            </w: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2021</w:t>
            </w:r>
          </w:p>
        </w:tc>
        <w:tc>
          <w:tcPr>
            <w:tcW w:w="14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7"/>
              </w:rPr>
              <w:t>3,687,930</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24,438</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Exercisable as of September 30, 2021</w:t>
            </w: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1440" w:type="dxa"/>
            <w:vAlign w:val="bottom"/>
            <w:tcBorders>
              <w:bottom w:val="single" w:sz="8" w:color="auto"/>
            </w:tcBorders>
          </w:tcPr>
          <w:p>
            <w:pPr>
              <w:ind w:left="640"/>
              <w:spacing w:after="0" w:line="203" w:lineRule="exact"/>
              <w:rPr>
                <w:sz w:val="20"/>
                <w:szCs w:val="20"/>
                <w:color w:val="auto"/>
              </w:rPr>
            </w:pPr>
            <w:r>
              <w:rPr>
                <w:rFonts w:ascii="Arial" w:cs="Arial" w:eastAsia="Arial" w:hAnsi="Arial"/>
                <w:sz w:val="18"/>
                <w:szCs w:val="18"/>
                <w:color w:val="auto"/>
                <w:w w:val="97"/>
              </w:rPr>
              <w:t>1,165,038</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7.94</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7.71</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expected to vest as of September 30, 2021</w:t>
            </w:r>
          </w:p>
        </w:tc>
        <w:tc>
          <w:tcPr>
            <w:tcW w:w="14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7"/>
              </w:rPr>
              <w:t>3,687,930</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24,438</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firstLine="1134"/>
        <w:spacing w:after="0" w:line="263" w:lineRule="auto"/>
        <w:rPr>
          <w:sz w:val="20"/>
          <w:szCs w:val="20"/>
          <w:color w:val="auto"/>
        </w:rPr>
      </w:pPr>
      <w:r>
        <w:rPr>
          <w:rFonts w:ascii="Arial" w:cs="Arial" w:eastAsia="Arial" w:hAnsi="Arial"/>
          <w:sz w:val="18"/>
          <w:szCs w:val="18"/>
          <w:color w:val="auto"/>
        </w:rPr>
        <w:t>Aggregate intrinsic value represents the difference between the fair value of the underlying common stock and the exercise price as of September 30, 2021. The weighted-average grant date fair value of options granted during the nine months ended months ended September 30, 2021 was $17.69 per share.</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520" w:firstLine="1134"/>
        <w:spacing w:after="0" w:line="277"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Company’s stock-based awards for the three and nine months ended September 30, 2021 and 2020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14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awards</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Stock options and ESPP</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2,764</w:t>
            </w:r>
          </w:p>
        </w:tc>
        <w:tc>
          <w:tcPr>
            <w:tcW w:w="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1,118</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7,520</w:t>
            </w: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2,811</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1,169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Research and development expenses</w:t>
            </w: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00" w:type="dxa"/>
            <w:vAlign w:val="bottom"/>
            <w:vMerge w:val="continue"/>
          </w:tcPr>
          <w:p>
            <w:pPr>
              <w:spacing w:after="0"/>
              <w:rPr>
                <w:sz w:val="17"/>
                <w:szCs w:val="17"/>
                <w:color w:val="auto"/>
              </w:rPr>
            </w:pPr>
          </w:p>
        </w:tc>
        <w:tc>
          <w:tcPr>
            <w:tcW w:w="760" w:type="dxa"/>
            <w:vAlign w:val="bottom"/>
          </w:tcPr>
          <w:p>
            <w:pPr>
              <w:jc w:val="right"/>
              <w:ind w:right="576"/>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915</w:t>
            </w:r>
          </w:p>
        </w:tc>
        <w:tc>
          <w:tcPr>
            <w:tcW w:w="120" w:type="dxa"/>
            <w:vAlign w:val="bottom"/>
          </w:tcPr>
          <w:p>
            <w:pPr>
              <w:spacing w:after="0"/>
              <w:rPr>
                <w:sz w:val="17"/>
                <w:szCs w:val="17"/>
                <w:color w:val="auto"/>
              </w:rPr>
            </w:pPr>
          </w:p>
        </w:tc>
        <w:tc>
          <w:tcPr>
            <w:tcW w:w="780" w:type="dxa"/>
            <w:vAlign w:val="bottom"/>
          </w:tcPr>
          <w:p>
            <w:pPr>
              <w:jc w:val="right"/>
              <w:ind w:right="594"/>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564</w:t>
            </w:r>
          </w:p>
        </w:tc>
        <w:tc>
          <w:tcPr>
            <w:tcW w:w="10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2,953</w:t>
            </w:r>
          </w:p>
        </w:tc>
        <w:tc>
          <w:tcPr>
            <w:tcW w:w="100" w:type="dxa"/>
            <w:vAlign w:val="bottom"/>
          </w:tcPr>
          <w:p>
            <w:pPr>
              <w:spacing w:after="0"/>
              <w:rPr>
                <w:sz w:val="17"/>
                <w:szCs w:val="17"/>
                <w:color w:val="auto"/>
              </w:rPr>
            </w:pPr>
          </w:p>
        </w:tc>
        <w:tc>
          <w:tcPr>
            <w:tcW w:w="440" w:type="dxa"/>
            <w:vAlign w:val="bottom"/>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1,896</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firstLine="1134"/>
        <w:spacing w:after="0" w:line="286" w:lineRule="auto"/>
        <w:rPr>
          <w:sz w:val="20"/>
          <w:szCs w:val="20"/>
          <w:color w:val="auto"/>
        </w:rPr>
      </w:pPr>
      <w:r>
        <w:rPr>
          <w:rFonts w:ascii="Arial" w:cs="Arial" w:eastAsia="Arial" w:hAnsi="Arial"/>
          <w:sz w:val="17"/>
          <w:szCs w:val="17"/>
          <w:color w:val="auto"/>
        </w:rPr>
        <w:t>As of September 30, 2021, there was $0.1 million of unrecognized compensation costs that is expected to be recognized over the weighted-average periods of 0.62 years related to restricted stock awards. As of September 30, 2021, there was $27.0 million of unrecognized compensation costs that is expected to be recognized over the weighted-average periods of 2.57 years related to stock options.</w:t>
      </w:r>
    </w:p>
    <w:p>
      <w:pPr>
        <w:spacing w:after="0" w:line="2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firstLine="1134"/>
        <w:spacing w:after="0" w:line="275" w:lineRule="auto"/>
        <w:rPr>
          <w:sz w:val="20"/>
          <w:szCs w:val="20"/>
          <w:color w:val="auto"/>
        </w:rPr>
      </w:pPr>
      <w:r>
        <w:rPr>
          <w:rFonts w:ascii="Arial" w:cs="Arial" w:eastAsia="Arial" w:hAnsi="Arial"/>
          <w:sz w:val="17"/>
          <w:szCs w:val="17"/>
          <w:color w:val="auto"/>
        </w:rPr>
        <w:t>In June 2020, the Company adopted the Company's 2020 Employee Stock Purchase Plan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spacing w:after="0" w:line="176" w:lineRule="exact"/>
        <w:rPr>
          <w:sz w:val="20"/>
          <w:szCs w:val="20"/>
          <w:color w:val="auto"/>
        </w:rPr>
      </w:pPr>
    </w:p>
    <w:p>
      <w:pPr>
        <w:ind w:right="40" w:firstLine="1134"/>
        <w:spacing w:after="0" w:line="290" w:lineRule="auto"/>
        <w:rPr>
          <w:sz w:val="20"/>
          <w:szCs w:val="20"/>
          <w:color w:val="auto"/>
        </w:rPr>
      </w:pPr>
      <w:r>
        <w:rPr>
          <w:rFonts w:ascii="Arial" w:cs="Arial" w:eastAsia="Arial" w:hAnsi="Arial"/>
          <w:sz w:val="16"/>
          <w:szCs w:val="16"/>
          <w:color w:val="auto"/>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$0.1 million and $0.5 million in stock-based compensation expense for the three and nine months ended September 30, 2021, respectively. There was $0.2 million of stock-based compensation expense attributed to the 2020 ESPP for the three and nine months ended September 30, 2020 as the 2020 ESPP was adopted in August 2020. As of September 30, 2021, 86,902 shares of common stock were issued under the 2020 ESPP. The Company used Black-Scholes option pricing model to estimate stock-based compensation expense for the 2020 ESPP with the following assumptions: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3600" w:type="dxa"/>
            <w:vAlign w:val="bottom"/>
            <w:gridSpan w:val="2"/>
          </w:tcPr>
          <w:p>
            <w:pPr>
              <w:ind w:left="720"/>
              <w:spacing w:after="0"/>
              <w:rPr>
                <w:sz w:val="20"/>
                <w:szCs w:val="20"/>
                <w:color w:val="auto"/>
              </w:rPr>
            </w:pPr>
            <w:r>
              <w:rPr>
                <w:rFonts w:ascii="Arial" w:cs="Arial" w:eastAsia="Arial" w:hAnsi="Arial"/>
                <w:sz w:val="14"/>
                <w:szCs w:val="14"/>
                <w:b w:val="1"/>
                <w:bCs w:val="1"/>
                <w:color w:val="auto"/>
              </w:rPr>
              <w:t>Nine Months Ended September 30,</w:t>
            </w:r>
          </w:p>
        </w:tc>
      </w:tr>
      <w:tr>
        <w:trPr>
          <w:trHeight w:val="195"/>
        </w:trPr>
        <w:tc>
          <w:tcPr>
            <w:tcW w:w="7640" w:type="dxa"/>
            <w:vAlign w:val="bottom"/>
            <w:tcBorders>
              <w:bottom w:val="single" w:sz="8" w:color="CFF0FC"/>
            </w:tcBorders>
          </w:tcPr>
          <w:p>
            <w:pPr>
              <w:spacing w:after="0"/>
              <w:rPr>
                <w:sz w:val="16"/>
                <w:szCs w:val="16"/>
                <w:color w:val="auto"/>
              </w:rPr>
            </w:pPr>
          </w:p>
        </w:tc>
        <w:tc>
          <w:tcPr>
            <w:tcW w:w="19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2021</w:t>
            </w:r>
          </w:p>
        </w:tc>
        <w:tc>
          <w:tcPr>
            <w:tcW w:w="16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2020</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980" w:type="dxa"/>
            <w:vAlign w:val="bottom"/>
            <w:shd w:val="clear" w:color="auto" w:fill="CFF0FC"/>
          </w:tcPr>
          <w:p>
            <w:pPr>
              <w:jc w:val="center"/>
              <w:ind w:right="136"/>
              <w:spacing w:after="0"/>
              <w:rPr>
                <w:sz w:val="20"/>
                <w:szCs w:val="20"/>
                <w:color w:val="auto"/>
              </w:rPr>
            </w:pPr>
            <w:r>
              <w:rPr>
                <w:rFonts w:ascii="Arial" w:cs="Arial" w:eastAsia="Arial" w:hAnsi="Arial"/>
                <w:sz w:val="18"/>
                <w:szCs w:val="18"/>
                <w:color w:val="auto"/>
                <w:w w:val="91"/>
              </w:rPr>
              <w:t>0.06% - 0.07%</w:t>
            </w:r>
          </w:p>
        </w:tc>
        <w:tc>
          <w:tcPr>
            <w:tcW w:w="162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w w:val="90"/>
              </w:rPr>
              <w:t>0.11%</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Expected term of options (in years)</w:t>
            </w:r>
          </w:p>
        </w:tc>
        <w:tc>
          <w:tcPr>
            <w:tcW w:w="1980" w:type="dxa"/>
            <w:vAlign w:val="bottom"/>
          </w:tcPr>
          <w:p>
            <w:pPr>
              <w:jc w:val="center"/>
              <w:ind w:right="136"/>
              <w:spacing w:after="0"/>
              <w:rPr>
                <w:sz w:val="20"/>
                <w:szCs w:val="20"/>
                <w:color w:val="auto"/>
              </w:rPr>
            </w:pPr>
            <w:r>
              <w:rPr>
                <w:rFonts w:ascii="Arial" w:cs="Arial" w:eastAsia="Arial" w:hAnsi="Arial"/>
                <w:sz w:val="18"/>
                <w:szCs w:val="18"/>
                <w:color w:val="auto"/>
                <w:w w:val="91"/>
              </w:rPr>
              <w:t>0.50</w:t>
            </w:r>
          </w:p>
        </w:tc>
        <w:tc>
          <w:tcPr>
            <w:tcW w:w="1620" w:type="dxa"/>
            <w:vAlign w:val="bottom"/>
          </w:tcPr>
          <w:p>
            <w:pPr>
              <w:jc w:val="center"/>
              <w:ind w:right="54"/>
              <w:spacing w:after="0"/>
              <w:rPr>
                <w:sz w:val="20"/>
                <w:szCs w:val="20"/>
                <w:color w:val="auto"/>
              </w:rPr>
            </w:pPr>
            <w:r>
              <w:rPr>
                <w:rFonts w:ascii="Arial" w:cs="Arial" w:eastAsia="Arial" w:hAnsi="Arial"/>
                <w:sz w:val="18"/>
                <w:szCs w:val="18"/>
                <w:color w:val="auto"/>
                <w:w w:val="91"/>
              </w:rPr>
              <w:t>0.58</w:t>
            </w: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stock price volatility</w:t>
            </w:r>
          </w:p>
        </w:tc>
        <w:tc>
          <w:tcPr>
            <w:tcW w:w="1980" w:type="dxa"/>
            <w:vAlign w:val="bottom"/>
            <w:shd w:val="clear" w:color="auto" w:fill="CFF0FC"/>
          </w:tcPr>
          <w:p>
            <w:pPr>
              <w:jc w:val="center"/>
              <w:ind w:right="156"/>
              <w:spacing w:after="0"/>
              <w:rPr>
                <w:sz w:val="20"/>
                <w:szCs w:val="20"/>
                <w:color w:val="auto"/>
              </w:rPr>
            </w:pPr>
            <w:r>
              <w:rPr>
                <w:rFonts w:ascii="Arial" w:cs="Arial" w:eastAsia="Arial" w:hAnsi="Arial"/>
                <w:sz w:val="18"/>
                <w:szCs w:val="18"/>
                <w:color w:val="auto"/>
                <w:w w:val="91"/>
              </w:rPr>
              <w:t>67.16% - 89.51%</w:t>
            </w:r>
          </w:p>
        </w:tc>
        <w:tc>
          <w:tcPr>
            <w:tcW w:w="1620" w:type="dxa"/>
            <w:vAlign w:val="bottom"/>
            <w:shd w:val="clear" w:color="auto" w:fill="CFF0FC"/>
          </w:tcPr>
          <w:p>
            <w:pPr>
              <w:jc w:val="center"/>
              <w:ind w:right="54"/>
              <w:spacing w:after="0"/>
              <w:rPr>
                <w:sz w:val="20"/>
                <w:szCs w:val="20"/>
                <w:color w:val="auto"/>
              </w:rPr>
            </w:pPr>
            <w:r>
              <w:rPr>
                <w:rFonts w:ascii="Arial" w:cs="Arial" w:eastAsia="Arial" w:hAnsi="Arial"/>
                <w:sz w:val="18"/>
                <w:szCs w:val="18"/>
                <w:color w:val="auto"/>
                <w:w w:val="91"/>
              </w:rPr>
              <w:t>83.72%</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980" w:type="dxa"/>
            <w:vAlign w:val="bottom"/>
          </w:tcPr>
          <w:p>
            <w:pPr>
              <w:jc w:val="center"/>
              <w:ind w:right="156"/>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right="34"/>
              <w:spacing w:after="0"/>
              <w:rPr>
                <w:sz w:val="20"/>
                <w:szCs w:val="20"/>
                <w:color w:val="auto"/>
              </w:rPr>
            </w:pPr>
            <w:r>
              <w:rPr>
                <w:rFonts w:ascii="Arial" w:cs="Arial" w:eastAsia="Arial" w:hAnsi="Arial"/>
                <w:sz w:val="18"/>
                <w:szCs w:val="18"/>
                <w:color w:val="auto"/>
                <w:w w:val="99"/>
              </w:rPr>
              <w:t>—</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6" w:lineRule="exact"/>
        <w:rPr>
          <w:sz w:val="20"/>
          <w:szCs w:val="20"/>
          <w:color w:val="auto"/>
        </w:rPr>
      </w:pPr>
    </w:p>
    <w:p>
      <w:pPr>
        <w:ind w:right="40" w:firstLine="1134"/>
        <w:spacing w:after="0" w:line="226" w:lineRule="auto"/>
        <w:rPr>
          <w:sz w:val="20"/>
          <w:szCs w:val="20"/>
          <w:color w:val="auto"/>
        </w:rPr>
      </w:pPr>
      <w:r>
        <w:rPr>
          <w:rFonts w:ascii="Arial" w:cs="Arial" w:eastAsia="Arial" w:hAnsi="Arial"/>
          <w:sz w:val="18"/>
          <w:szCs w:val="18"/>
          <w:color w:val="auto"/>
        </w:rPr>
        <w:t>For the three and nine months ended September 30, 2021 and 2020, the Company did not record an income tax provision. The Company will continue to maintain a 100% valuation allowance on total deferred tax assets. The Company believes it is more likely than not that the related deferred tax assets will not be realized. As a result, the Company’s effective tax rate will remain at 0% because there are no estimated or discrete items which would impact the tax provision.</w:t>
      </w:r>
    </w:p>
    <w:p>
      <w:pPr>
        <w:spacing w:after="0" w:line="294" w:lineRule="exact"/>
        <w:rPr>
          <w:sz w:val="20"/>
          <w:szCs w:val="20"/>
          <w:color w:val="auto"/>
        </w:rPr>
      </w:pPr>
    </w:p>
    <w:p>
      <w:pPr>
        <w:ind w:left="500" w:right="8420" w:hanging="492"/>
        <w:spacing w:after="0" w:line="453" w:lineRule="auto"/>
        <w:tabs>
          <w:tab w:leader="none" w:pos="284"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Purchase Commitments</w:t>
      </w:r>
    </w:p>
    <w:p>
      <w:pPr>
        <w:spacing w:after="0" w:line="1" w:lineRule="exact"/>
        <w:rPr>
          <w:sz w:val="20"/>
          <w:szCs w:val="20"/>
          <w:color w:val="auto"/>
        </w:rPr>
      </w:pPr>
    </w:p>
    <w:p>
      <w:pPr>
        <w:ind w:right="500" w:firstLine="1134"/>
        <w:spacing w:after="0" w:line="308" w:lineRule="auto"/>
        <w:rPr>
          <w:sz w:val="20"/>
          <w:szCs w:val="20"/>
          <w:color w:val="auto"/>
        </w:rPr>
      </w:pPr>
      <w:r>
        <w:rPr>
          <w:rFonts w:ascii="Arial" w:cs="Arial" w:eastAsia="Arial" w:hAnsi="Arial"/>
          <w:sz w:val="17"/>
          <w:szCs w:val="17"/>
          <w:color w:val="auto"/>
        </w:rPr>
        <w:t>The Company has contractual arrangements with research and development organizations and suppliers; however, these contracts are generally cancellable on 30 days’ notice and the obligations under these contracts are largely based on services performed.</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Potential payments related to the Company’s license and research agreements, including milestone and royalty payments, are detailed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6 and 7.</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 w:firstLine="1134"/>
        <w:spacing w:after="0" w:line="271" w:lineRule="auto"/>
        <w:rPr>
          <w:sz w:val="20"/>
          <w:szCs w:val="20"/>
          <w:color w:val="auto"/>
        </w:rPr>
      </w:pPr>
      <w:r>
        <w:rPr>
          <w:rFonts w:ascii="Arial" w:cs="Arial" w:eastAsia="Arial" w:hAnsi="Arial"/>
          <w:sz w:val="17"/>
          <w:szCs w:val="17"/>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other non-current assets in the balance sheets at September 30, 2021 and December 31, 2020. The Company has the right to extend the lease term by seven years upon written notice not more than twelve months nor less than nine months prior to the expiration of the original lease term, with monthly payments equal to the “fair rental value” as defined in the Lease.</w:t>
      </w:r>
    </w:p>
    <w:p>
      <w:pPr>
        <w:spacing w:after="0" w:line="178" w:lineRule="exact"/>
        <w:rPr>
          <w:sz w:val="20"/>
          <w:szCs w:val="20"/>
          <w:color w:val="auto"/>
        </w:rPr>
      </w:pPr>
    </w:p>
    <w:p>
      <w:pPr>
        <w:ind w:right="580" w:firstLine="1134"/>
        <w:spacing w:after="0" w:line="308" w:lineRule="auto"/>
        <w:rPr>
          <w:sz w:val="20"/>
          <w:szCs w:val="20"/>
          <w:color w:val="auto"/>
        </w:rPr>
      </w:pPr>
      <w:r>
        <w:rPr>
          <w:rFonts w:ascii="Arial" w:cs="Arial" w:eastAsia="Arial" w:hAnsi="Arial"/>
          <w:sz w:val="17"/>
          <w:szCs w:val="17"/>
          <w:color w:val="auto"/>
        </w:rPr>
        <w:t>During the three months ended September 30, 2021 and 2020, rent expense, including common area maintenance expense, was $0.6 million. For the nine months ended September 30, 2021 and 2020 rent expense was $1.8 million and $1.9 million, respectively.</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Future minimum lease payments under the Lease as of September 30, 2021 were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4"/>
                <w:szCs w:val="14"/>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88"/>
        </w:trPr>
        <w:tc>
          <w:tcPr>
            <w:tcW w:w="97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24"/>
        </w:trPr>
        <w:tc>
          <w:tcPr>
            <w:tcW w:w="96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2021 (remainder of the year)</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9"/>
        </w:trPr>
        <w:tc>
          <w:tcPr>
            <w:tcW w:w="9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1"/>
        </w:trPr>
        <w:tc>
          <w:tcPr>
            <w:tcW w:w="9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0" w:name="page21"/>
    <w:bookmarkEnd w:id="20"/>
    <w:p>
      <w:pPr>
        <w:ind w:right="60" w:firstLine="1134"/>
        <w:spacing w:after="0" w:line="291" w:lineRule="auto"/>
        <w:rPr>
          <w:sz w:val="20"/>
          <w:szCs w:val="20"/>
          <w:color w:val="auto"/>
        </w:rPr>
      </w:pPr>
      <w:r>
        <w:rPr>
          <w:rFonts w:ascii="Arial" w:cs="Arial" w:eastAsia="Arial" w:hAnsi="Arial"/>
          <w:sz w:val="16"/>
          <w:szCs w:val="16"/>
          <w:color w:val="auto"/>
        </w:rPr>
        <w:t>In June 2021, the Company granted 26,572 stock options with a grant date fair value of $0.5 million to partners of Third Rock Ventures who are also serving as non-employee directors on the Company's board of directors. The shares of common stock subject to these options vest 25% on the first day of each calendar quarter for three quarters with the final vest date being the earlier of (i) the one-year anniversary of the grant date or (ii) the next Annual Meeting of Stockholders. In March 2020, the Company granted 26,573 stock options with a grant date fair value of $0.1 million to a partner at Third Rock Ventures, who is also serving as a non-employee director on the Company’s board of directors. The shares of common stock subject to these options vest 1/12th on the last day of each calendar quarter over a three-year period and commenced vesting upon completion of our IPO. In order to vest, the stockholders must be providing continuous service to the Company through such vesting date. See Note 11 for additional information.</w:t>
      </w:r>
    </w:p>
    <w:p>
      <w:pPr>
        <w:spacing w:after="0" w:line="166" w:lineRule="exact"/>
        <w:rPr>
          <w:sz w:val="20"/>
          <w:szCs w:val="20"/>
          <w:color w:val="auto"/>
        </w:rPr>
      </w:pPr>
    </w:p>
    <w:p>
      <w:pPr>
        <w:ind w:right="20" w:firstLine="1134"/>
        <w:spacing w:after="0" w:line="273" w:lineRule="auto"/>
        <w:rPr>
          <w:sz w:val="20"/>
          <w:szCs w:val="20"/>
          <w:color w:val="auto"/>
        </w:rPr>
      </w:pPr>
      <w:r>
        <w:rPr>
          <w:rFonts w:ascii="Arial" w:cs="Arial" w:eastAsia="Arial" w:hAnsi="Arial"/>
          <w:sz w:val="17"/>
          <w:szCs w:val="17"/>
          <w:color w:val="auto"/>
        </w:rPr>
        <w:t>In October 2019, the Company entered into the Novartis Agreement with Novartis covering the development and commercialization of the Company's preclinical product candidate, PLN-1474 and up to three additional targets. Upon execution of the agreement, Pliant also entered into a financing side letter with Novartis, whereby Novartis committed to provide up to $30.0 million in equity financing of which $20.0 million was provided for preferred stock as a part of a Series C equity offering and the remaining $10.0 million was completed in a private placement for common stock concurrently with the completion of the Company’s IPO. As of September 30, 2021 and December 31, 2020, Novartis owned approximately 6.0% and 6.1%, respectively, of our outstanding shares of common stock on a fully diluted basis. See Note 6 for additional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Defined Contribution Plan</w:t>
      </w:r>
    </w:p>
    <w:p>
      <w:pPr>
        <w:spacing w:after="0" w:line="121" w:lineRule="exact"/>
        <w:rPr>
          <w:sz w:val="20"/>
          <w:szCs w:val="20"/>
          <w:color w:val="auto"/>
        </w:rPr>
      </w:pPr>
    </w:p>
    <w:p>
      <w:pPr>
        <w:ind w:right="160" w:firstLine="1134"/>
        <w:spacing w:after="0" w:line="291" w:lineRule="auto"/>
        <w:rPr>
          <w:sz w:val="20"/>
          <w:szCs w:val="20"/>
          <w:color w:val="auto"/>
        </w:rPr>
      </w:pPr>
      <w:r>
        <w:rPr>
          <w:rFonts w:ascii="Arial" w:cs="Arial" w:eastAsia="Arial" w:hAnsi="Arial"/>
          <w:sz w:val="16"/>
          <w:szCs w:val="16"/>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w:t>
      </w:r>
    </w:p>
    <w:p>
      <w:pPr>
        <w:ind w:right="440"/>
        <w:spacing w:after="0" w:line="267" w:lineRule="auto"/>
        <w:rPr>
          <w:sz w:val="20"/>
          <w:szCs w:val="20"/>
          <w:color w:val="auto"/>
        </w:rPr>
      </w:pPr>
      <w:r>
        <w:rPr>
          <w:rFonts w:ascii="Arial" w:cs="Arial" w:eastAsia="Arial" w:hAnsi="Arial"/>
          <w:sz w:val="18"/>
          <w:szCs w:val="18"/>
          <w:color w:val="auto"/>
        </w:rPr>
        <w:t xml:space="preserve">regulations. The Company made contributions to the plan of $0.1 million </w:t>
      </w:r>
      <w:r>
        <w:rPr>
          <w:rFonts w:ascii="Arial" w:cs="Arial" w:eastAsia="Arial" w:hAnsi="Arial"/>
          <w:sz w:val="21"/>
          <w:szCs w:val="21"/>
          <w:color w:val="auto"/>
        </w:rPr>
        <w:t>and</w:t>
      </w:r>
      <w:r>
        <w:rPr>
          <w:rFonts w:ascii="Arial" w:cs="Arial" w:eastAsia="Arial" w:hAnsi="Arial"/>
          <w:sz w:val="18"/>
          <w:szCs w:val="18"/>
          <w:color w:val="auto"/>
        </w:rPr>
        <w:t xml:space="preserve"> $0.1 million for the three months ended September 30, 2021 and 2020, respectively, and $0.5 million and $0.3 million for the nine months ended September 30, 2021 and 2020,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Per Share Attributable to Common Stockholders</w:t>
      </w:r>
    </w:p>
    <w:p>
      <w:pPr>
        <w:spacing w:after="0" w:line="121" w:lineRule="exact"/>
        <w:rPr>
          <w:sz w:val="20"/>
          <w:szCs w:val="20"/>
          <w:color w:val="auto"/>
        </w:rPr>
      </w:pPr>
    </w:p>
    <w:p>
      <w:pPr>
        <w:ind w:right="640" w:firstLine="1134"/>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80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724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3,687,930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2,808,477</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Restricted stock awards granted and not purchased</w:t>
            </w:r>
          </w:p>
        </w:tc>
        <w:tc>
          <w:tcPr>
            <w:tcW w:w="1840" w:type="dxa"/>
            <w:vAlign w:val="bottom"/>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4,195</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shares</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37,838</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159,833</w:t>
            </w: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3,729,963</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2,972,505</w:t>
            </w:r>
          </w:p>
        </w:tc>
      </w:tr>
      <w:tr>
        <w:trPr>
          <w:trHeight w:val="20"/>
        </w:trPr>
        <w:tc>
          <w:tcPr>
            <w:tcW w:w="72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firstLine="1134"/>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the basic and diluted net loss per share attributable to common stockholders is as follows (in thousands, except share and per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5200" w:type="dxa"/>
            <w:vAlign w:val="bottom"/>
            <w:tcBorders>
              <w:bottom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 per share:</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180"/>
              <w:spacing w:after="0" w:line="163" w:lineRule="exact"/>
              <w:rPr>
                <w:sz w:val="20"/>
                <w:szCs w:val="20"/>
                <w:color w:val="auto"/>
              </w:rPr>
            </w:pPr>
            <w:r>
              <w:rPr>
                <w:rFonts w:ascii="Arial" w:cs="Arial" w:eastAsia="Arial" w:hAnsi="Arial"/>
                <w:sz w:val="18"/>
                <w:szCs w:val="18"/>
                <w:color w:val="auto"/>
                <w:w w:val="91"/>
              </w:rPr>
              <w:t>Weighted-average common shares outstanding used to calculate net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loss per share attributable to common stockholders: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35,906,303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35,445,504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35,787,022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16,592,746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35,906,303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35,445,504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35,787,022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16,592,746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1134"/>
        <w:spacing w:after="0" w:line="270"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condensed financial statements and related notes appearing elsewhere in this Report, as well as our audited financial statements and related notes included in our Annual Report on Form 10-K for the fiscal year ended December 31, 2020, filed with the SEC.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or implied by these forward-looking statements as a result of several factors, including those set forth in the section titled “Risk Factors” under Part II, Item 1A of this Report and under Part I, Item 1A of our Annual Report on Form 10-K for the fiscal year ended December 31, 2020. In some cases, you can identify forward-looking statements by terminology such as “anticipate,” “believe,” “continue,” “could,” “estimate,” “expect,” “intend,” “may,” “plan,” “potentially,” “predict,” “should,” “will” or the negative of these terms or other similar expressions.</w:t>
      </w:r>
    </w:p>
    <w:p>
      <w:pPr>
        <w:spacing w:after="0" w:line="181" w:lineRule="exact"/>
        <w:rPr>
          <w:sz w:val="20"/>
          <w:szCs w:val="20"/>
          <w:color w:val="auto"/>
        </w:rPr>
      </w:pPr>
    </w:p>
    <w:p>
      <w:pPr>
        <w:ind w:firstLine="1134"/>
        <w:spacing w:after="0" w:line="257"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1134"/>
        <w:spacing w:after="0" w:line="272" w:lineRule="auto"/>
        <w:rPr>
          <w:sz w:val="20"/>
          <w:szCs w:val="20"/>
          <w:color w:val="auto"/>
        </w:rPr>
      </w:pPr>
      <w:r>
        <w:rPr>
          <w:rFonts w:ascii="Arial" w:cs="Arial" w:eastAsia="Arial" w:hAnsi="Arial"/>
          <w:sz w:val="17"/>
          <w:szCs w:val="17"/>
          <w:color w:val="auto"/>
        </w:rPr>
        <w:t>We are a clinical stage biopharmaceutical company focused on discovering and developing novel therapies for the treatment of fibrosis and related diseases. Our initial focus is on treating fibrosis by inhibiting integrin-mediated activation of TGF-ß.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PLN-74809, is an oral, small-molecule, dual selective inhibitor of αvβ6 and αvβ1 integrins that we are developing for the treatment of idiopathic pulmonary fibrosis, or IPF, and primary sclerosing cholangitis, or PSC. We have completed a Phase 1a SAD/MAD trial and a Phase 1b proof-of-mechanism trial of PLN-74809 in IPF and are currently recruiting three Phase 2a trials in our lead indications: two in IPF and one in PSC.</w:t>
      </w:r>
    </w:p>
    <w:p>
      <w:pPr>
        <w:spacing w:after="0" w:line="177" w:lineRule="exact"/>
        <w:rPr>
          <w:sz w:val="20"/>
          <w:szCs w:val="20"/>
          <w:color w:val="auto"/>
        </w:rPr>
      </w:pPr>
    </w:p>
    <w:p>
      <w:pPr>
        <w:ind w:right="120" w:firstLine="1134"/>
        <w:spacing w:after="0" w:line="279" w:lineRule="auto"/>
        <w:rPr>
          <w:sz w:val="20"/>
          <w:szCs w:val="20"/>
          <w:color w:val="auto"/>
        </w:rPr>
      </w:pPr>
      <w:r>
        <w:rPr>
          <w:rFonts w:ascii="Arial" w:cs="Arial" w:eastAsia="Arial" w:hAnsi="Arial"/>
          <w:sz w:val="17"/>
          <w:szCs w:val="17"/>
          <w:color w:val="auto"/>
        </w:rPr>
        <w:t>Our second product candidate, PLN-1474, is a small-molecule selective inhibitor of αvβ1 for the treatment of liver fibrosis associated with nonalcoholic steatohepatitis, or NASH, which we have partnered with Novartis. PLN-1474 successfully completed a Phase 1 SAD/MAD trial in March 2021, and the Investigational New Drug, or IND, application was transferred to Novartis in the first quarter of 2021. Novartis is responsible for all PLN-1474 development, manufacturing and commercialization activities after the initial development period.</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 addition to our clinical programs, we currently have preclinical integrin-based programs targeting oncology and muscular dystrophies.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and Recent Highlights</w:t>
      </w:r>
    </w:p>
    <w:p>
      <w:pPr>
        <w:spacing w:after="0" w:line="113" w:lineRule="exact"/>
        <w:rPr>
          <w:sz w:val="20"/>
          <w:szCs w:val="20"/>
          <w:color w:val="auto"/>
        </w:rPr>
      </w:pPr>
    </w:p>
    <w:p>
      <w:pPr>
        <w:ind w:left="2280" w:right="60" w:hanging="1138"/>
        <w:spacing w:after="0" w:line="294" w:lineRule="auto"/>
        <w:tabs>
          <w:tab w:leader="none" w:pos="2275"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Positive interim results from Phase 2a PET imaging clinical trial show αvβ6 target engagement up to 98% in the lungs of patients with idiopathic pulmonary fibrosis (IPF). </w:t>
      </w:r>
      <w:r>
        <w:rPr>
          <w:rFonts w:ascii="Arial" w:cs="Arial" w:eastAsia="Arial" w:hAnsi="Arial"/>
          <w:sz w:val="16"/>
          <w:szCs w:val="16"/>
          <w:color w:val="auto"/>
        </w:rPr>
        <w:t>The ongoing Phase 2a open-label PET imaging clinical trial</w:t>
      </w:r>
      <w:r>
        <w:rPr>
          <w:rFonts w:ascii="Arial" w:cs="Arial" w:eastAsia="Arial" w:hAnsi="Arial"/>
          <w:sz w:val="16"/>
          <w:szCs w:val="16"/>
          <w:b w:val="1"/>
          <w:bCs w:val="1"/>
          <w:color w:val="auto"/>
        </w:rPr>
        <w:t xml:space="preserve"> </w:t>
      </w:r>
      <w:r>
        <w:rPr>
          <w:rFonts w:ascii="Arial" w:cs="Arial" w:eastAsia="Arial" w:hAnsi="Arial"/>
          <w:sz w:val="16"/>
          <w:szCs w:val="16"/>
          <w:color w:val="auto"/>
        </w:rPr>
        <w:t>is evaluating αvβ6 target engagement levels achieved by PLN-74809 across single-doses of 60, 120, 240 or 320 mg in up to 12 IPF patients. Interim results showed a dose response and a greater than 50% target engagement across all doses and established a model of the dose and plasma concentration response. Furthermore, these data support potential anti-fibrotic activity of PLN-74809 at the doses being evaluated in the ongoing Phase 2a INTEGRIS-IPF trial.</w:t>
      </w:r>
    </w:p>
    <w:p>
      <w:pPr>
        <w:spacing w:after="0" w:line="51" w:lineRule="exact"/>
        <w:rPr>
          <w:rFonts w:ascii="Arial" w:cs="Arial" w:eastAsia="Arial" w:hAnsi="Arial"/>
          <w:sz w:val="16"/>
          <w:szCs w:val="16"/>
          <w:color w:val="auto"/>
        </w:rPr>
      </w:pPr>
    </w:p>
    <w:p>
      <w:pPr>
        <w:ind w:left="2280" w:right="60" w:hanging="1138"/>
        <w:spacing w:after="0" w:line="298" w:lineRule="auto"/>
        <w:tabs>
          <w:tab w:leader="none" w:pos="2275"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PLN-74809 Phase 2a trial in idiopathic pulmonary fibrosis (IPF) enrollment on track with topline data anticipated by mid-2022. </w:t>
      </w:r>
      <w:r>
        <w:rPr>
          <w:rFonts w:ascii="Arial" w:cs="Arial" w:eastAsia="Arial" w:hAnsi="Arial"/>
          <w:sz w:val="16"/>
          <w:szCs w:val="16"/>
          <w:color w:val="auto"/>
        </w:rPr>
        <w:t>INTEGRIS-IPF is a 12-week randomized, dose-ranging, double-blind, placebo-controlled trial evaluating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safety, tolerability and pharmacokinetics of PLN-74809 at doses of 40, 80 or 160 mg in IPF patients. Exploratory endpoints include quantitative lung fibrosis (QLF) imaging, pulmonary function tests as well as biomarkers. Enrollment is currently on track to be completed by the end of 2021 with topline data anticipated by mid-2022.</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left="2280" w:right="140" w:hanging="1138"/>
        <w:spacing w:after="0" w:line="271" w:lineRule="auto"/>
        <w:tabs>
          <w:tab w:leader="none" w:pos="227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Data anticipated in the first quarter of 2022 from additional doses in the PLN-74809 Phase 1b proof-of-mechanism study evaluating inhibition of TGF-β signaling in the lungs of healthy volunteers. </w:t>
      </w:r>
      <w:r>
        <w:rPr>
          <w:rFonts w:ascii="Arial" w:cs="Arial" w:eastAsia="Arial" w:hAnsi="Arial"/>
          <w:sz w:val="17"/>
          <w:szCs w:val="17"/>
          <w:color w:val="auto"/>
        </w:rPr>
        <w:t>In a previously reported Phase 1b</w:t>
      </w:r>
      <w:r>
        <w:rPr>
          <w:rFonts w:ascii="Arial" w:cs="Arial" w:eastAsia="Arial" w:hAnsi="Arial"/>
          <w:sz w:val="17"/>
          <w:szCs w:val="17"/>
          <w:b w:val="1"/>
          <w:bCs w:val="1"/>
          <w:color w:val="auto"/>
        </w:rPr>
        <w:t xml:space="preserve"> </w:t>
      </w:r>
      <w:r>
        <w:rPr>
          <w:rFonts w:ascii="Arial" w:cs="Arial" w:eastAsia="Arial" w:hAnsi="Arial"/>
          <w:sz w:val="17"/>
          <w:szCs w:val="17"/>
          <w:color w:val="auto"/>
        </w:rPr>
        <w:t>proof-of-mechanism study, 40 mg once-daily dosing of PLN-74809 inhibited activation of TGF-β, a key driver of fibrosis. Based on additional safety and pharmacokinetic data from the Phase 1a study, Pliant initiated an extension of the Phase 1b study. This study extension evaluates inhibition of TGF-b signaling at doses above 40mg of PLN-74809. These data, coupled with the recently reported positive interim Phase 2a PET target engagement data, will provide important information about the relationship between PLN-74809 plasma exposure, target engagement, TGF-β signaling inhibition and potential antifibrotic activity across the dose range currently being tested in the INTEGRIS-IPF trial. Data from this Phase 1b study is anticipated in the first quarter of 2022.</w:t>
      </w:r>
    </w:p>
    <w:p>
      <w:pPr>
        <w:spacing w:after="0" w:line="65" w:lineRule="exact"/>
        <w:rPr>
          <w:rFonts w:ascii="Arial" w:cs="Arial" w:eastAsia="Arial" w:hAnsi="Arial"/>
          <w:sz w:val="17"/>
          <w:szCs w:val="17"/>
          <w:color w:val="auto"/>
        </w:rPr>
      </w:pPr>
    </w:p>
    <w:p>
      <w:pPr>
        <w:ind w:left="2280" w:hanging="1138"/>
        <w:spacing w:after="0" w:line="303" w:lineRule="auto"/>
        <w:tabs>
          <w:tab w:leader="none" w:pos="2275"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PLN-74809 Phase 2a trial in primary sclerosing cholangitis (PSC) enrollment on track. </w:t>
      </w:r>
      <w:r>
        <w:rPr>
          <w:rFonts w:ascii="Arial" w:cs="Arial" w:eastAsia="Arial" w:hAnsi="Arial"/>
          <w:sz w:val="16"/>
          <w:szCs w:val="16"/>
          <w:color w:val="auto"/>
        </w:rPr>
        <w:t>INTEGRIS-PSC is a 12-week</w:t>
      </w:r>
      <w:r>
        <w:rPr>
          <w:rFonts w:ascii="Arial" w:cs="Arial" w:eastAsia="Arial" w:hAnsi="Arial"/>
          <w:sz w:val="16"/>
          <w:szCs w:val="16"/>
          <w:b w:val="1"/>
          <w:bCs w:val="1"/>
          <w:color w:val="auto"/>
        </w:rPr>
        <w:t xml:space="preserve"> </w:t>
      </w:r>
      <w:r>
        <w:rPr>
          <w:rFonts w:ascii="Arial" w:cs="Arial" w:eastAsia="Arial" w:hAnsi="Arial"/>
          <w:sz w:val="16"/>
          <w:szCs w:val="16"/>
          <w:color w:val="auto"/>
        </w:rPr>
        <w:t>randomized, dose-ranging, double-blind, placebo-controlled trial evaluating the safety, tolerability, and pharmacokinetics PLN-74809 at doses of 40, 80 or 160 mg in PSC patients. Exploratory endpoints include fibrosis biomarkers such as Pro-C3 and ELF, changes in ALP and liver imaging. Enrollment is currently anticipated to be completed by mid-2022.</w:t>
      </w:r>
    </w:p>
    <w:p>
      <w:pPr>
        <w:spacing w:after="0" w:line="42" w:lineRule="exact"/>
        <w:rPr>
          <w:rFonts w:ascii="Arial" w:cs="Arial" w:eastAsia="Arial" w:hAnsi="Arial"/>
          <w:sz w:val="16"/>
          <w:szCs w:val="16"/>
          <w:color w:val="auto"/>
        </w:rPr>
      </w:pPr>
    </w:p>
    <w:p>
      <w:pPr>
        <w:jc w:val="both"/>
        <w:ind w:left="2280" w:right="100" w:hanging="1138"/>
        <w:spacing w:after="0" w:line="281" w:lineRule="auto"/>
        <w:tabs>
          <w:tab w:leader="none" w:pos="227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Phase 1 drug-drug Interaction (DDI) study results show low potential of PLN-74809 to elicit drug-drug interactions with PLN-74809 appearing combinable with nintedanib or pirfenidone. </w:t>
      </w:r>
      <w:r>
        <w:rPr>
          <w:rFonts w:ascii="Arial" w:cs="Arial" w:eastAsia="Arial" w:hAnsi="Arial"/>
          <w:sz w:val="17"/>
          <w:szCs w:val="17"/>
          <w:color w:val="auto"/>
        </w:rPr>
        <w:t>Results from a Phase 1 DDI study showed no</w:t>
      </w:r>
      <w:r>
        <w:rPr>
          <w:rFonts w:ascii="Arial" w:cs="Arial" w:eastAsia="Arial" w:hAnsi="Arial"/>
          <w:sz w:val="17"/>
          <w:szCs w:val="17"/>
          <w:b w:val="1"/>
          <w:bCs w:val="1"/>
          <w:color w:val="auto"/>
        </w:rPr>
        <w:t xml:space="preserve"> </w:t>
      </w:r>
      <w:r>
        <w:rPr>
          <w:rFonts w:ascii="Arial" w:cs="Arial" w:eastAsia="Arial" w:hAnsi="Arial"/>
          <w:sz w:val="17"/>
          <w:szCs w:val="17"/>
          <w:color w:val="auto"/>
        </w:rPr>
        <w:t>meaningful impact on concentrations of PLN-74809 or co-administered drugs. These data suggest that PLN-74809 may be co-administered with agents such as nintedanib or pirfenidone without dose adjustments.</w:t>
      </w:r>
    </w:p>
    <w:p>
      <w:pPr>
        <w:spacing w:after="0" w:line="56" w:lineRule="exact"/>
        <w:rPr>
          <w:rFonts w:ascii="Arial" w:cs="Arial" w:eastAsia="Arial" w:hAnsi="Arial"/>
          <w:sz w:val="17"/>
          <w:szCs w:val="17"/>
          <w:color w:val="auto"/>
        </w:rPr>
      </w:pPr>
    </w:p>
    <w:p>
      <w:pPr>
        <w:ind w:left="2280" w:right="40" w:hanging="1138"/>
        <w:spacing w:after="0" w:line="243" w:lineRule="auto"/>
        <w:tabs>
          <w:tab w:leader="none" w:pos="227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Muscular Dystrophy and Oncology programs advancing towards IND. </w:t>
      </w:r>
      <w:r>
        <w:rPr>
          <w:rFonts w:ascii="Arial" w:cs="Arial" w:eastAsia="Arial" w:hAnsi="Arial"/>
          <w:sz w:val="18"/>
          <w:szCs w:val="18"/>
          <w:color w:val="auto"/>
        </w:rPr>
        <w:t>Early-stage integrin targeting programs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developing novel therapies in oncology and muscular dystrophies continue to advance towards IND. The muscular dystrophy program utilizes an antibody to improve muscle function through activation of an integrin compensatory mechanism. The oncology program focuses on increasing tumor sensitivity to checkpoint inhibitors through small molecule inhibition of α</w:t>
      </w:r>
      <w:r>
        <w:rPr>
          <w:rFonts w:ascii="Arial" w:cs="Arial" w:eastAsia="Arial" w:hAnsi="Arial"/>
          <w:sz w:val="23"/>
          <w:szCs w:val="23"/>
          <w:color w:val="auto"/>
          <w:vertAlign w:val="subscript"/>
        </w:rPr>
        <w:t>v</w:t>
      </w:r>
      <w:r>
        <w:rPr>
          <w:rFonts w:ascii="Arial" w:cs="Arial" w:eastAsia="Arial" w:hAnsi="Arial"/>
          <w:sz w:val="18"/>
          <w:szCs w:val="18"/>
          <w:color w:val="auto"/>
        </w:rPr>
        <w:t>β</w:t>
      </w:r>
      <w:r>
        <w:rPr>
          <w:rFonts w:ascii="Arial" w:cs="Arial" w:eastAsia="Arial" w:hAnsi="Arial"/>
          <w:sz w:val="23"/>
          <w:szCs w:val="23"/>
          <w:color w:val="auto"/>
          <w:vertAlign w:val="subscript"/>
        </w:rPr>
        <w:t>8</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right="100" w:firstLine="1134"/>
        <w:spacing w:after="0" w:line="301" w:lineRule="auto"/>
        <w:rPr>
          <w:sz w:val="20"/>
          <w:szCs w:val="20"/>
          <w:color w:val="auto"/>
        </w:rPr>
      </w:pPr>
      <w:r>
        <w:rPr>
          <w:rFonts w:ascii="Arial" w:cs="Arial" w:eastAsia="Arial" w:hAnsi="Arial"/>
          <w:sz w:val="16"/>
          <w:szCs w:val="16"/>
          <w:color w:val="auto"/>
        </w:rPr>
        <w:t>Since inception, we have had significant operating losses. Our net loss was $27.0 million and $72.7 million for the three and nine months ended September 30, 2021. As of September 30, 2021, we had an accumulated deficit of $190.6 million and cash, cash equivalents and short-term investments of $221.0 million. We expect to continue to incur net losses for the foreseeable future, and we expect our research and development expenses, general and administrative expenses, and capital expenditures will increase in connection with our ongoing activities, as we:</w:t>
      </w:r>
    </w:p>
    <w:p>
      <w:pPr>
        <w:spacing w:after="0" w:line="49" w:lineRule="exact"/>
        <w:rPr>
          <w:sz w:val="20"/>
          <w:szCs w:val="20"/>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 research and development activities to identify and develop product candidates;</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product candidates into and through clinical development;</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the manufacture of supplies to support research and development, preclinical studies and clinical trials;</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2280" w:right="360" w:hanging="1138"/>
        <w:spacing w:after="0" w:line="277" w:lineRule="auto"/>
        <w:tabs>
          <w:tab w:leader="none" w:pos="2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to support our clinical development, manufacturing and commercialization efforts and our operations as a public company;</w:t>
      </w:r>
    </w:p>
    <w:p>
      <w:pPr>
        <w:spacing w:after="0" w:line="62"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 in or in-license other technologies or product candidates.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100" w:firstLine="1134"/>
        <w:spacing w:after="0" w:line="296" w:lineRule="auto"/>
        <w:rPr>
          <w:sz w:val="20"/>
          <w:szCs w:val="20"/>
          <w:color w:val="auto"/>
        </w:rPr>
      </w:pPr>
      <w:r>
        <w:rPr>
          <w:rFonts w:ascii="Arial" w:cs="Arial" w:eastAsia="Arial" w:hAnsi="Arial"/>
          <w:sz w:val="16"/>
          <w:szCs w:val="16"/>
          <w:color w:val="auto"/>
        </w:rPr>
        <w:t>In March 2020, the World Health Organization declared the outbreak of a novel coronavirus, or COVID-19, as a pandemic, which, to date, continues to spread throughout the United States and worldwide. We have been, and in the future could be, materially and adversely affected by the risks, or the public perception of the risks, related to an epidemic, pandemic, outbreak, or other public health crisis, such as the outbreak of COVID-19. While difficult to predict or quantify the overall impact to our operations, among other things, our clinical trials have experienced delays, and may experience additional delays in the future, extending the timelines and increasing the overall costs to finish the clinical trials, as our fixed costs are not</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4" w:name="page25"/>
    <w:bookmarkEnd w:id="24"/>
    <w:p>
      <w:pPr>
        <w:spacing w:after="0" w:line="254" w:lineRule="auto"/>
        <w:rPr>
          <w:sz w:val="20"/>
          <w:szCs w:val="20"/>
          <w:color w:val="auto"/>
        </w:rPr>
      </w:pPr>
      <w:r>
        <w:rPr>
          <w:rFonts w:ascii="Arial" w:cs="Arial" w:eastAsia="Arial" w:hAnsi="Arial"/>
          <w:sz w:val="18"/>
          <w:szCs w:val="18"/>
          <w:color w:val="auto"/>
        </w:rPr>
        <w:t>substantially reduced while the clinical trials are delayed. For example, the clinical site conducting our Phase 2a PET trial of PLN-74809 in IPF was closed to clinical research in March 2020, but resumed enrollment and trial activities in the third quarter of 2020. The ultimate extent of the impact of any epidemic, pandemic, outbreak, or other public health crisis on our business, financial condition and results of operations will depend on future developments, which are highly uncertain and cannot be predicted, including new information that may emerge concerning the severity of such epidemic, pandemic, outbreak, or other public health crisis and actions taken to contain or prevent the further spread, among others. Accordingly, we cannot predict the extent to which our business, financial condition and results of operations have been and will be affected. We remain focused on maintaining a strong balance sheet, liquidity and financial flexibility and continue to monitor developments as we deal with the disruptions and uncertainties from a business and financial perspective relating to COVID-19.</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1134"/>
        <w:spacing w:after="0" w:line="257" w:lineRule="auto"/>
        <w:rPr>
          <w:sz w:val="20"/>
          <w:szCs w:val="20"/>
          <w:color w:val="auto"/>
        </w:rPr>
      </w:pPr>
      <w:r>
        <w:rPr>
          <w:rFonts w:ascii="Arial" w:cs="Arial" w:eastAsia="Arial" w:hAnsi="Arial"/>
          <w:sz w:val="18"/>
          <w:szCs w:val="18"/>
          <w:color w:val="auto"/>
        </w:rPr>
        <w:t>We have not generated any revenue from product sales and do not expect to do so in the near future. Our revenue to date is derived from a Collaboration and License Agreement with Novartis, or the "Novartis Agreement," that was executed in 2019. Our revenue from Novartis is included under the caption "Revenue - related party" because Novartis had aggregate holdings of our outstanding common stock of greater than 5% upon the close of our IPO. As of September 30, 2021 and December 31, 2020, Novartis owned approximately 6.0% and 6.1%, respectively, of our outstanding shares of common stock on a fully diluted basis.</w:t>
      </w:r>
    </w:p>
    <w:p>
      <w:pPr>
        <w:spacing w:after="0" w:line="80" w:lineRule="exact"/>
        <w:rPr>
          <w:sz w:val="20"/>
          <w:szCs w:val="20"/>
          <w:color w:val="auto"/>
        </w:rPr>
      </w:pPr>
    </w:p>
    <w:p>
      <w:pPr>
        <w:ind w:right="40" w:firstLine="1134"/>
        <w:spacing w:after="0" w:line="293" w:lineRule="auto"/>
        <w:rPr>
          <w:sz w:val="20"/>
          <w:szCs w:val="20"/>
          <w:color w:val="auto"/>
        </w:rPr>
      </w:pPr>
      <w:r>
        <w:rPr>
          <w:rFonts w:ascii="Arial" w:cs="Arial" w:eastAsia="Arial" w:hAnsi="Arial"/>
          <w:sz w:val="16"/>
          <w:szCs w:val="16"/>
          <w:color w:val="auto"/>
        </w:rPr>
        <w:t>The Novartis Agreement is for the development and commercialization of PLN-1474 and up to three additional integrin research targets. Under the terms of the Novartis Agreement, we received an upfront license fee payment of $50.0 million for the worldwide, exclusive license to PLN-1474 and an additional $25.0 million upon first patient dosed in our Phase 1 trial of PLN-1474 in the first quarter of 2020. We are eligible to receive additional milestone payments of up to $391.0 million in total, if defined developmental, regulatory and commercialization milestones are achieved, and tiered royalties on a product-by-product basis based on annual nets sales of products. Additionally, Novartis is providing up to $19.6 million and up to $13.4 million in funding for the initial research and development activities associated with PLN-1474 and integrin research targets,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Our research and development expenses consist of expenses incurred in connection with the development of our product candidates.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w:t>
      </w:r>
    </w:p>
    <w:p>
      <w:pPr>
        <w:spacing w:after="0" w:line="103" w:lineRule="exact"/>
        <w:rPr>
          <w:sz w:val="20"/>
          <w:szCs w:val="20"/>
          <w:color w:val="auto"/>
        </w:rPr>
      </w:pPr>
    </w:p>
    <w:p>
      <w:pPr>
        <w:ind w:left="2280" w:right="940" w:hanging="1138"/>
        <w:spacing w:after="0" w:line="277" w:lineRule="auto"/>
        <w:tabs>
          <w:tab w:leader="none" w:pos="2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 for our research and development personnel;</w:t>
      </w:r>
    </w:p>
    <w:p>
      <w:pPr>
        <w:spacing w:after="0" w:line="62" w:lineRule="exact"/>
        <w:rPr>
          <w:rFonts w:ascii="Arial" w:cs="Arial" w:eastAsia="Arial" w:hAnsi="Arial"/>
          <w:sz w:val="18"/>
          <w:szCs w:val="18"/>
          <w:color w:val="auto"/>
        </w:rPr>
      </w:pPr>
    </w:p>
    <w:p>
      <w:pPr>
        <w:ind w:left="2280" w:right="540" w:hanging="1138"/>
        <w:spacing w:after="0" w:line="277" w:lineRule="auto"/>
        <w:tabs>
          <w:tab w:leader="none" w:pos="2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for pre-clinical studies, clinical trials and consultants that conduct research and development activities on our behalf;</w:t>
      </w:r>
    </w:p>
    <w:p>
      <w:pPr>
        <w:spacing w:after="0" w:line="62" w:lineRule="exact"/>
        <w:rPr>
          <w:rFonts w:ascii="Arial" w:cs="Arial" w:eastAsia="Arial" w:hAnsi="Arial"/>
          <w:sz w:val="18"/>
          <w:szCs w:val="18"/>
          <w:color w:val="auto"/>
        </w:rPr>
      </w:pPr>
    </w:p>
    <w:p>
      <w:pPr>
        <w:ind w:left="2280" w:right="460" w:hanging="1138"/>
        <w:spacing w:after="0" w:line="277" w:lineRule="auto"/>
        <w:tabs>
          <w:tab w:leader="none" w:pos="2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the manufacture of supplies to support research and development, preclinical studies and clinical trials;</w:t>
      </w:r>
    </w:p>
    <w:p>
      <w:pPr>
        <w:spacing w:after="0" w:line="62" w:lineRule="exact"/>
        <w:rPr>
          <w:rFonts w:ascii="Arial" w:cs="Arial" w:eastAsia="Arial" w:hAnsi="Arial"/>
          <w:sz w:val="18"/>
          <w:szCs w:val="18"/>
          <w:color w:val="auto"/>
        </w:rPr>
      </w:pPr>
    </w:p>
    <w:p>
      <w:pPr>
        <w:ind w:left="2280" w:hanging="1138"/>
        <w:spacing w:after="0"/>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of laboratory equipment and costs of equipment and supplies;</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 and</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facilities and other allocated expenses, which include expenses for rent and other facility related costs and other supplies.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440" w:firstLine="1134"/>
        <w:spacing w:after="0" w:line="263"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ind w:right="320" w:firstLine="1134"/>
        <w:spacing w:after="0" w:line="277" w:lineRule="auto"/>
        <w:rPr>
          <w:sz w:val="20"/>
          <w:szCs w:val="20"/>
          <w:color w:val="auto"/>
        </w:rPr>
      </w:pPr>
      <w:r>
        <w:rPr>
          <w:rFonts w:ascii="Arial" w:cs="Arial" w:eastAsia="Arial" w:hAnsi="Arial"/>
          <w:sz w:val="18"/>
          <w:szCs w:val="18"/>
          <w:color w:val="auto"/>
        </w:rPr>
        <w:t>Our interest and other income (expense), net consists of interest income earned on cash and cash equivalents, money market funds and short-term investments, realized gains and losses on investments and foreign exchange transactions.</w:t>
      </w:r>
    </w:p>
    <w:p>
      <w:pPr>
        <w:spacing w:after="0" w:line="2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 (in thousands)</w:t>
      </w:r>
    </w:p>
    <w:p>
      <w:pPr>
        <w:spacing w:after="0" w:line="13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63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Revenue—related party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r>
      <w:tr>
        <w:trPr>
          <w:trHeight w:val="229"/>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(10,452)</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(10,511)</w:t>
            </w:r>
          </w:p>
        </w:tc>
      </w:tr>
      <w:tr>
        <w:trPr>
          <w:trHeight w:val="21"/>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Revenue—Related Party</w:t>
      </w:r>
    </w:p>
    <w:p>
      <w:pPr>
        <w:spacing w:after="0" w:line="225" w:lineRule="exact"/>
        <w:rPr>
          <w:sz w:val="20"/>
          <w:szCs w:val="20"/>
          <w:color w:val="auto"/>
        </w:rPr>
      </w:pPr>
    </w:p>
    <w:p>
      <w:pPr>
        <w:ind w:right="180" w:firstLine="1134"/>
        <w:spacing w:after="0" w:line="263" w:lineRule="auto"/>
        <w:rPr>
          <w:sz w:val="20"/>
          <w:szCs w:val="20"/>
          <w:color w:val="auto"/>
        </w:rPr>
      </w:pPr>
      <w:r>
        <w:rPr>
          <w:rFonts w:ascii="Arial" w:cs="Arial" w:eastAsia="Arial" w:hAnsi="Arial"/>
          <w:sz w:val="18"/>
          <w:szCs w:val="18"/>
          <w:color w:val="auto"/>
        </w:rPr>
        <w:t>Revenue-related party was $1.6 million for the three months ended September 30, 2021 compared to $4.8 million for the three months ended September 30, 2020. The decrease of $3.2 million is primarily attributable to development work associated with the Phase 1 clinical trial of PLN-1474 in healthy volunteers which had completed prior to the second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following table summarizes our research and development expenses for the three months ended September 30, 2021 and 2020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2"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308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6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62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Employee-related expenses</w:t>
            </w: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260" w:type="dxa"/>
            <w:vAlign w:val="bottom"/>
          </w:tcPr>
          <w:p>
            <w:pPr>
              <w:ind w:left="20"/>
              <w:spacing w:after="0" w:line="176" w:lineRule="exact"/>
              <w:rPr>
                <w:sz w:val="20"/>
                <w:szCs w:val="20"/>
                <w:color w:val="auto"/>
              </w:rPr>
            </w:pPr>
            <w:r>
              <w:rPr>
                <w:rFonts w:ascii="Arial" w:cs="Arial" w:eastAsia="Arial" w:hAnsi="Arial"/>
                <w:sz w:val="18"/>
                <w:szCs w:val="18"/>
                <w:color w:val="auto"/>
                <w:w w:val="91"/>
              </w:rPr>
              <w:t>Outside and consulting services for preclinical studies and research and development</w:t>
            </w:r>
          </w:p>
        </w:tc>
        <w:tc>
          <w:tcPr>
            <w:tcW w:w="8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activities by third party contract organizations</w:t>
            </w:r>
          </w:p>
        </w:tc>
        <w:tc>
          <w:tcPr>
            <w:tcW w:w="8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Clinical trials expenses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Depreciation of lab equipment and costs of equipment and supplies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intellectual property licenses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21,052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 w:firstLine="1134"/>
        <w:spacing w:after="0" w:line="259" w:lineRule="auto"/>
        <w:rPr>
          <w:sz w:val="20"/>
          <w:szCs w:val="20"/>
          <w:color w:val="auto"/>
        </w:rPr>
      </w:pPr>
      <w:r>
        <w:rPr>
          <w:rFonts w:ascii="Arial" w:cs="Arial" w:eastAsia="Arial" w:hAnsi="Arial"/>
          <w:sz w:val="18"/>
          <w:szCs w:val="18"/>
          <w:color w:val="auto"/>
        </w:rPr>
        <w:t>Research and development expenses for the three months ended September 30, 2021 was $21.1 million compared to $16.9 million for the three months ended September 30, 2020. The increase of $4.2 million is primarily attributable to employee related expenses, driven by headcount, salaries and stock-based compensation expense, and an increase in clinical trial expenses largely due to underlying clinical conduct associated with our Phase 2 trials for PLN 74809.</w:t>
      </w:r>
    </w:p>
    <w:p>
      <w:pPr>
        <w:spacing w:after="0" w:line="187" w:lineRule="exact"/>
        <w:rPr>
          <w:sz w:val="20"/>
          <w:szCs w:val="20"/>
          <w:color w:val="auto"/>
        </w:rPr>
      </w:pPr>
    </w:p>
    <w:p>
      <w:pPr>
        <w:ind w:firstLine="1134"/>
        <w:spacing w:after="0" w:line="257" w:lineRule="auto"/>
        <w:rPr>
          <w:sz w:val="20"/>
          <w:szCs w:val="20"/>
          <w:color w:val="auto"/>
        </w:rPr>
      </w:pPr>
      <w:r>
        <w:rPr>
          <w:rFonts w:ascii="Arial" w:cs="Arial" w:eastAsia="Arial" w:hAnsi="Arial"/>
          <w:sz w:val="18"/>
          <w:szCs w:val="18"/>
          <w:color w:val="auto"/>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ectPr>
          <w:pgSz w:w="11900" w:h="16838" w:orient="portrait"/>
          <w:cols w:equalWidth="0" w:num="1">
            <w:col w:w="11140"/>
          </w:cols>
          <w:pgMar w:left="320" w:top="1003" w:right="4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3" w:right="439" w:bottom="1440" w:gutter="0" w:footer="0" w:header="0"/>
          <w:type w:val="continuous"/>
        </w:sectPr>
      </w:pPr>
    </w:p>
    <w:bookmarkStart w:id="26" w:name="page27"/>
    <w:bookmarkEnd w:id="26"/>
    <w:p>
      <w:pPr>
        <w:ind w:right="60" w:firstLine="1134"/>
        <w:spacing w:after="0" w:line="259" w:lineRule="auto"/>
        <w:rPr>
          <w:sz w:val="20"/>
          <w:szCs w:val="20"/>
          <w:color w:val="auto"/>
        </w:rPr>
      </w:pPr>
      <w:r>
        <w:rPr>
          <w:rFonts w:ascii="Arial" w:cs="Arial" w:eastAsia="Arial" w:hAnsi="Arial"/>
          <w:sz w:val="18"/>
          <w:szCs w:val="18"/>
          <w:color w:val="auto"/>
        </w:rPr>
        <w:t>General and administrative expenses for the three months ended September 30, 2021 was $7.7 million compared to $4.6 million for the three months ended September 30, 2020. The increase of $3.1 million is primarily attributable to employee related expenses, driven by salaries and stock-based compensation expense, and increased costs associated with our operating as a public company, for example, insurance premiums and accounting and audit expenses.</w:t>
      </w:r>
    </w:p>
    <w:p>
      <w:pPr>
        <w:spacing w:after="0" w:line="133" w:lineRule="exact"/>
        <w:rPr>
          <w:sz w:val="20"/>
          <w:szCs w:val="20"/>
          <w:color w:val="auto"/>
        </w:rPr>
      </w:pPr>
    </w:p>
    <w:p>
      <w:pPr>
        <w:ind w:right="20" w:firstLine="1134"/>
        <w:spacing w:after="0" w:line="235" w:lineRule="auto"/>
        <w:rPr>
          <w:sz w:val="20"/>
          <w:szCs w:val="20"/>
          <w:color w:val="auto"/>
        </w:rPr>
      </w:pPr>
      <w:r>
        <w:rPr>
          <w:rFonts w:ascii="Arial" w:cs="Arial" w:eastAsia="Arial" w:hAnsi="Arial"/>
          <w:sz w:val="18"/>
          <w:szCs w:val="18"/>
          <w:color w:val="auto"/>
        </w:rPr>
        <w:t>We expect our general and administrative expenses to increase for the foreseeable future as we continue to build our administrative function to support our growth in operations and to meet the requirements of operating as a public company, particularly as we cease being an emerging growth company on December 31,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ind w:firstLine="1134"/>
        <w:spacing w:after="0" w:line="263" w:lineRule="auto"/>
        <w:rPr>
          <w:sz w:val="20"/>
          <w:szCs w:val="20"/>
          <w:color w:val="auto"/>
        </w:rPr>
      </w:pPr>
      <w:r>
        <w:rPr>
          <w:rFonts w:ascii="Arial" w:cs="Arial" w:eastAsia="Arial" w:hAnsi="Arial"/>
          <w:sz w:val="18"/>
          <w:szCs w:val="18"/>
          <w:color w:val="auto"/>
        </w:rPr>
        <w:t>Interest and other income (expense), net for the three months ended September 30, 2021 was $68,000 compared to $127,000 for the three months ended September 30, 2020. The decrease of $59,000 resulted from lower interest income in the current period owing to smaller investment balances compared to the third-quarter of 2020.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 (in thousands)</w:t>
      </w:r>
    </w:p>
    <w:p>
      <w:pPr>
        <w:spacing w:after="0" w:line="13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63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Revenue—related party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(31,779)</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r>
      <w:tr>
        <w:trPr>
          <w:trHeight w:val="230"/>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(18,528)</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(50,307)</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(50,226)</w:t>
            </w: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Revenue—Related Party</w:t>
      </w:r>
    </w:p>
    <w:p>
      <w:pPr>
        <w:spacing w:after="0" w:line="225" w:lineRule="exact"/>
        <w:rPr>
          <w:sz w:val="20"/>
          <w:szCs w:val="20"/>
          <w:color w:val="auto"/>
        </w:rPr>
      </w:pPr>
    </w:p>
    <w:p>
      <w:pPr>
        <w:jc w:val="both"/>
        <w:ind w:right="380" w:firstLine="1134"/>
        <w:spacing w:after="0" w:line="286" w:lineRule="auto"/>
        <w:rPr>
          <w:sz w:val="20"/>
          <w:szCs w:val="20"/>
          <w:color w:val="auto"/>
        </w:rPr>
      </w:pPr>
      <w:r>
        <w:rPr>
          <w:rFonts w:ascii="Arial" w:cs="Arial" w:eastAsia="Arial" w:hAnsi="Arial"/>
          <w:sz w:val="17"/>
          <w:szCs w:val="17"/>
          <w:color w:val="auto"/>
        </w:rPr>
        <w:t>Revenue-related party was $5.6 million for the nine months ended September 30, 2021 compared to $37.4 million for the nine months ended September 30, 2020. The decrease of $31.8 million is primarily attributable to a $25.0 million milestone achieved in the first quarter of 2020 for first-patient-first-dose in our Phase 1 clinical trial of PLN-1474 in healthy volunteers and associated development work.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following table summarizes our research and development expenses for the nine months ended September 30, 2021 and 2020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62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Employee-related expenses</w:t>
            </w:r>
          </w:p>
        </w:tc>
        <w:tc>
          <w:tcPr>
            <w:tcW w:w="860" w:type="dxa"/>
            <w:vAlign w:val="bottom"/>
            <w:tcBorders>
              <w:top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15,087</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60" w:type="dxa"/>
            <w:vAlign w:val="bottom"/>
          </w:tcPr>
          <w:p>
            <w:pPr>
              <w:ind w:left="20"/>
              <w:spacing w:after="0" w:line="176" w:lineRule="exact"/>
              <w:rPr>
                <w:sz w:val="20"/>
                <w:szCs w:val="20"/>
                <w:color w:val="auto"/>
              </w:rPr>
            </w:pPr>
            <w:r>
              <w:rPr>
                <w:rFonts w:ascii="Arial" w:cs="Arial" w:eastAsia="Arial" w:hAnsi="Arial"/>
                <w:sz w:val="18"/>
                <w:szCs w:val="18"/>
                <w:color w:val="auto"/>
                <w:w w:val="91"/>
              </w:rPr>
              <w:t>Outside and consulting services for preclinical studies and research and development</w:t>
            </w:r>
          </w:p>
        </w:tc>
        <w:tc>
          <w:tcPr>
            <w:tcW w:w="8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9,666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10,692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180"/>
              <w:spacing w:after="0"/>
              <w:rPr>
                <w:sz w:val="20"/>
                <w:szCs w:val="20"/>
                <w:color w:val="auto"/>
              </w:rPr>
            </w:pPr>
            <w:r>
              <w:rPr>
                <w:rFonts w:ascii="Arial" w:cs="Arial" w:eastAsia="Arial" w:hAnsi="Arial"/>
                <w:sz w:val="18"/>
                <w:szCs w:val="18"/>
                <w:color w:val="auto"/>
              </w:rPr>
              <w:t>activities by third party contract organizations</w:t>
            </w:r>
          </w:p>
        </w:tc>
        <w:tc>
          <w:tcPr>
            <w:tcW w:w="8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Clinical trials expenses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25,304</w:t>
            </w:r>
          </w:p>
        </w:tc>
        <w:tc>
          <w:tcPr>
            <w:tcW w:w="100" w:type="dxa"/>
            <w:vAlign w:val="bottom"/>
            <w:shd w:val="clear" w:color="auto" w:fill="CFF0FC"/>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Depreciation of lab equipment and costs of equipment and supplies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intellectual property licenses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firstLine="1134"/>
        <w:spacing w:after="0" w:line="263" w:lineRule="auto"/>
        <w:rPr>
          <w:sz w:val="20"/>
          <w:szCs w:val="20"/>
          <w:color w:val="auto"/>
        </w:rPr>
      </w:pPr>
      <w:r>
        <w:rPr>
          <w:rFonts w:ascii="Arial" w:cs="Arial" w:eastAsia="Arial" w:hAnsi="Arial"/>
          <w:sz w:val="18"/>
          <w:szCs w:val="18"/>
          <w:color w:val="auto"/>
        </w:rPr>
        <w:t>Research and development expenses for the nine months ended September 30, 2021 was $58.8 million compared to $48.3 million for the nine months ended September 30, 2020. The increase of $10.5 million is primarily attributable to employee related expenses, driven by headcount, salaries and stock-based compensation expense, and an increase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7" w:name="page28"/>
    <w:bookmarkEnd w:id="27"/>
    <w:p>
      <w:pPr>
        <w:ind w:right="80"/>
        <w:spacing w:after="0" w:line="286" w:lineRule="auto"/>
        <w:rPr>
          <w:sz w:val="20"/>
          <w:szCs w:val="20"/>
          <w:color w:val="auto"/>
        </w:rPr>
      </w:pPr>
      <w:r>
        <w:rPr>
          <w:rFonts w:ascii="Arial" w:cs="Arial" w:eastAsia="Arial" w:hAnsi="Arial"/>
          <w:sz w:val="17"/>
          <w:szCs w:val="17"/>
          <w:color w:val="auto"/>
        </w:rPr>
        <w:t>in clinical trial expenses for PLN 74809 and manufacturing activities to support our clinical and early research programs. These increases were partially offset by a decrease in expenses related to intellectual property rights as we expensed a $2.4 million milestone payment due to the University of California in the second quarter of 2020, upon the close of our IPO, associated with certain patents and technology relating to α</w:t>
      </w:r>
      <w:r>
        <w:rPr>
          <w:rFonts w:ascii="Arial" w:cs="Arial" w:eastAsia="Arial" w:hAnsi="Arial"/>
          <w:sz w:val="15"/>
          <w:szCs w:val="15"/>
          <w:color w:val="auto"/>
        </w:rPr>
        <w:t>v</w:t>
      </w:r>
      <w:r>
        <w:rPr>
          <w:rFonts w:ascii="Arial" w:cs="Arial" w:eastAsia="Arial" w:hAnsi="Arial"/>
          <w:sz w:val="17"/>
          <w:szCs w:val="17"/>
          <w:color w:val="auto"/>
        </w:rPr>
        <w:t>ß1.</w:t>
      </w:r>
    </w:p>
    <w:p>
      <w:pPr>
        <w:spacing w:after="0" w:line="125" w:lineRule="exact"/>
        <w:rPr>
          <w:sz w:val="20"/>
          <w:szCs w:val="20"/>
          <w:color w:val="auto"/>
        </w:rPr>
      </w:pPr>
    </w:p>
    <w:p>
      <w:pPr>
        <w:ind w:right="80" w:firstLine="1134"/>
        <w:spacing w:after="0" w:line="257" w:lineRule="auto"/>
        <w:rPr>
          <w:sz w:val="20"/>
          <w:szCs w:val="20"/>
          <w:color w:val="auto"/>
        </w:rPr>
      </w:pPr>
      <w:r>
        <w:rPr>
          <w:rFonts w:ascii="Arial" w:cs="Arial" w:eastAsia="Arial" w:hAnsi="Arial"/>
          <w:sz w:val="18"/>
          <w:szCs w:val="18"/>
          <w:color w:val="auto"/>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1134"/>
        <w:spacing w:after="0" w:line="259" w:lineRule="auto"/>
        <w:rPr>
          <w:sz w:val="20"/>
          <w:szCs w:val="20"/>
          <w:color w:val="auto"/>
        </w:rPr>
      </w:pPr>
      <w:r>
        <w:rPr>
          <w:rFonts w:ascii="Arial" w:cs="Arial" w:eastAsia="Arial" w:hAnsi="Arial"/>
          <w:sz w:val="18"/>
          <w:szCs w:val="18"/>
          <w:color w:val="auto"/>
        </w:rPr>
        <w:t>General and administrative expenses for the nine months ended September 30, 2021 was $19.7 million compared to $11.6 million for the nine months ended September 30, 2020. The increase of $8.1 million is primarily attributable to employee related expenses, driven by salaries and stock-based compensation expense, and increased costs associated with our operating as a public company, for example, insurance premiums and accounting and audit expenses.</w:t>
      </w:r>
    </w:p>
    <w:p>
      <w:pPr>
        <w:spacing w:after="0" w:line="146" w:lineRule="exact"/>
        <w:rPr>
          <w:sz w:val="20"/>
          <w:szCs w:val="20"/>
          <w:color w:val="auto"/>
        </w:rPr>
      </w:pPr>
    </w:p>
    <w:p>
      <w:pPr>
        <w:ind w:firstLine="1134"/>
        <w:spacing w:after="0" w:line="235" w:lineRule="auto"/>
        <w:rPr>
          <w:sz w:val="20"/>
          <w:szCs w:val="20"/>
          <w:color w:val="auto"/>
        </w:rPr>
      </w:pPr>
      <w:r>
        <w:rPr>
          <w:rFonts w:ascii="Arial" w:cs="Arial" w:eastAsia="Arial" w:hAnsi="Arial"/>
          <w:sz w:val="18"/>
          <w:szCs w:val="18"/>
          <w:color w:val="auto"/>
        </w:rPr>
        <w:t>We expect our general and administrative expenses to increase for the foreseeable future as we continue to build our administrative function to support our growth in operations and to meet the requirements of operating as a public company, particularly as we cease being an emerging growth company on December 31,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jc w:val="both"/>
        <w:ind w:right="140" w:firstLine="1134"/>
        <w:spacing w:after="0" w:line="311" w:lineRule="auto"/>
        <w:rPr>
          <w:sz w:val="20"/>
          <w:szCs w:val="20"/>
          <w:color w:val="auto"/>
        </w:rPr>
      </w:pPr>
      <w:r>
        <w:rPr>
          <w:rFonts w:ascii="Arial" w:cs="Arial" w:eastAsia="Arial" w:hAnsi="Arial"/>
          <w:sz w:val="16"/>
          <w:szCs w:val="16"/>
          <w:color w:val="auto"/>
        </w:rPr>
        <w:t>Interest and other income (expense), net for the nine months ended September 30, 2021 was $204,000 compared to $123,000 for the nine months ended September 30, 2020. The increase of $81,000 resulted from higher interest income in the current period owing to larger average investment balances for the year to date period following the increase in cash, cash equivalents and short-term investments resulting from our IPO.</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 w:lineRule="exact"/>
        <w:rPr>
          <w:sz w:val="20"/>
          <w:szCs w:val="20"/>
          <w:color w:val="auto"/>
        </w:rPr>
      </w:pPr>
    </w:p>
    <w:p>
      <w:pPr>
        <w:ind w:right="40" w:firstLine="1134"/>
        <w:spacing w:after="0" w:line="228" w:lineRule="auto"/>
        <w:rPr>
          <w:sz w:val="20"/>
          <w:szCs w:val="20"/>
          <w:color w:val="auto"/>
        </w:rPr>
      </w:pPr>
      <w:r>
        <w:rPr>
          <w:rFonts w:ascii="Arial" w:cs="Arial" w:eastAsia="Arial" w:hAnsi="Arial"/>
          <w:sz w:val="17"/>
          <w:szCs w:val="17"/>
          <w:color w:val="auto"/>
        </w:rPr>
        <w:t>As of September 30, 2021, we had $221.0 million of cash, cash equivalents and short-term investments. Our short-term investments consist of U.S. Treasury securities, U.S. Government agency securities and highly rated, investment-grade corporate debt securities. During the third quarter, we entered into a Controlled Equity Offering</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Sales Agreement (the “Sales Agreement”) with Cantor Fitzgerald &amp; Co., as sales agent, pursuant to which we may issue and sell up to $150.0 million of shares of common stock from time to time. The issuance and sale of these shares pursuant to the Sales Agreement are deemed an “at-the-market” offering and are registered under the Securities Act of 1933, as amended. We have not issued any shares pursuant to any at-the-market offerings but may do so at a future date. Based on our current operating plan, we anticipate that the aggregate of our current cash, cash equivalents and short-term investments will be sufficient to fund our planned operations, commitments and contractual obligations for a period of at least one year following the date of this Report and into 2023.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w:t>
      </w:r>
    </w:p>
    <w:p>
      <w:pPr>
        <w:spacing w:after="0" w:line="192" w:lineRule="exact"/>
        <w:rPr>
          <w:sz w:val="20"/>
          <w:szCs w:val="20"/>
          <w:color w:val="auto"/>
        </w:rPr>
      </w:pPr>
    </w:p>
    <w:p>
      <w:pPr>
        <w:jc w:val="both"/>
        <w:ind w:right="120" w:firstLine="1134"/>
        <w:spacing w:after="0" w:line="259" w:lineRule="auto"/>
        <w:rPr>
          <w:sz w:val="20"/>
          <w:szCs w:val="20"/>
          <w:color w:val="auto"/>
        </w:rPr>
      </w:pPr>
      <w:r>
        <w:rPr>
          <w:rFonts w:ascii="Arial" w:cs="Arial" w:eastAsia="Arial" w:hAnsi="Arial"/>
          <w:sz w:val="18"/>
          <w:szCs w:val="18"/>
          <w:color w:val="auto"/>
        </w:rPr>
        <w:t>Our operations have been financed primarily through the issuance and sale of convertible preferred stock, our collaboration with Novartis and issuance of common stock via our IPO. We completed our IPO in June 2020 and received $148.3 million, net of underwriting discounts, commissions and offering expenses. Concurrent with the completion of the IPO, we also issued 625,000 shares of our common stock to Novartis for proceeds of $10.0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17" w:lineRule="exact"/>
        <w:rPr>
          <w:sz w:val="20"/>
          <w:szCs w:val="20"/>
          <w:color w:val="auto"/>
        </w:rPr>
      </w:pPr>
    </w:p>
    <w:p>
      <w:pPr>
        <w:ind w:right="180" w:firstLine="1134"/>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17" w:lineRule="exact"/>
        <w:rPr>
          <w:sz w:val="20"/>
          <w:szCs w:val="20"/>
          <w:color w:val="auto"/>
        </w:rPr>
      </w:pPr>
    </w:p>
    <w:p>
      <w:pPr>
        <w:ind w:left="5540" w:right="860" w:hanging="4398"/>
        <w:spacing w:after="0" w:line="919" w:lineRule="auto"/>
        <w:tabs>
          <w:tab w:leader="none" w:pos="21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8" w:name="page29"/>
    <w:bookmarkEnd w:id="28"/>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17" w:lineRule="exact"/>
        <w:rPr>
          <w:rFonts w:ascii="Arial" w:cs="Arial" w:eastAsia="Arial" w:hAnsi="Arial"/>
          <w:sz w:val="18"/>
          <w:szCs w:val="18"/>
          <w:color w:val="auto"/>
        </w:rPr>
      </w:pPr>
    </w:p>
    <w:p>
      <w:pPr>
        <w:ind w:left="2120" w:right="140" w:hanging="978"/>
        <w:spacing w:after="0" w:line="277" w:lineRule="auto"/>
        <w:tabs>
          <w:tab w:leader="none" w:pos="21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timelines of our clinical trials and the overall costs to conduct and complete the clinical trials, which may be impacted by the COVID-19 pandemic;</w:t>
      </w:r>
    </w:p>
    <w:p>
      <w:pPr>
        <w:spacing w:after="0" w:line="62" w:lineRule="exact"/>
        <w:rPr>
          <w:rFonts w:ascii="Arial" w:cs="Arial" w:eastAsia="Arial" w:hAnsi="Arial"/>
          <w:sz w:val="18"/>
          <w:szCs w:val="18"/>
          <w:color w:val="auto"/>
        </w:rPr>
      </w:pPr>
    </w:p>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17" w:lineRule="exact"/>
        <w:rPr>
          <w:rFonts w:ascii="Arial" w:cs="Arial" w:eastAsia="Arial" w:hAnsi="Arial"/>
          <w:sz w:val="18"/>
          <w:szCs w:val="18"/>
          <w:color w:val="auto"/>
        </w:rPr>
      </w:pPr>
    </w:p>
    <w:p>
      <w:pPr>
        <w:ind w:left="2120" w:right="260" w:hanging="978"/>
        <w:spacing w:after="0" w:line="277" w:lineRule="auto"/>
        <w:tabs>
          <w:tab w:leader="none" w:pos="21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U.S. Food and Drug Administration, or FDA, and other comparable foreign regulatory authorities;</w:t>
      </w:r>
    </w:p>
    <w:p>
      <w:pPr>
        <w:spacing w:after="0" w:line="62" w:lineRule="exact"/>
        <w:rPr>
          <w:rFonts w:ascii="Arial" w:cs="Arial" w:eastAsia="Arial" w:hAnsi="Arial"/>
          <w:sz w:val="18"/>
          <w:szCs w:val="18"/>
          <w:color w:val="auto"/>
        </w:rPr>
      </w:pPr>
    </w:p>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enter into any collaboration agreements and the terms of any such agreements;</w:t>
      </w:r>
    </w:p>
    <w:p>
      <w:pPr>
        <w:spacing w:after="0" w:line="117" w:lineRule="exact"/>
        <w:rPr>
          <w:rFonts w:ascii="Arial" w:cs="Arial" w:eastAsia="Arial" w:hAnsi="Arial"/>
          <w:sz w:val="18"/>
          <w:szCs w:val="18"/>
          <w:color w:val="auto"/>
        </w:rPr>
      </w:pPr>
    </w:p>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17" w:lineRule="exact"/>
        <w:rPr>
          <w:rFonts w:ascii="Arial" w:cs="Arial" w:eastAsia="Arial" w:hAnsi="Arial"/>
          <w:sz w:val="18"/>
          <w:szCs w:val="18"/>
          <w:color w:val="auto"/>
        </w:rPr>
      </w:pPr>
    </w:p>
    <w:p>
      <w:pPr>
        <w:ind w:left="2120" w:hanging="978"/>
        <w:spacing w:after="0" w:line="277" w:lineRule="auto"/>
        <w:tabs>
          <w:tab w:leader="none" w:pos="21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62" w:lineRule="exact"/>
        <w:rPr>
          <w:rFonts w:ascii="Arial" w:cs="Arial" w:eastAsia="Arial" w:hAnsi="Arial"/>
          <w:sz w:val="18"/>
          <w:szCs w:val="18"/>
          <w:color w:val="auto"/>
        </w:rPr>
      </w:pPr>
    </w:p>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w:t>
      </w:r>
    </w:p>
    <w:p>
      <w:pPr>
        <w:spacing w:after="0" w:line="117" w:lineRule="exact"/>
        <w:rPr>
          <w:rFonts w:ascii="Arial" w:cs="Arial" w:eastAsia="Arial" w:hAnsi="Arial"/>
          <w:sz w:val="18"/>
          <w:szCs w:val="18"/>
          <w:color w:val="auto"/>
        </w:rPr>
      </w:pPr>
    </w:p>
    <w:p>
      <w:pPr>
        <w:ind w:left="2120" w:right="340" w:hanging="978"/>
        <w:spacing w:after="0" w:line="277" w:lineRule="auto"/>
        <w:tabs>
          <w:tab w:leader="none" w:pos="21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62" w:lineRule="exact"/>
        <w:rPr>
          <w:rFonts w:ascii="Arial" w:cs="Arial" w:eastAsia="Arial" w:hAnsi="Arial"/>
          <w:sz w:val="18"/>
          <w:szCs w:val="18"/>
          <w:color w:val="auto"/>
        </w:rPr>
      </w:pPr>
    </w:p>
    <w:p>
      <w:pPr>
        <w:ind w:left="2100" w:hanging="958"/>
        <w:spacing w:after="0"/>
        <w:tabs>
          <w:tab w:leader="none" w:pos="2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operating as a public company.</w:t>
      </w:r>
    </w:p>
    <w:p>
      <w:pPr>
        <w:spacing w:after="0" w:line="225" w:lineRule="exact"/>
        <w:rPr>
          <w:sz w:val="20"/>
          <w:szCs w:val="20"/>
          <w:color w:val="auto"/>
        </w:rPr>
      </w:pPr>
    </w:p>
    <w:p>
      <w:pPr>
        <w:ind w:right="120" w:firstLine="1134"/>
        <w:spacing w:after="0" w:line="289" w:lineRule="auto"/>
        <w:rPr>
          <w:sz w:val="20"/>
          <w:szCs w:val="20"/>
          <w:color w:val="auto"/>
        </w:rPr>
      </w:pPr>
      <w:r>
        <w:rPr>
          <w:rFonts w:ascii="Arial" w:cs="Arial" w:eastAsia="Arial" w:hAnsi="Arial"/>
          <w:sz w:val="16"/>
          <w:szCs w:val="16"/>
          <w:color w:val="auto"/>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187"/>
        </w:trPr>
        <w:tc>
          <w:tcPr>
            <w:tcW w:w="63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31"/>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(34,792)</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Net cash provided by/(used in) investing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(222,772)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270,688</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212,975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(210,964)</w:t>
            </w:r>
          </w:p>
        </w:tc>
      </w:tr>
      <w:tr>
        <w:trPr>
          <w:trHeight w:val="223"/>
        </w:trPr>
        <w:tc>
          <w:tcPr>
            <w:tcW w:w="6340" w:type="dxa"/>
            <w:vAlign w:val="bottom"/>
          </w:tcPr>
          <w:p>
            <w:pPr>
              <w:ind w:left="220"/>
              <w:spacing w:after="0"/>
              <w:rPr>
                <w:sz w:val="20"/>
                <w:szCs w:val="20"/>
                <w:color w:val="auto"/>
              </w:rPr>
            </w:pPr>
            <w:r>
              <w:rPr>
                <w:rFonts w:ascii="Arial" w:cs="Arial" w:eastAsia="Arial" w:hAnsi="Arial"/>
                <w:sz w:val="18"/>
                <w:szCs w:val="18"/>
                <w:color w:val="auto"/>
              </w:rPr>
              <w:t>Net (decrease)/increase in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24,932</w:t>
            </w:r>
          </w:p>
        </w:tc>
      </w:tr>
      <w:tr>
        <w:trPr>
          <w:trHeight w:val="21"/>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160" w:firstLine="1134"/>
        <w:spacing w:after="0" w:line="259" w:lineRule="auto"/>
        <w:rPr>
          <w:sz w:val="20"/>
          <w:szCs w:val="20"/>
          <w:color w:val="auto"/>
        </w:rPr>
      </w:pPr>
      <w:r>
        <w:rPr>
          <w:rFonts w:ascii="Arial" w:cs="Arial" w:eastAsia="Arial" w:hAnsi="Arial"/>
          <w:sz w:val="18"/>
          <w:szCs w:val="18"/>
          <w:color w:val="auto"/>
        </w:rPr>
        <w:t>Net cash used in operating activities increased by $34.8 million to $55.6 million for the nine months ended September 30, 2021 compared to the same period in 2020. The change over prior year is primarily attributable to an increase in operating expenses of approximately $18.5 million and less revenues owing to the achievement, and receipt, of a $25.0 million milestone in the first quarter of 2020 associated with the PLN-1474 collaboration with Novartis.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by/Used in Investing Activities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ind w:firstLine="1134"/>
        <w:spacing w:after="0" w:line="263" w:lineRule="auto"/>
        <w:rPr>
          <w:sz w:val="20"/>
          <w:szCs w:val="20"/>
          <w:color w:val="auto"/>
        </w:rPr>
      </w:pPr>
      <w:r>
        <w:rPr>
          <w:rFonts w:ascii="Arial" w:cs="Arial" w:eastAsia="Arial" w:hAnsi="Arial"/>
          <w:sz w:val="18"/>
          <w:szCs w:val="18"/>
          <w:color w:val="auto"/>
        </w:rPr>
        <w:t>Net cash provided by investing activities increased by $270.7 million to $47.9 million for the nine months ended September 30, 2021 compared to the same period in 2020. The difference is driven by the initial purchase of securities following receipt of financing proceeds from the Series C preferred stock offering, private placement and IPO in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80" w:firstLine="1134"/>
        <w:spacing w:after="0" w:line="263" w:lineRule="auto"/>
        <w:rPr>
          <w:sz w:val="20"/>
          <w:szCs w:val="20"/>
          <w:color w:val="auto"/>
        </w:rPr>
      </w:pPr>
      <w:r>
        <w:rPr>
          <w:rFonts w:ascii="Arial" w:cs="Arial" w:eastAsia="Arial" w:hAnsi="Arial"/>
          <w:sz w:val="18"/>
          <w:szCs w:val="18"/>
          <w:color w:val="auto"/>
        </w:rPr>
        <w:t>Net cash provided by financing activities decreased by $211.0 million to $2.0 million for the nine months ended September 30, 2021 compared to the same period in 2020. The decrease is attributable to proceeds from the IPO, private placement and Series C preferred stock being received in 2020 whereas the only financing activity during 2021 was derived from the exercise of stock options.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right="40" w:firstLine="1134"/>
        <w:spacing w:after="0" w:line="277" w:lineRule="auto"/>
        <w:rPr>
          <w:sz w:val="20"/>
          <w:szCs w:val="20"/>
          <w:color w:val="auto"/>
        </w:rPr>
      </w:pPr>
      <w:r>
        <w:rPr>
          <w:rFonts w:ascii="Arial" w:cs="Arial" w:eastAsia="Arial" w:hAnsi="Arial"/>
          <w:sz w:val="18"/>
          <w:szCs w:val="18"/>
          <w:color w:val="auto"/>
        </w:rPr>
        <w:t>There have been no material changes to our contractual obligations and other commitments as of September 30, 2021, as compared to those disclosed in our Annual Report on Form 10-K for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1134"/>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or holdings in any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right="60" w:firstLine="1134"/>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4" w:lineRule="exact"/>
        <w:rPr>
          <w:sz w:val="20"/>
          <w:szCs w:val="20"/>
          <w:color w:val="auto"/>
        </w:rPr>
      </w:pPr>
    </w:p>
    <w:p>
      <w:pPr>
        <w:ind w:right="60" w:firstLine="1134"/>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those described in “Part II, Item 7. Management’s Discussion and Analysis of Financial Condition and Results of Operations” included in our Annual Report on Form 10-K for the fiscal year ended December 31, 2020 filed with the SEC.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Note 2 to our condensed financial statements appearing elsewhere in this Report for more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JOBS Act Accounting Election</w:t>
      </w:r>
    </w:p>
    <w:p>
      <w:pPr>
        <w:spacing w:after="0" w:line="18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Based on the market value of our common stock held by our non-affiliates as of June 30, 2021, we will be considered a “large accelerated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filer” on December 31, 2021 and thus lose our status as an emerging growth company as of such date. Accordingly, we will be required to adopt ASU</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 2016-02 </w:t>
      </w:r>
      <w:r>
        <w:rPr>
          <w:rFonts w:ascii="Arial" w:cs="Arial" w:eastAsia="Arial" w:hAnsi="Arial"/>
          <w:sz w:val="16"/>
          <w:szCs w:val="16"/>
          <w:i w:val="1"/>
          <w:iCs w:val="1"/>
          <w:color w:val="auto"/>
        </w:rPr>
        <w:t>(Topic 842</w:t>
      </w:r>
      <w:r>
        <w:rPr>
          <w:rFonts w:ascii="Arial" w:cs="Arial" w:eastAsia="Arial" w:hAnsi="Arial"/>
          <w:sz w:val="16"/>
          <w:szCs w:val="16"/>
          <w:color w:val="auto"/>
        </w:rPr>
        <w:t>), Leases and ASU No. 2016-13 (</w:t>
      </w:r>
      <w:r>
        <w:rPr>
          <w:rFonts w:ascii="Arial" w:cs="Arial" w:eastAsia="Arial" w:hAnsi="Arial"/>
          <w:sz w:val="16"/>
          <w:szCs w:val="16"/>
          <w:i w:val="1"/>
          <w:iCs w:val="1"/>
          <w:color w:val="auto"/>
        </w:rPr>
        <w:t>Topic 326),</w:t>
      </w:r>
      <w:r>
        <w:rPr>
          <w:rFonts w:ascii="Arial" w:cs="Arial" w:eastAsia="Arial" w:hAnsi="Arial"/>
          <w:sz w:val="16"/>
          <w:szCs w:val="16"/>
          <w:color w:val="auto"/>
        </w:rPr>
        <w:t xml:space="preserve"> Financial Instruments - Credit Losses in our Annual Report on Form 10-K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ending December 31, 2021 and interim periods thereafter.</w:t>
      </w:r>
    </w:p>
    <w:p>
      <w:pPr>
        <w:spacing w:after="0" w:line="184" w:lineRule="exact"/>
        <w:rPr>
          <w:sz w:val="20"/>
          <w:szCs w:val="20"/>
          <w:color w:val="auto"/>
        </w:rPr>
      </w:pPr>
    </w:p>
    <w:p>
      <w:pPr>
        <w:ind w:right="100" w:firstLine="1134"/>
        <w:spacing w:after="0" w:line="311" w:lineRule="auto"/>
        <w:rPr>
          <w:sz w:val="20"/>
          <w:szCs w:val="20"/>
          <w:color w:val="auto"/>
        </w:rPr>
      </w:pPr>
      <w:r>
        <w:rPr>
          <w:rFonts w:ascii="Arial" w:cs="Arial" w:eastAsia="Arial" w:hAnsi="Arial"/>
          <w:sz w:val="16"/>
          <w:szCs w:val="16"/>
          <w:color w:val="auto"/>
        </w:rPr>
        <w:t>Emerging growth companies, as defined in the JOBS Act, are permitted to delay adopting new or revised accounting standards issued subsequent to the enactment of the JOBS Act until such time as those standards apply to private companies. Accordingly, our financial statements may not be comparable to companies that comply with new or revised accounting pronouncements as of public company effective dates.</w:t>
      </w:r>
    </w:p>
    <w:p>
      <w:pPr>
        <w:spacing w:after="0" w:line="108" w:lineRule="exact"/>
        <w:rPr>
          <w:sz w:val="20"/>
          <w:szCs w:val="20"/>
          <w:color w:val="auto"/>
        </w:rPr>
      </w:pPr>
    </w:p>
    <w:p>
      <w:pPr>
        <w:ind w:right="180" w:firstLine="1134"/>
        <w:spacing w:after="0" w:line="275" w:lineRule="auto"/>
        <w:rPr>
          <w:sz w:val="20"/>
          <w:szCs w:val="20"/>
          <w:color w:val="auto"/>
        </w:rPr>
      </w:pPr>
      <w:r>
        <w:rPr>
          <w:rFonts w:ascii="Arial" w:cs="Arial" w:eastAsia="Arial" w:hAnsi="Arial"/>
          <w:sz w:val="17"/>
          <w:szCs w:val="17"/>
          <w:color w:val="auto"/>
        </w:rPr>
        <w:t>In addition, we have relied upon other exemptions and reduced reporting requirements provided by the JOBS Act such as not being required to, among other things, (i) 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ind w:right="100"/>
        <w:spacing w:after="0" w:line="263" w:lineRule="auto"/>
        <w:rPr>
          <w:sz w:val="20"/>
          <w:szCs w:val="20"/>
          <w:color w:val="auto"/>
        </w:rPr>
      </w:pPr>
      <w:r>
        <w:rPr>
          <w:rFonts w:ascii="Arial" w:cs="Arial" w:eastAsia="Arial" w:hAnsi="Arial"/>
          <w:sz w:val="18"/>
          <w:szCs w:val="18"/>
          <w:color w:val="auto"/>
        </w:rPr>
        <w:t>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until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primary objectives of our investment activities are to ensure liquidity and to preserve capital. We are exposed to market risks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ordinary course of our business. These risks primarily include interest rate sensitivities. We had cash, cash equivalents and short-term investments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$221.0 million as of September 30, 2021 which consisted of bank deposits, highly liquid money market funds and short-term investments in U.S. treasury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U.S. government agency securities and corporate debt securities. Historical fluctuations in interest rates have not been significant for us.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outstanding debt as of September 30, 2021. Due to the short-term maturities of our cash equivalents and short-term investments, an immediate 100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point change in interest rates would not have a material effect on the fair market value of our cash equivalents or short-term investments. To minimize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 we maintain our portfolio of cash equivalents and short-term investments in institutional market funds that are composed of U.S. Treasury and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Treasury-backed repurchase agreements or short-term U.S. Treasury securities, U.S. government agency securities and corporate debt securities. We do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 that inflation, interest rate changes, or exchange rate fluctuations had a significant impact on our results of operations for any periods presented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1134"/>
        <w:spacing w:after="0" w:line="255" w:lineRule="auto"/>
        <w:rPr>
          <w:sz w:val="20"/>
          <w:szCs w:val="20"/>
          <w:color w:val="auto"/>
        </w:rPr>
      </w:pPr>
      <w:r>
        <w:rPr>
          <w:rFonts w:ascii="Arial" w:cs="Arial" w:eastAsia="Arial" w:hAnsi="Arial"/>
          <w:sz w:val="18"/>
          <w:szCs w:val="18"/>
          <w:color w:val="auto"/>
        </w:rPr>
        <w:t>As of September 30, 2021, our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spacing w:after="0" w:line="192" w:lineRule="exact"/>
        <w:rPr>
          <w:sz w:val="20"/>
          <w:szCs w:val="20"/>
          <w:color w:val="auto"/>
        </w:rPr>
      </w:pPr>
    </w:p>
    <w:p>
      <w:pPr>
        <w:ind w:firstLine="1134"/>
        <w:spacing w:after="0" w:line="259"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2021, the design and operation of our disclosure controls and procedures were effective at a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1134"/>
        <w:spacing w:after="0" w:line="257" w:lineRule="auto"/>
        <w:rPr>
          <w:sz w:val="20"/>
          <w:szCs w:val="20"/>
          <w:color w:val="auto"/>
        </w:rPr>
      </w:pPr>
      <w:r>
        <w:rPr>
          <w:rFonts w:ascii="Arial" w:cs="Arial" w:eastAsia="Arial" w:hAnsi="Arial"/>
          <w:sz w:val="18"/>
          <w:szCs w:val="18"/>
          <w:color w:val="auto"/>
        </w:rPr>
        <w:t>There was no change in our internal controls over financial reporting identified in connection with the evaluation required by Rule 13a-15(d) and 15d-15(d) under the Exchange Act that occurred during the quarter ended September 30, 2021 that has materially affected, or is reasonably likely to materially affect, our internal control over financial reporting. We considered our internal controls over financial reporting in regards to the impact of COVID-19 and concluded that our controls continue to operate in a remote environment without material effect on our internal controls over financial reporting.</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400" w:firstLine="1134"/>
        <w:spacing w:after="0" w:line="311" w:lineRule="auto"/>
        <w:rPr>
          <w:sz w:val="20"/>
          <w:szCs w:val="20"/>
          <w:color w:val="auto"/>
        </w:rPr>
      </w:pPr>
      <w:r>
        <w:rPr>
          <w:rFonts w:ascii="Arial" w:cs="Arial" w:eastAsia="Arial" w:hAnsi="Arial"/>
          <w:sz w:val="16"/>
          <w:szCs w:val="16"/>
          <w:color w:val="auto"/>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1" w:name="page32"/>
    <w:bookmarkEnd w:id="31"/>
    <w:p>
      <w:pPr>
        <w:ind w:left="4960"/>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have incurred significant net losses since inception and we expect to continue to incur significant net losses for the foreseeable future.</w:t>
      </w:r>
    </w:p>
    <w:p>
      <w:pPr>
        <w:spacing w:after="0" w:line="221" w:lineRule="exact"/>
        <w:rPr>
          <w:sz w:val="20"/>
          <w:szCs w:val="20"/>
          <w:color w:val="auto"/>
        </w:rPr>
      </w:pPr>
    </w:p>
    <w:p>
      <w:pPr>
        <w:ind w:right="120" w:firstLine="434"/>
        <w:spacing w:after="0" w:line="272" w:lineRule="auto"/>
        <w:rPr>
          <w:sz w:val="20"/>
          <w:szCs w:val="20"/>
          <w:color w:val="auto"/>
        </w:rPr>
      </w:pPr>
      <w:r>
        <w:rPr>
          <w:rFonts w:ascii="Arial" w:cs="Arial" w:eastAsia="Arial" w:hAnsi="Arial"/>
          <w:sz w:val="17"/>
          <w:szCs w:val="17"/>
          <w:color w:val="auto"/>
        </w:rPr>
        <w:t>We have incurred significant net losses since our inception and have financed our operations principally through equity financing and our collaboration with Novartis. We continue to incur significant research and development and other expenses related to our ongoing operations. Our net loss was $27.0 million and $72.7 million for the three and nine months ended September 30, 2021, respectively. As of September 30, 2021, we had an accumulated deficit of $190.6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to continue to incur significant losses for the foreseeable future, and we anticipate that our expenses will increase substantially if, and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w:t>
      </w:r>
    </w:p>
    <w:p>
      <w:pPr>
        <w:spacing w:after="0" w:line="170" w:lineRule="exact"/>
        <w:rPr>
          <w:sz w:val="20"/>
          <w:szCs w:val="20"/>
          <w:color w:val="auto"/>
        </w:rPr>
      </w:pPr>
    </w:p>
    <w:p>
      <w:pPr>
        <w:ind w:left="880" w:right="12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our lead product candidate, PLN-74809, and our other product candidates through clinical development, and, if successful, later-stage clinical trials;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discover and develop new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our preclinical development programs into clinical development;</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develop manufacturing processes and manufacture our product candidates;</w:t>
      </w:r>
    </w:p>
    <w:p>
      <w:pPr>
        <w:spacing w:after="0" w:line="198" w:lineRule="exact"/>
        <w:rPr>
          <w:rFonts w:ascii="Arial" w:cs="Arial" w:eastAsia="Arial" w:hAnsi="Arial"/>
          <w:sz w:val="18"/>
          <w:szCs w:val="18"/>
          <w:color w:val="auto"/>
        </w:rPr>
      </w:pPr>
    </w:p>
    <w:p>
      <w:pPr>
        <w:ind w:left="880" w:right="20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delays or interruptions to preclinical studies, clinical trials, our receipt of services from our third-party service providers on whom we rely, or our supply chain due to the COVID-19 pandemic;</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commercialize PLN-74809, our other product candidates and any future product candidates, if approved;</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amount of research and development activities to identify and develop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clinical development, quality control, scientific and management personnel;</w:t>
      </w:r>
    </w:p>
    <w:p>
      <w:pPr>
        <w:spacing w:after="0" w:line="184" w:lineRule="exact"/>
        <w:rPr>
          <w:rFonts w:ascii="Arial" w:cs="Arial" w:eastAsia="Arial" w:hAnsi="Arial"/>
          <w:sz w:val="18"/>
          <w:szCs w:val="18"/>
          <w:color w:val="auto"/>
        </w:rPr>
      </w:pPr>
    </w:p>
    <w:p>
      <w:pPr>
        <w:ind w:left="880" w:right="30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and manufacturing efforts and our operations as a public company;</w:t>
      </w:r>
    </w:p>
    <w:p>
      <w:pPr>
        <w:spacing w:after="0" w:line="143" w:lineRule="exact"/>
        <w:rPr>
          <w:rFonts w:ascii="Arial" w:cs="Arial" w:eastAsia="Arial" w:hAnsi="Arial"/>
          <w:sz w:val="18"/>
          <w:szCs w:val="18"/>
          <w:color w:val="auto"/>
        </w:rPr>
      </w:pPr>
    </w:p>
    <w:p>
      <w:pPr>
        <w:ind w:left="880" w:right="18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 in or in-license other technologies or product candidates; and</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build out our organization to engage in such activities.</w:t>
      </w:r>
    </w:p>
    <w:p>
      <w:pPr>
        <w:spacing w:after="0" w:line="185" w:lineRule="exact"/>
        <w:rPr>
          <w:sz w:val="20"/>
          <w:szCs w:val="20"/>
          <w:color w:val="auto"/>
        </w:rPr>
      </w:pPr>
    </w:p>
    <w:p>
      <w:pPr>
        <w:ind w:firstLine="427"/>
        <w:spacing w:after="0" w:line="254" w:lineRule="auto"/>
        <w:rPr>
          <w:sz w:val="20"/>
          <w:szCs w:val="20"/>
          <w:color w:val="auto"/>
        </w:rPr>
      </w:pPr>
      <w:r>
        <w:rPr>
          <w:rFonts w:ascii="Arial" w:cs="Arial" w:eastAsia="Arial" w:hAnsi="Arial"/>
          <w:sz w:val="18"/>
          <w:szCs w:val="18"/>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2" w:name="page33"/>
    <w:bookmarkEnd w:id="32"/>
    <w:p>
      <w:pPr>
        <w:jc w:val="both"/>
        <w:ind w:left="22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157" w:lineRule="exact"/>
        <w:rPr>
          <w:sz w:val="20"/>
          <w:szCs w:val="20"/>
          <w:color w:val="auto"/>
        </w:rPr>
      </w:pPr>
    </w:p>
    <w:p>
      <w:pPr>
        <w:ind w:right="40" w:firstLine="434"/>
        <w:spacing w:after="0" w:line="291"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PLN-74809 and any future product candidates that we may develop, seek regulatory approvals for our product candidates and to launch and commercialize any products for which we receive regulatory approval.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spacing w:after="0" w:line="126" w:lineRule="exact"/>
        <w:rPr>
          <w:sz w:val="20"/>
          <w:szCs w:val="20"/>
          <w:color w:val="auto"/>
        </w:rPr>
      </w:pPr>
    </w:p>
    <w:p>
      <w:pPr>
        <w:ind w:right="80" w:firstLine="434"/>
        <w:spacing w:after="0" w:line="254" w:lineRule="auto"/>
        <w:rPr>
          <w:sz w:val="20"/>
          <w:szCs w:val="20"/>
          <w:color w:val="auto"/>
        </w:rPr>
      </w:pPr>
      <w:r>
        <w:rPr>
          <w:rFonts w:ascii="Arial" w:cs="Arial" w:eastAsia="Arial" w:hAnsi="Arial"/>
          <w:sz w:val="18"/>
          <w:szCs w:val="18"/>
          <w:color w:val="auto"/>
        </w:rPr>
        <w:t>As of September 30, 2021, we had approximately $221.0 million in cash, cash equivalents and short-term investments. Based on our current operating plan, we believe that our existing cash, cash equivalents and short-term investments, will be sufficient to fund our operating expenses and capital expenditure requirements into 2023.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151" w:lineRule="exact"/>
        <w:rPr>
          <w:sz w:val="20"/>
          <w:szCs w:val="20"/>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timelines of our clinical trials and the overall costs to conduct and complete the clinical trials due to the COVID-19 pandemic;</w:t>
      </w:r>
    </w:p>
    <w:p>
      <w:pPr>
        <w:spacing w:after="0" w:line="184" w:lineRule="exact"/>
        <w:rPr>
          <w:rFonts w:ascii="Arial" w:cs="Arial" w:eastAsia="Arial" w:hAnsi="Arial"/>
          <w:sz w:val="18"/>
          <w:szCs w:val="18"/>
          <w:color w:val="auto"/>
        </w:rPr>
      </w:pPr>
    </w:p>
    <w:p>
      <w:pPr>
        <w:ind w:left="880" w:right="18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capital commitments required for developing manufacturing processes for our product candidates and manufacturing our product candidates at clinical and commercial scales;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outcome, timing and cost of meeting regulatory requirements established by the FDA and other comparable foreign regulatory authorities;</w:t>
      </w:r>
    </w:p>
    <w:p>
      <w:pPr>
        <w:spacing w:after="0" w:line="207" w:lineRule="exact"/>
        <w:rPr>
          <w:rFonts w:ascii="Arial" w:cs="Arial" w:eastAsia="Arial" w:hAnsi="Arial"/>
          <w:sz w:val="16"/>
          <w:szCs w:val="16"/>
          <w:color w:val="auto"/>
        </w:rPr>
      </w:pPr>
    </w:p>
    <w:p>
      <w:pPr>
        <w:ind w:left="880" w:right="28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are able to maintain our existing collaboration with Novartis and enter into additional collaboration agreements and the terms of any such agreements;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84" w:lineRule="exact"/>
        <w:rPr>
          <w:rFonts w:ascii="Arial" w:cs="Arial" w:eastAsia="Arial" w:hAnsi="Arial"/>
          <w:sz w:val="18"/>
          <w:szCs w:val="18"/>
          <w:color w:val="auto"/>
        </w:rPr>
      </w:pPr>
    </w:p>
    <w:p>
      <w:pPr>
        <w:ind w:left="880" w:right="36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 and</w:t>
      </w:r>
    </w:p>
    <w:p>
      <w:pPr>
        <w:spacing w:after="0" w:line="184" w:lineRule="exact"/>
        <w:rPr>
          <w:rFonts w:ascii="Arial" w:cs="Arial" w:eastAsia="Arial" w:hAnsi="Arial"/>
          <w:sz w:val="18"/>
          <w:szCs w:val="18"/>
          <w:color w:val="auto"/>
        </w:rPr>
      </w:pPr>
    </w:p>
    <w:p>
      <w:pPr>
        <w:ind w:left="880" w:right="12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30" w:lineRule="exact"/>
        <w:rPr>
          <w:sz w:val="20"/>
          <w:szCs w:val="20"/>
          <w:color w:val="auto"/>
        </w:rPr>
      </w:pPr>
    </w:p>
    <w:p>
      <w:pPr>
        <w:ind w:right="40" w:firstLine="434"/>
        <w:spacing w:after="0" w:line="273" w:lineRule="auto"/>
        <w:rPr>
          <w:sz w:val="20"/>
          <w:szCs w:val="20"/>
          <w:color w:val="auto"/>
        </w:rPr>
      </w:pPr>
      <w:r>
        <w:rPr>
          <w:rFonts w:ascii="Arial" w:cs="Arial" w:eastAsia="Arial" w:hAnsi="Arial"/>
          <w:sz w:val="17"/>
          <w:szCs w:val="17"/>
          <w:color w:val="auto"/>
        </w:rPr>
        <w:t>We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p>
      <w:pPr>
        <w:ind w:right="20"/>
        <w:spacing w:after="0" w:line="269" w:lineRule="auto"/>
        <w:rPr>
          <w:sz w:val="20"/>
          <w:szCs w:val="20"/>
          <w:color w:val="auto"/>
        </w:rPr>
      </w:pPr>
      <w:r>
        <w:rPr>
          <w:rFonts w:ascii="Arial" w:cs="Arial" w:eastAsia="Arial" w:hAnsi="Arial"/>
          <w:sz w:val="17"/>
          <w:szCs w:val="17"/>
          <w:color w:val="auto"/>
        </w:rPr>
        <w:t>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the COVID-19 pandemic or other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155"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130" w:lineRule="exact"/>
        <w:rPr>
          <w:sz w:val="20"/>
          <w:szCs w:val="20"/>
          <w:color w:val="auto"/>
        </w:rPr>
      </w:pPr>
    </w:p>
    <w:p>
      <w:pPr>
        <w:ind w:right="500" w:firstLine="434"/>
        <w:spacing w:after="0" w:line="277" w:lineRule="auto"/>
        <w:rPr>
          <w:sz w:val="20"/>
          <w:szCs w:val="20"/>
          <w:color w:val="auto"/>
        </w:rPr>
      </w:pPr>
      <w:r>
        <w:rPr>
          <w:rFonts w:ascii="Arial" w:cs="Arial" w:eastAsia="Arial" w:hAnsi="Arial"/>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130" w:lineRule="exact"/>
        <w:rPr>
          <w:sz w:val="20"/>
          <w:szCs w:val="20"/>
          <w:color w:val="auto"/>
        </w:rPr>
      </w:pPr>
    </w:p>
    <w:p>
      <w:pPr>
        <w:ind w:left="880" w:right="560" w:hanging="438"/>
        <w:spacing w:after="0" w:line="27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recruit and retain subjects for clinical trials, and any delays caused by difficulties in such efforts;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96" w:lineRule="exact"/>
        <w:rPr>
          <w:rFonts w:ascii="Arial" w:cs="Arial" w:eastAsia="Arial" w:hAnsi="Arial"/>
          <w:sz w:val="17"/>
          <w:szCs w:val="17"/>
          <w:color w:val="auto"/>
        </w:rPr>
      </w:pPr>
    </w:p>
    <w:p>
      <w:pPr>
        <w:ind w:left="880" w:right="280" w:hanging="438"/>
        <w:spacing w:after="0" w:line="27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143" w:lineRule="exact"/>
        <w:rPr>
          <w:rFonts w:ascii="Arial" w:cs="Arial" w:eastAsia="Arial" w:hAnsi="Arial"/>
          <w:sz w:val="18"/>
          <w:szCs w:val="18"/>
          <w:color w:val="auto"/>
        </w:rPr>
      </w:pPr>
    </w:p>
    <w:p>
      <w:pPr>
        <w:ind w:left="880" w:right="200" w:hanging="438"/>
        <w:spacing w:after="0" w:line="27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difficulty of manufacture, quantity of production and the terms of our agreements with manufacturers;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84" w:lineRule="exact"/>
        <w:rPr>
          <w:rFonts w:ascii="Arial" w:cs="Arial" w:eastAsia="Arial" w:hAnsi="Arial"/>
          <w:sz w:val="18"/>
          <w:szCs w:val="18"/>
          <w:color w:val="auto"/>
        </w:rPr>
      </w:pPr>
    </w:p>
    <w:p>
      <w:pPr>
        <w:ind w:left="880" w:right="220" w:hanging="438"/>
        <w:spacing w:after="0" w:line="27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 or extraordinary external events, such as recessions or the COVID-19 pandemic;</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85" w:lineRule="exact"/>
        <w:rPr>
          <w:sz w:val="20"/>
          <w:szCs w:val="20"/>
          <w:color w:val="auto"/>
        </w:rPr>
      </w:pPr>
    </w:p>
    <w:p>
      <w:pPr>
        <w:ind w:right="20" w:firstLine="434"/>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Research and Development and the Biopharmaceutical Industry</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prospects and likelihood of success.</w:t>
      </w:r>
    </w:p>
    <w:p>
      <w:pPr>
        <w:spacing w:after="0" w:line="185" w:lineRule="exact"/>
        <w:rPr>
          <w:sz w:val="20"/>
          <w:szCs w:val="20"/>
          <w:color w:val="auto"/>
        </w:rPr>
      </w:pPr>
    </w:p>
    <w:p>
      <w:pPr>
        <w:ind w:left="220" w:right="20" w:firstLine="427"/>
        <w:spacing w:after="0" w:line="285" w:lineRule="auto"/>
        <w:rPr>
          <w:sz w:val="20"/>
          <w:szCs w:val="20"/>
          <w:color w:val="auto"/>
        </w:rPr>
      </w:pPr>
      <w:r>
        <w:rPr>
          <w:rFonts w:ascii="Arial" w:cs="Arial" w:eastAsia="Arial" w:hAnsi="Arial"/>
          <w:sz w:val="16"/>
          <w:szCs w:val="16"/>
          <w:color w:val="auto"/>
        </w:rPr>
        <w:t>We are a clinical-stage biopharmaceutical company with a limited operating history. We were incorporated in 2015,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TGF-ß,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In addition, our lead product candidate, PLN-74809, is in early clinical development for the treatment of IPF and PSC, and a second product candidate, PLN-1474, is in early clinical development. Both programs will require substantial additional development and clinical research time and resources, either from us or our collaborators, before we would be able to apply for or receive regulatory approvals and begin generating revenue from product sales. We have not yet demonstrated the ability to progress any product candidate through clinical trials. We are still in preclinical and early clinical development and may be unable to obtain regulatory approval, manufacture a commercial scale product, or arrange for a third party to do so on our behalf, or conduct sales and marketing activities necessary for successful product commercialization.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drug products.</w:t>
      </w:r>
    </w:p>
    <w:p>
      <w:pPr>
        <w:spacing w:after="0" w:line="131" w:lineRule="exact"/>
        <w:rPr>
          <w:sz w:val="20"/>
          <w:szCs w:val="20"/>
          <w:color w:val="auto"/>
        </w:rPr>
      </w:pPr>
    </w:p>
    <w:p>
      <w:pPr>
        <w:jc w:val="both"/>
        <w:ind w:left="220" w:firstLine="427"/>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157" w:lineRule="exact"/>
        <w:rPr>
          <w:sz w:val="20"/>
          <w:szCs w:val="20"/>
          <w:color w:val="auto"/>
        </w:rPr>
      </w:pPr>
    </w:p>
    <w:p>
      <w:pPr>
        <w:ind w:right="20" w:firstLine="434"/>
        <w:spacing w:after="0" w:line="26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are very early in our clinical development for both PLN-74809 and PLN-1474. Because PLN-74809 is our lead product candidate, if PLN-74809 encounters safety or efficacy problems, development delays, regulatory issues or other problems, our development plans and business would be significantly harmed. We have completed various Phase 1 trials of PLN-74809. We are enrolling two Phase 2a trials in IPF, including a PET imaging trial. We are also conducting a Phase 2a PSC trial which is currently enrolling patients. We are also collaborating with Novartis to develop PLN-1474 for liver fibrosis associated with NASH and have completed a Phase 1a SAD/MAD study evaluating PLN-1474 in healthy volunteers. The IND for this candidate was transferred to Novartis in the first quarter of 2021, and Novartis is responsible for all PLN-1474 development, manufacturing, and commercialization activities after the initial development period. All of the risks and uncertainties that apply to PLN-74809 or any candidates that we develop independently apply equally to our collaborator with respect to advancement of PLN-1474. In addition, we also face risks resulting from our reliance on Novartis for development of this candidate. See “—Risks Related to Our Reliance on Third Parties.”</w:t>
      </w:r>
    </w:p>
    <w:p>
      <w:pPr>
        <w:spacing w:after="0" w:line="145" w:lineRule="exact"/>
        <w:rPr>
          <w:sz w:val="20"/>
          <w:szCs w:val="20"/>
          <w:color w:val="auto"/>
        </w:rPr>
      </w:pPr>
    </w:p>
    <w:p>
      <w:pPr>
        <w:ind w:right="40" w:firstLine="434"/>
        <w:spacing w:after="0" w:line="257" w:lineRule="auto"/>
        <w:rPr>
          <w:sz w:val="20"/>
          <w:szCs w:val="20"/>
          <w:color w:val="auto"/>
        </w:rPr>
      </w:pPr>
      <w:r>
        <w:rPr>
          <w:rFonts w:ascii="Arial" w:cs="Arial" w:eastAsia="Arial" w:hAnsi="Arial"/>
          <w:sz w:val="18"/>
          <w:szCs w:val="18"/>
          <w:color w:val="auto"/>
        </w:rPr>
        <w:t>Before we can generate any revenue from sales of our lead product candidate, PLN-74809,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5" w:name="page36"/>
    <w:bookmarkEnd w:id="35"/>
    <w:p>
      <w:pPr>
        <w:ind w:right="20" w:firstLine="434"/>
        <w:spacing w:after="0" w:line="277" w:lineRule="auto"/>
        <w:rPr>
          <w:sz w:val="20"/>
          <w:szCs w:val="20"/>
          <w:color w:val="auto"/>
        </w:rPr>
      </w:pPr>
      <w:r>
        <w:rPr>
          <w:rFonts w:ascii="Arial" w:cs="Arial" w:eastAsia="Arial" w:hAnsi="Arial"/>
          <w:sz w:val="18"/>
          <w:szCs w:val="18"/>
          <w:color w:val="auto"/>
        </w:rPr>
        <w:t>We may experience setbacks that could delay or prevent regulatory approval of, or the extent of regulatory protection or our ability to commercialize, our product candidates, including:</w:t>
      </w:r>
    </w:p>
    <w:p>
      <w:pPr>
        <w:spacing w:after="0" w:line="143" w:lineRule="exact"/>
        <w:rPr>
          <w:sz w:val="20"/>
          <w:szCs w:val="20"/>
          <w:color w:val="auto"/>
        </w:rPr>
      </w:pPr>
    </w:p>
    <w:p>
      <w:pPr>
        <w:ind w:left="880" w:right="380" w:hanging="438"/>
        <w:spacing w:after="0" w:line="308" w:lineRule="auto"/>
        <w:tabs>
          <w:tab w:leader="none" w:pos="8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105" w:lineRule="exact"/>
        <w:rPr>
          <w:rFonts w:ascii="Arial" w:cs="Arial" w:eastAsia="Arial" w:hAnsi="Arial"/>
          <w:sz w:val="17"/>
          <w:szCs w:val="17"/>
          <w:color w:val="auto"/>
        </w:rPr>
      </w:pPr>
    </w:p>
    <w:p>
      <w:pPr>
        <w:ind w:left="880" w:right="32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product-related side effects experienced by subjects in our clinical trials or by individuals using drugs or therapeutics similar to our product candidates;</w:t>
      </w:r>
    </w:p>
    <w:p>
      <w:pPr>
        <w:spacing w:after="0" w:line="129" w:lineRule="exact"/>
        <w:rPr>
          <w:rFonts w:ascii="Arial" w:cs="Arial" w:eastAsia="Arial" w:hAnsi="Arial"/>
          <w:sz w:val="18"/>
          <w:szCs w:val="18"/>
          <w:color w:val="auto"/>
        </w:rPr>
      </w:pPr>
    </w:p>
    <w:p>
      <w:pPr>
        <w:ind w:left="880" w:right="48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enrolling subjects in clinical trials, including due to the COVID-19 pandemic;</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 drop-out rates of subjects from clinical trials;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inadequate supply or quality of product candidates or other materials necessary for the conduct of our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manufacturing our product candidates to regulatory requirements in a cost effective manner;</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secure or maintain orphan designation in some jurisdictions;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poor efficacy of our product candidates during clinical trials;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84" w:lineRule="exact"/>
        <w:rPr>
          <w:rFonts w:ascii="Arial" w:cs="Arial" w:eastAsia="Arial" w:hAnsi="Arial"/>
          <w:sz w:val="18"/>
          <w:szCs w:val="18"/>
          <w:color w:val="auto"/>
        </w:rPr>
      </w:pPr>
    </w:p>
    <w:p>
      <w:pPr>
        <w:ind w:left="880" w:right="10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129" w:lineRule="exact"/>
        <w:rPr>
          <w:rFonts w:ascii="Arial" w:cs="Arial" w:eastAsia="Arial" w:hAnsi="Arial"/>
          <w:sz w:val="18"/>
          <w:szCs w:val="18"/>
          <w:color w:val="auto"/>
        </w:rPr>
      </w:pPr>
    </w:p>
    <w:p>
      <w:pPr>
        <w:ind w:left="880" w:right="16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related to the impact of the spread of the COVID-19 pandemic, including the impact of COVID-19 on the FDA’s ability to continue its normal operations;</w:t>
      </w:r>
    </w:p>
    <w:p>
      <w:pPr>
        <w:spacing w:after="0" w:line="143" w:lineRule="exact"/>
        <w:rPr>
          <w:rFonts w:ascii="Arial" w:cs="Arial" w:eastAsia="Arial" w:hAnsi="Arial"/>
          <w:sz w:val="18"/>
          <w:szCs w:val="18"/>
          <w:color w:val="auto"/>
        </w:rPr>
      </w:pPr>
    </w:p>
    <w:p>
      <w:pPr>
        <w:ind w:left="880" w:right="52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185" w:lineRule="exact"/>
        <w:rPr>
          <w:sz w:val="20"/>
          <w:szCs w:val="20"/>
          <w:color w:val="auto"/>
        </w:rPr>
      </w:pPr>
    </w:p>
    <w:p>
      <w:pPr>
        <w:ind w:firstLine="434"/>
        <w:spacing w:after="0" w:line="342"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97" w:lineRule="exact"/>
        <w:rPr>
          <w:sz w:val="20"/>
          <w:szCs w:val="20"/>
          <w:color w:val="auto"/>
        </w:rPr>
      </w:pPr>
    </w:p>
    <w:p>
      <w:pPr>
        <w:ind w:left="220" w:right="320"/>
        <w:spacing w:after="0" w:line="277" w:lineRule="auto"/>
        <w:rPr>
          <w:sz w:val="20"/>
          <w:szCs w:val="20"/>
          <w:color w:val="auto"/>
        </w:rPr>
      </w:pPr>
      <w:r>
        <w:rPr>
          <w:rFonts w:ascii="Arial" w:cs="Arial" w:eastAsia="Arial" w:hAnsi="Arial"/>
          <w:sz w:val="18"/>
          <w:szCs w:val="18"/>
          <w:b w:val="1"/>
          <w:bCs w:val="1"/>
          <w:i w:val="1"/>
          <w:iCs w:val="1"/>
          <w:color w:val="auto"/>
        </w:rPr>
        <w:t>Our approach to drug discovery and development in the area of fibrotic diseases, with an initial focus on tissue-specific integrin modulation and TGF-ß signaling inhibition, is unproven and may not result in marketable products.</w:t>
      </w:r>
    </w:p>
    <w:p>
      <w:pPr>
        <w:spacing w:after="0" w:line="130" w:lineRule="exact"/>
        <w:rPr>
          <w:sz w:val="20"/>
          <w:szCs w:val="20"/>
          <w:color w:val="auto"/>
        </w:rPr>
      </w:pPr>
    </w:p>
    <w:p>
      <w:pPr>
        <w:ind w:right="100" w:firstLine="434"/>
        <w:spacing w:after="0" w:line="254" w:lineRule="auto"/>
        <w:rPr>
          <w:sz w:val="20"/>
          <w:szCs w:val="20"/>
          <w:color w:val="auto"/>
        </w:rPr>
      </w:pPr>
      <w:r>
        <w:rPr>
          <w:rFonts w:ascii="Arial" w:cs="Arial" w:eastAsia="Arial" w:hAnsi="Arial"/>
          <w:sz w:val="18"/>
          <w:szCs w:val="18"/>
          <w:color w:val="auto"/>
        </w:rPr>
        <w:t>Our approach is designed to discover and develop targeted treatments for fibrosis with an initial focus on the antagonism of tissue-specific TGF-ß signaling through the inhibition of integrins known to mediate the release of activated TGF-ß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primarily tested our lead product candidate, PLN-74809,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6" w:name="page37"/>
    <w:bookmarkEnd w:id="36"/>
    <w:p>
      <w:pPr>
        <w:ind w:right="60" w:firstLine="434"/>
        <w:spacing w:after="0" w:line="290" w:lineRule="auto"/>
        <w:rPr>
          <w:sz w:val="20"/>
          <w:szCs w:val="20"/>
          <w:color w:val="auto"/>
        </w:rPr>
      </w:pPr>
      <w:r>
        <w:rPr>
          <w:rFonts w:ascii="Arial" w:cs="Arial" w:eastAsia="Arial" w:hAnsi="Arial"/>
          <w:sz w:val="16"/>
          <w:szCs w:val="16"/>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138" w:lineRule="exact"/>
        <w:rPr>
          <w:sz w:val="20"/>
          <w:szCs w:val="20"/>
          <w:color w:val="auto"/>
        </w:rPr>
      </w:pPr>
    </w:p>
    <w:p>
      <w:pPr>
        <w:ind w:right="380" w:firstLine="434"/>
        <w:spacing w:after="0" w:line="296" w:lineRule="auto"/>
        <w:rPr>
          <w:sz w:val="20"/>
          <w:szCs w:val="20"/>
          <w:color w:val="auto"/>
        </w:rPr>
      </w:pPr>
      <w:r>
        <w:rPr>
          <w:rFonts w:ascii="Arial" w:cs="Arial" w:eastAsia="Arial" w:hAnsi="Arial"/>
          <w:sz w:val="16"/>
          <w:szCs w:val="16"/>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or on our behalf. Even in the absence of violations resulting in penalties, regulatory and other authorities may refuse to authorize the conduct or to accept the results of studies for regulatory or ethical reasons.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Clinical development involves a lengthy, complex, and expensive process, with an uncertain outcome.</w:t>
      </w:r>
    </w:p>
    <w:p>
      <w:pPr>
        <w:spacing w:after="0" w:line="185" w:lineRule="exact"/>
        <w:rPr>
          <w:sz w:val="20"/>
          <w:szCs w:val="20"/>
          <w:color w:val="auto"/>
        </w:rPr>
      </w:pPr>
    </w:p>
    <w:p>
      <w:pPr>
        <w:ind w:firstLine="434"/>
        <w:spacing w:after="0" w:line="268" w:lineRule="auto"/>
        <w:rPr>
          <w:sz w:val="20"/>
          <w:szCs w:val="20"/>
          <w:color w:val="auto"/>
        </w:rPr>
      </w:pPr>
      <w:r>
        <w:rPr>
          <w:rFonts w:ascii="Arial" w:cs="Arial" w:eastAsia="Arial" w:hAnsi="Arial"/>
          <w:sz w:val="17"/>
          <w:szCs w:val="17"/>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PLN-74809 or any of our other product candidates. Product candidates that appear promising in the early phases of development may fail to reach the market for several reasons, including:</w:t>
      </w:r>
    </w:p>
    <w:p>
      <w:pPr>
        <w:spacing w:after="0" w:line="157" w:lineRule="exact"/>
        <w:rPr>
          <w:sz w:val="20"/>
          <w:szCs w:val="20"/>
          <w:color w:val="auto"/>
        </w:rPr>
      </w:pPr>
    </w:p>
    <w:p>
      <w:pPr>
        <w:ind w:left="880" w:hanging="438"/>
        <w:spacing w:after="0" w:line="277" w:lineRule="auto"/>
        <w:tabs>
          <w:tab w:leader="none" w:pos="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establish clinical endpoints that applicable regulatory authorities would consider clinically meaningful;</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 of competing products in the same disease state;</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a product candidate uneconomical; and</w:t>
      </w:r>
    </w:p>
    <w:p>
      <w:pPr>
        <w:spacing w:after="0" w:line="207" w:lineRule="exact"/>
        <w:rPr>
          <w:rFonts w:ascii="Arial" w:cs="Arial" w:eastAsia="Arial" w:hAnsi="Arial"/>
          <w:sz w:val="16"/>
          <w:szCs w:val="16"/>
          <w:color w:val="auto"/>
        </w:rPr>
      </w:pPr>
    </w:p>
    <w:p>
      <w:pPr>
        <w:ind w:left="880" w:right="420" w:hanging="438"/>
        <w:spacing w:after="0" w:line="277" w:lineRule="auto"/>
        <w:tabs>
          <w:tab w:leader="none" w:pos="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one of our product candidates from being commercialized.</w:t>
      </w:r>
    </w:p>
    <w:p>
      <w:pPr>
        <w:spacing w:after="0" w:line="143" w:lineRule="exact"/>
        <w:rPr>
          <w:sz w:val="20"/>
          <w:szCs w:val="20"/>
          <w:color w:val="auto"/>
        </w:rPr>
      </w:pPr>
    </w:p>
    <w:p>
      <w:pPr>
        <w:ind w:right="40" w:firstLine="434"/>
        <w:spacing w:after="0" w:line="272" w:lineRule="auto"/>
        <w:rPr>
          <w:sz w:val="20"/>
          <w:szCs w:val="20"/>
          <w:color w:val="auto"/>
        </w:rPr>
      </w:pPr>
      <w:r>
        <w:rPr>
          <w:rFonts w:ascii="Arial" w:cs="Arial" w:eastAsia="Arial" w:hAnsi="Arial"/>
          <w:sz w:val="17"/>
          <w:szCs w:val="17"/>
          <w:color w:val="auto"/>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open-label studies, where both the patient and investigator know whether the patient is receiving the investigational product candidate or either an existing approved drug or placebo. Most typically, open-label clinical trials test only the investigational product candidate and</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37" w:name="page38"/>
    <w:bookmarkEnd w:id="37"/>
    <w:p>
      <w:pPr>
        <w:ind w:right="20"/>
        <w:spacing w:after="0" w:line="257" w:lineRule="auto"/>
        <w:rPr>
          <w:sz w:val="20"/>
          <w:szCs w:val="20"/>
          <w:color w:val="auto"/>
        </w:rPr>
      </w:pPr>
      <w:r>
        <w:rPr>
          <w:rFonts w:ascii="Arial" w:cs="Arial" w:eastAsia="Arial" w:hAnsi="Arial"/>
          <w:sz w:val="18"/>
          <w:szCs w:val="18"/>
          <w:color w:val="auto"/>
        </w:rPr>
        <w:t>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61" w:lineRule="exact"/>
        <w:rPr>
          <w:sz w:val="20"/>
          <w:szCs w:val="20"/>
          <w:color w:val="auto"/>
        </w:rPr>
      </w:pPr>
    </w:p>
    <w:p>
      <w:pPr>
        <w:ind w:right="20" w:firstLine="434"/>
        <w:spacing w:after="0" w:line="288" w:lineRule="auto"/>
        <w:rPr>
          <w:sz w:val="20"/>
          <w:szCs w:val="20"/>
          <w:color w:val="auto"/>
        </w:rPr>
      </w:pPr>
      <w:r>
        <w:rPr>
          <w:rFonts w:ascii="Arial" w:cs="Arial" w:eastAsia="Arial" w:hAnsi="Arial"/>
          <w:sz w:val="16"/>
          <w:szCs w:val="16"/>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considering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128" w:lineRule="exact"/>
        <w:rPr>
          <w:sz w:val="20"/>
          <w:szCs w:val="20"/>
          <w:color w:val="auto"/>
        </w:rPr>
      </w:pPr>
    </w:p>
    <w:p>
      <w:pPr>
        <w:ind w:right="20" w:firstLine="434"/>
        <w:spacing w:after="0" w:line="255" w:lineRule="auto"/>
        <w:rPr>
          <w:sz w:val="20"/>
          <w:szCs w:val="20"/>
          <w:color w:val="auto"/>
        </w:rPr>
      </w:pPr>
      <w:r>
        <w:rPr>
          <w:rFonts w:ascii="Arial" w:cs="Arial" w:eastAsia="Arial" w:hAnsi="Arial"/>
          <w:sz w:val="18"/>
          <w:szCs w:val="18"/>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152" w:lineRule="exact"/>
        <w:rPr>
          <w:sz w:val="20"/>
          <w:szCs w:val="20"/>
          <w:color w:val="auto"/>
        </w:rPr>
      </w:pPr>
    </w:p>
    <w:p>
      <w:pPr>
        <w:ind w:right="220" w:firstLine="434"/>
        <w:spacing w:after="0" w:line="257" w:lineRule="auto"/>
        <w:rPr>
          <w:sz w:val="20"/>
          <w:szCs w:val="20"/>
          <w:color w:val="auto"/>
        </w:rPr>
      </w:pPr>
      <w:r>
        <w:rPr>
          <w:rFonts w:ascii="Arial" w:cs="Arial" w:eastAsia="Arial" w:hAnsi="Arial"/>
          <w:sz w:val="18"/>
          <w:szCs w:val="18"/>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161"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PLN-74809 or any other product candidates.</w:t>
      </w:r>
    </w:p>
    <w:p>
      <w:pPr>
        <w:spacing w:after="0" w:line="130" w:lineRule="exact"/>
        <w:rPr>
          <w:sz w:val="20"/>
          <w:szCs w:val="20"/>
          <w:color w:val="auto"/>
        </w:rPr>
      </w:pPr>
    </w:p>
    <w:p>
      <w:pPr>
        <w:ind w:firstLine="434"/>
        <w:spacing w:after="0" w:line="263"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PLN-74809 or any other product candidates, including:</w:t>
      </w:r>
    </w:p>
    <w:p>
      <w:pPr>
        <w:spacing w:after="0" w:line="143" w:lineRule="exact"/>
        <w:rPr>
          <w:sz w:val="20"/>
          <w:szCs w:val="20"/>
          <w:color w:val="auto"/>
        </w:rPr>
      </w:pPr>
    </w:p>
    <w:p>
      <w:pPr>
        <w:ind w:left="880" w:right="2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43" w:lineRule="exact"/>
        <w:rPr>
          <w:rFonts w:ascii="Arial" w:cs="Arial" w:eastAsia="Arial" w:hAnsi="Arial"/>
          <w:sz w:val="18"/>
          <w:szCs w:val="18"/>
          <w:color w:val="auto"/>
        </w:rPr>
      </w:pPr>
    </w:p>
    <w:p>
      <w:pPr>
        <w:ind w:left="880" w:right="320" w:hanging="438"/>
        <w:spacing w:after="0" w:line="263"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143" w:lineRule="exact"/>
        <w:rPr>
          <w:rFonts w:ascii="Arial" w:cs="Arial" w:eastAsia="Arial" w:hAnsi="Arial"/>
          <w:sz w:val="18"/>
          <w:szCs w:val="18"/>
          <w:color w:val="auto"/>
        </w:rPr>
      </w:pPr>
    </w:p>
    <w:p>
      <w:pPr>
        <w:ind w:left="880" w:right="4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which can be subject to extensive negotiation and may vary significantly among different CROs and trial sites;</w:t>
      </w:r>
    </w:p>
    <w:p>
      <w:pPr>
        <w:spacing w:after="0" w:line="129" w:lineRule="exact"/>
        <w:rPr>
          <w:rFonts w:ascii="Arial" w:cs="Arial" w:eastAsia="Arial" w:hAnsi="Arial"/>
          <w:sz w:val="18"/>
          <w:szCs w:val="18"/>
          <w:color w:val="auto"/>
        </w:rPr>
      </w:pPr>
    </w:p>
    <w:p>
      <w:pPr>
        <w:ind w:left="880" w:right="14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143" w:lineRule="exact"/>
        <w:rPr>
          <w:rFonts w:ascii="Arial" w:cs="Arial" w:eastAsia="Arial" w:hAnsi="Arial"/>
          <w:sz w:val="18"/>
          <w:szCs w:val="18"/>
          <w:color w:val="auto"/>
        </w:rPr>
      </w:pPr>
    </w:p>
    <w:p>
      <w:pPr>
        <w:jc w:val="both"/>
        <w:ind w:left="880" w:right="40" w:hanging="438"/>
        <w:spacing w:after="0" w:line="342" w:lineRule="auto"/>
        <w:tabs>
          <w:tab w:leader="none" w:pos="8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ind w:left="880" w:right="20" w:hanging="438"/>
        <w:spacing w:after="0" w:line="286" w:lineRule="auto"/>
        <w:tabs>
          <w:tab w:leader="none" w:pos="8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138" w:lineRule="exact"/>
        <w:rPr>
          <w:rFonts w:ascii="Arial" w:cs="Arial" w:eastAsia="Arial" w:hAnsi="Arial"/>
          <w:sz w:val="17"/>
          <w:szCs w:val="17"/>
          <w:color w:val="auto"/>
        </w:rPr>
      </w:pPr>
    </w:p>
    <w:p>
      <w:pPr>
        <w:ind w:left="880" w:right="20" w:hanging="438"/>
        <w:spacing w:after="0" w:line="277"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delays and interruptions to our clinical trials could extend the duration of the trials and increase the overall costs to finish the trials as our fixed costs are not substantially reduced during delays;</w:t>
      </w:r>
    </w:p>
    <w:p>
      <w:pPr>
        <w:spacing w:after="0" w:line="129" w:lineRule="exact"/>
        <w:rPr>
          <w:rFonts w:ascii="Arial" w:cs="Arial" w:eastAsia="Arial" w:hAnsi="Arial"/>
          <w:sz w:val="18"/>
          <w:szCs w:val="18"/>
          <w:color w:val="auto"/>
        </w:rPr>
      </w:pPr>
    </w:p>
    <w:p>
      <w:pPr>
        <w:ind w:left="880" w:hanging="438"/>
        <w:spacing w:after="0" w:line="263"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143" w:lineRule="exact"/>
        <w:rPr>
          <w:rFonts w:ascii="Arial" w:cs="Arial" w:eastAsia="Arial" w:hAnsi="Arial"/>
          <w:sz w:val="18"/>
          <w:szCs w:val="18"/>
          <w:color w:val="auto"/>
        </w:rPr>
      </w:pPr>
    </w:p>
    <w:p>
      <w:pPr>
        <w:ind w:left="880" w:right="760" w:hanging="438"/>
        <w:spacing w:after="0" w:line="277"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product candidates may be greater than we anticipate;</w:t>
      </w:r>
    </w:p>
    <w:p>
      <w:pPr>
        <w:spacing w:after="0" w:line="143" w:lineRule="exact"/>
        <w:rPr>
          <w:rFonts w:ascii="Arial" w:cs="Arial" w:eastAsia="Arial" w:hAnsi="Arial"/>
          <w:sz w:val="18"/>
          <w:szCs w:val="18"/>
          <w:color w:val="auto"/>
        </w:rPr>
      </w:pPr>
    </w:p>
    <w:p>
      <w:pPr>
        <w:ind w:left="880" w:right="720" w:hanging="438"/>
        <w:spacing w:after="0" w:line="277"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to initiate or complete a given clinical trial; and</w:t>
      </w:r>
    </w:p>
    <w:p>
      <w:pPr>
        <w:spacing w:after="0" w:line="129" w:lineRule="exact"/>
        <w:rPr>
          <w:rFonts w:ascii="Arial" w:cs="Arial" w:eastAsia="Arial" w:hAnsi="Arial"/>
          <w:sz w:val="18"/>
          <w:szCs w:val="18"/>
          <w:color w:val="auto"/>
        </w:rPr>
      </w:pPr>
    </w:p>
    <w:p>
      <w:pPr>
        <w:ind w:left="880" w:right="240" w:hanging="438"/>
        <w:spacing w:after="0" w:line="277"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require us to submit additional data such as long-term toxicology studies, or impose other requirements before permitting us to initiate a clinical trial.</w:t>
      </w:r>
    </w:p>
    <w:p>
      <w:pPr>
        <w:spacing w:after="0" w:line="130" w:lineRule="exact"/>
        <w:rPr>
          <w:sz w:val="20"/>
          <w:szCs w:val="20"/>
          <w:color w:val="auto"/>
        </w:rPr>
      </w:pPr>
    </w:p>
    <w:p>
      <w:pPr>
        <w:ind w:right="80" w:firstLine="434"/>
        <w:spacing w:after="0" w:line="272" w:lineRule="auto"/>
        <w:rPr>
          <w:sz w:val="20"/>
          <w:szCs w:val="20"/>
          <w:color w:val="auto"/>
        </w:rPr>
      </w:pPr>
      <w:r>
        <w:rPr>
          <w:rFonts w:ascii="Arial" w:cs="Arial" w:eastAsia="Arial" w:hAnsi="Arial"/>
          <w:sz w:val="17"/>
          <w:szCs w:val="17"/>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50" w:lineRule="exact"/>
        <w:rPr>
          <w:sz w:val="20"/>
          <w:szCs w:val="20"/>
          <w:color w:val="auto"/>
        </w:rPr>
      </w:pPr>
    </w:p>
    <w:p>
      <w:pPr>
        <w:ind w:left="220" w:right="40"/>
        <w:spacing w:after="0" w:line="381" w:lineRule="auto"/>
        <w:rPr>
          <w:sz w:val="20"/>
          <w:szCs w:val="20"/>
          <w:color w:val="auto"/>
        </w:rPr>
      </w:pPr>
      <w:r>
        <w:rPr>
          <w:rFonts w:ascii="Arial" w:cs="Arial" w:eastAsia="Arial" w:hAnsi="Arial"/>
          <w:sz w:val="15"/>
          <w:szCs w:val="15"/>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60" w:lineRule="exact"/>
        <w:rPr>
          <w:sz w:val="20"/>
          <w:szCs w:val="20"/>
          <w:color w:val="auto"/>
        </w:rPr>
      </w:pPr>
    </w:p>
    <w:p>
      <w:pPr>
        <w:ind w:right="120" w:firstLine="434"/>
        <w:spacing w:after="0" w:line="272" w:lineRule="auto"/>
        <w:rPr>
          <w:sz w:val="20"/>
          <w:szCs w:val="20"/>
          <w:color w:val="auto"/>
        </w:rPr>
      </w:pPr>
      <w:r>
        <w:rPr>
          <w:rFonts w:ascii="Arial" w:cs="Arial" w:eastAsia="Arial" w:hAnsi="Arial"/>
          <w:sz w:val="17"/>
          <w:szCs w:val="17"/>
          <w:color w:val="auto"/>
        </w:rPr>
        <w:t>We completed our Phase 1a clinical trial of our lead product candidate PLN-74809 in healthy volunteers, and, with the exception of a number of reported minor adverse events, the product candidate was observed to be generally well-tolerated across all doses in 71 trial participants.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PLN-74809 administered with approved IPF agents. As a result, we may encounter unexpected drug-drug interactions in our planned trials, and may be required to further test these candidates, including in drug-drug interaction studies, which may be expensive, time-consuming and result in delays to our programs.</w:t>
      </w:r>
    </w:p>
    <w:p>
      <w:pPr>
        <w:spacing w:after="0" w:line="137" w:lineRule="exact"/>
        <w:rPr>
          <w:sz w:val="20"/>
          <w:szCs w:val="20"/>
          <w:color w:val="auto"/>
        </w:rPr>
      </w:pPr>
    </w:p>
    <w:p>
      <w:pPr>
        <w:ind w:right="20" w:firstLine="434"/>
        <w:spacing w:after="0" w:line="259" w:lineRule="auto"/>
        <w:rPr>
          <w:sz w:val="20"/>
          <w:szCs w:val="20"/>
          <w:color w:val="auto"/>
        </w:rPr>
      </w:pPr>
      <w:r>
        <w:rPr>
          <w:rFonts w:ascii="Arial" w:cs="Arial" w:eastAsia="Arial" w:hAnsi="Arial"/>
          <w:sz w:val="18"/>
          <w:szCs w:val="18"/>
          <w:color w:val="auto"/>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9" w:name="page40"/>
    <w:bookmarkEnd w:id="39"/>
    <w:p>
      <w:pPr>
        <w:ind w:left="220" w:right="56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43" w:lineRule="exact"/>
        <w:rPr>
          <w:sz w:val="20"/>
          <w:szCs w:val="20"/>
          <w:color w:val="auto"/>
        </w:rPr>
      </w:pPr>
    </w:p>
    <w:p>
      <w:pPr>
        <w:ind w:right="640" w:firstLine="434"/>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43" w:lineRule="exact"/>
        <w:rPr>
          <w:sz w:val="20"/>
          <w:szCs w:val="20"/>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 and the process for identifying patients;</w:t>
      </w:r>
    </w:p>
    <w:p>
      <w:pPr>
        <w:spacing w:after="0" w:line="198" w:lineRule="exact"/>
        <w:rPr>
          <w:rFonts w:ascii="Arial" w:cs="Arial" w:eastAsia="Arial" w:hAnsi="Arial"/>
          <w:sz w:val="18"/>
          <w:szCs w:val="18"/>
          <w:color w:val="auto"/>
        </w:rPr>
      </w:pPr>
    </w:p>
    <w:p>
      <w:pPr>
        <w:ind w:left="880" w:right="800" w:hanging="438"/>
        <w:spacing w:after="0" w:line="277" w:lineRule="auto"/>
        <w:tabs>
          <w:tab w:leader="none" w:pos="8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or availability (including legality under any future or reinstated COVID-19 shelter-in-place regulations) of patients to participate in our trials (including due to fears of contracting COVID-19);</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84" w:lineRule="exact"/>
        <w:rPr>
          <w:rFonts w:ascii="Arial" w:cs="Arial" w:eastAsia="Arial" w:hAnsi="Arial"/>
          <w:sz w:val="18"/>
          <w:szCs w:val="18"/>
          <w:color w:val="auto"/>
        </w:rPr>
      </w:pPr>
    </w:p>
    <w:p>
      <w:pPr>
        <w:ind w:left="880" w:right="60" w:hanging="438"/>
        <w:spacing w:after="0" w:line="277" w:lineRule="auto"/>
        <w:tabs>
          <w:tab w:leader="none" w:pos="8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product candidates’ clinical trials;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185" w:lineRule="exact"/>
        <w:rPr>
          <w:sz w:val="20"/>
          <w:szCs w:val="20"/>
          <w:color w:val="auto"/>
        </w:rPr>
      </w:pPr>
    </w:p>
    <w:p>
      <w:pPr>
        <w:ind w:firstLine="434"/>
        <w:spacing w:after="0" w:line="254" w:lineRule="auto"/>
        <w:rPr>
          <w:sz w:val="20"/>
          <w:szCs w:val="20"/>
          <w:color w:val="auto"/>
        </w:rPr>
      </w:pPr>
      <w:r>
        <w:rPr>
          <w:rFonts w:ascii="Arial" w:cs="Arial" w:eastAsia="Arial" w:hAnsi="Arial"/>
          <w:sz w:val="18"/>
          <w:szCs w:val="18"/>
          <w:color w:val="auto"/>
        </w:rPr>
        <w:t>For example, we are initially developing PLN-74809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PLN-74809 due, in part, to the small size of these patient populations.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65" w:lineRule="exact"/>
        <w:rPr>
          <w:sz w:val="20"/>
          <w:szCs w:val="20"/>
          <w:color w:val="auto"/>
        </w:rPr>
      </w:pPr>
    </w:p>
    <w:p>
      <w:pPr>
        <w:ind w:right="20" w:firstLine="434"/>
        <w:spacing w:after="0" w:line="270" w:lineRule="auto"/>
        <w:rPr>
          <w:sz w:val="20"/>
          <w:szCs w:val="20"/>
          <w:color w:val="auto"/>
        </w:rPr>
      </w:pPr>
      <w:r>
        <w:rPr>
          <w:rFonts w:ascii="Arial" w:cs="Arial" w:eastAsia="Arial" w:hAnsi="Arial"/>
          <w:sz w:val="17"/>
          <w:szCs w:val="17"/>
          <w:color w:val="auto"/>
        </w:rPr>
        <w:t>Further, timely enrollment in clinical trials is reliant on clinical trial sites which may be adversely affected by global health matters, including, among other things, pandemics. For example, our clinical trial sites have been affected by the COVID-19 pandemic. Commencement of enrollment of our clinical trials of PLN-74809 in IPF and PSC was delayed. While these trials have resumed patient enrollment, we believe we are experiencing slower than expected enrollment due to the pandemic. Also, while the Phase 1 trial of PLN-1474 has completed, this trial experienced delays due to COVID-19. In addition, after enrollment in these trials, if patients contract COVID-19 during participation in our trials or are subject to isolation or shelter-in-place restrictions, this may cause them to drop out of our trials, miss scheduled doses or follow-up visits or otherwise fail to follow trial protocols. If patients are unable to follow the trial protocols or if our trial results are otherwise disputed due to the effects of the COVID-19 pandemic or actions taken to mitigate its spread, the integrity of data from our trials may be compromised or not accepted by the FDA or other regulatory authorities, which would represent a significant setback for the applicable program.</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0" w:name="page41"/>
    <w:bookmarkEnd w:id="40"/>
    <w:p>
      <w:pPr>
        <w:ind w:left="440"/>
        <w:spacing w:after="0"/>
        <w:rPr>
          <w:sz w:val="20"/>
          <w:szCs w:val="20"/>
          <w:color w:val="auto"/>
        </w:rPr>
      </w:pPr>
      <w:r>
        <w:rPr>
          <w:rFonts w:ascii="Arial" w:cs="Arial" w:eastAsia="Arial" w:hAnsi="Arial"/>
          <w:sz w:val="18"/>
          <w:szCs w:val="18"/>
          <w:color w:val="auto"/>
        </w:rPr>
        <w:t>Some factors from the COVID-19 pandemic that we believe may adversely affect enrollment in our trials include:</w:t>
      </w:r>
    </w:p>
    <w:p>
      <w:pPr>
        <w:spacing w:after="0" w:line="198" w:lineRule="exact"/>
        <w:rPr>
          <w:sz w:val="20"/>
          <w:szCs w:val="20"/>
          <w:color w:val="auto"/>
        </w:rPr>
      </w:pPr>
    </w:p>
    <w:p>
      <w:pPr>
        <w:jc w:val="both"/>
        <w:ind w:left="880" w:right="160" w:hanging="438"/>
        <w:spacing w:after="0" w:line="263"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143" w:lineRule="exact"/>
        <w:rPr>
          <w:rFonts w:ascii="Arial" w:cs="Arial" w:eastAsia="Arial" w:hAnsi="Arial"/>
          <w:sz w:val="18"/>
          <w:szCs w:val="18"/>
          <w:color w:val="auto"/>
        </w:rPr>
      </w:pPr>
    </w:p>
    <w:p>
      <w:pPr>
        <w:ind w:left="880" w:right="80" w:hanging="438"/>
        <w:spacing w:after="0" w:line="263"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given that our clinical trials target respiratory indications, patients who would otherwise be candidates for enrollment in our clinical trials, may become infected with coronavirus, which may kill some patients and render others too ill to participate, limiting the available pool of participants for our trials;</w:t>
      </w:r>
    </w:p>
    <w:p>
      <w:pPr>
        <w:spacing w:after="0" w:line="143" w:lineRule="exact"/>
        <w:rPr>
          <w:rFonts w:ascii="Arial" w:cs="Arial" w:eastAsia="Arial" w:hAnsi="Arial"/>
          <w:sz w:val="18"/>
          <w:szCs w:val="18"/>
          <w:color w:val="auto"/>
        </w:rPr>
      </w:pPr>
    </w:p>
    <w:p>
      <w:pPr>
        <w:ind w:left="880" w:right="380" w:hanging="438"/>
        <w:spacing w:after="0" w:line="277"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patients to come to hospitals and universities to participate in our trial, which may force us to conduct our trials in patients’ homes, rendering the trials more difficult and costly to conduct;</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travel that interrupt key trial activities, such as clinical trial site initiations and monitoring;</w:t>
      </w:r>
    </w:p>
    <w:p>
      <w:pPr>
        <w:spacing w:after="0" w:line="184" w:lineRule="exact"/>
        <w:rPr>
          <w:rFonts w:ascii="Arial" w:cs="Arial" w:eastAsia="Arial" w:hAnsi="Arial"/>
          <w:sz w:val="18"/>
          <w:szCs w:val="18"/>
          <w:color w:val="auto"/>
        </w:rPr>
      </w:pPr>
    </w:p>
    <w:p>
      <w:pPr>
        <w:ind w:left="880" w:right="40" w:hanging="438"/>
        <w:spacing w:after="0" w:line="277"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investigational drug product and comparator drugs used in our trials; and</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employee furlough days that delay necessary interactions with local regulators, ethics committees and other important agencies and contractors.</w:t>
      </w:r>
    </w:p>
    <w:p>
      <w:pPr>
        <w:spacing w:after="0" w:line="221" w:lineRule="exact"/>
        <w:rPr>
          <w:sz w:val="20"/>
          <w:szCs w:val="20"/>
          <w:color w:val="auto"/>
        </w:rPr>
      </w:pPr>
    </w:p>
    <w:p>
      <w:pPr>
        <w:ind w:right="380" w:firstLine="434"/>
        <w:spacing w:after="0" w:line="277" w:lineRule="auto"/>
        <w:rPr>
          <w:sz w:val="20"/>
          <w:szCs w:val="20"/>
          <w:color w:val="auto"/>
        </w:rPr>
      </w:pPr>
      <w:r>
        <w:rPr>
          <w:rFonts w:ascii="Arial" w:cs="Arial" w:eastAsia="Arial" w:hAnsi="Arial"/>
          <w:sz w:val="18"/>
          <w:szCs w:val="18"/>
          <w:color w:val="auto"/>
        </w:rPr>
        <w:t>The global outbreak of the COVID-19 pandemic continues to evolve and the conduct of our trials may continue to be adversely affected, despite efforts to mitigate this impact.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design or execution of our ongoing and future clinical trials may not support marketing approval.</w:t>
      </w:r>
    </w:p>
    <w:p>
      <w:pPr>
        <w:spacing w:after="0" w:line="185" w:lineRule="exact"/>
        <w:rPr>
          <w:sz w:val="20"/>
          <w:szCs w:val="20"/>
          <w:color w:val="auto"/>
        </w:rPr>
      </w:pPr>
    </w:p>
    <w:p>
      <w:pPr>
        <w:ind w:right="40" w:firstLine="434"/>
        <w:spacing w:after="0" w:line="280" w:lineRule="auto"/>
        <w:rPr>
          <w:sz w:val="20"/>
          <w:szCs w:val="20"/>
          <w:color w:val="auto"/>
        </w:rPr>
      </w:pPr>
      <w:r>
        <w:rPr>
          <w:rFonts w:ascii="Arial" w:cs="Arial" w:eastAsia="Arial" w:hAnsi="Arial"/>
          <w:sz w:val="16"/>
          <w:szCs w:val="16"/>
          <w:color w:val="auto"/>
        </w:rPr>
        <w:t>The design or execution of a clinical trial can determine whether its results will support marketing approval, and flaws in the design or execution of a clinical trial may not become apparent until the clinical trial is well advanced. We are currently recruiting two Phase 2a trials of PLN-74809 in IPF. In the first of these trials, the study is designed to enroll IPF patients and utilize a positron emission tomography, or PET, ligand to measure α</w:t>
      </w:r>
      <w:r>
        <w:rPr>
          <w:rFonts w:ascii="Arial" w:cs="Arial" w:eastAsia="Arial" w:hAnsi="Arial"/>
          <w:sz w:val="20"/>
          <w:szCs w:val="20"/>
          <w:color w:val="auto"/>
          <w:vertAlign w:val="subscript"/>
        </w:rPr>
        <w:t>v</w:t>
      </w:r>
      <w:r>
        <w:rPr>
          <w:rFonts w:ascii="Arial" w:cs="Arial" w:eastAsia="Arial" w:hAnsi="Arial"/>
          <w:sz w:val="16"/>
          <w:szCs w:val="16"/>
          <w:color w:val="auto"/>
        </w:rPr>
        <w:t>β</w:t>
      </w:r>
      <w:r>
        <w:rPr>
          <w:rFonts w:ascii="Arial" w:cs="Arial" w:eastAsia="Arial" w:hAnsi="Arial"/>
          <w:sz w:val="20"/>
          <w:szCs w:val="20"/>
          <w:color w:val="auto"/>
          <w:vertAlign w:val="subscript"/>
        </w:rPr>
        <w:t>6</w:t>
      </w:r>
      <w:r>
        <w:rPr>
          <w:rFonts w:ascii="Arial" w:cs="Arial" w:eastAsia="Arial" w:hAnsi="Arial"/>
          <w:sz w:val="16"/>
          <w:szCs w:val="16"/>
          <w:color w:val="auto"/>
        </w:rPr>
        <w:t xml:space="preserve"> target engagement by PLN-74809 in the lungs post-treatment. The second trial is a 12-week double blind placebo-controlled trial to evaluate safety, tolerability and PK of up three doses of PLN-74809. It is possible that we may need to amend our clinical trial, which would require us to resubmit our clinical trial protocols to competent authorities and ethics committees for reexamination, and may impact the costs, timing, or successful completion of such clinical trial. In addition, we may desire to test PLN-74809 at doses exceeding those evaluated in an ongoing Phase 1a trial and may not be able to do so.</w:t>
      </w:r>
    </w:p>
    <w:p>
      <w:pPr>
        <w:spacing w:after="0" w:line="145" w:lineRule="exact"/>
        <w:rPr>
          <w:sz w:val="20"/>
          <w:szCs w:val="20"/>
          <w:color w:val="auto"/>
        </w:rPr>
      </w:pPr>
    </w:p>
    <w:p>
      <w:pPr>
        <w:ind w:firstLine="434"/>
        <w:spacing w:after="0" w:line="279" w:lineRule="auto"/>
        <w:rPr>
          <w:sz w:val="20"/>
          <w:szCs w:val="20"/>
          <w:color w:val="auto"/>
        </w:rPr>
      </w:pPr>
      <w:r>
        <w:rPr>
          <w:rFonts w:ascii="Arial" w:cs="Arial" w:eastAsia="Arial" w:hAnsi="Arial"/>
          <w:sz w:val="17"/>
          <w:szCs w:val="17"/>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131" w:lineRule="exact"/>
        <w:rPr>
          <w:sz w:val="20"/>
          <w:szCs w:val="20"/>
          <w:color w:val="auto"/>
        </w:rPr>
      </w:pPr>
    </w:p>
    <w:p>
      <w:pPr>
        <w:ind w:right="40" w:firstLine="434"/>
        <w:spacing w:after="0" w:line="290" w:lineRule="auto"/>
        <w:rPr>
          <w:sz w:val="20"/>
          <w:szCs w:val="20"/>
          <w:color w:val="auto"/>
        </w:rPr>
      </w:pPr>
      <w:r>
        <w:rPr>
          <w:rFonts w:ascii="Arial" w:cs="Arial" w:eastAsia="Arial" w:hAnsi="Arial"/>
          <w:sz w:val="16"/>
          <w:szCs w:val="16"/>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125" w:lineRule="exact"/>
        <w:rPr>
          <w:sz w:val="20"/>
          <w:szCs w:val="20"/>
          <w:color w:val="auto"/>
        </w:rPr>
      </w:pPr>
    </w:p>
    <w:p>
      <w:pPr>
        <w:ind w:right="480" w:firstLine="434"/>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143"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b w:val="1"/>
          <w:bCs w:val="1"/>
          <w:i w:val="1"/>
          <w:iCs w:val="1"/>
          <w:color w:val="auto"/>
        </w:rPr>
        <w:t>Although we have received U.S. orphan drug designation for PLN-74809 for IPF and PSC indications, we may be unable to obtain and maintain orphan drug designation for our other product candidates and, even if we obtain such</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1" w:name="page42"/>
    <w:bookmarkEnd w:id="41"/>
    <w:p>
      <w:pPr>
        <w:ind w:left="220" w:right="240"/>
        <w:spacing w:after="0" w:line="277" w:lineRule="auto"/>
        <w:rPr>
          <w:sz w:val="20"/>
          <w:szCs w:val="20"/>
          <w:color w:val="auto"/>
        </w:rPr>
      </w:pPr>
      <w:r>
        <w:rPr>
          <w:rFonts w:ascii="Arial" w:cs="Arial" w:eastAsia="Arial" w:hAnsi="Arial"/>
          <w:sz w:val="18"/>
          <w:szCs w:val="18"/>
          <w:b w:val="1"/>
          <w:bCs w:val="1"/>
          <w:i w:val="1"/>
          <w:iCs w:val="1"/>
          <w:color w:val="auto"/>
        </w:rPr>
        <w:t>designation, we may not be able to realize the benefits of such designation, including potential marketing exclusivity of our product candidates, if approved.</w:t>
      </w:r>
    </w:p>
    <w:p>
      <w:pPr>
        <w:spacing w:after="0" w:line="143" w:lineRule="exact"/>
        <w:rPr>
          <w:sz w:val="20"/>
          <w:szCs w:val="20"/>
          <w:color w:val="auto"/>
        </w:rPr>
      </w:pPr>
    </w:p>
    <w:p>
      <w:pPr>
        <w:ind w:right="20" w:firstLine="434"/>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47" w:lineRule="exact"/>
        <w:rPr>
          <w:sz w:val="20"/>
          <w:szCs w:val="20"/>
          <w:color w:val="auto"/>
        </w:rPr>
      </w:pPr>
    </w:p>
    <w:p>
      <w:pPr>
        <w:ind w:right="100" w:firstLine="434"/>
        <w:spacing w:after="0" w:line="259" w:lineRule="auto"/>
        <w:rPr>
          <w:sz w:val="20"/>
          <w:szCs w:val="20"/>
          <w:color w:val="auto"/>
        </w:rPr>
      </w:pPr>
      <w:r>
        <w:rPr>
          <w:rFonts w:ascii="Arial" w:cs="Arial" w:eastAsia="Arial" w:hAnsi="Arial"/>
          <w:sz w:val="18"/>
          <w:szCs w:val="18"/>
          <w:color w:val="auto"/>
        </w:rPr>
        <w:t>Although we have received U.S. orphan drug designation for PLN-74809 for IPF and PSC indications,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146" w:lineRule="exact"/>
        <w:rPr>
          <w:sz w:val="20"/>
          <w:szCs w:val="20"/>
          <w:color w:val="auto"/>
        </w:rPr>
      </w:pPr>
    </w:p>
    <w:p>
      <w:pPr>
        <w:ind w:firstLine="434"/>
        <w:spacing w:after="0" w:line="255" w:lineRule="auto"/>
        <w:rPr>
          <w:sz w:val="20"/>
          <w:szCs w:val="20"/>
          <w:color w:val="auto"/>
        </w:rPr>
      </w:pPr>
      <w:r>
        <w:rPr>
          <w:rFonts w:ascii="Arial" w:cs="Arial" w:eastAsia="Arial" w:hAnsi="Arial"/>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The applicable period is seven years in the United States.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65" w:lineRule="exact"/>
        <w:rPr>
          <w:sz w:val="20"/>
          <w:szCs w:val="20"/>
          <w:color w:val="auto"/>
        </w:rPr>
      </w:pPr>
    </w:p>
    <w:p>
      <w:pPr>
        <w:ind w:right="60" w:firstLine="434"/>
        <w:spacing w:after="0" w:line="259"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w:t>
      </w:r>
    </w:p>
    <w:p>
      <w:pPr>
        <w:spacing w:after="0" w:line="146" w:lineRule="exact"/>
        <w:rPr>
          <w:sz w:val="20"/>
          <w:szCs w:val="20"/>
          <w:color w:val="auto"/>
        </w:rPr>
      </w:pPr>
    </w:p>
    <w:p>
      <w:pPr>
        <w:ind w:firstLine="434"/>
        <w:spacing w:after="0" w:line="272" w:lineRule="auto"/>
        <w:rPr>
          <w:sz w:val="20"/>
          <w:szCs w:val="20"/>
          <w:color w:val="auto"/>
        </w:rPr>
      </w:pPr>
      <w:r>
        <w:rPr>
          <w:rFonts w:ascii="Arial" w:cs="Arial" w:eastAsia="Arial" w:hAnsi="Arial"/>
          <w:sz w:val="17"/>
          <w:szCs w:val="17"/>
          <w:color w:val="auto"/>
        </w:rPr>
        <w:t>In order to obtain orphan designation in the EEA, the product must fulfill certain challenging criteria. Under Article 3 of Regulation (EC) 141/2000, a medicinal product may be designated as an orphan medicinal product if it meets the following criteria: (1) is intended for the diagnosis, prevention or treatment of a life-threatening or chronically debilitating condition; and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98" w:lineRule="exact"/>
        <w:rPr>
          <w:sz w:val="20"/>
          <w:szCs w:val="20"/>
          <w:color w:val="auto"/>
        </w:rPr>
      </w:pPr>
    </w:p>
    <w:p>
      <w:pPr>
        <w:ind w:right="180" w:firstLine="434"/>
        <w:spacing w:after="0" w:line="254" w:lineRule="auto"/>
        <w:rPr>
          <w:sz w:val="20"/>
          <w:szCs w:val="20"/>
          <w:color w:val="auto"/>
        </w:rPr>
      </w:pPr>
      <w:r>
        <w:rPr>
          <w:rFonts w:ascii="Arial" w:cs="Arial" w:eastAsia="Arial" w:hAnsi="Arial"/>
          <w:sz w:val="18"/>
          <w:szCs w:val="18"/>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54" w:lineRule="exact"/>
        <w:rPr>
          <w:sz w:val="20"/>
          <w:szCs w:val="20"/>
          <w:color w:val="auto"/>
        </w:rPr>
      </w:pPr>
    </w:p>
    <w:p>
      <w:pPr>
        <w:ind w:right="120" w:firstLine="434"/>
        <w:spacing w:after="0" w:line="289" w:lineRule="auto"/>
        <w:rPr>
          <w:sz w:val="20"/>
          <w:szCs w:val="20"/>
          <w:color w:val="auto"/>
        </w:rPr>
      </w:pPr>
      <w:r>
        <w:rPr>
          <w:rFonts w:ascii="Arial" w:cs="Arial" w:eastAsia="Arial" w:hAnsi="Arial"/>
          <w:sz w:val="16"/>
          <w:szCs w:val="16"/>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98" w:lineRule="exact"/>
        <w:rPr>
          <w:sz w:val="20"/>
          <w:szCs w:val="20"/>
          <w:color w:val="auto"/>
        </w:rPr>
      </w:pPr>
    </w:p>
    <w:p>
      <w:pPr>
        <w:ind w:right="640" w:firstLine="434"/>
        <w:spacing w:after="0" w:line="277"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for a number of reasons, including:</w:t>
      </w:r>
    </w:p>
    <w:p>
      <w:pPr>
        <w:spacing w:after="0" w:line="130" w:lineRule="exact"/>
        <w:rPr>
          <w:sz w:val="20"/>
          <w:szCs w:val="20"/>
          <w:color w:val="auto"/>
        </w:rPr>
      </w:pPr>
    </w:p>
    <w:p>
      <w:pPr>
        <w:ind w:left="860" w:hanging="418"/>
        <w:spacing w:after="0"/>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properties that we desire or attractive pharmacokinetics; or</w:t>
      </w:r>
    </w:p>
    <w:p>
      <w:pPr>
        <w:spacing w:after="0" w:line="196" w:lineRule="exact"/>
        <w:rPr>
          <w:rFonts w:ascii="Arial" w:cs="Arial" w:eastAsia="Arial" w:hAnsi="Arial"/>
          <w:sz w:val="17"/>
          <w:szCs w:val="17"/>
          <w:color w:val="auto"/>
        </w:rPr>
      </w:pPr>
    </w:p>
    <w:p>
      <w:pPr>
        <w:ind w:left="880" w:right="400" w:hanging="438"/>
        <w:spacing w:after="0" w:line="277" w:lineRule="auto"/>
        <w:tabs>
          <w:tab w:leader="none" w:pos="8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143" w:lineRule="exact"/>
        <w:rPr>
          <w:sz w:val="20"/>
          <w:szCs w:val="20"/>
          <w:color w:val="auto"/>
        </w:rPr>
      </w:pPr>
    </w:p>
    <w:p>
      <w:pPr>
        <w:ind w:right="200" w:firstLine="434"/>
        <w:spacing w:after="0" w:line="263"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143" w:lineRule="exact"/>
        <w:rPr>
          <w:sz w:val="20"/>
          <w:szCs w:val="20"/>
          <w:color w:val="auto"/>
        </w:rPr>
      </w:pPr>
    </w:p>
    <w:p>
      <w:pPr>
        <w:ind w:left="220" w:right="780"/>
        <w:spacing w:after="0" w:line="277" w:lineRule="auto"/>
        <w:rPr>
          <w:sz w:val="20"/>
          <w:szCs w:val="20"/>
          <w:color w:val="auto"/>
        </w:rPr>
      </w:pPr>
      <w:r>
        <w:rPr>
          <w:rFonts w:ascii="Arial" w:cs="Arial" w:eastAsia="Arial" w:hAnsi="Arial"/>
          <w:sz w:val="18"/>
          <w:szCs w:val="18"/>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130" w:lineRule="exact"/>
        <w:rPr>
          <w:sz w:val="20"/>
          <w:szCs w:val="20"/>
          <w:color w:val="auto"/>
        </w:rPr>
      </w:pPr>
    </w:p>
    <w:p>
      <w:pPr>
        <w:ind w:firstLine="434"/>
        <w:spacing w:after="0" w:line="254" w:lineRule="auto"/>
        <w:rPr>
          <w:sz w:val="20"/>
          <w:szCs w:val="20"/>
          <w:color w:val="auto"/>
        </w:rPr>
      </w:pPr>
      <w:r>
        <w:rPr>
          <w:rFonts w:ascii="Arial" w:cs="Arial" w:eastAsia="Arial" w:hAnsi="Arial"/>
          <w:sz w:val="18"/>
          <w:szCs w:val="18"/>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168" w:lineRule="exact"/>
        <w:rPr>
          <w:sz w:val="20"/>
          <w:szCs w:val="20"/>
          <w:color w:val="auto"/>
        </w:rPr>
      </w:pPr>
    </w:p>
    <w:p>
      <w:pPr>
        <w:jc w:val="both"/>
        <w:ind w:right="160" w:firstLine="434"/>
        <w:spacing w:after="0" w:line="286" w:lineRule="auto"/>
        <w:rPr>
          <w:sz w:val="20"/>
          <w:szCs w:val="20"/>
          <w:color w:val="auto"/>
        </w:rPr>
      </w:pPr>
      <w:r>
        <w:rPr>
          <w:rFonts w:ascii="Arial" w:cs="Arial" w:eastAsia="Arial" w:hAnsi="Arial"/>
          <w:sz w:val="17"/>
          <w:szCs w:val="17"/>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25" w:lineRule="exact"/>
        <w:rPr>
          <w:sz w:val="20"/>
          <w:szCs w:val="20"/>
          <w:color w:val="auto"/>
        </w:rPr>
      </w:pPr>
    </w:p>
    <w:p>
      <w:pPr>
        <w:ind w:left="220" w:right="1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130" w:lineRule="exact"/>
        <w:rPr>
          <w:sz w:val="20"/>
          <w:szCs w:val="20"/>
          <w:color w:val="auto"/>
        </w:rPr>
      </w:pPr>
    </w:p>
    <w:p>
      <w:pPr>
        <w:ind w:right="20" w:firstLine="434"/>
        <w:spacing w:after="0" w:line="272" w:lineRule="auto"/>
        <w:rPr>
          <w:sz w:val="20"/>
          <w:szCs w:val="20"/>
          <w:color w:val="auto"/>
        </w:rPr>
      </w:pPr>
      <w:r>
        <w:rPr>
          <w:rFonts w:ascii="Arial" w:cs="Arial" w:eastAsia="Arial" w:hAnsi="Arial"/>
          <w:sz w:val="17"/>
          <w:szCs w:val="17"/>
          <w:color w:val="auto"/>
        </w:rPr>
        <w:t>We face an inherent risk of product liability as a result of testing PLN-74809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50" w:lineRule="exact"/>
        <w:rPr>
          <w:sz w:val="20"/>
          <w:szCs w:val="20"/>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bring a product candidate to the market;</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injunctions or criminal penalties;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3" w:name="page44"/>
    <w:bookmarkEnd w:id="43"/>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if approved;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decline in our share price.</w:t>
      </w:r>
    </w:p>
    <w:p>
      <w:pPr>
        <w:spacing w:after="0" w:line="198" w:lineRule="exact"/>
        <w:rPr>
          <w:sz w:val="20"/>
          <w:szCs w:val="20"/>
          <w:color w:val="auto"/>
        </w:rPr>
      </w:pPr>
    </w:p>
    <w:p>
      <w:pPr>
        <w:ind w:right="60" w:firstLine="434"/>
        <w:spacing w:after="0" w:line="254"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PLN-74809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1" w:lineRule="exact"/>
        <w:rPr>
          <w:sz w:val="20"/>
          <w:szCs w:val="20"/>
          <w:color w:val="auto"/>
        </w:rPr>
      </w:pPr>
    </w:p>
    <w:p>
      <w:pPr>
        <w:ind w:left="220"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130" w:lineRule="exact"/>
        <w:rPr>
          <w:sz w:val="20"/>
          <w:szCs w:val="20"/>
          <w:color w:val="auto"/>
        </w:rPr>
      </w:pPr>
    </w:p>
    <w:p>
      <w:pPr>
        <w:ind w:right="80" w:firstLine="434"/>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1" w:lineRule="exact"/>
        <w:rPr>
          <w:sz w:val="20"/>
          <w:szCs w:val="20"/>
          <w:color w:val="auto"/>
        </w:rPr>
      </w:pPr>
    </w:p>
    <w:p>
      <w:pPr>
        <w:ind w:right="120" w:firstLine="434"/>
        <w:spacing w:after="0" w:line="257" w:lineRule="auto"/>
        <w:rPr>
          <w:sz w:val="20"/>
          <w:szCs w:val="20"/>
          <w:color w:val="auto"/>
        </w:rPr>
      </w:pPr>
      <w:r>
        <w:rPr>
          <w:rFonts w:ascii="Arial" w:cs="Arial" w:eastAsia="Arial" w:hAnsi="Arial"/>
          <w:sz w:val="18"/>
          <w:szCs w:val="18"/>
          <w:color w:val="auto"/>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TGF-ß pathway include companies with significant financial resources such as AbbVie Inc., AstraZeneca plc, Bristol Myers Squibb Co., Corbus Pharmaceutical, DiCE Therapeutics, Inc., FibroGen, Inc., Gilead Sciences, Inc., Galapagos NV, Morphic Therapeutic, Inc., Novartis AG, and Takeda Pharmaceutical Company.</w:t>
      </w:r>
    </w:p>
    <w:p>
      <w:pPr>
        <w:spacing w:after="0" w:line="147" w:lineRule="exact"/>
        <w:rPr>
          <w:sz w:val="20"/>
          <w:szCs w:val="20"/>
          <w:color w:val="auto"/>
        </w:rPr>
      </w:pPr>
    </w:p>
    <w:p>
      <w:pPr>
        <w:ind w:right="100" w:firstLine="434"/>
        <w:spacing w:after="0" w:line="263"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43"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PLN-74809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Marketing, Reimbursement, Healthcare Regulations and Ongoing Regulatory Compliance</w:t>
      </w:r>
    </w:p>
    <w:p>
      <w:pPr>
        <w:spacing w:after="0" w:line="202" w:lineRule="exact"/>
        <w:rPr>
          <w:sz w:val="20"/>
          <w:szCs w:val="20"/>
          <w:color w:val="auto"/>
        </w:rPr>
      </w:pPr>
    </w:p>
    <w:p>
      <w:pPr>
        <w:ind w:left="220" w:right="160"/>
        <w:spacing w:after="0" w:line="277" w:lineRule="auto"/>
        <w:rPr>
          <w:sz w:val="20"/>
          <w:szCs w:val="20"/>
          <w:color w:val="auto"/>
        </w:rPr>
      </w:pPr>
      <w:r>
        <w:rPr>
          <w:rFonts w:ascii="Arial" w:cs="Arial" w:eastAsia="Arial" w:hAnsi="Arial"/>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130" w:lineRule="exact"/>
        <w:rPr>
          <w:sz w:val="20"/>
          <w:szCs w:val="20"/>
          <w:color w:val="auto"/>
        </w:rPr>
      </w:pPr>
    </w:p>
    <w:p>
      <w:pPr>
        <w:ind w:right="180" w:firstLine="434"/>
        <w:spacing w:after="0" w:line="257" w:lineRule="auto"/>
        <w:rPr>
          <w:sz w:val="20"/>
          <w:szCs w:val="20"/>
          <w:color w:val="auto"/>
        </w:rPr>
      </w:pPr>
      <w:r>
        <w:rPr>
          <w:rFonts w:ascii="Arial" w:cs="Arial" w:eastAsia="Arial" w:hAnsi="Arial"/>
          <w:sz w:val="18"/>
          <w:szCs w:val="18"/>
          <w:color w:val="auto"/>
        </w:rPr>
        <w:t>Even if PLN-74809 or any other product candidate we develop receives marketing approval, it may nonetheless fail to gain sufficient market acceptance by physicians, patients, third-party payors, such as Medicare and Medicaid programs,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210" w:lineRule="exact"/>
        <w:rPr>
          <w:sz w:val="20"/>
          <w:szCs w:val="20"/>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84" w:lineRule="exact"/>
        <w:rPr>
          <w:rFonts w:ascii="Arial" w:cs="Arial" w:eastAsia="Arial" w:hAnsi="Arial"/>
          <w:sz w:val="18"/>
          <w:szCs w:val="18"/>
          <w:color w:val="auto"/>
        </w:rPr>
      </w:pPr>
    </w:p>
    <w:p>
      <w:pPr>
        <w:ind w:left="880" w:right="40" w:hanging="438"/>
        <w:spacing w:after="0" w:line="277" w:lineRule="auto"/>
        <w:tabs>
          <w:tab w:leader="none" w:pos="8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85" w:lineRule="exact"/>
        <w:rPr>
          <w:sz w:val="20"/>
          <w:szCs w:val="20"/>
          <w:color w:val="auto"/>
        </w:rPr>
      </w:pPr>
    </w:p>
    <w:p>
      <w:pPr>
        <w:ind w:right="180" w:firstLine="434"/>
        <w:spacing w:after="0" w:line="277" w:lineRule="auto"/>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143"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30" w:lineRule="exact"/>
        <w:rPr>
          <w:sz w:val="20"/>
          <w:szCs w:val="20"/>
          <w:color w:val="auto"/>
        </w:rPr>
      </w:pPr>
    </w:p>
    <w:p>
      <w:pPr>
        <w:ind w:right="100" w:firstLine="434"/>
        <w:spacing w:after="0" w:line="270"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spacing w:after="0" w:line="140" w:lineRule="exact"/>
        <w:rPr>
          <w:sz w:val="20"/>
          <w:szCs w:val="20"/>
          <w:color w:val="auto"/>
        </w:rPr>
      </w:pPr>
    </w:p>
    <w:p>
      <w:pPr>
        <w:ind w:right="120" w:firstLine="434"/>
        <w:spacing w:after="0" w:line="342" w:lineRule="auto"/>
        <w:rPr>
          <w:sz w:val="20"/>
          <w:szCs w:val="20"/>
          <w:color w:val="auto"/>
        </w:rPr>
      </w:pPr>
      <w:r>
        <w:rPr>
          <w:rFonts w:ascii="Arial" w:cs="Arial" w:eastAsia="Arial" w:hAnsi="Arial"/>
          <w:sz w:val="16"/>
          <w:szCs w:val="16"/>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97" w:lineRule="exact"/>
        <w:rPr>
          <w:sz w:val="20"/>
          <w:szCs w:val="20"/>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5" w:name="page46"/>
    <w:bookmarkEnd w:id="45"/>
    <w:p>
      <w:pPr>
        <w:ind w:left="860" w:hanging="418"/>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United States, no uniform policy of coverage and reimbursement for products exists among third-party payors.</w:t>
      </w:r>
    </w:p>
    <w:p>
      <w:pPr>
        <w:spacing w:after="0" w:line="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A primary trend in the healthcare industry is cost containment as government authorities and third-party payors have attempted to control costs by limiting coverage and the amount of reimbursement available for certain medications.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spacing w:after="0" w:line="142" w:lineRule="exact"/>
        <w:rPr>
          <w:sz w:val="20"/>
          <w:szCs w:val="20"/>
          <w:color w:val="auto"/>
        </w:rPr>
      </w:pPr>
    </w:p>
    <w:p>
      <w:pPr>
        <w:ind w:right="140" w:firstLine="434"/>
        <w:spacing w:after="0" w:line="253" w:lineRule="auto"/>
        <w:rPr>
          <w:sz w:val="20"/>
          <w:szCs w:val="20"/>
          <w:color w:val="auto"/>
        </w:rPr>
      </w:pPr>
      <w:r>
        <w:rPr>
          <w:rFonts w:ascii="Arial" w:cs="Arial" w:eastAsia="Arial" w:hAnsi="Arial"/>
          <w:sz w:val="17"/>
          <w:szCs w:val="17"/>
          <w:color w:val="auto"/>
        </w:rPr>
        <w:t>A primary trend in the United States health care industry is toward cost containment, as government authorities, third-party payors, and others have attempted to control costs by limiting coverage and the amount of reimbursement available for certain treatments. Such third-party payers, including Medicare, may question the coverage of, and challenge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If we are unable to promptly obtain coverage and adequate reimbursement rates from both government-funded and private payers for any approved products that we develop there could be a material adverse effect on our operating results, our ability to raise capital needed to commercialize products and our overall financial condition.</w:t>
      </w:r>
    </w:p>
    <w:p>
      <w:pPr>
        <w:spacing w:after="0" w:line="143" w:lineRule="exact"/>
        <w:rPr>
          <w:sz w:val="20"/>
          <w:szCs w:val="20"/>
          <w:color w:val="auto"/>
        </w:rPr>
      </w:pPr>
    </w:p>
    <w:p>
      <w:pPr>
        <w:ind w:right="180" w:firstLine="434"/>
        <w:spacing w:after="0" w:line="243" w:lineRule="auto"/>
        <w:rPr>
          <w:sz w:val="20"/>
          <w:szCs w:val="20"/>
          <w:color w:val="auto"/>
        </w:rPr>
      </w:pPr>
      <w:r>
        <w:rPr>
          <w:rFonts w:ascii="Arial" w:cs="Arial" w:eastAsia="Arial" w:hAnsi="Arial"/>
          <w:sz w:val="18"/>
          <w:szCs w:val="18"/>
          <w:color w:val="auto"/>
        </w:rPr>
        <w:t>Changes to these current laws and state and federal healthcare reform measures that may be adopted in the future that impact coverage and reimbursement for drug or biologic products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143" w:lineRule="exact"/>
        <w:rPr>
          <w:sz w:val="20"/>
          <w:szCs w:val="20"/>
          <w:color w:val="auto"/>
        </w:rPr>
      </w:pPr>
    </w:p>
    <w:p>
      <w:pPr>
        <w:ind w:right="40" w:firstLine="434"/>
        <w:spacing w:after="0" w:line="269" w:lineRule="auto"/>
        <w:rPr>
          <w:sz w:val="20"/>
          <w:szCs w:val="20"/>
          <w:color w:val="auto"/>
        </w:rPr>
      </w:pPr>
      <w:r>
        <w:rPr>
          <w:rFonts w:ascii="Arial" w:cs="Arial" w:eastAsia="Arial" w:hAnsi="Arial"/>
          <w:sz w:val="17"/>
          <w:szCs w:val="17"/>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41" w:lineRule="exact"/>
        <w:rPr>
          <w:sz w:val="20"/>
          <w:szCs w:val="20"/>
          <w:color w:val="auto"/>
        </w:rPr>
      </w:pPr>
    </w:p>
    <w:p>
      <w:pPr>
        <w:ind w:left="220" w:right="2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25" w:lineRule="exact"/>
        <w:rPr>
          <w:sz w:val="20"/>
          <w:szCs w:val="20"/>
          <w:color w:val="auto"/>
        </w:rPr>
      </w:pPr>
    </w:p>
    <w:p>
      <w:pPr>
        <w:ind w:right="80" w:firstLine="434"/>
        <w:spacing w:after="0" w:line="293" w:lineRule="auto"/>
        <w:rPr>
          <w:sz w:val="20"/>
          <w:szCs w:val="20"/>
          <w:color w:val="auto"/>
        </w:rPr>
      </w:pPr>
      <w:r>
        <w:rPr>
          <w:rFonts w:ascii="Arial" w:cs="Arial" w:eastAsia="Arial" w:hAnsi="Arial"/>
          <w:sz w:val="16"/>
          <w:szCs w:val="16"/>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46" w:name="page47"/>
    <w:bookmarkEnd w:id="46"/>
    <w:p>
      <w:pPr>
        <w:ind w:right="40"/>
        <w:spacing w:after="0" w:line="290" w:lineRule="auto"/>
        <w:rPr>
          <w:sz w:val="20"/>
          <w:szCs w:val="20"/>
          <w:color w:val="auto"/>
        </w:rPr>
      </w:pPr>
      <w:r>
        <w:rPr>
          <w:rFonts w:ascii="Arial" w:cs="Arial" w:eastAsia="Arial" w:hAnsi="Arial"/>
          <w:sz w:val="16"/>
          <w:szCs w:val="16"/>
          <w:color w:val="auto"/>
        </w:rPr>
        <w:t>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38" w:lineRule="exact"/>
        <w:rPr>
          <w:sz w:val="20"/>
          <w:szCs w:val="20"/>
          <w:color w:val="auto"/>
        </w:rPr>
      </w:pPr>
    </w:p>
    <w:p>
      <w:pPr>
        <w:ind w:left="220" w:right="14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43" w:lineRule="exact"/>
        <w:rPr>
          <w:sz w:val="20"/>
          <w:szCs w:val="20"/>
          <w:color w:val="auto"/>
        </w:rPr>
      </w:pPr>
    </w:p>
    <w:p>
      <w:pPr>
        <w:ind w:firstLine="434"/>
        <w:spacing w:after="0" w:line="269"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or FCA,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and other business arrangements generally. Activities subject to these laws also involve the improper use of information obtained in the course of patient recruitment for clinical trials. The applicable federal, state and foreign healthcare laws and regulations that may affect our ability to operate include, but are not limited to:</w:t>
      </w:r>
    </w:p>
    <w:p>
      <w:pPr>
        <w:spacing w:after="0" w:line="209" w:lineRule="exact"/>
        <w:rPr>
          <w:sz w:val="20"/>
          <w:szCs w:val="20"/>
          <w:color w:val="auto"/>
        </w:rPr>
      </w:pPr>
    </w:p>
    <w:p>
      <w:pPr>
        <w:ind w:left="820" w:hanging="326"/>
        <w:spacing w:after="0" w:line="270" w:lineRule="auto"/>
        <w:tabs>
          <w:tab w:leader="none" w:pos="815"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federal Anti-Kickback Statute, a criminal law,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FCA. The Anti-Kickback Statute has been interpreted to apply to arrangements between biopharmaceutical manufacturers on the one hand, and prescribers, purchasers, and formulary managers, among others, on the other.</w:t>
      </w:r>
    </w:p>
    <w:p>
      <w:pPr>
        <w:spacing w:after="0" w:line="140" w:lineRule="exact"/>
        <w:rPr>
          <w:rFonts w:ascii="Arial" w:cs="Arial" w:eastAsia="Arial" w:hAnsi="Arial"/>
          <w:sz w:val="17"/>
          <w:szCs w:val="17"/>
          <w:color w:val="auto"/>
        </w:rPr>
      </w:pPr>
    </w:p>
    <w:p>
      <w:pPr>
        <w:ind w:left="880" w:hanging="438"/>
        <w:spacing w:after="0" w:line="289" w:lineRule="auto"/>
        <w:tabs>
          <w:tab w:leader="none" w:pos="8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federal civil and criminal false claims laws, including the FCA, and the federal Civil Monetary Penalties Law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or 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on behalf of the federal government alleging violations of the FCA and to share in any monetary recovery;</w:t>
      </w:r>
    </w:p>
    <w:p>
      <w:pPr>
        <w:spacing w:after="0" w:line="139" w:lineRule="exact"/>
        <w:rPr>
          <w:rFonts w:ascii="Arial" w:cs="Arial" w:eastAsia="Arial" w:hAnsi="Arial"/>
          <w:sz w:val="16"/>
          <w:szCs w:val="16"/>
          <w:color w:val="auto"/>
        </w:rPr>
      </w:pPr>
    </w:p>
    <w:p>
      <w:pPr>
        <w:ind w:left="880" w:right="120" w:hanging="438"/>
        <w:spacing w:after="0" w:line="275" w:lineRule="auto"/>
        <w:tabs>
          <w:tab w:leader="none" w:pos="8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7" w:name="page48"/>
    <w:bookmarkEnd w:id="47"/>
    <w:p>
      <w:pPr>
        <w:ind w:left="880" w:right="80"/>
        <w:spacing w:after="0" w:line="308" w:lineRule="auto"/>
        <w:rPr>
          <w:sz w:val="20"/>
          <w:szCs w:val="20"/>
          <w:color w:val="auto"/>
        </w:rPr>
      </w:pPr>
      <w:r>
        <w:rPr>
          <w:rFonts w:ascii="Arial" w:cs="Arial" w:eastAsia="Arial" w:hAnsi="Arial"/>
          <w:sz w:val="17"/>
          <w:szCs w:val="17"/>
          <w:color w:val="auto"/>
        </w:rPr>
        <w:t>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19" w:lineRule="exact"/>
        <w:rPr>
          <w:sz w:val="20"/>
          <w:szCs w:val="20"/>
          <w:color w:val="auto"/>
        </w:rPr>
      </w:pPr>
    </w:p>
    <w:p>
      <w:pPr>
        <w:ind w:left="880" w:right="80" w:hanging="438"/>
        <w:spacing w:after="0" w:line="259" w:lineRule="auto"/>
        <w:tabs>
          <w:tab w:leader="none" w:pos="8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46" w:lineRule="exact"/>
        <w:rPr>
          <w:rFonts w:ascii="Arial" w:cs="Arial" w:eastAsia="Arial" w:hAnsi="Arial"/>
          <w:sz w:val="18"/>
          <w:szCs w:val="18"/>
          <w:color w:val="auto"/>
        </w:rPr>
      </w:pPr>
    </w:p>
    <w:p>
      <w:pPr>
        <w:ind w:left="880" w:hanging="438"/>
        <w:spacing w:after="0" w:line="290" w:lineRule="auto"/>
        <w:tabs>
          <w:tab w:leader="none" w:pos="8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and their subcontractors, that perform services for covered entities that involve the creation, use, receipt,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24" w:lineRule="exact"/>
        <w:rPr>
          <w:rFonts w:ascii="Arial" w:cs="Arial" w:eastAsia="Arial" w:hAnsi="Arial"/>
          <w:sz w:val="16"/>
          <w:szCs w:val="16"/>
          <w:color w:val="auto"/>
        </w:rPr>
      </w:pPr>
    </w:p>
    <w:p>
      <w:pPr>
        <w:ind w:left="880" w:right="100" w:hanging="438"/>
        <w:spacing w:after="0" w:line="270" w:lineRule="auto"/>
        <w:tabs>
          <w:tab w:leader="none" w:pos="8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Physician Payments Sunshine Act, created under the Patient Protection and Affordable Care Act, as amended by the Health Care and Education Reconciliation Act, or collectively, the ACA, and its implementing regulations, which require some manufacturers of drugs, devices, biologics and medical supplies for which payment is available under Medicare, Medicaid or the Children’s Health Insurance Program (with certain exceptions) to report annually to the U.S. Centers for Medicare and Medicaid Services, or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and applicable group purchasing organizations. Effective January 1, 2022, these reporting obligations will extend to include transfers of value made in the previous year to certain non-physician providers such as physician assistants, nurse practitioners, clinical nurse specialists, anesthesiologist assistants, certified nurse anesthetists, and certified nurse-midwives;</w:t>
      </w:r>
    </w:p>
    <w:p>
      <w:pPr>
        <w:spacing w:after="0" w:line="153" w:lineRule="exact"/>
        <w:rPr>
          <w:rFonts w:ascii="Arial" w:cs="Arial" w:eastAsia="Arial" w:hAnsi="Arial"/>
          <w:sz w:val="17"/>
          <w:szCs w:val="17"/>
          <w:color w:val="auto"/>
        </w:rPr>
      </w:pPr>
    </w:p>
    <w:p>
      <w:pPr>
        <w:ind w:left="880" w:right="320" w:hanging="438"/>
        <w:spacing w:after="0" w:line="277" w:lineRule="auto"/>
        <w:tabs>
          <w:tab w:leader="none" w:pos="8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pharmaceutical manufacturers to calculate and report complex pricing metrics in an accurate and timely manner to government programs</w:t>
      </w:r>
      <w:r>
        <w:rPr>
          <w:rFonts w:ascii="Arial" w:cs="Arial" w:eastAsia="Arial" w:hAnsi="Arial"/>
          <w:sz w:val="18"/>
          <w:szCs w:val="18"/>
          <w:color w:val="0000FF"/>
        </w:rPr>
        <w:t>;</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that potentially harm consumers; and</w:t>
      </w:r>
    </w:p>
    <w:p>
      <w:pPr>
        <w:spacing w:after="0" w:line="207" w:lineRule="exact"/>
        <w:rPr>
          <w:rFonts w:ascii="Arial" w:cs="Arial" w:eastAsia="Arial" w:hAnsi="Arial"/>
          <w:sz w:val="16"/>
          <w:szCs w:val="16"/>
          <w:color w:val="auto"/>
        </w:rPr>
      </w:pPr>
    </w:p>
    <w:p>
      <w:pPr>
        <w:ind w:left="880" w:right="20" w:hanging="438"/>
        <w:spacing w:after="0" w:line="270" w:lineRule="auto"/>
        <w:tabs>
          <w:tab w:leader="none" w:pos="8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54" w:lineRule="exact"/>
        <w:rPr>
          <w:sz w:val="20"/>
          <w:szCs w:val="20"/>
          <w:color w:val="auto"/>
        </w:rPr>
      </w:pPr>
    </w:p>
    <w:p>
      <w:pPr>
        <w:ind w:right="180" w:firstLine="434"/>
        <w:spacing w:after="0" w:line="277"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30" w:lineRule="exact"/>
        <w:rPr>
          <w:sz w:val="20"/>
          <w:szCs w:val="20"/>
          <w:color w:val="auto"/>
        </w:rPr>
      </w:pPr>
    </w:p>
    <w:p>
      <w:pPr>
        <w:jc w:val="both"/>
        <w:ind w:right="60" w:firstLine="434"/>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8" w:name="page49"/>
    <w:bookmarkEnd w:id="48"/>
    <w:p>
      <w:pPr>
        <w:ind w:firstLine="434"/>
        <w:spacing w:after="0" w:line="269"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41" w:lineRule="exact"/>
        <w:rPr>
          <w:sz w:val="20"/>
          <w:szCs w:val="20"/>
          <w:color w:val="auto"/>
        </w:rPr>
      </w:pPr>
    </w:p>
    <w:p>
      <w:pPr>
        <w:ind w:left="220" w:right="260"/>
        <w:spacing w:after="0" w:line="224"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9" w:lineRule="exact"/>
        <w:rPr>
          <w:sz w:val="20"/>
          <w:szCs w:val="20"/>
          <w:color w:val="auto"/>
        </w:rPr>
      </w:pPr>
    </w:p>
    <w:p>
      <w:pPr>
        <w:ind w:right="40" w:firstLine="434"/>
        <w:spacing w:after="0" w:line="257" w:lineRule="auto"/>
        <w:rPr>
          <w:sz w:val="20"/>
          <w:szCs w:val="20"/>
          <w:color w:val="auto"/>
        </w:rPr>
      </w:pPr>
      <w:r>
        <w:rPr>
          <w:rFonts w:ascii="Arial" w:cs="Arial" w:eastAsia="Arial" w:hAnsi="Arial"/>
          <w:sz w:val="18"/>
          <w:szCs w:val="18"/>
          <w:color w:val="auto"/>
        </w:rPr>
        <w:t>If any of our product candidates are approved, they will be subject to ongoing regulatory requirements for manufacturing, labeling, packaging, storage, advertising, promotion, sampling, record-keeping, conduct of post- 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Good Clinical Practice, or GCP, requirements for any clinical trials that we conduct post-approval.</w:t>
      </w:r>
    </w:p>
    <w:p>
      <w:pPr>
        <w:spacing w:after="0" w:line="147" w:lineRule="exact"/>
        <w:rPr>
          <w:sz w:val="20"/>
          <w:szCs w:val="20"/>
          <w:color w:val="auto"/>
        </w:rPr>
      </w:pPr>
    </w:p>
    <w:p>
      <w:pPr>
        <w:ind w:right="240" w:firstLine="434"/>
        <w:spacing w:after="0" w:line="275" w:lineRule="auto"/>
        <w:rPr>
          <w:sz w:val="20"/>
          <w:szCs w:val="20"/>
          <w:color w:val="auto"/>
        </w:rPr>
      </w:pPr>
      <w:r>
        <w:rPr>
          <w:rFonts w:ascii="Arial" w:cs="Arial" w:eastAsia="Arial" w:hAnsi="Arial"/>
          <w:sz w:val="17"/>
          <w:szCs w:val="17"/>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36" w:lineRule="exact"/>
        <w:rPr>
          <w:sz w:val="20"/>
          <w:szCs w:val="20"/>
          <w:color w:val="auto"/>
        </w:rPr>
      </w:pPr>
    </w:p>
    <w:p>
      <w:pPr>
        <w:ind w:right="40" w:firstLine="434"/>
        <w:spacing w:after="0" w:line="272"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50" w:lineRule="exact"/>
        <w:rPr>
          <w:sz w:val="20"/>
          <w:szCs w:val="20"/>
          <w:color w:val="auto"/>
        </w:rPr>
      </w:pPr>
    </w:p>
    <w:p>
      <w:pPr>
        <w:ind w:right="100" w:firstLine="434"/>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52" w:lineRule="exact"/>
        <w:rPr>
          <w:sz w:val="20"/>
          <w:szCs w:val="20"/>
          <w:color w:val="auto"/>
        </w:rPr>
      </w:pPr>
    </w:p>
    <w:p>
      <w:pPr>
        <w:ind w:left="880" w:right="180" w:hanging="438"/>
        <w:spacing w:after="0" w:line="277" w:lineRule="auto"/>
        <w:tabs>
          <w:tab w:leader="none" w:pos="8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98" w:lineRule="exact"/>
        <w:rPr>
          <w:rFonts w:ascii="Arial" w:cs="Arial" w:eastAsia="Arial" w:hAnsi="Arial"/>
          <w:sz w:val="18"/>
          <w:szCs w:val="18"/>
          <w:color w:val="auto"/>
        </w:rPr>
      </w:pPr>
    </w:p>
    <w:p>
      <w:pPr>
        <w:ind w:left="880" w:right="120" w:hanging="438"/>
        <w:spacing w:after="0" w:line="277" w:lineRule="auto"/>
        <w:tabs>
          <w:tab w:leader="none" w:pos="8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voluntary or mandatory product recalls and related publicity requirements;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9" w:name="page50"/>
    <w:bookmarkEnd w:id="49"/>
    <w:p>
      <w:pPr>
        <w:ind w:left="860" w:hanging="418"/>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firstLine="434"/>
        <w:spacing w:after="0" w:line="253"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Ongoing healthcare legislative and regulatory reform measures may have a material adverse effect on our business and results of operations.</w:t>
      </w:r>
    </w:p>
    <w:p>
      <w:pPr>
        <w:spacing w:after="0" w:line="221" w:lineRule="exact"/>
        <w:rPr>
          <w:sz w:val="20"/>
          <w:szCs w:val="20"/>
          <w:color w:val="auto"/>
        </w:rPr>
      </w:pPr>
    </w:p>
    <w:p>
      <w:pPr>
        <w:ind w:right="180" w:firstLine="434"/>
        <w:spacing w:after="0" w:line="301" w:lineRule="auto"/>
        <w:rPr>
          <w:sz w:val="20"/>
          <w:szCs w:val="20"/>
          <w:color w:val="auto"/>
        </w:rPr>
      </w:pPr>
      <w:r>
        <w:rPr>
          <w:rFonts w:ascii="Arial" w:cs="Arial" w:eastAsia="Arial" w:hAnsi="Arial"/>
          <w:sz w:val="16"/>
          <w:szCs w:val="16"/>
          <w:color w:val="auto"/>
        </w:rPr>
        <w:t>Changes in regulations, statutes or the interpretation of existing regulations governing the regulatory clearance or approval, manufacture, and marketing of regulated products or the pricing, coverage and reimbursement thereof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17" w:lineRule="exact"/>
        <w:rPr>
          <w:sz w:val="20"/>
          <w:szCs w:val="20"/>
          <w:color w:val="auto"/>
        </w:rPr>
      </w:pPr>
    </w:p>
    <w:p>
      <w:pPr>
        <w:ind w:right="60" w:firstLine="434"/>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There have been many legal challenges to the ACA as well as legislative and regulatory modifications. There are also other initiatives at the federal and state level intended to contain healthcare costs by requiring manufacturers to provide greater discounts or by limiting the amount of government reimbursement for pharmaceutical products. We expect these changes to continue between now and the time we may launch a commercial product with uncertain consequences.</w:t>
      </w:r>
    </w:p>
    <w:p>
      <w:pPr>
        <w:spacing w:after="0" w:line="127" w:lineRule="exact"/>
        <w:rPr>
          <w:sz w:val="20"/>
          <w:szCs w:val="20"/>
          <w:color w:val="auto"/>
        </w:rPr>
      </w:pPr>
    </w:p>
    <w:p>
      <w:pPr>
        <w:ind w:firstLine="434"/>
        <w:spacing w:after="0" w:line="286"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For example, on June 17, 2021, the U.S. Supreme Court dismissed the most recent judicial challenge to the ACA brought by several states without specifically ruling on the constitutionality of the ACA. Prior to the Supreme Court's decision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December 2018,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In addition, in March 2021, Congress enacted the American Rescue Plan Act of 2021, which included among its provisions a temporary increase in premium tax credit assistance for individuals eligible to receive qualified health plan premium subsidies for 2021 and 2022 and removed the 400% federal poverty level limit that otherwise applies for purposes of eligibility to receive premium such tax credits. We cannot predict what effect the healthcare reform measures of the Biden administration or other efforts, if any, to challenge, repeal or replace the ACA would have on our business.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0" w:name="page51"/>
    <w:bookmarkEnd w:id="50"/>
    <w:p>
      <w:pPr>
        <w:ind w:right="100" w:firstLine="434"/>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into 2031 unless additional Congressional action is taken. Pursuant to the Coronavirus Aid, Relief, and Economic Security Act, also known as the CARES Act, as well as subsequent legislation, these reductions have been suspended from May 1, 2020 through December 31, 2021 due to the COVID-19 pandemic. Proposed legislation, if passed, would extend this suspension until the end of the pandemic.</w:t>
      </w:r>
    </w:p>
    <w:p>
      <w:pPr>
        <w:spacing w:after="0" w:line="151" w:lineRule="exact"/>
        <w:rPr>
          <w:sz w:val="20"/>
          <w:szCs w:val="20"/>
          <w:color w:val="auto"/>
        </w:rPr>
      </w:pPr>
    </w:p>
    <w:p>
      <w:pPr>
        <w:ind w:right="160" w:firstLine="434"/>
        <w:spacing w:after="0" w:line="293" w:lineRule="auto"/>
        <w:rPr>
          <w:sz w:val="20"/>
          <w:szCs w:val="20"/>
          <w:color w:val="auto"/>
        </w:rPr>
      </w:pPr>
      <w:r>
        <w:rPr>
          <w:rFonts w:ascii="Arial" w:cs="Arial" w:eastAsia="Arial" w:hAnsi="Arial"/>
          <w:sz w:val="16"/>
          <w:szCs w:val="16"/>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24" w:lineRule="exact"/>
        <w:rPr>
          <w:sz w:val="20"/>
          <w:szCs w:val="20"/>
          <w:color w:val="auto"/>
        </w:rPr>
      </w:pPr>
    </w:p>
    <w:p>
      <w:pPr>
        <w:ind w:firstLine="434"/>
        <w:spacing w:after="0" w:line="268" w:lineRule="auto"/>
        <w:rPr>
          <w:sz w:val="20"/>
          <w:szCs w:val="20"/>
          <w:color w:val="auto"/>
        </w:rPr>
      </w:pPr>
      <w:r>
        <w:rPr>
          <w:rFonts w:ascii="Arial" w:cs="Arial" w:eastAsia="Arial" w:hAnsi="Arial"/>
          <w:sz w:val="17"/>
          <w:szCs w:val="17"/>
          <w:color w:val="auto"/>
        </w:rPr>
        <w:t>In addition, there have been several notable changes to the 340B drug pricing program, which generally imposes ceilings on prices that drug manufacturers can charge for certain covered outpatient drugs sold to specified health care facilities, called “covered entities.” For example, on January 5, 2017, the Health Resources and Services Administration (HRSA), which administers the 340B program, issued a final rule, which became effective January 1, 2019, that, in part, established regulations for the issuance of civil monetary penalties for a manufacturer that “knowingly and intentionally charges a covered entity more than the ceiling price.” In addition, on December 14, 2020, HRSA issued an Administrative Dispute Resolution (ADR) final rule that established a formal process for disputes between applicable covered entities and manufacturers under the 340B program. This ADR final rule is currently subject to litigation, but HRSA is moving forward with instituting the ADR processes at this time. Multiple manufacturers have filed litigation against HRSA regarding the agency’s requirement that manufacturers honor contract pharmacy arrangements, which are arrangements in which a covered entity purchases the covered drug at the discounted ceiling price, but the drug is dispensed at a different pharmacy. Such litigation is ongoing. In addition, after a CMS rule reduced Medicare reimbursement to covered entities for certain outpatient drugs purchased at the discounted 340B price effective January 1, 2018, hospitals filed suit to try to reverse the reduction in reimbursement. On December 27, 2018, the District Court for the District of Columbia invalidated the reimbursement change; however, on July 31, 2020, the U.S. Court of Appeals for the District of Columbia Circuit overturned the district court’s decision and found that the changes were within the Secretary’s authority. The Supreme Court has agreed to hear the case and a ruling is expected in 2022. It is unclear how these developments could affect, if at all, our future obligations under the 340B program or covered hospitals who might purchase our future products.</w:t>
      </w:r>
    </w:p>
    <w:p>
      <w:pPr>
        <w:spacing w:after="0" w:line="141" w:lineRule="exact"/>
        <w:rPr>
          <w:sz w:val="20"/>
          <w:szCs w:val="20"/>
          <w:color w:val="auto"/>
        </w:rPr>
      </w:pPr>
    </w:p>
    <w:p>
      <w:pPr>
        <w:ind w:right="20" w:firstLine="434"/>
        <w:spacing w:after="0" w:line="285" w:lineRule="auto"/>
        <w:rPr>
          <w:sz w:val="20"/>
          <w:szCs w:val="20"/>
          <w:color w:val="auto"/>
        </w:rPr>
      </w:pPr>
      <w:r>
        <w:rPr>
          <w:rFonts w:ascii="Arial" w:cs="Arial" w:eastAsia="Arial" w:hAnsi="Arial"/>
          <w:sz w:val="16"/>
          <w:szCs w:val="16"/>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On August 10, 2021, CMS issued a proposed rule to rescind the Interim Final Rule. Comments to this proposed rule were due by October 12, 2021.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due to litigation challenging the rule with the litigants further agreeing to hold the case in abeyance pending further review of the rule by the Biden administration. More recently, the bipartisan infrastructure legislation passed by the U.S. Senate included a moratorium on implementation of the rule before January 1, 2026; however, it is unclear whether or when such legislation will be enacted. It remains unclear whether the Biden administration will work to reverse the measures taken by the prior administration or pursue similar policy initiatives. However, Congress and the Biden administration have each indicated that it will continue to seek new</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1" w:name="page52"/>
    <w:bookmarkEnd w:id="51"/>
    <w:p>
      <w:pPr>
        <w:spacing w:after="0" w:line="269" w:lineRule="auto"/>
        <w:rPr>
          <w:sz w:val="20"/>
          <w:szCs w:val="20"/>
          <w:color w:val="auto"/>
        </w:rPr>
      </w:pPr>
      <w:r>
        <w:rPr>
          <w:rFonts w:ascii="Arial" w:cs="Arial" w:eastAsia="Arial" w:hAnsi="Arial"/>
          <w:sz w:val="17"/>
          <w:szCs w:val="17"/>
          <w:color w:val="auto"/>
        </w:rPr>
        <w:t>legislative measures to control drug costs. For example, the American Rescue Plan Act of 2021 included among its provisions a sunset of the ACA’s cap on pharmaceutical manufacturers’ rebate liability under the Medicaid Drug Rebate Program. Under the ACA, manufacturers’ rebate liability was capped at 100% of the average manufacturer price for a covered outpatient drug. Effective January 1, 2024, manufacturers’ Medicaid Drug Rebate Program rebate liability will no longer be capped, potentially resulting in a manufacturer paying more in Medicaid Drug Rebate Program rebates than it receives on the sale of certain covered outpatient drugs. Further, on July 9, 2021, President Biden issued an Executive Order to promote competition in the U.S. economy that included several initiatives addressing prescription drugs. Among other provisions, the Executive Order stated that the Biden administration will “support aggressive legislative reforms that would lower prescription drug prices, including by allowing Medicare to negotiate drug prices, by imposing inflation caps, and through other related reforms.” The Executive Order also instructed the Department of Health and Human Services to issue a report to the White House within 45 days that includes a plan to, among other things, reduce prices for prescription drugs, including prices paid by the federal government for such drugs. It remains unclear whether the Biden administration will work to reverse the measures taken by the Trump administration or pursue similar policy initiatives.</w:t>
      </w:r>
    </w:p>
    <w:p>
      <w:pPr>
        <w:spacing w:after="0" w:line="155" w:lineRule="exact"/>
        <w:rPr>
          <w:sz w:val="20"/>
          <w:szCs w:val="20"/>
          <w:color w:val="auto"/>
        </w:rPr>
      </w:pPr>
    </w:p>
    <w:p>
      <w:pPr>
        <w:ind w:right="40" w:firstLine="434"/>
        <w:spacing w:after="0" w:line="279" w:lineRule="auto"/>
        <w:rPr>
          <w:sz w:val="20"/>
          <w:szCs w:val="20"/>
          <w:color w:val="auto"/>
        </w:rPr>
      </w:pPr>
      <w:r>
        <w:rPr>
          <w:rFonts w:ascii="Arial" w:cs="Arial" w:eastAsia="Arial" w:hAnsi="Arial"/>
          <w:sz w:val="17"/>
          <w:szCs w:val="17"/>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1" w:lineRule="exact"/>
        <w:rPr>
          <w:sz w:val="20"/>
          <w:szCs w:val="20"/>
          <w:color w:val="auto"/>
        </w:rPr>
      </w:pPr>
    </w:p>
    <w:p>
      <w:pPr>
        <w:jc w:val="both"/>
        <w:ind w:right="160" w:firstLine="434"/>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25" w:lineRule="exact"/>
        <w:rPr>
          <w:sz w:val="20"/>
          <w:szCs w:val="20"/>
          <w:color w:val="auto"/>
        </w:rPr>
      </w:pPr>
    </w:p>
    <w:p>
      <w:pPr>
        <w:ind w:right="20" w:firstLine="434"/>
        <w:spacing w:after="0" w:line="275" w:lineRule="auto"/>
        <w:rPr>
          <w:sz w:val="20"/>
          <w:szCs w:val="20"/>
          <w:color w:val="auto"/>
        </w:rPr>
      </w:pPr>
      <w:r>
        <w:rPr>
          <w:rFonts w:ascii="Arial" w:cs="Arial" w:eastAsia="Arial" w:hAnsi="Arial"/>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49" w:lineRule="exact"/>
        <w:rPr>
          <w:sz w:val="20"/>
          <w:szCs w:val="20"/>
          <w:color w:val="auto"/>
        </w:rPr>
      </w:pPr>
    </w:p>
    <w:p>
      <w:pPr>
        <w:ind w:left="220" w:right="8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0" w:lineRule="exact"/>
        <w:rPr>
          <w:sz w:val="20"/>
          <w:szCs w:val="20"/>
          <w:color w:val="auto"/>
        </w:rPr>
      </w:pPr>
    </w:p>
    <w:p>
      <w:pPr>
        <w:ind w:firstLine="434"/>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17" w:lineRule="exact"/>
        <w:rPr>
          <w:sz w:val="20"/>
          <w:szCs w:val="20"/>
          <w:color w:val="auto"/>
        </w:rPr>
      </w:pPr>
    </w:p>
    <w:p>
      <w:pPr>
        <w:ind w:firstLine="434"/>
        <w:spacing w:after="0" w:line="28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since March 2020 when foreign and domestic inspections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Should the FDA determine that an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 Further, if there is inadequate information to make a determination on the acceptability of a facility, the FDA may defer action on the application until an inspection can be completed. 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the FDA quality standards. However, the FDA may not be able to continue its current pace and approval timelines could be extended, including where a pre-approval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2" w:name="page53"/>
    <w:bookmarkEnd w:id="52"/>
    <w:p>
      <w:pPr>
        <w:ind w:right="40"/>
        <w:spacing w:after="0" w:line="263" w:lineRule="auto"/>
        <w:rPr>
          <w:sz w:val="20"/>
          <w:szCs w:val="20"/>
          <w:color w:val="auto"/>
        </w:rPr>
      </w:pPr>
      <w:r>
        <w:rPr>
          <w:rFonts w:ascii="Arial" w:cs="Arial" w:eastAsia="Arial" w:hAnsi="Arial"/>
          <w:sz w:val="18"/>
          <w:szCs w:val="18"/>
          <w:color w:val="auto"/>
        </w:rPr>
        <w:t>inspection or an inspection of clinical sites is required and due to the COVID-19 pandemic and travel restrictions FDA is unable to complete such required inspections during the review period. In 2020, several companies announced receipt of complete response letters due to the FDA's inability to complete required inspections for their applications.</w:t>
      </w:r>
    </w:p>
    <w:p>
      <w:pPr>
        <w:spacing w:after="0" w:line="157" w:lineRule="exact"/>
        <w:rPr>
          <w:sz w:val="20"/>
          <w:szCs w:val="20"/>
          <w:color w:val="auto"/>
        </w:rPr>
      </w:pPr>
    </w:p>
    <w:p>
      <w:pPr>
        <w:ind w:right="60" w:firstLine="434"/>
        <w:spacing w:after="0" w:line="296"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21" w:lineRule="exact"/>
        <w:rPr>
          <w:sz w:val="20"/>
          <w:szCs w:val="20"/>
          <w:color w:val="auto"/>
        </w:rPr>
      </w:pPr>
    </w:p>
    <w:p>
      <w:pPr>
        <w:ind w:left="220" w:right="660"/>
        <w:spacing w:after="0" w:line="277"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European Union member states.</w:t>
      </w:r>
    </w:p>
    <w:p>
      <w:pPr>
        <w:spacing w:after="0" w:line="130" w:lineRule="exact"/>
        <w:rPr>
          <w:sz w:val="20"/>
          <w:szCs w:val="20"/>
          <w:color w:val="auto"/>
        </w:rPr>
      </w:pPr>
    </w:p>
    <w:p>
      <w:pPr>
        <w:ind w:right="80" w:firstLine="434"/>
        <w:spacing w:after="0" w:line="254" w:lineRule="auto"/>
        <w:rPr>
          <w:sz w:val="20"/>
          <w:szCs w:val="20"/>
          <w:color w:val="auto"/>
        </w:rPr>
      </w:pPr>
      <w:r>
        <w:rPr>
          <w:rFonts w:ascii="Arial" w:cs="Arial" w:eastAsia="Arial" w:hAnsi="Arial"/>
          <w:sz w:val="18"/>
          <w:szCs w:val="18"/>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68" w:lineRule="exact"/>
        <w:rPr>
          <w:sz w:val="20"/>
          <w:szCs w:val="20"/>
          <w:color w:val="auto"/>
        </w:rPr>
      </w:pPr>
    </w:p>
    <w:p>
      <w:pPr>
        <w:ind w:firstLine="427"/>
        <w:spacing w:after="0" w:line="290" w:lineRule="auto"/>
        <w:rPr>
          <w:sz w:val="20"/>
          <w:szCs w:val="20"/>
          <w:color w:val="auto"/>
        </w:rPr>
      </w:pPr>
      <w:r>
        <w:rPr>
          <w:rFonts w:ascii="Arial" w:cs="Arial" w:eastAsia="Arial" w:hAnsi="Arial"/>
          <w:sz w:val="16"/>
          <w:szCs w:val="16"/>
          <w:color w:val="auto"/>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25" w:lineRule="exact"/>
        <w:rPr>
          <w:sz w:val="20"/>
          <w:szCs w:val="20"/>
          <w:color w:val="auto"/>
        </w:rPr>
      </w:pPr>
    </w:p>
    <w:p>
      <w:pPr>
        <w:ind w:right="80" w:firstLine="434"/>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61"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In addition, in most foreign countries, including the European Economic Area, or EEA,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53" w:name="page54"/>
    <w:bookmarkEnd w:id="53"/>
    <w:p>
      <w:pPr>
        <w:ind w:left="220"/>
        <w:spacing w:after="0"/>
        <w:rPr>
          <w:sz w:val="20"/>
          <w:szCs w:val="20"/>
          <w:color w:val="auto"/>
        </w:rPr>
      </w:pPr>
      <w:r>
        <w:rPr>
          <w:rFonts w:ascii="Arial" w:cs="Arial" w:eastAsia="Arial" w:hAnsi="Arial"/>
          <w:sz w:val="18"/>
          <w:szCs w:val="18"/>
          <w:b w:val="1"/>
          <w:bCs w:val="1"/>
          <w:i w:val="1"/>
          <w:iCs w:val="1"/>
          <w:color w:val="auto"/>
        </w:rPr>
        <w:t>Additional laws and regulations governing international operations could negatively impact or restrict our operations.</w:t>
      </w:r>
    </w:p>
    <w:p>
      <w:pPr>
        <w:spacing w:after="0" w:line="171" w:lineRule="exact"/>
        <w:rPr>
          <w:sz w:val="20"/>
          <w:szCs w:val="20"/>
          <w:color w:val="auto"/>
        </w:rPr>
      </w:pPr>
    </w:p>
    <w:p>
      <w:pPr>
        <w:ind w:right="180" w:firstLine="434"/>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50" w:lineRule="exact"/>
        <w:rPr>
          <w:sz w:val="20"/>
          <w:szCs w:val="20"/>
          <w:color w:val="auto"/>
        </w:rPr>
      </w:pPr>
    </w:p>
    <w:p>
      <w:pPr>
        <w:ind w:firstLine="434"/>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131" w:lineRule="exact"/>
        <w:rPr>
          <w:sz w:val="20"/>
          <w:szCs w:val="20"/>
          <w:color w:val="auto"/>
        </w:rPr>
      </w:pPr>
    </w:p>
    <w:p>
      <w:pPr>
        <w:ind w:right="60" w:firstLine="434"/>
        <w:spacing w:after="0" w:line="216"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35" w:lineRule="exact"/>
        <w:rPr>
          <w:sz w:val="20"/>
          <w:szCs w:val="20"/>
          <w:color w:val="auto"/>
        </w:rPr>
      </w:pPr>
    </w:p>
    <w:p>
      <w:pPr>
        <w:jc w:val="both"/>
        <w:ind w:right="280" w:firstLine="434"/>
        <w:spacing w:after="0" w:line="22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We are subject to certain U.S. and foreign anti-corruption, anti-money laundering, export control, sanctions, and other trade laws and regulations.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can face serious consequences for violations.</w:t>
      </w:r>
    </w:p>
    <w:p>
      <w:pPr>
        <w:spacing w:after="0" w:line="142" w:lineRule="exact"/>
        <w:rPr>
          <w:sz w:val="20"/>
          <w:szCs w:val="20"/>
          <w:color w:val="auto"/>
        </w:rPr>
      </w:pPr>
    </w:p>
    <w:p>
      <w:pPr>
        <w:ind w:firstLine="434"/>
        <w:spacing w:after="0" w:line="236"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ind w:left="220" w:right="78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30" w:lineRule="exact"/>
        <w:rPr>
          <w:sz w:val="20"/>
          <w:szCs w:val="20"/>
          <w:color w:val="auto"/>
        </w:rPr>
      </w:pPr>
    </w:p>
    <w:p>
      <w:pPr>
        <w:ind w:right="40" w:firstLine="434"/>
        <w:spacing w:after="0" w:line="254" w:lineRule="auto"/>
        <w:rPr>
          <w:sz w:val="20"/>
          <w:szCs w:val="20"/>
          <w:color w:val="auto"/>
        </w:rPr>
      </w:pPr>
      <w:r>
        <w:rPr>
          <w:rFonts w:ascii="Arial" w:cs="Arial" w:eastAsia="Arial" w:hAnsi="Arial"/>
          <w:sz w:val="18"/>
          <w:szCs w:val="18"/>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51" w:lineRule="exact"/>
        <w:rPr>
          <w:sz w:val="20"/>
          <w:szCs w:val="20"/>
          <w:color w:val="auto"/>
        </w:rPr>
      </w:pPr>
    </w:p>
    <w:p>
      <w:pPr>
        <w:ind w:right="20" w:firstLine="434"/>
        <w:spacing w:after="0" w:line="259"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4" w:name="page55"/>
    <w:bookmarkEnd w:id="54"/>
    <w:p>
      <w:pPr>
        <w:ind w:right="20"/>
        <w:spacing w:after="0" w:line="277" w:lineRule="auto"/>
        <w:rPr>
          <w:sz w:val="20"/>
          <w:szCs w:val="20"/>
          <w:color w:val="auto"/>
        </w:rPr>
      </w:pPr>
      <w:r>
        <w:rPr>
          <w:rFonts w:ascii="Arial" w:cs="Arial" w:eastAsia="Arial" w:hAnsi="Arial"/>
          <w:sz w:val="18"/>
          <w:szCs w:val="18"/>
          <w:color w:val="auto"/>
        </w:rPr>
        <w:t>right to control the preparation, filing and prosecution of patent applications, or to maintain the patents, covering technology that we license from or license to third parties and are reliant on our licensors or licensees.</w:t>
      </w:r>
    </w:p>
    <w:p>
      <w:pPr>
        <w:spacing w:after="0" w:line="143"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25" w:lineRule="exact"/>
        <w:rPr>
          <w:sz w:val="20"/>
          <w:szCs w:val="20"/>
          <w:color w:val="auto"/>
        </w:rPr>
      </w:pPr>
    </w:p>
    <w:p>
      <w:pPr>
        <w:ind w:right="140" w:firstLine="434"/>
        <w:spacing w:after="0" w:line="277" w:lineRule="auto"/>
        <w:rPr>
          <w:sz w:val="20"/>
          <w:szCs w:val="20"/>
          <w:color w:val="auto"/>
        </w:rPr>
      </w:pPr>
      <w:r>
        <w:rPr>
          <w:rFonts w:ascii="Arial" w:cs="Arial" w:eastAsia="Arial" w:hAnsi="Arial"/>
          <w:sz w:val="18"/>
          <w:szCs w:val="18"/>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130" w:lineRule="exact"/>
        <w:rPr>
          <w:sz w:val="20"/>
          <w:szCs w:val="20"/>
          <w:color w:val="auto"/>
        </w:rPr>
      </w:pPr>
    </w:p>
    <w:p>
      <w:pPr>
        <w:ind w:right="80" w:firstLine="434"/>
        <w:spacing w:after="0" w:line="255" w:lineRule="auto"/>
        <w:rPr>
          <w:sz w:val="20"/>
          <w:szCs w:val="20"/>
          <w:color w:val="auto"/>
        </w:rPr>
      </w:pPr>
      <w:r>
        <w:rPr>
          <w:rFonts w:ascii="Arial" w:cs="Arial" w:eastAsia="Arial" w:hAnsi="Arial"/>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165" w:lineRule="exact"/>
        <w:rPr>
          <w:sz w:val="20"/>
          <w:szCs w:val="20"/>
          <w:color w:val="auto"/>
        </w:rPr>
      </w:pPr>
    </w:p>
    <w:p>
      <w:pPr>
        <w:ind w:firstLine="434"/>
        <w:spacing w:after="0" w:line="269"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5" w:name="page56"/>
    <w:bookmarkEnd w:id="55"/>
    <w:p>
      <w:pPr>
        <w:ind w:firstLine="434"/>
        <w:spacing w:after="0" w:line="287"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45" w:lineRule="exact"/>
        <w:rPr>
          <w:sz w:val="20"/>
          <w:szCs w:val="20"/>
          <w:color w:val="auto"/>
        </w:rPr>
      </w:pPr>
    </w:p>
    <w:p>
      <w:pPr>
        <w:ind w:right="380" w:firstLine="434"/>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30" w:lineRule="exact"/>
        <w:rPr>
          <w:sz w:val="20"/>
          <w:szCs w:val="20"/>
          <w:color w:val="auto"/>
        </w:rPr>
      </w:pPr>
    </w:p>
    <w:p>
      <w:pPr>
        <w:ind w:left="880" w:right="360" w:hanging="438"/>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compositions of our product candidates but that are not covered by the claims of our patents or those of our licensors;</w:t>
      </w:r>
    </w:p>
    <w:p>
      <w:pPr>
        <w:spacing w:after="0" w:line="129" w:lineRule="exact"/>
        <w:rPr>
          <w:rFonts w:ascii="Arial" w:cs="Arial" w:eastAsia="Arial" w:hAnsi="Arial"/>
          <w:sz w:val="18"/>
          <w:szCs w:val="18"/>
          <w:color w:val="auto"/>
        </w:rPr>
      </w:pPr>
    </w:p>
    <w:p>
      <w:pPr>
        <w:ind w:left="880" w:right="20" w:hanging="438"/>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be able to extend the patent term in some jurisdictions;</w:t>
      </w:r>
    </w:p>
    <w:p>
      <w:pPr>
        <w:spacing w:after="0" w:line="184" w:lineRule="exact"/>
        <w:rPr>
          <w:rFonts w:ascii="Arial" w:cs="Arial" w:eastAsia="Arial" w:hAnsi="Arial"/>
          <w:sz w:val="18"/>
          <w:szCs w:val="18"/>
          <w:color w:val="auto"/>
        </w:rPr>
      </w:pPr>
    </w:p>
    <w:p>
      <w:pPr>
        <w:ind w:left="880" w:right="60" w:hanging="438"/>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98" w:lineRule="exact"/>
        <w:rPr>
          <w:rFonts w:ascii="Arial" w:cs="Arial" w:eastAsia="Arial" w:hAnsi="Arial"/>
          <w:sz w:val="18"/>
          <w:szCs w:val="18"/>
          <w:color w:val="auto"/>
        </w:rPr>
      </w:pPr>
    </w:p>
    <w:p>
      <w:pPr>
        <w:ind w:left="880" w:right="160" w:hanging="438"/>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129" w:lineRule="exact"/>
        <w:rPr>
          <w:rFonts w:ascii="Arial" w:cs="Arial" w:eastAsia="Arial" w:hAnsi="Arial"/>
          <w:sz w:val="18"/>
          <w:szCs w:val="18"/>
          <w:color w:val="auto"/>
        </w:rPr>
      </w:pPr>
    </w:p>
    <w:p>
      <w:pPr>
        <w:ind w:left="880" w:right="220" w:hanging="438"/>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209" w:lineRule="exact"/>
        <w:rPr>
          <w:rFonts w:ascii="Arial" w:cs="Arial" w:eastAsia="Arial" w:hAnsi="Arial"/>
          <w:sz w:val="17"/>
          <w:szCs w:val="17"/>
          <w:color w:val="auto"/>
        </w:rPr>
      </w:pPr>
    </w:p>
    <w:p>
      <w:pPr>
        <w:ind w:left="880" w:right="160" w:hanging="438"/>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29" w:lineRule="exact"/>
        <w:rPr>
          <w:rFonts w:ascii="Arial" w:cs="Arial" w:eastAsia="Arial" w:hAnsi="Arial"/>
          <w:sz w:val="18"/>
          <w:szCs w:val="18"/>
          <w:color w:val="auto"/>
        </w:rPr>
      </w:pPr>
    </w:p>
    <w:p>
      <w:pPr>
        <w:ind w:left="880" w:right="100" w:hanging="438"/>
        <w:spacing w:after="0" w:line="342" w:lineRule="auto"/>
        <w:tabs>
          <w:tab w:leader="none" w:pos="8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3" w:lineRule="exact"/>
        <w:rPr>
          <w:rFonts w:ascii="Arial" w:cs="Arial" w:eastAsia="Arial" w:hAnsi="Arial"/>
          <w:sz w:val="16"/>
          <w:szCs w:val="16"/>
          <w:color w:val="auto"/>
        </w:rPr>
      </w:pPr>
    </w:p>
    <w:p>
      <w:pPr>
        <w:ind w:left="880" w:right="80" w:hanging="438"/>
        <w:spacing w:after="0" w:line="263"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56" w:lineRule="exact"/>
        <w:rPr>
          <w:rFonts w:ascii="Arial" w:cs="Arial" w:eastAsia="Arial" w:hAnsi="Arial"/>
          <w:sz w:val="18"/>
          <w:szCs w:val="18"/>
          <w:color w:val="auto"/>
        </w:rPr>
      </w:pPr>
    </w:p>
    <w:p>
      <w:pPr>
        <w:ind w:left="880" w:right="320" w:hanging="438"/>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6" w:name="page57"/>
    <w:bookmarkEnd w:id="56"/>
    <w:p>
      <w:pPr>
        <w:ind w:left="860" w:hanging="418"/>
        <w:spacing w:after="0"/>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209" w:lineRule="exact"/>
        <w:rPr>
          <w:rFonts w:ascii="Arial" w:cs="Arial" w:eastAsia="Arial" w:hAnsi="Arial"/>
          <w:sz w:val="17"/>
          <w:szCs w:val="17"/>
          <w:color w:val="auto"/>
        </w:rPr>
      </w:pPr>
    </w:p>
    <w:p>
      <w:pPr>
        <w:ind w:left="860" w:hanging="418"/>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85" w:lineRule="exact"/>
        <w:rPr>
          <w:sz w:val="20"/>
          <w:szCs w:val="20"/>
          <w:color w:val="auto"/>
        </w:rPr>
      </w:pPr>
    </w:p>
    <w:p>
      <w:pPr>
        <w:ind w:left="220" w:right="240"/>
        <w:spacing w:after="0" w:line="342" w:lineRule="auto"/>
        <w:rPr>
          <w:sz w:val="20"/>
          <w:szCs w:val="20"/>
          <w:color w:val="auto"/>
        </w:rPr>
      </w:pPr>
      <w:r>
        <w:rPr>
          <w:rFonts w:ascii="Arial" w:cs="Arial" w:eastAsia="Arial" w:hAnsi="Arial"/>
          <w:sz w:val="16"/>
          <w:szCs w:val="16"/>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83" w:lineRule="exact"/>
        <w:rPr>
          <w:sz w:val="20"/>
          <w:szCs w:val="20"/>
          <w:color w:val="auto"/>
        </w:rPr>
      </w:pPr>
    </w:p>
    <w:p>
      <w:pPr>
        <w:ind w:right="140" w:firstLine="434"/>
        <w:spacing w:after="0" w:line="301" w:lineRule="auto"/>
        <w:rPr>
          <w:sz w:val="20"/>
          <w:szCs w:val="20"/>
          <w:color w:val="auto"/>
        </w:rPr>
      </w:pPr>
      <w:r>
        <w:rPr>
          <w:rFonts w:ascii="Arial" w:cs="Arial" w:eastAsia="Arial" w:hAnsi="Arial"/>
          <w:sz w:val="16"/>
          <w:szCs w:val="16"/>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85" w:lineRule="exact"/>
        <w:rPr>
          <w:sz w:val="20"/>
          <w:szCs w:val="20"/>
          <w:color w:val="auto"/>
        </w:rPr>
      </w:pPr>
    </w:p>
    <w:p>
      <w:pPr>
        <w:ind w:left="860" w:hanging="418"/>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880" w:right="220" w:hanging="438"/>
        <w:spacing w:after="0" w:line="277" w:lineRule="auto"/>
        <w:tabs>
          <w:tab w:leader="none" w:pos="8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our product candidates, technology and processes infringe on intellectual property of the licensor that is not subject to the licensing agreement;</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880" w:right="300" w:hanging="438"/>
        <w:spacing w:after="0" w:line="277" w:lineRule="auto"/>
        <w:tabs>
          <w:tab w:leader="none" w:pos="8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5" w:lineRule="exact"/>
        <w:rPr>
          <w:sz w:val="20"/>
          <w:szCs w:val="20"/>
          <w:color w:val="auto"/>
        </w:rPr>
      </w:pPr>
    </w:p>
    <w:p>
      <w:pPr>
        <w:ind w:right="20" w:firstLine="434"/>
        <w:spacing w:after="0" w:line="272"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37" w:lineRule="exact"/>
        <w:rPr>
          <w:sz w:val="20"/>
          <w:szCs w:val="20"/>
          <w:color w:val="auto"/>
        </w:rPr>
      </w:pPr>
    </w:p>
    <w:p>
      <w:pPr>
        <w:ind w:right="160" w:firstLine="434"/>
        <w:spacing w:after="0"/>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71" w:lineRule="exact"/>
        <w:rPr>
          <w:sz w:val="20"/>
          <w:szCs w:val="20"/>
          <w:color w:val="auto"/>
        </w:rPr>
      </w:pPr>
    </w:p>
    <w:p>
      <w:pPr>
        <w:ind w:firstLine="434"/>
        <w:spacing w:after="0" w:line="253" w:lineRule="auto"/>
        <w:rPr>
          <w:sz w:val="20"/>
          <w:szCs w:val="20"/>
          <w:color w:val="auto"/>
        </w:rPr>
      </w:pPr>
      <w:r>
        <w:rPr>
          <w:rFonts w:ascii="Arial" w:cs="Arial" w:eastAsia="Arial" w:hAnsi="Arial"/>
          <w:sz w:val="18"/>
          <w:szCs w:val="18"/>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7" w:name="page58"/>
    <w:bookmarkEnd w:id="57"/>
    <w:p>
      <w:pPr>
        <w:ind w:right="60"/>
        <w:spacing w:after="0" w:line="257" w:lineRule="auto"/>
        <w:rPr>
          <w:sz w:val="20"/>
          <w:szCs w:val="20"/>
          <w:color w:val="auto"/>
        </w:rPr>
      </w:pPr>
      <w:r>
        <w:rPr>
          <w:rFonts w:ascii="Arial" w:cs="Arial" w:eastAsia="Arial" w:hAnsi="Arial"/>
          <w:sz w:val="18"/>
          <w:szCs w:val="18"/>
          <w:color w:val="auto"/>
        </w:rPr>
        <w:t>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161" w:lineRule="exact"/>
        <w:rPr>
          <w:sz w:val="20"/>
          <w:szCs w:val="20"/>
          <w:color w:val="auto"/>
        </w:rPr>
      </w:pPr>
    </w:p>
    <w:p>
      <w:pPr>
        <w:ind w:right="120" w:firstLine="434"/>
        <w:spacing w:after="0" w:line="257" w:lineRule="auto"/>
        <w:rPr>
          <w:sz w:val="20"/>
          <w:szCs w:val="20"/>
          <w:color w:val="auto"/>
        </w:rPr>
      </w:pPr>
      <w:r>
        <w:rPr>
          <w:rFonts w:ascii="Arial" w:cs="Arial" w:eastAsia="Arial" w:hAnsi="Arial"/>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47" w:lineRule="exact"/>
        <w:rPr>
          <w:sz w:val="20"/>
          <w:szCs w:val="20"/>
          <w:color w:val="auto"/>
        </w:rPr>
      </w:pPr>
    </w:p>
    <w:p>
      <w:pPr>
        <w:ind w:right="120" w:firstLine="434"/>
        <w:spacing w:after="0" w:line="270"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product discovery and development efforts.</w:t>
      </w:r>
    </w:p>
    <w:p>
      <w:pPr>
        <w:spacing w:after="0" w:line="198"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 third-party claim that we infringe its intellectual property rights, we may face a number of issues, including, but not limited to:</w:t>
      </w:r>
    </w:p>
    <w:p>
      <w:pPr>
        <w:spacing w:after="0" w:line="185" w:lineRule="exact"/>
        <w:rPr>
          <w:sz w:val="20"/>
          <w:szCs w:val="20"/>
          <w:color w:val="auto"/>
        </w:rPr>
      </w:pPr>
    </w:p>
    <w:p>
      <w:pPr>
        <w:ind w:left="880" w:right="20" w:hanging="438"/>
        <w:spacing w:after="0" w:line="235" w:lineRule="auto"/>
        <w:tabs>
          <w:tab w:leader="none" w:pos="8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134" w:lineRule="exact"/>
        <w:rPr>
          <w:rFonts w:ascii="Arial" w:cs="Arial" w:eastAsia="Arial" w:hAnsi="Arial"/>
          <w:sz w:val="18"/>
          <w:szCs w:val="18"/>
          <w:color w:val="auto"/>
        </w:rPr>
      </w:pPr>
    </w:p>
    <w:p>
      <w:pPr>
        <w:jc w:val="both"/>
        <w:ind w:left="880" w:right="180" w:hanging="438"/>
        <w:spacing w:after="0" w:line="224" w:lineRule="auto"/>
        <w:tabs>
          <w:tab w:leader="none" w:pos="8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135" w:lineRule="exact"/>
        <w:rPr>
          <w:rFonts w:ascii="Arial" w:cs="Arial" w:eastAsia="Arial" w:hAnsi="Arial"/>
          <w:sz w:val="18"/>
          <w:szCs w:val="18"/>
          <w:color w:val="auto"/>
        </w:rPr>
      </w:pPr>
    </w:p>
    <w:p>
      <w:pPr>
        <w:ind w:left="880" w:hanging="438"/>
        <w:spacing w:after="0" w:line="235" w:lineRule="auto"/>
        <w:tabs>
          <w:tab w:leader="none" w:pos="8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134" w:lineRule="exact"/>
        <w:rPr>
          <w:rFonts w:ascii="Arial" w:cs="Arial" w:eastAsia="Arial" w:hAnsi="Arial"/>
          <w:sz w:val="18"/>
          <w:szCs w:val="18"/>
          <w:color w:val="auto"/>
        </w:rPr>
      </w:pPr>
    </w:p>
    <w:p>
      <w:pPr>
        <w:ind w:left="880" w:right="40" w:hanging="438"/>
        <w:spacing w:after="0" w:line="224" w:lineRule="auto"/>
        <w:tabs>
          <w:tab w:leader="none" w:pos="8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135" w:lineRule="exact"/>
        <w:rPr>
          <w:rFonts w:ascii="Arial" w:cs="Arial" w:eastAsia="Arial" w:hAnsi="Arial"/>
          <w:sz w:val="18"/>
          <w:szCs w:val="18"/>
          <w:color w:val="auto"/>
        </w:rPr>
      </w:pPr>
    </w:p>
    <w:p>
      <w:pPr>
        <w:ind w:left="880" w:right="580" w:hanging="438"/>
        <w:spacing w:after="0" w:line="235" w:lineRule="auto"/>
        <w:tabs>
          <w:tab w:leader="none" w:pos="8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redesigning our product candidates or processes so they do not infringe, which may not be possible or may require substantial monetary expenditures and time.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8" w:name="page59"/>
    <w:bookmarkEnd w:id="58"/>
    <w:p>
      <w:pPr>
        <w:ind w:right="120" w:firstLine="434"/>
        <w:spacing w:after="0" w:line="244"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131" w:lineRule="exact"/>
        <w:rPr>
          <w:sz w:val="20"/>
          <w:szCs w:val="20"/>
          <w:color w:val="auto"/>
        </w:rPr>
      </w:pPr>
    </w:p>
    <w:p>
      <w:pPr>
        <w:ind w:left="220" w:right="140"/>
        <w:spacing w:after="0" w:line="308"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119" w:lineRule="exact"/>
        <w:rPr>
          <w:sz w:val="20"/>
          <w:szCs w:val="20"/>
          <w:color w:val="auto"/>
        </w:rPr>
      </w:pPr>
    </w:p>
    <w:p>
      <w:pPr>
        <w:ind w:right="20" w:firstLine="434"/>
        <w:spacing w:after="0" w:line="254" w:lineRule="auto"/>
        <w:rPr>
          <w:sz w:val="20"/>
          <w:szCs w:val="20"/>
          <w:color w:val="auto"/>
        </w:rPr>
      </w:pPr>
      <w:r>
        <w:rPr>
          <w:rFonts w:ascii="Arial" w:cs="Arial" w:eastAsia="Arial" w:hAnsi="Arial"/>
          <w:sz w:val="18"/>
          <w:szCs w:val="18"/>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Third parties may assert that we are employing their proprietary technology without authorization.</w:t>
      </w:r>
    </w:p>
    <w:p>
      <w:pPr>
        <w:spacing w:after="0" w:line="185"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41" w:lineRule="exact"/>
        <w:rPr>
          <w:sz w:val="20"/>
          <w:szCs w:val="20"/>
          <w:color w:val="auto"/>
        </w:rPr>
      </w:pPr>
    </w:p>
    <w:p>
      <w:pPr>
        <w:ind w:firstLine="434"/>
        <w:spacing w:after="0" w:line="270"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40" w:lineRule="exact"/>
        <w:rPr>
          <w:sz w:val="20"/>
          <w:szCs w:val="20"/>
          <w:color w:val="auto"/>
        </w:rPr>
      </w:pPr>
    </w:p>
    <w:p>
      <w:pPr>
        <w:ind w:left="220" w:right="340"/>
        <w:spacing w:after="0" w:line="235"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35" w:lineRule="exact"/>
        <w:rPr>
          <w:sz w:val="20"/>
          <w:szCs w:val="20"/>
          <w:color w:val="auto"/>
        </w:rPr>
      </w:pPr>
    </w:p>
    <w:p>
      <w:pPr>
        <w:ind w:right="20" w:firstLine="434"/>
        <w:spacing w:after="0" w:line="272"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9" w:name="page60"/>
    <w:bookmarkEnd w:id="59"/>
    <w:p>
      <w:pPr>
        <w:ind w:right="40"/>
        <w:spacing w:after="0" w:line="271" w:lineRule="auto"/>
        <w:rPr>
          <w:sz w:val="20"/>
          <w:szCs w:val="20"/>
          <w:color w:val="auto"/>
        </w:rPr>
      </w:pPr>
      <w:r>
        <w:rPr>
          <w:rFonts w:ascii="Arial" w:cs="Arial" w:eastAsia="Arial" w:hAnsi="Arial"/>
          <w:sz w:val="17"/>
          <w:szCs w:val="17"/>
          <w:color w:val="auto"/>
        </w:rPr>
        <w:t>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96" w:lineRule="exact"/>
        <w:rPr>
          <w:sz w:val="20"/>
          <w:szCs w:val="20"/>
          <w:color w:val="auto"/>
        </w:rPr>
      </w:pPr>
    </w:p>
    <w:p>
      <w:pPr>
        <w:ind w:right="260" w:firstLine="434"/>
        <w:spacing w:after="0" w:line="277" w:lineRule="auto"/>
        <w:rPr>
          <w:sz w:val="20"/>
          <w:szCs w:val="20"/>
          <w:color w:val="auto"/>
        </w:rPr>
      </w:pPr>
      <w:r>
        <w:rPr>
          <w:rFonts w:ascii="Arial" w:cs="Arial" w:eastAsia="Arial" w:hAnsi="Arial"/>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30"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38" w:lineRule="exact"/>
        <w:rPr>
          <w:sz w:val="20"/>
          <w:szCs w:val="20"/>
          <w:color w:val="auto"/>
        </w:rPr>
      </w:pPr>
    </w:p>
    <w:p>
      <w:pPr>
        <w:ind w:firstLine="434"/>
        <w:spacing w:after="0" w:line="273"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37" w:lineRule="exact"/>
        <w:rPr>
          <w:sz w:val="20"/>
          <w:szCs w:val="20"/>
          <w:color w:val="auto"/>
        </w:rPr>
      </w:pPr>
    </w:p>
    <w:p>
      <w:pPr>
        <w:ind w:right="20" w:firstLine="434"/>
        <w:spacing w:after="0" w:line="296"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21" w:lineRule="exact"/>
        <w:rPr>
          <w:sz w:val="20"/>
          <w:szCs w:val="20"/>
          <w:color w:val="auto"/>
        </w:rPr>
      </w:pPr>
    </w:p>
    <w:p>
      <w:pPr>
        <w:ind w:left="220" w:right="420"/>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35" w:lineRule="exact"/>
        <w:rPr>
          <w:sz w:val="20"/>
          <w:szCs w:val="20"/>
          <w:color w:val="auto"/>
        </w:rPr>
      </w:pPr>
    </w:p>
    <w:p>
      <w:pPr>
        <w:ind w:firstLine="434"/>
        <w:spacing w:after="0" w:line="254" w:lineRule="auto"/>
        <w:rPr>
          <w:sz w:val="20"/>
          <w:szCs w:val="20"/>
          <w:color w:val="auto"/>
        </w:rPr>
      </w:pPr>
      <w:r>
        <w:rPr>
          <w:rFonts w:ascii="Arial" w:cs="Arial" w:eastAsia="Arial" w:hAnsi="Arial"/>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8" w:lineRule="exact"/>
        <w:rPr>
          <w:sz w:val="20"/>
          <w:szCs w:val="20"/>
          <w:color w:val="auto"/>
        </w:rPr>
      </w:pPr>
    </w:p>
    <w:p>
      <w:pPr>
        <w:ind w:right="20" w:firstLine="434"/>
        <w:spacing w:after="0" w:line="277" w:lineRule="auto"/>
        <w:rPr>
          <w:sz w:val="20"/>
          <w:szCs w:val="20"/>
          <w:color w:val="auto"/>
        </w:rPr>
      </w:pPr>
      <w:r>
        <w:rPr>
          <w:rFonts w:ascii="Arial" w:cs="Arial" w:eastAsia="Arial" w:hAnsi="Arial"/>
          <w:sz w:val="18"/>
          <w:szCs w:val="18"/>
          <w:color w:val="auto"/>
        </w:rPr>
        <w:t>We may choose to challenge the patentability of claims in a third-party’s U.S. patent by requesting that the USPTO review the patent claims in an ex-parte re-examination, inter partes review or post-grant review proceedings. These proceedings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0" w:name="page61"/>
    <w:bookmarkEnd w:id="60"/>
    <w:p>
      <w:pPr>
        <w:ind w:right="380"/>
        <w:spacing w:after="0" w:line="277" w:lineRule="auto"/>
        <w:rPr>
          <w:sz w:val="20"/>
          <w:szCs w:val="20"/>
          <w:color w:val="auto"/>
        </w:rPr>
      </w:pPr>
      <w:r>
        <w:rPr>
          <w:rFonts w:ascii="Arial" w:cs="Arial" w:eastAsia="Arial" w:hAnsi="Arial"/>
          <w:sz w:val="18"/>
          <w:szCs w:val="18"/>
          <w:color w:val="auto"/>
        </w:rPr>
        <w:t>are expensive and may consume our time or other resources. We may choose to challenge a third-party’s patent in patent opposition proceedings in the European Patent Office, or EPO, or other foreign patent office.</w:t>
      </w:r>
    </w:p>
    <w:p>
      <w:pPr>
        <w:spacing w:after="0" w:line="143" w:lineRule="exact"/>
        <w:rPr>
          <w:sz w:val="20"/>
          <w:szCs w:val="20"/>
          <w:color w:val="auto"/>
        </w:rPr>
      </w:pPr>
    </w:p>
    <w:p>
      <w:pPr>
        <w:ind w:right="60" w:firstLine="434"/>
        <w:spacing w:after="0" w:line="263" w:lineRule="auto"/>
        <w:rPr>
          <w:sz w:val="20"/>
          <w:szCs w:val="20"/>
          <w:color w:val="auto"/>
        </w:rPr>
      </w:pPr>
      <w:r>
        <w:rPr>
          <w:rFonts w:ascii="Arial" w:cs="Arial" w:eastAsia="Arial" w:hAnsi="Arial"/>
          <w:sz w:val="18"/>
          <w:szCs w:val="18"/>
          <w:color w:val="auto"/>
        </w:rPr>
        <w:t>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143" w:lineRule="exact"/>
        <w:rPr>
          <w:sz w:val="20"/>
          <w:szCs w:val="20"/>
          <w:color w:val="auto"/>
        </w:rPr>
      </w:pPr>
    </w:p>
    <w:p>
      <w:pPr>
        <w:ind w:firstLine="434"/>
        <w:spacing w:after="0" w:line="288"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128" w:lineRule="exact"/>
        <w:rPr>
          <w:sz w:val="20"/>
          <w:szCs w:val="20"/>
          <w:color w:val="auto"/>
        </w:rPr>
      </w:pPr>
    </w:p>
    <w:p>
      <w:pPr>
        <w:ind w:right="80" w:firstLine="434"/>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65" w:lineRule="exact"/>
        <w:rPr>
          <w:sz w:val="20"/>
          <w:szCs w:val="20"/>
          <w:color w:val="auto"/>
        </w:rPr>
      </w:pPr>
    </w:p>
    <w:p>
      <w:pPr>
        <w:ind w:right="180" w:firstLine="434"/>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46" w:lineRule="exact"/>
        <w:rPr>
          <w:sz w:val="20"/>
          <w:szCs w:val="20"/>
          <w:color w:val="auto"/>
        </w:rPr>
      </w:pPr>
    </w:p>
    <w:p>
      <w:pPr>
        <w:jc w:val="both"/>
        <w:ind w:left="220" w:right="2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3" w:lineRule="exact"/>
        <w:rPr>
          <w:sz w:val="20"/>
          <w:szCs w:val="20"/>
          <w:color w:val="auto"/>
        </w:rPr>
      </w:pPr>
    </w:p>
    <w:p>
      <w:pPr>
        <w:ind w:right="20" w:firstLine="434"/>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140" w:lineRule="exact"/>
        <w:rPr>
          <w:sz w:val="20"/>
          <w:szCs w:val="20"/>
          <w:color w:val="auto"/>
        </w:rPr>
      </w:pPr>
    </w:p>
    <w:p>
      <w:pPr>
        <w:ind w:left="220" w:right="80"/>
        <w:spacing w:after="0" w:line="235" w:lineRule="auto"/>
        <w:rPr>
          <w:sz w:val="20"/>
          <w:szCs w:val="20"/>
          <w:color w:val="auto"/>
        </w:rPr>
      </w:pPr>
      <w:r>
        <w:rPr>
          <w:rFonts w:ascii="Arial" w:cs="Arial" w:eastAsia="Arial" w:hAnsi="Arial"/>
          <w:sz w:val="18"/>
          <w:szCs w:val="18"/>
          <w:b w:val="1"/>
          <w:bCs w:val="1"/>
          <w:i w:val="1"/>
          <w:iCs w:val="1"/>
          <w:color w:val="auto"/>
        </w:rPr>
        <w:t>Any patents, if issued patents covering our product candidates could be found invalid or unenforceable if challenged in court or the USPTO (or the EPO).</w:t>
      </w:r>
    </w:p>
    <w:p>
      <w:pPr>
        <w:spacing w:after="0" w:line="148" w:lineRule="exact"/>
        <w:rPr>
          <w:sz w:val="20"/>
          <w:szCs w:val="20"/>
          <w:color w:val="auto"/>
        </w:rPr>
      </w:pPr>
    </w:p>
    <w:p>
      <w:pPr>
        <w:ind w:right="60" w:firstLine="434"/>
        <w:spacing w:after="0" w:line="301" w:lineRule="auto"/>
        <w:rPr>
          <w:sz w:val="20"/>
          <w:szCs w:val="20"/>
          <w:color w:val="auto"/>
        </w:rPr>
      </w:pPr>
      <w:r>
        <w:rPr>
          <w:rFonts w:ascii="Arial" w:cs="Arial" w:eastAsia="Arial" w:hAnsi="Arial"/>
          <w:sz w:val="16"/>
          <w:szCs w:val="16"/>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1" w:name="page62"/>
    <w:bookmarkEnd w:id="61"/>
    <w:p>
      <w:pPr>
        <w:spacing w:after="0" w:line="291" w:lineRule="auto"/>
        <w:rPr>
          <w:sz w:val="20"/>
          <w:szCs w:val="20"/>
          <w:color w:val="auto"/>
        </w:rPr>
      </w:pPr>
      <w:r>
        <w:rPr>
          <w:rFonts w:ascii="Arial" w:cs="Arial" w:eastAsia="Arial" w:hAnsi="Arial"/>
          <w:sz w:val="16"/>
          <w:szCs w:val="16"/>
          <w:color w:val="auto"/>
        </w:rPr>
        <w:t>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39" w:lineRule="exact"/>
        <w:rPr>
          <w:sz w:val="20"/>
          <w:szCs w:val="20"/>
          <w:color w:val="auto"/>
        </w:rPr>
      </w:pPr>
    </w:p>
    <w:p>
      <w:pPr>
        <w:ind w:firstLine="434"/>
        <w:spacing w:after="0" w:line="255" w:lineRule="auto"/>
        <w:rPr>
          <w:sz w:val="20"/>
          <w:szCs w:val="20"/>
          <w:color w:val="auto"/>
        </w:rPr>
      </w:pPr>
      <w:r>
        <w:rPr>
          <w:rFonts w:ascii="Arial" w:cs="Arial" w:eastAsia="Arial" w:hAnsi="Arial"/>
          <w:sz w:val="18"/>
          <w:szCs w:val="18"/>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2040, without taking into account any possible patent term adjustments or extensions. However, we cannot be assured that the USPTO or relevant foreign patent offices will grant any of these patent applications.</w:t>
      </w:r>
    </w:p>
    <w:p>
      <w:pPr>
        <w:spacing w:after="0" w:line="152"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b w:val="1"/>
          <w:bCs w:val="1"/>
          <w:i w:val="1"/>
          <w:iCs w:val="1"/>
          <w:color w:val="auto"/>
        </w:rPr>
        <w:t>Changes in patent law in the U.S. and in foreign jurisdictions could diminish the value of patents in general, thereby impairing our ability to protect our products.</w:t>
      </w:r>
    </w:p>
    <w:p>
      <w:pPr>
        <w:spacing w:after="0" w:line="130" w:lineRule="exact"/>
        <w:rPr>
          <w:sz w:val="20"/>
          <w:szCs w:val="20"/>
          <w:color w:val="auto"/>
        </w:rPr>
      </w:pPr>
    </w:p>
    <w:p>
      <w:pPr>
        <w:ind w:right="20" w:firstLine="434"/>
        <w:spacing w:after="0" w:line="287"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145" w:lineRule="exact"/>
        <w:rPr>
          <w:sz w:val="20"/>
          <w:szCs w:val="20"/>
          <w:color w:val="auto"/>
        </w:rPr>
      </w:pPr>
    </w:p>
    <w:p>
      <w:pPr>
        <w:ind w:right="20" w:firstLine="434"/>
        <w:spacing w:after="0" w:line="269"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45" w:lineRule="exact"/>
        <w:rPr>
          <w:sz w:val="20"/>
          <w:szCs w:val="20"/>
          <w:color w:val="auto"/>
        </w:rPr>
      </w:pPr>
    </w:p>
    <w:p>
      <w:pPr>
        <w:ind w:right="80" w:firstLine="434"/>
        <w:spacing w:after="0" w:line="296" w:lineRule="auto"/>
        <w:rPr>
          <w:sz w:val="20"/>
          <w:szCs w:val="20"/>
          <w:color w:val="auto"/>
        </w:rPr>
      </w:pPr>
      <w:r>
        <w:rPr>
          <w:rFonts w:ascii="Arial" w:cs="Arial" w:eastAsia="Arial" w:hAnsi="Arial"/>
          <w:sz w:val="16"/>
          <w:szCs w:val="16"/>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2" w:name="page63"/>
    <w:bookmarkEnd w:id="62"/>
    <w:p>
      <w:pPr>
        <w:ind w:left="220"/>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69" w:lineRule="exact"/>
        <w:rPr>
          <w:sz w:val="20"/>
          <w:szCs w:val="20"/>
          <w:color w:val="auto"/>
        </w:rPr>
      </w:pPr>
    </w:p>
    <w:p>
      <w:pPr>
        <w:ind w:firstLine="434"/>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54" w:lineRule="exact"/>
        <w:rPr>
          <w:sz w:val="20"/>
          <w:szCs w:val="20"/>
          <w:color w:val="auto"/>
        </w:rPr>
      </w:pPr>
    </w:p>
    <w:p>
      <w:pPr>
        <w:ind w:right="20" w:firstLine="434"/>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85" w:lineRule="exact"/>
        <w:rPr>
          <w:sz w:val="20"/>
          <w:szCs w:val="20"/>
          <w:color w:val="auto"/>
        </w:rPr>
      </w:pPr>
    </w:p>
    <w:p>
      <w:pPr>
        <w:ind w:right="60" w:firstLine="434"/>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37" w:lineRule="exact"/>
        <w:rPr>
          <w:sz w:val="20"/>
          <w:szCs w:val="20"/>
          <w:color w:val="auto"/>
        </w:rPr>
      </w:pPr>
    </w:p>
    <w:p>
      <w:pPr>
        <w:ind w:right="200" w:firstLine="434"/>
        <w:spacing w:after="0" w:line="277" w:lineRule="auto"/>
        <w:rPr>
          <w:sz w:val="20"/>
          <w:szCs w:val="20"/>
          <w:color w:val="auto"/>
        </w:rPr>
      </w:pPr>
      <w:r>
        <w:rPr>
          <w:rFonts w:ascii="Arial" w:cs="Arial" w:eastAsia="Arial" w:hAnsi="Arial"/>
          <w:sz w:val="18"/>
          <w:szCs w:val="18"/>
          <w:color w:val="auto"/>
        </w:rPr>
        <w:t>At EU level, the Court of Justice of the European Union (CJEU) has recently narrowed the availability of patent term extension for second medical use therefore affecting the scope of patent protection available.</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any product candidates we may develop, our business may be materially harmed.</w:t>
      </w:r>
    </w:p>
    <w:p>
      <w:pPr>
        <w:spacing w:after="0" w:line="219" w:lineRule="exact"/>
        <w:rPr>
          <w:sz w:val="20"/>
          <w:szCs w:val="20"/>
          <w:color w:val="auto"/>
        </w:rPr>
      </w:pPr>
    </w:p>
    <w:p>
      <w:pPr>
        <w:ind w:right="20" w:firstLine="434"/>
        <w:spacing w:after="0" w:line="288"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3" w:name="page64"/>
    <w:bookmarkEnd w:id="63"/>
    <w:p>
      <w:pPr>
        <w:ind w:firstLine="434"/>
        <w:spacing w:after="0" w:line="263" w:lineRule="auto"/>
        <w:rPr>
          <w:sz w:val="20"/>
          <w:szCs w:val="20"/>
          <w:color w:val="auto"/>
        </w:rPr>
      </w:pPr>
      <w:r>
        <w:rPr>
          <w:rFonts w:ascii="Arial" w:cs="Arial" w:eastAsia="Arial" w:hAnsi="Arial"/>
          <w:sz w:val="18"/>
          <w:szCs w:val="18"/>
          <w:color w:val="auto"/>
        </w:rPr>
        <w:t>It is important to note that the regulatory protection afforded to medicinal product such as data exclusivity, marketing protection, market exclusivity for orphan indications and paediatric extension are currently under review at EU level. It is expected that the protection currently afforded in the EU will be reduced in the years to come.</w:t>
      </w:r>
    </w:p>
    <w:p>
      <w:pPr>
        <w:spacing w:after="0" w:line="157" w:lineRule="exact"/>
        <w:rPr>
          <w:sz w:val="20"/>
          <w:szCs w:val="20"/>
          <w:color w:val="auto"/>
        </w:rPr>
      </w:pPr>
    </w:p>
    <w:p>
      <w:pPr>
        <w:ind w:left="220" w:right="1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0" w:lineRule="exact"/>
        <w:rPr>
          <w:sz w:val="20"/>
          <w:szCs w:val="20"/>
          <w:color w:val="auto"/>
        </w:rPr>
      </w:pPr>
    </w:p>
    <w:p>
      <w:pPr>
        <w:ind w:right="60" w:firstLine="434"/>
        <w:spacing w:after="0" w:line="279"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85" w:lineRule="exact"/>
        <w:rPr>
          <w:sz w:val="20"/>
          <w:szCs w:val="20"/>
          <w:color w:val="auto"/>
        </w:rPr>
      </w:pPr>
    </w:p>
    <w:p>
      <w:pPr>
        <w:ind w:right="100" w:firstLine="434"/>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30" w:lineRule="exact"/>
        <w:rPr>
          <w:sz w:val="20"/>
          <w:szCs w:val="20"/>
          <w:color w:val="auto"/>
        </w:rPr>
      </w:pPr>
    </w:p>
    <w:p>
      <w:pPr>
        <w:ind w:left="880" w:right="260" w:hanging="438"/>
        <w:spacing w:after="0" w:line="235"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be able to make drug candidates that are similar to ours but that are not covered by the claims of the patents that we own or have exclusively licensed;</w:t>
      </w:r>
    </w:p>
    <w:p>
      <w:pPr>
        <w:spacing w:after="0" w:line="134" w:lineRule="exact"/>
        <w:rPr>
          <w:rFonts w:ascii="Arial" w:cs="Arial" w:eastAsia="Arial" w:hAnsi="Arial"/>
          <w:sz w:val="18"/>
          <w:szCs w:val="18"/>
          <w:color w:val="auto"/>
        </w:rPr>
      </w:pPr>
    </w:p>
    <w:p>
      <w:pPr>
        <w:ind w:left="880" w:right="140" w:hanging="438"/>
        <w:spacing w:after="0" w:line="235"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134" w:lineRule="exact"/>
        <w:rPr>
          <w:rFonts w:ascii="Arial" w:cs="Arial" w:eastAsia="Arial" w:hAnsi="Arial"/>
          <w:sz w:val="18"/>
          <w:szCs w:val="18"/>
          <w:color w:val="auto"/>
        </w:rPr>
      </w:pPr>
    </w:p>
    <w:p>
      <w:pPr>
        <w:ind w:left="860" w:hanging="418"/>
        <w:spacing w:after="0"/>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file patent applications covering certain of our inventions;</w:t>
      </w:r>
    </w:p>
    <w:p>
      <w:pPr>
        <w:spacing w:after="0" w:line="169" w:lineRule="exact"/>
        <w:rPr>
          <w:rFonts w:ascii="Arial" w:cs="Arial" w:eastAsia="Arial" w:hAnsi="Arial"/>
          <w:sz w:val="17"/>
          <w:szCs w:val="17"/>
          <w:color w:val="auto"/>
        </w:rPr>
      </w:pPr>
    </w:p>
    <w:p>
      <w:pPr>
        <w:ind w:left="880" w:right="260" w:hanging="438"/>
        <w:spacing w:after="0" w:line="235"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34" w:lineRule="exact"/>
        <w:rPr>
          <w:rFonts w:ascii="Arial" w:cs="Arial" w:eastAsia="Arial" w:hAnsi="Arial"/>
          <w:sz w:val="18"/>
          <w:szCs w:val="18"/>
          <w:color w:val="auto"/>
        </w:rPr>
      </w:pPr>
    </w:p>
    <w:p>
      <w:pPr>
        <w:ind w:left="860" w:hanging="41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57" w:lineRule="exact"/>
        <w:rPr>
          <w:rFonts w:ascii="Arial" w:cs="Arial" w:eastAsia="Arial" w:hAnsi="Arial"/>
          <w:sz w:val="18"/>
          <w:szCs w:val="18"/>
          <w:color w:val="auto"/>
        </w:rPr>
      </w:pPr>
    </w:p>
    <w:p>
      <w:pPr>
        <w:ind w:left="880" w:right="900" w:hanging="438"/>
        <w:spacing w:after="0" w:line="235"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134" w:lineRule="exact"/>
        <w:rPr>
          <w:rFonts w:ascii="Arial" w:cs="Arial" w:eastAsia="Arial" w:hAnsi="Arial"/>
          <w:sz w:val="18"/>
          <w:szCs w:val="18"/>
          <w:color w:val="auto"/>
        </w:rPr>
      </w:pPr>
    </w:p>
    <w:p>
      <w:pPr>
        <w:ind w:left="880" w:right="860" w:hanging="438"/>
        <w:spacing w:after="0" w:line="258" w:lineRule="auto"/>
        <w:tabs>
          <w:tab w:leader="none" w:pos="8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9" w:lineRule="exact"/>
        <w:rPr>
          <w:rFonts w:ascii="Arial" w:cs="Arial" w:eastAsia="Arial" w:hAnsi="Arial"/>
          <w:sz w:val="17"/>
          <w:szCs w:val="17"/>
          <w:color w:val="auto"/>
        </w:rPr>
      </w:pPr>
    </w:p>
    <w:p>
      <w:pPr>
        <w:ind w:left="860" w:hanging="41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57" w:lineRule="exact"/>
        <w:rPr>
          <w:rFonts w:ascii="Arial" w:cs="Arial" w:eastAsia="Arial" w:hAnsi="Arial"/>
          <w:sz w:val="18"/>
          <w:szCs w:val="18"/>
          <w:color w:val="auto"/>
        </w:rPr>
      </w:pPr>
    </w:p>
    <w:p>
      <w:pPr>
        <w:ind w:left="880" w:right="100" w:hanging="438"/>
        <w:spacing w:after="0" w:line="224"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cannot predict the scope of protection of any patent issuing based on our patent applications, including whether the patent applications that we own or in-license will result in issued patents with claims that cover our drug candidates or uses thereof in the United States or in other foreign countries;</w:t>
      </w:r>
    </w:p>
    <w:p>
      <w:pPr>
        <w:spacing w:after="0" w:line="135" w:lineRule="exact"/>
        <w:rPr>
          <w:rFonts w:ascii="Arial" w:cs="Arial" w:eastAsia="Arial" w:hAnsi="Arial"/>
          <w:sz w:val="18"/>
          <w:szCs w:val="18"/>
          <w:color w:val="auto"/>
        </w:rPr>
      </w:pPr>
    </w:p>
    <w:p>
      <w:pPr>
        <w:ind w:left="880" w:right="880" w:hanging="438"/>
        <w:spacing w:after="0" w:line="235"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claims of any patent issuing based on our patent applications may not provide protection against competitors or any competitive advantages, or may be challenged by third parties;</w:t>
      </w:r>
    </w:p>
    <w:p>
      <w:pPr>
        <w:spacing w:after="0" w:line="134" w:lineRule="exact"/>
        <w:rPr>
          <w:rFonts w:ascii="Arial" w:cs="Arial" w:eastAsia="Arial" w:hAnsi="Arial"/>
          <w:sz w:val="18"/>
          <w:szCs w:val="18"/>
          <w:color w:val="auto"/>
        </w:rPr>
      </w:pPr>
    </w:p>
    <w:p>
      <w:pPr>
        <w:ind w:left="860" w:hanging="41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enforced, a court may not hold that our patents are valid, enforceable and infringed;</w:t>
      </w:r>
    </w:p>
    <w:p>
      <w:pPr>
        <w:spacing w:after="0" w:line="157" w:lineRule="exact"/>
        <w:rPr>
          <w:rFonts w:ascii="Arial" w:cs="Arial" w:eastAsia="Arial" w:hAnsi="Arial"/>
          <w:sz w:val="18"/>
          <w:szCs w:val="18"/>
          <w:color w:val="auto"/>
        </w:rPr>
      </w:pPr>
    </w:p>
    <w:p>
      <w:pPr>
        <w:ind w:left="880" w:right="60" w:hanging="438"/>
        <w:spacing w:after="0" w:line="235"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need to initiate litigation or administrative proceedings to enforce and/or defend our patent rights which will be costly whether we win or lose;</w:t>
      </w:r>
    </w:p>
    <w:p>
      <w:pPr>
        <w:spacing w:after="0" w:line="134" w:lineRule="exact"/>
        <w:rPr>
          <w:rFonts w:ascii="Arial" w:cs="Arial" w:eastAsia="Arial" w:hAnsi="Arial"/>
          <w:sz w:val="18"/>
          <w:szCs w:val="18"/>
          <w:color w:val="auto"/>
        </w:rPr>
      </w:pPr>
    </w:p>
    <w:p>
      <w:pPr>
        <w:ind w:left="880" w:right="440" w:hanging="438"/>
        <w:spacing w:after="0" w:line="235"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34" w:lineRule="exact"/>
        <w:rPr>
          <w:rFonts w:ascii="Arial" w:cs="Arial" w:eastAsia="Arial" w:hAnsi="Arial"/>
          <w:sz w:val="18"/>
          <w:szCs w:val="18"/>
          <w:color w:val="auto"/>
        </w:rPr>
      </w:pPr>
    </w:p>
    <w:p>
      <w:pPr>
        <w:ind w:left="860" w:hanging="41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57" w:lineRule="exact"/>
        <w:rPr>
          <w:rFonts w:ascii="Arial" w:cs="Arial" w:eastAsia="Arial" w:hAnsi="Arial"/>
          <w:sz w:val="18"/>
          <w:szCs w:val="18"/>
          <w:color w:val="auto"/>
        </w:rPr>
      </w:pPr>
    </w:p>
    <w:p>
      <w:pPr>
        <w:ind w:left="880" w:right="620" w:hanging="438"/>
        <w:spacing w:after="0" w:line="235"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02" w:lineRule="exact"/>
        <w:rPr>
          <w:sz w:val="20"/>
          <w:szCs w:val="20"/>
          <w:color w:val="auto"/>
        </w:rPr>
      </w:pPr>
    </w:p>
    <w:p>
      <w:pPr>
        <w:ind w:left="220"/>
        <w:spacing w:after="0" w:line="327" w:lineRule="auto"/>
        <w:rPr>
          <w:sz w:val="20"/>
          <w:szCs w:val="20"/>
          <w:color w:val="auto"/>
        </w:rPr>
      </w:pPr>
      <w:r>
        <w:rPr>
          <w:rFonts w:ascii="Arial" w:cs="Arial" w:eastAsia="Arial" w:hAnsi="Arial"/>
          <w:sz w:val="15"/>
          <w:szCs w:val="15"/>
          <w:b w:val="1"/>
          <w:bCs w:val="1"/>
          <w:i w:val="1"/>
          <w:iCs w:val="1"/>
          <w:color w:val="auto"/>
        </w:rPr>
        <w:t>We have entered into a collaboration agreement with Novartis for the development of PLN-1474,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99" w:lineRule="exact"/>
        <w:rPr>
          <w:sz w:val="20"/>
          <w:szCs w:val="20"/>
          <w:color w:val="auto"/>
        </w:rPr>
      </w:pPr>
    </w:p>
    <w:p>
      <w:pPr>
        <w:ind w:right="20" w:firstLine="434"/>
        <w:spacing w:after="0" w:line="268" w:lineRule="auto"/>
        <w:rPr>
          <w:sz w:val="20"/>
          <w:szCs w:val="20"/>
          <w:color w:val="auto"/>
        </w:rPr>
      </w:pPr>
      <w:r>
        <w:rPr>
          <w:rFonts w:ascii="Arial" w:cs="Arial" w:eastAsia="Arial" w:hAnsi="Arial"/>
          <w:sz w:val="17"/>
          <w:szCs w:val="17"/>
          <w:color w:val="auto"/>
        </w:rPr>
        <w:t>In October 2019, we entered into a license and collaboration agreement with Novartis for the development and commercialization of our then preclinical product candidate, PLN-1474, and up to three integrin research targets. In December 2019, we received an upfront license payment of $50.0 million for the worldwide exclusive license to PLN-1474 and, upon achievement of the first patient dosing milestone, received a payment of $25.0 million in the second quarter of 2020. Pursuant to the Novartis Agreement, we expect to receive research and development funding totaling up to $19.6 million for PLN-1474 development services and funding of up to $13.4 million for optional research and development services on the integrin research targets. Additionally, we are eligible to receive additional developmental, regulatory and commercial milestone payments of up to $391.0 million if defined development, regulatory and commercialization milestones are achieved and tiered royalties, on a product-by-product basis based on annual net sales of products, at percentages ranging from high-single digits to low teens of the applicable licensed products and mid-single digits to high-single digits for any products resulting from the research programs. The IND application candidate was transferred to Novartis in the first quarter of 2021, and Novartis is responsible for all PLN-1474 development, manufacturing, and commercialization activities after the initial development period. As a result, we are reliant on Novartis and its efforts and capabilities with respect to the advancement of this candidate. If we or our collaborators are unable to successfully advance the development of our product candidates, including PLN-1474, or achieve milestones, revenue and cash resources from milestone payments under our collaboration agreements will be substantially less than expected.</w:t>
      </w:r>
    </w:p>
    <w:p>
      <w:pPr>
        <w:spacing w:after="0" w:line="146" w:lineRule="exact"/>
        <w:rPr>
          <w:sz w:val="20"/>
          <w:szCs w:val="20"/>
          <w:color w:val="auto"/>
        </w:rPr>
      </w:pPr>
    </w:p>
    <w:p>
      <w:pPr>
        <w:ind w:right="20" w:firstLine="434"/>
        <w:spacing w:after="0" w:line="259" w:lineRule="auto"/>
        <w:rPr>
          <w:sz w:val="20"/>
          <w:szCs w:val="20"/>
          <w:color w:val="auto"/>
        </w:rPr>
      </w:pPr>
      <w:r>
        <w:rPr>
          <w:rFonts w:ascii="Arial" w:cs="Arial" w:eastAsia="Arial" w:hAnsi="Arial"/>
          <w:sz w:val="18"/>
          <w:szCs w:val="18"/>
          <w:color w:val="auto"/>
        </w:rPr>
        <w:t>In addition, to the extent that any of our existing or future collaborators were to terminate a collaboration agreement,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spacing w:after="0" w:line="160" w:lineRule="exact"/>
        <w:rPr>
          <w:sz w:val="20"/>
          <w:szCs w:val="20"/>
          <w:color w:val="auto"/>
        </w:rPr>
      </w:pPr>
    </w:p>
    <w:p>
      <w:pPr>
        <w:jc w:val="both"/>
        <w:ind w:left="220" w:right="26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143" w:lineRule="exact"/>
        <w:rPr>
          <w:sz w:val="20"/>
          <w:szCs w:val="20"/>
          <w:color w:val="auto"/>
        </w:rPr>
      </w:pPr>
    </w:p>
    <w:p>
      <w:pPr>
        <w:jc w:val="both"/>
        <w:ind w:right="300" w:firstLine="434"/>
        <w:spacing w:after="0" w:line="263" w:lineRule="auto"/>
        <w:rPr>
          <w:sz w:val="20"/>
          <w:szCs w:val="20"/>
          <w:color w:val="auto"/>
        </w:rPr>
      </w:pPr>
      <w:r>
        <w:rPr>
          <w:rFonts w:ascii="Arial" w:cs="Arial" w:eastAsia="Arial" w:hAnsi="Arial"/>
          <w:sz w:val="18"/>
          <w:szCs w:val="18"/>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143" w:lineRule="exact"/>
        <w:rPr>
          <w:sz w:val="20"/>
          <w:szCs w:val="20"/>
          <w:color w:val="auto"/>
        </w:rPr>
      </w:pPr>
    </w:p>
    <w:p>
      <w:pPr>
        <w:ind w:right="100" w:firstLine="434"/>
        <w:spacing w:after="0" w:line="269" w:lineRule="auto"/>
        <w:rPr>
          <w:sz w:val="20"/>
          <w:szCs w:val="20"/>
          <w:color w:val="auto"/>
        </w:rPr>
      </w:pPr>
      <w:r>
        <w:rPr>
          <w:rFonts w:ascii="Arial" w:cs="Arial" w:eastAsia="Arial" w:hAnsi="Arial"/>
          <w:sz w:val="17"/>
          <w:szCs w:val="17"/>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158" w:lineRule="exact"/>
        <w:rPr>
          <w:sz w:val="20"/>
          <w:szCs w:val="20"/>
          <w:color w:val="auto"/>
        </w:rPr>
      </w:pPr>
    </w:p>
    <w:p>
      <w:pPr>
        <w:jc w:val="both"/>
        <w:ind w:firstLine="434"/>
        <w:spacing w:after="0" w:line="263" w:lineRule="auto"/>
        <w:rPr>
          <w:sz w:val="20"/>
          <w:szCs w:val="20"/>
          <w:color w:val="auto"/>
        </w:rPr>
      </w:pPr>
      <w:r>
        <w:rPr>
          <w:rFonts w:ascii="Arial" w:cs="Arial" w:eastAsia="Arial" w:hAnsi="Arial"/>
          <w:sz w:val="18"/>
          <w:szCs w:val="18"/>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43" w:lineRule="exact"/>
        <w:rPr>
          <w:sz w:val="20"/>
          <w:szCs w:val="20"/>
          <w:color w:val="auto"/>
        </w:rPr>
      </w:pPr>
    </w:p>
    <w:p>
      <w:pPr>
        <w:ind w:right="140" w:firstLine="434"/>
        <w:spacing w:after="0" w:line="263" w:lineRule="auto"/>
        <w:rPr>
          <w:sz w:val="20"/>
          <w:szCs w:val="20"/>
          <w:color w:val="auto"/>
        </w:rPr>
      </w:pPr>
      <w:r>
        <w:rPr>
          <w:rFonts w:ascii="Arial" w:cs="Arial" w:eastAsia="Arial" w:hAnsi="Arial"/>
          <w:sz w:val="18"/>
          <w:szCs w:val="18"/>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65" w:name="page66"/>
    <w:bookmarkEnd w:id="65"/>
    <w:p>
      <w:pPr>
        <w:ind w:right="20"/>
        <w:spacing w:after="0" w:line="271" w:lineRule="auto"/>
        <w:rPr>
          <w:sz w:val="20"/>
          <w:szCs w:val="20"/>
          <w:color w:val="auto"/>
        </w:rPr>
      </w:pPr>
      <w:r>
        <w:rPr>
          <w:rFonts w:ascii="Arial" w:cs="Arial" w:eastAsia="Arial" w:hAnsi="Arial"/>
          <w:sz w:val="17"/>
          <w:szCs w:val="17"/>
          <w:color w:val="auto"/>
        </w:rPr>
        <w:t>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51" w:lineRule="exact"/>
        <w:rPr>
          <w:sz w:val="20"/>
          <w:szCs w:val="20"/>
          <w:color w:val="auto"/>
        </w:rPr>
      </w:pPr>
    </w:p>
    <w:p>
      <w:pPr>
        <w:ind w:right="180" w:firstLine="434"/>
        <w:spacing w:after="0" w:line="277" w:lineRule="auto"/>
        <w:rPr>
          <w:sz w:val="20"/>
          <w:szCs w:val="20"/>
          <w:color w:val="auto"/>
        </w:rPr>
      </w:pPr>
      <w:r>
        <w:rPr>
          <w:rFonts w:ascii="Arial" w:cs="Arial" w:eastAsia="Arial" w:hAnsi="Arial"/>
          <w:sz w:val="18"/>
          <w:szCs w:val="18"/>
          <w:color w:val="auto"/>
        </w:rPr>
        <w:t>If any of our relationships with these third-party CROs or others terminate, we may not be able to enter into arrangements with alternative CROs or other third parties or to do so on commercially reasonable terms.</w:t>
      </w:r>
    </w:p>
    <w:p>
      <w:pPr>
        <w:spacing w:after="0" w:line="130" w:lineRule="exact"/>
        <w:rPr>
          <w:sz w:val="20"/>
          <w:szCs w:val="20"/>
          <w:color w:val="auto"/>
        </w:rPr>
      </w:pPr>
    </w:p>
    <w:p>
      <w:pPr>
        <w:ind w:right="240" w:firstLine="434"/>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17"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143" w:lineRule="exact"/>
        <w:rPr>
          <w:sz w:val="20"/>
          <w:szCs w:val="20"/>
          <w:color w:val="auto"/>
        </w:rPr>
      </w:pPr>
    </w:p>
    <w:p>
      <w:pPr>
        <w:ind w:right="60" w:firstLine="434"/>
        <w:spacing w:after="0" w:line="271" w:lineRule="auto"/>
        <w:rPr>
          <w:sz w:val="20"/>
          <w:szCs w:val="20"/>
          <w:color w:val="auto"/>
        </w:rPr>
      </w:pPr>
      <w:r>
        <w:rPr>
          <w:rFonts w:ascii="Arial" w:cs="Arial" w:eastAsia="Arial" w:hAnsi="Arial"/>
          <w:sz w:val="17"/>
          <w:szCs w:val="17"/>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138" w:lineRule="exact"/>
        <w:rPr>
          <w:sz w:val="20"/>
          <w:szCs w:val="20"/>
          <w:color w:val="auto"/>
        </w:rPr>
      </w:pPr>
    </w:p>
    <w:p>
      <w:pPr>
        <w:ind w:left="220" w:right="280"/>
        <w:spacing w:after="0" w:line="277" w:lineRule="auto"/>
        <w:rPr>
          <w:sz w:val="20"/>
          <w:szCs w:val="20"/>
          <w:color w:val="auto"/>
        </w:rPr>
      </w:pPr>
      <w:r>
        <w:rPr>
          <w:rFonts w:ascii="Arial" w:cs="Arial" w:eastAsia="Arial" w:hAnsi="Arial"/>
          <w:sz w:val="18"/>
          <w:szCs w:val="18"/>
          <w:b w:val="1"/>
          <w:bCs w:val="1"/>
          <w:i w:val="1"/>
          <w:iCs w:val="1"/>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130" w:lineRule="exact"/>
        <w:rPr>
          <w:sz w:val="20"/>
          <w:szCs w:val="20"/>
          <w:color w:val="auto"/>
        </w:rPr>
      </w:pPr>
    </w:p>
    <w:p>
      <w:pPr>
        <w:ind w:right="140" w:firstLine="434"/>
        <w:spacing w:after="0" w:line="288" w:lineRule="auto"/>
        <w:rPr>
          <w:sz w:val="20"/>
          <w:szCs w:val="20"/>
          <w:color w:val="auto"/>
        </w:rPr>
      </w:pPr>
      <w:r>
        <w:rPr>
          <w:rFonts w:ascii="Arial" w:cs="Arial" w:eastAsia="Arial" w:hAnsi="Arial"/>
          <w:sz w:val="16"/>
          <w:szCs w:val="16"/>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In particular, any replacement of our manufacturer could require significant effort and expertise because there may be a limited number of qualified replacements. In addition,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equivalent foreign legislation or heightened demand on manufacturers may make it more difficult to obtain materials or manufacturing slots for the products needed for our development efforts, which could lead to delays in our clinical trials and scientific development efforts.</w:t>
      </w:r>
    </w:p>
    <w:p>
      <w:pPr>
        <w:spacing w:after="0" w:line="128" w:lineRule="exact"/>
        <w:rPr>
          <w:sz w:val="20"/>
          <w:szCs w:val="20"/>
          <w:color w:val="auto"/>
        </w:rPr>
      </w:pPr>
    </w:p>
    <w:p>
      <w:pPr>
        <w:ind w:firstLine="445"/>
        <w:spacing w:after="0" w:line="23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6" w:name="page67"/>
    <w:bookmarkEnd w:id="66"/>
    <w:p>
      <w:pPr>
        <w:ind w:right="120"/>
        <w:spacing w:after="0" w:line="235" w:lineRule="auto"/>
        <w:rPr>
          <w:sz w:val="20"/>
          <w:szCs w:val="20"/>
          <w:color w:val="auto"/>
        </w:rPr>
      </w:pPr>
      <w:r>
        <w:rPr>
          <w:rFonts w:ascii="Arial" w:cs="Arial" w:eastAsia="Arial" w:hAnsi="Arial"/>
          <w:sz w:val="18"/>
          <w:szCs w:val="18"/>
          <w:color w:val="auto"/>
        </w:rPr>
        <w:t>standards and with all applicable regulations and guidelines. The delays associated with the verification of a new manufacturer could negatively affect our ability to develop product candidates in a timely manner or within budget.</w:t>
      </w:r>
    </w:p>
    <w:p>
      <w:pPr>
        <w:spacing w:after="0" w:line="135" w:lineRule="exact"/>
        <w:rPr>
          <w:sz w:val="20"/>
          <w:szCs w:val="20"/>
          <w:color w:val="auto"/>
        </w:rPr>
      </w:pPr>
    </w:p>
    <w:p>
      <w:pPr>
        <w:ind w:right="180" w:firstLine="445"/>
        <w:spacing w:after="0" w:line="226" w:lineRule="auto"/>
        <w:rPr>
          <w:sz w:val="20"/>
          <w:szCs w:val="20"/>
          <w:color w:val="auto"/>
        </w:rPr>
      </w:pPr>
      <w:r>
        <w:rPr>
          <w:rFonts w:ascii="Arial" w:cs="Arial" w:eastAsia="Arial" w:hAnsi="Arial"/>
          <w:sz w:val="17"/>
          <w:szCs w:val="17"/>
          <w:color w:val="auto"/>
        </w:rPr>
        <w:t>We expect to continue to rely on third-party manufacturers if we receive regulatory approval for PLN-74809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and comply with cGMP could adversely affect our business in a number of ways, including:</w:t>
      </w:r>
    </w:p>
    <w:p>
      <w:pPr>
        <w:spacing w:after="0" w:line="138" w:lineRule="exact"/>
        <w:rPr>
          <w:sz w:val="20"/>
          <w:szCs w:val="20"/>
          <w:color w:val="auto"/>
        </w:rPr>
      </w:pPr>
    </w:p>
    <w:p>
      <w:pPr>
        <w:ind w:left="860" w:hanging="418"/>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the cooperation of an existing or future collaborator;</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57" w:lineRule="exact"/>
        <w:rPr>
          <w:rFonts w:ascii="Arial" w:cs="Arial" w:eastAsia="Arial" w:hAnsi="Arial"/>
          <w:sz w:val="18"/>
          <w:szCs w:val="18"/>
          <w:color w:val="auto"/>
        </w:rPr>
      </w:pPr>
    </w:p>
    <w:p>
      <w:pPr>
        <w:ind w:left="860" w:hanging="418"/>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57" w:lineRule="exact"/>
        <w:rPr>
          <w:rFonts w:ascii="Arial" w:cs="Arial" w:eastAsia="Arial" w:hAnsi="Arial"/>
          <w:sz w:val="18"/>
          <w:szCs w:val="18"/>
          <w:color w:val="auto"/>
        </w:rPr>
      </w:pPr>
    </w:p>
    <w:p>
      <w:pPr>
        <w:ind w:left="860" w:hanging="418"/>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169" w:lineRule="exact"/>
        <w:rPr>
          <w:sz w:val="20"/>
          <w:szCs w:val="20"/>
          <w:color w:val="auto"/>
        </w:rPr>
      </w:pPr>
    </w:p>
    <w:p>
      <w:pPr>
        <w:ind w:firstLine="434"/>
        <w:spacing w:after="0" w:line="214" w:lineRule="auto"/>
        <w:rPr>
          <w:sz w:val="20"/>
          <w:szCs w:val="20"/>
          <w:color w:val="auto"/>
        </w:rPr>
      </w:pPr>
      <w:r>
        <w:rPr>
          <w:rFonts w:ascii="Arial" w:cs="Arial" w:eastAsia="Arial" w:hAnsi="Arial"/>
          <w:sz w:val="18"/>
          <w:szCs w:val="18"/>
          <w:color w:val="auto"/>
        </w:rPr>
        <w:t>We rely on a sole supplier for the manufacture of PLN-74809.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135" w:lineRule="exact"/>
        <w:rPr>
          <w:sz w:val="20"/>
          <w:szCs w:val="20"/>
          <w:color w:val="auto"/>
        </w:rPr>
      </w:pPr>
    </w:p>
    <w:p>
      <w:pPr>
        <w:ind w:firstLine="434"/>
        <w:spacing w:after="0" w:line="225" w:lineRule="auto"/>
        <w:rPr>
          <w:sz w:val="20"/>
          <w:szCs w:val="20"/>
          <w:color w:val="auto"/>
        </w:rPr>
      </w:pPr>
      <w:r>
        <w:rPr>
          <w:rFonts w:ascii="Arial" w:cs="Arial" w:eastAsia="Arial" w:hAnsi="Arial"/>
          <w:sz w:val="17"/>
          <w:szCs w:val="17"/>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135"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Our existing collaborations and future collaborations are and will be important to our business. If we are unable to enter into new collaborations, or if these collaborations are not successful, our business could be adversely affected.</w:t>
      </w:r>
    </w:p>
    <w:p>
      <w:pPr>
        <w:spacing w:after="0" w:line="143" w:lineRule="exact"/>
        <w:rPr>
          <w:sz w:val="20"/>
          <w:szCs w:val="20"/>
          <w:color w:val="auto"/>
        </w:rPr>
      </w:pPr>
    </w:p>
    <w:p>
      <w:pPr>
        <w:ind w:right="40" w:firstLine="434"/>
        <w:spacing w:after="0" w:line="259" w:lineRule="auto"/>
        <w:rPr>
          <w:sz w:val="20"/>
          <w:szCs w:val="20"/>
          <w:color w:val="auto"/>
        </w:rPr>
      </w:pPr>
      <w:r>
        <w:rPr>
          <w:rFonts w:ascii="Arial" w:cs="Arial" w:eastAsia="Arial" w:hAnsi="Arial"/>
          <w:sz w:val="18"/>
          <w:szCs w:val="18"/>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and may in the future enter into collaborations with other companies to provide us with important technologies and funding for our programs and technology.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existing collaborations and any future collaborations we enter into may pose a number of risks, including the following:</w:t>
      </w:r>
    </w:p>
    <w:p>
      <w:pPr>
        <w:spacing w:after="0" w:line="185" w:lineRule="exact"/>
        <w:rPr>
          <w:sz w:val="20"/>
          <w:szCs w:val="20"/>
          <w:color w:val="auto"/>
        </w:rPr>
      </w:pPr>
    </w:p>
    <w:p>
      <w:pPr>
        <w:ind w:left="860" w:hanging="418"/>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ind w:left="880" w:right="120" w:hanging="438"/>
        <w:spacing w:after="0" w:line="259" w:lineRule="auto"/>
        <w:tabs>
          <w:tab w:leader="none" w:pos="8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7" w:name="page68"/>
    <w:bookmarkEnd w:id="67"/>
    <w:p>
      <w:pPr>
        <w:ind w:left="880" w:right="620" w:hanging="438"/>
        <w:spacing w:after="0" w:line="308" w:lineRule="auto"/>
        <w:tabs>
          <w:tab w:leader="none" w:pos="8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19" w:lineRule="exact"/>
        <w:rPr>
          <w:rFonts w:ascii="Arial" w:cs="Arial" w:eastAsia="Arial" w:hAnsi="Arial"/>
          <w:sz w:val="17"/>
          <w:szCs w:val="17"/>
          <w:color w:val="auto"/>
        </w:rPr>
      </w:pPr>
    </w:p>
    <w:p>
      <w:pPr>
        <w:ind w:left="880" w:right="360" w:hanging="438"/>
        <w:spacing w:after="0" w:line="263" w:lineRule="auto"/>
        <w:tabs>
          <w:tab w:leader="none" w:pos="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43" w:lineRule="exact"/>
        <w:rPr>
          <w:rFonts w:ascii="Arial" w:cs="Arial" w:eastAsia="Arial" w:hAnsi="Arial"/>
          <w:sz w:val="18"/>
          <w:szCs w:val="18"/>
          <w:color w:val="auto"/>
        </w:rPr>
      </w:pPr>
    </w:p>
    <w:p>
      <w:pPr>
        <w:ind w:left="880" w:right="40" w:hanging="438"/>
        <w:spacing w:after="0" w:line="308" w:lineRule="auto"/>
        <w:tabs>
          <w:tab w:leader="none" w:pos="8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05" w:lineRule="exact"/>
        <w:rPr>
          <w:rFonts w:ascii="Arial" w:cs="Arial" w:eastAsia="Arial" w:hAnsi="Arial"/>
          <w:sz w:val="17"/>
          <w:szCs w:val="17"/>
          <w:color w:val="auto"/>
        </w:rPr>
      </w:pPr>
    </w:p>
    <w:p>
      <w:pPr>
        <w:ind w:left="880" w:right="60" w:hanging="438"/>
        <w:spacing w:after="0" w:line="277" w:lineRule="auto"/>
        <w:tabs>
          <w:tab w:leader="none" w:pos="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143" w:lineRule="exact"/>
        <w:rPr>
          <w:rFonts w:ascii="Arial" w:cs="Arial" w:eastAsia="Arial" w:hAnsi="Arial"/>
          <w:sz w:val="18"/>
          <w:szCs w:val="18"/>
          <w:color w:val="auto"/>
        </w:rPr>
      </w:pPr>
    </w:p>
    <w:p>
      <w:pPr>
        <w:ind w:left="880" w:right="80" w:hanging="438"/>
        <w:spacing w:after="0" w:line="277" w:lineRule="auto"/>
        <w:tabs>
          <w:tab w:leader="none" w:pos="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129" w:lineRule="exact"/>
        <w:rPr>
          <w:rFonts w:ascii="Arial" w:cs="Arial" w:eastAsia="Arial" w:hAnsi="Arial"/>
          <w:sz w:val="18"/>
          <w:szCs w:val="18"/>
          <w:color w:val="auto"/>
        </w:rPr>
      </w:pPr>
    </w:p>
    <w:p>
      <w:pPr>
        <w:ind w:left="880" w:right="260" w:hanging="438"/>
        <w:spacing w:after="0" w:line="263" w:lineRule="auto"/>
        <w:tabs>
          <w:tab w:leader="none" w:pos="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143" w:lineRule="exact"/>
        <w:rPr>
          <w:rFonts w:ascii="Arial" w:cs="Arial" w:eastAsia="Arial" w:hAnsi="Arial"/>
          <w:sz w:val="18"/>
          <w:szCs w:val="18"/>
          <w:color w:val="auto"/>
        </w:rPr>
      </w:pPr>
    </w:p>
    <w:p>
      <w:pPr>
        <w:ind w:left="880" w:right="360" w:hanging="438"/>
        <w:spacing w:after="0" w:line="259" w:lineRule="auto"/>
        <w:tabs>
          <w:tab w:leader="none" w:pos="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59" w:lineRule="exact"/>
        <w:rPr>
          <w:rFonts w:ascii="Arial" w:cs="Arial" w:eastAsia="Arial" w:hAnsi="Arial"/>
          <w:sz w:val="18"/>
          <w:szCs w:val="18"/>
          <w:color w:val="auto"/>
        </w:rPr>
      </w:pPr>
    </w:p>
    <w:p>
      <w:pPr>
        <w:ind w:left="880" w:right="240" w:hanging="438"/>
        <w:spacing w:after="0" w:line="342" w:lineRule="auto"/>
        <w:tabs>
          <w:tab w:leader="none" w:pos="8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3" w:lineRule="exact"/>
        <w:rPr>
          <w:rFonts w:ascii="Arial" w:cs="Arial" w:eastAsia="Arial" w:hAnsi="Arial"/>
          <w:sz w:val="16"/>
          <w:szCs w:val="16"/>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84" w:lineRule="exact"/>
        <w:rPr>
          <w:rFonts w:ascii="Arial" w:cs="Arial" w:eastAsia="Arial" w:hAnsi="Arial"/>
          <w:sz w:val="18"/>
          <w:szCs w:val="18"/>
          <w:color w:val="auto"/>
        </w:rPr>
      </w:pPr>
    </w:p>
    <w:p>
      <w:pPr>
        <w:ind w:left="880" w:right="900" w:hanging="438"/>
        <w:spacing w:after="0" w:line="277" w:lineRule="auto"/>
        <w:tabs>
          <w:tab w:leader="none" w:pos="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143" w:lineRule="exact"/>
        <w:rPr>
          <w:rFonts w:ascii="Arial" w:cs="Arial" w:eastAsia="Arial" w:hAnsi="Arial"/>
          <w:sz w:val="18"/>
          <w:szCs w:val="18"/>
          <w:color w:val="auto"/>
        </w:rPr>
      </w:pPr>
    </w:p>
    <w:p>
      <w:pPr>
        <w:ind w:left="880" w:right="500" w:hanging="438"/>
        <w:spacing w:after="0" w:line="277" w:lineRule="auto"/>
        <w:tabs>
          <w:tab w:leader="none" w:pos="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30" w:lineRule="exact"/>
        <w:rPr>
          <w:sz w:val="20"/>
          <w:szCs w:val="20"/>
          <w:color w:val="auto"/>
        </w:rPr>
      </w:pPr>
    </w:p>
    <w:p>
      <w:pPr>
        <w:ind w:right="100" w:firstLine="434"/>
        <w:spacing w:after="0" w:line="259" w:lineRule="auto"/>
        <w:rPr>
          <w:sz w:val="20"/>
          <w:szCs w:val="20"/>
          <w:color w:val="auto"/>
        </w:rPr>
      </w:pPr>
      <w:r>
        <w:rPr>
          <w:rFonts w:ascii="Arial" w:cs="Arial" w:eastAsia="Arial" w:hAnsi="Arial"/>
          <w:sz w:val="18"/>
          <w:szCs w:val="18"/>
          <w:color w:val="auto"/>
        </w:rPr>
        <w:t>If our existing collaborations and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146" w:lineRule="exact"/>
        <w:rPr>
          <w:sz w:val="20"/>
          <w:szCs w:val="20"/>
          <w:color w:val="auto"/>
        </w:rPr>
      </w:pPr>
    </w:p>
    <w:p>
      <w:pPr>
        <w:ind w:right="100" w:firstLine="434"/>
        <w:spacing w:after="0" w:line="277" w:lineRule="auto"/>
        <w:rPr>
          <w:sz w:val="20"/>
          <w:szCs w:val="20"/>
          <w:color w:val="auto"/>
        </w:rPr>
      </w:pPr>
      <w:r>
        <w:rPr>
          <w:rFonts w:ascii="Arial" w:cs="Arial" w:eastAsia="Arial" w:hAnsi="Arial"/>
          <w:sz w:val="18"/>
          <w:szCs w:val="18"/>
          <w:color w:val="auto"/>
        </w:rPr>
        <w:t>Additionally, if one of our existing or future collaborators terminates its agreement with us, we may find it more difficult to attract new collaborators and our perception in the business and financial communities could be adversely affected.</w:t>
      </w:r>
    </w:p>
    <w:p>
      <w:pPr>
        <w:spacing w:after="0" w:line="143" w:lineRule="exact"/>
        <w:rPr>
          <w:sz w:val="20"/>
          <w:szCs w:val="20"/>
          <w:color w:val="auto"/>
        </w:rPr>
      </w:pPr>
    </w:p>
    <w:p>
      <w:pPr>
        <w:ind w:firstLine="434"/>
        <w:spacing w:after="0" w:line="270" w:lineRule="auto"/>
        <w:rPr>
          <w:sz w:val="20"/>
          <w:szCs w:val="20"/>
          <w:color w:val="auto"/>
        </w:rPr>
      </w:pPr>
      <w:r>
        <w:rPr>
          <w:rFonts w:ascii="Arial" w:cs="Arial" w:eastAsia="Arial" w:hAnsi="Arial"/>
          <w:sz w:val="17"/>
          <w:szCs w:val="17"/>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8" w:name="page69"/>
    <w:bookmarkEnd w:id="68"/>
    <w:p>
      <w:pPr>
        <w:ind w:right="40"/>
        <w:spacing w:after="0" w:line="288" w:lineRule="auto"/>
        <w:rPr>
          <w:sz w:val="20"/>
          <w:szCs w:val="20"/>
          <w:color w:val="auto"/>
        </w:rPr>
      </w:pPr>
      <w:r>
        <w:rPr>
          <w:rFonts w:ascii="Arial" w:cs="Arial" w:eastAsia="Arial" w:hAnsi="Arial"/>
          <w:sz w:val="16"/>
          <w:szCs w:val="16"/>
          <w:color w:val="auto"/>
        </w:rPr>
        <w:t>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141"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Our collaborators, prospective collaborators, and suppliers may need assurances that our financial resources and stability on a stand-alone basis are sufficient to satisfy their requirements for doing or continuing to do business with us.</w:t>
      </w:r>
    </w:p>
    <w:p>
      <w:pPr>
        <w:spacing w:after="0" w:line="13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Some of our collaborators, prospective collaborators, and suppliers may need assurances that our financial resources and stability on a stand-alone basis are sufficient to satisfy their requirements for doing or continuing to do business with us. If our collaborators, prospective collaborators or suppliers are not satisfied with our financial resources and stability, it could have a material adverse effect on our ability to develop our drug candidates, enter into licenses or other agreements and on our business, financial condition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Business and Operations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The outbreak of the novel coronavirus disease, COVID-19, could adversely impact our business, including our preclinical studies and clinical trials.</w:t>
      </w:r>
    </w:p>
    <w:p>
      <w:pPr>
        <w:spacing w:after="0" w:line="219"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In December 2019, a novel strain of the coronavirus disease, COVID-19, was identified in Wuhan, China. This virus continues to spread globally and has spread to a number of countries globally,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pandemic, we have experienced disruptions and may continue to experience disruptions that could severely impact our business, preclinical studies and clinical trials, including:</w:t>
      </w:r>
    </w:p>
    <w:p>
      <w:pPr>
        <w:spacing w:after="0" w:line="125" w:lineRule="exact"/>
        <w:rPr>
          <w:sz w:val="20"/>
          <w:szCs w:val="20"/>
          <w:color w:val="auto"/>
        </w:rPr>
      </w:pPr>
    </w:p>
    <w:p>
      <w:pPr>
        <w:ind w:left="880" w:right="60" w:hanging="438"/>
        <w:spacing w:after="0" w:line="275" w:lineRule="auto"/>
        <w:tabs>
          <w:tab w:leader="none" w:pos="8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delays or difficulties in commencing enrollment of patients in our clinical trials, including our Phase 2a clinical trials of PLN-74809 in IPF and PSC and our Phase 1 clinical trial of PLN-1474. With respect to the Phase 2a trials of PLN-74809 in IPF and PSC, following delays in site initiation due to the impacts of COVID-19, both trials have resumed active enrollment of patients. With respect to the Phase 1 trial of PLN-1474, the Phase 1 trial site experienced delays due to its location in an area heavily impacted by COVID-19; however, the trial site reopened and completed dosing the remaining cohorts, and the trial was subsequently completed;</w:t>
      </w:r>
    </w:p>
    <w:p>
      <w:pPr>
        <w:spacing w:after="0" w:line="149" w:lineRule="exact"/>
        <w:rPr>
          <w:rFonts w:ascii="Arial" w:cs="Arial" w:eastAsia="Arial" w:hAnsi="Arial"/>
          <w:sz w:val="17"/>
          <w:szCs w:val="17"/>
          <w:color w:val="auto"/>
        </w:rPr>
      </w:pPr>
    </w:p>
    <w:p>
      <w:pPr>
        <w:ind w:left="880" w:right="640" w:hanging="438"/>
        <w:spacing w:after="0" w:line="277"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from potential delays, including potential difficulties in clinical site initiation, including difficulties in recruiting clinical site investigators and clinical site staff;</w:t>
      </w:r>
    </w:p>
    <w:p>
      <w:pPr>
        <w:spacing w:after="0" w:line="129" w:lineRule="exact"/>
        <w:rPr>
          <w:rFonts w:ascii="Arial" w:cs="Arial" w:eastAsia="Arial" w:hAnsi="Arial"/>
          <w:sz w:val="18"/>
          <w:szCs w:val="18"/>
          <w:color w:val="auto"/>
        </w:rPr>
      </w:pPr>
    </w:p>
    <w:p>
      <w:pPr>
        <w:ind w:left="880" w:right="160" w:hanging="438"/>
        <w:spacing w:after="0" w:line="277"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29" w:lineRule="exact"/>
        <w:rPr>
          <w:rFonts w:ascii="Arial" w:cs="Arial" w:eastAsia="Arial" w:hAnsi="Arial"/>
          <w:sz w:val="18"/>
          <w:szCs w:val="18"/>
          <w:color w:val="auto"/>
        </w:rPr>
      </w:pPr>
    </w:p>
    <w:p>
      <w:pPr>
        <w:ind w:left="880" w:right="240" w:hanging="438"/>
        <w:spacing w:after="0" w:line="263"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156"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84" w:lineRule="exact"/>
        <w:rPr>
          <w:rFonts w:ascii="Arial" w:cs="Arial" w:eastAsia="Arial" w:hAnsi="Arial"/>
          <w:sz w:val="18"/>
          <w:szCs w:val="18"/>
          <w:color w:val="auto"/>
        </w:rPr>
      </w:pPr>
    </w:p>
    <w:p>
      <w:pPr>
        <w:ind w:left="880" w:right="640" w:hanging="438"/>
        <w:spacing w:after="0" w:line="277"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9" w:name="page70"/>
    <w:bookmarkEnd w:id="69"/>
    <w:p>
      <w:pPr>
        <w:ind w:left="860" w:hanging="418"/>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98" w:lineRule="exact"/>
        <w:rPr>
          <w:rFonts w:ascii="Arial" w:cs="Arial" w:eastAsia="Arial" w:hAnsi="Arial"/>
          <w:sz w:val="18"/>
          <w:szCs w:val="18"/>
          <w:color w:val="auto"/>
        </w:rPr>
      </w:pPr>
    </w:p>
    <w:p>
      <w:pPr>
        <w:ind w:left="880" w:right="520" w:hanging="438"/>
        <w:spacing w:after="0" w:line="342" w:lineRule="auto"/>
        <w:tabs>
          <w:tab w:leader="none" w:pos="8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83" w:lineRule="exact"/>
        <w:rPr>
          <w:rFonts w:ascii="Arial" w:cs="Arial" w:eastAsia="Arial" w:hAnsi="Arial"/>
          <w:sz w:val="16"/>
          <w:szCs w:val="16"/>
          <w:color w:val="auto"/>
        </w:rPr>
      </w:pPr>
    </w:p>
    <w:p>
      <w:pPr>
        <w:ind w:left="860" w:hanging="418"/>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85" w:lineRule="exact"/>
        <w:rPr>
          <w:sz w:val="20"/>
          <w:szCs w:val="20"/>
          <w:color w:val="auto"/>
        </w:rPr>
      </w:pPr>
    </w:p>
    <w:p>
      <w:pPr>
        <w:ind w:firstLine="434"/>
        <w:spacing w:after="0" w:line="257" w:lineRule="auto"/>
        <w:rPr>
          <w:sz w:val="20"/>
          <w:szCs w:val="20"/>
          <w:color w:val="auto"/>
        </w:rPr>
      </w:pPr>
      <w:r>
        <w:rPr>
          <w:rFonts w:ascii="Arial" w:cs="Arial" w:eastAsia="Arial" w:hAnsi="Arial"/>
          <w:sz w:val="18"/>
          <w:szCs w:val="18"/>
          <w:color w:val="auto"/>
        </w:rPr>
        <w:t>The COVID-19 pandemic continues to rapidly evolve and new variants of the virus continue to emerge.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85" w:lineRule="exact"/>
        <w:rPr>
          <w:sz w:val="20"/>
          <w:szCs w:val="20"/>
          <w:color w:val="auto"/>
        </w:rPr>
      </w:pPr>
    </w:p>
    <w:p>
      <w:pPr>
        <w:ind w:right="140" w:firstLine="434"/>
        <w:spacing w:after="0" w:line="257" w:lineRule="auto"/>
        <w:rPr>
          <w:sz w:val="20"/>
          <w:szCs w:val="20"/>
          <w:color w:val="auto"/>
        </w:rPr>
      </w:pPr>
      <w:r>
        <w:rPr>
          <w:rFonts w:ascii="Arial" w:cs="Arial" w:eastAsia="Arial" w:hAnsi="Arial"/>
          <w:sz w:val="18"/>
          <w:szCs w:val="18"/>
          <w:color w:val="auto"/>
        </w:rPr>
        <w:t>As of September 30, 2021, we had 90 full-time employees. As our clinical development and commercialization plans and strategies develop, and as we transition into operating as a public company,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147" w:lineRule="exact"/>
        <w:rPr>
          <w:sz w:val="20"/>
          <w:szCs w:val="20"/>
          <w:color w:val="auto"/>
        </w:rPr>
      </w:pPr>
    </w:p>
    <w:p>
      <w:pPr>
        <w:ind w:left="860" w:hanging="418"/>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98" w:lineRule="exact"/>
        <w:rPr>
          <w:rFonts w:ascii="Arial" w:cs="Arial" w:eastAsia="Arial" w:hAnsi="Arial"/>
          <w:sz w:val="18"/>
          <w:szCs w:val="18"/>
          <w:color w:val="auto"/>
        </w:rPr>
      </w:pPr>
    </w:p>
    <w:p>
      <w:pPr>
        <w:ind w:left="880" w:right="180" w:hanging="438"/>
        <w:spacing w:after="0" w:line="308" w:lineRule="auto"/>
        <w:tabs>
          <w:tab w:leader="none" w:pos="875"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managing our development and commercialization efforts effectively, including the clinical and FDA review process for PLN-74809 and any other product candidates, while complying with our contractual obligations to contractors and other third parties; and</w:t>
      </w:r>
    </w:p>
    <w:p>
      <w:pPr>
        <w:spacing w:after="0" w:line="105" w:lineRule="exact"/>
        <w:rPr>
          <w:rFonts w:ascii="Arial" w:cs="Arial" w:eastAsia="Arial" w:hAnsi="Arial"/>
          <w:sz w:val="17"/>
          <w:szCs w:val="17"/>
          <w:color w:val="auto"/>
        </w:rPr>
      </w:pPr>
    </w:p>
    <w:p>
      <w:pPr>
        <w:ind w:left="860" w:hanging="418"/>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85" w:lineRule="exact"/>
        <w:rPr>
          <w:sz w:val="20"/>
          <w:szCs w:val="20"/>
          <w:color w:val="auto"/>
        </w:rPr>
      </w:pPr>
    </w:p>
    <w:p>
      <w:pPr>
        <w:ind w:right="60" w:firstLine="434"/>
        <w:spacing w:after="0" w:line="263" w:lineRule="auto"/>
        <w:rPr>
          <w:sz w:val="20"/>
          <w:szCs w:val="20"/>
          <w:color w:val="auto"/>
        </w:rPr>
      </w:pPr>
      <w:r>
        <w:rPr>
          <w:rFonts w:ascii="Arial" w:cs="Arial" w:eastAsia="Arial" w:hAnsi="Arial"/>
          <w:sz w:val="18"/>
          <w:szCs w:val="18"/>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57" w:lineRule="exact"/>
        <w:rPr>
          <w:sz w:val="20"/>
          <w:szCs w:val="20"/>
          <w:color w:val="auto"/>
        </w:rPr>
      </w:pPr>
    </w:p>
    <w:p>
      <w:pPr>
        <w:ind w:right="40" w:firstLine="434"/>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51" w:lineRule="exact"/>
        <w:rPr>
          <w:sz w:val="20"/>
          <w:szCs w:val="20"/>
          <w:color w:val="auto"/>
        </w:rPr>
      </w:pPr>
    </w:p>
    <w:p>
      <w:pPr>
        <w:ind w:right="100" w:firstLine="434"/>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PLN-74809 or any other product candidates and, accordingly, may not achieve our research, development and commercialization goals.</w:t>
      </w:r>
    </w:p>
    <w:p>
      <w:pPr>
        <w:spacing w:after="0" w:line="143" w:lineRule="exact"/>
        <w:rPr>
          <w:sz w:val="20"/>
          <w:szCs w:val="20"/>
          <w:color w:val="auto"/>
        </w:rPr>
      </w:pPr>
    </w:p>
    <w:p>
      <w:pPr>
        <w:ind w:right="140" w:firstLine="434"/>
        <w:spacing w:after="0" w:line="259"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160" w:lineRule="exact"/>
        <w:rPr>
          <w:sz w:val="20"/>
          <w:szCs w:val="20"/>
          <w:color w:val="auto"/>
        </w:rPr>
      </w:pPr>
    </w:p>
    <w:p>
      <w:pPr>
        <w:ind w:left="220" w:right="40"/>
        <w:spacing w:after="0" w:line="381" w:lineRule="auto"/>
        <w:rPr>
          <w:sz w:val="20"/>
          <w:szCs w:val="20"/>
          <w:color w:val="auto"/>
        </w:rPr>
      </w:pPr>
      <w:r>
        <w:rPr>
          <w:rFonts w:ascii="Arial" w:cs="Arial" w:eastAsia="Arial" w:hAnsi="Arial"/>
          <w:sz w:val="15"/>
          <w:szCs w:val="15"/>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60" w:lineRule="exact"/>
        <w:rPr>
          <w:sz w:val="20"/>
          <w:szCs w:val="20"/>
          <w:color w:val="auto"/>
        </w:rPr>
      </w:pPr>
    </w:p>
    <w:p>
      <w:pPr>
        <w:ind w:right="40" w:firstLine="434"/>
        <w:spacing w:after="0" w:line="277" w:lineRule="auto"/>
        <w:rPr>
          <w:sz w:val="20"/>
          <w:szCs w:val="20"/>
          <w:color w:val="auto"/>
        </w:rPr>
      </w:pPr>
      <w:r>
        <w:rPr>
          <w:rFonts w:ascii="Arial" w:cs="Arial" w:eastAsia="Arial" w:hAnsi="Arial"/>
          <w:sz w:val="18"/>
          <w:szCs w:val="18"/>
          <w:color w:val="auto"/>
        </w:rPr>
        <w:t>Our ability to compete in the highly competitive biotechnology and biopharmaceutical industries depends upon our ability to attract and retain highly qualified managerial, scientific, and medical personnel. We are highly dependent on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0" w:name="page71"/>
    <w:bookmarkEnd w:id="70"/>
    <w:p>
      <w:pPr>
        <w:ind w:right="60"/>
        <w:spacing w:after="0" w:line="259" w:lineRule="auto"/>
        <w:rPr>
          <w:sz w:val="20"/>
          <w:szCs w:val="20"/>
          <w:color w:val="auto"/>
        </w:rPr>
      </w:pPr>
      <w:r>
        <w:rPr>
          <w:rFonts w:ascii="Arial" w:cs="Arial" w:eastAsia="Arial" w:hAnsi="Arial"/>
          <w:sz w:val="18"/>
          <w:szCs w:val="18"/>
          <w:color w:val="auto"/>
        </w:rPr>
        <w:t>management, scientific and medical personnel, including Bernard Coulie, M.D., Ph.D., our President and Chief Executive Officer, Keith Cummings, M.D., our Chief Financial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160" w:lineRule="exact"/>
        <w:rPr>
          <w:sz w:val="20"/>
          <w:szCs w:val="20"/>
          <w:color w:val="auto"/>
        </w:rPr>
      </w:pPr>
    </w:p>
    <w:p>
      <w:pPr>
        <w:ind w:firstLine="434"/>
        <w:spacing w:after="0" w:line="263" w:lineRule="auto"/>
        <w:rPr>
          <w:sz w:val="20"/>
          <w:szCs w:val="20"/>
          <w:color w:val="auto"/>
        </w:rPr>
      </w:pPr>
      <w:r>
        <w:rPr>
          <w:rFonts w:ascii="Arial" w:cs="Arial" w:eastAsia="Arial" w:hAnsi="Arial"/>
          <w:sz w:val="18"/>
          <w:szCs w:val="18"/>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143" w:lineRule="exact"/>
        <w:rPr>
          <w:sz w:val="20"/>
          <w:szCs w:val="20"/>
          <w:color w:val="auto"/>
        </w:rPr>
      </w:pPr>
    </w:p>
    <w:p>
      <w:pPr>
        <w:ind w:right="40" w:firstLine="434"/>
        <w:spacing w:after="0" w:line="272"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137"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157" w:lineRule="exact"/>
        <w:rPr>
          <w:sz w:val="20"/>
          <w:szCs w:val="20"/>
          <w:color w:val="auto"/>
        </w:rPr>
      </w:pPr>
    </w:p>
    <w:p>
      <w:pPr>
        <w:ind w:right="40" w:firstLine="434"/>
        <w:spacing w:after="0" w:line="269" w:lineRule="auto"/>
        <w:rPr>
          <w:sz w:val="20"/>
          <w:szCs w:val="20"/>
          <w:color w:val="auto"/>
        </w:rPr>
      </w:pPr>
      <w:r>
        <w:rPr>
          <w:rFonts w:ascii="Arial" w:cs="Arial" w:eastAsia="Arial" w:hAnsi="Arial"/>
          <w:sz w:val="17"/>
          <w:szCs w:val="17"/>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145" w:lineRule="exact"/>
        <w:rPr>
          <w:sz w:val="20"/>
          <w:szCs w:val="20"/>
          <w:color w:val="auto"/>
        </w:rPr>
      </w:pPr>
    </w:p>
    <w:p>
      <w:pPr>
        <w:ind w:firstLine="434"/>
        <w:spacing w:after="0" w:line="293"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1" w:name="page72"/>
    <w:bookmarkEnd w:id="71"/>
    <w:p>
      <w:pPr>
        <w:ind w:left="220" w:right="6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143" w:lineRule="exact"/>
        <w:rPr>
          <w:sz w:val="20"/>
          <w:szCs w:val="20"/>
          <w:color w:val="auto"/>
        </w:rPr>
      </w:pPr>
    </w:p>
    <w:p>
      <w:pPr>
        <w:ind w:firstLine="434"/>
        <w:spacing w:after="0" w:line="268" w:lineRule="auto"/>
        <w:rPr>
          <w:sz w:val="20"/>
          <w:szCs w:val="20"/>
          <w:color w:val="auto"/>
        </w:rPr>
      </w:pPr>
      <w:r>
        <w:rPr>
          <w:rFonts w:ascii="Arial" w:cs="Arial" w:eastAsia="Arial" w:hAnsi="Arial"/>
          <w:sz w:val="17"/>
          <w:szCs w:val="17"/>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85" w:lineRule="exact"/>
        <w:rPr>
          <w:sz w:val="20"/>
          <w:szCs w:val="20"/>
          <w:color w:val="auto"/>
        </w:rPr>
      </w:pPr>
    </w:p>
    <w:p>
      <w:pPr>
        <w:ind w:right="80" w:firstLine="434"/>
        <w:spacing w:after="0" w:line="271" w:lineRule="auto"/>
        <w:rPr>
          <w:sz w:val="20"/>
          <w:szCs w:val="20"/>
          <w:color w:val="auto"/>
        </w:rPr>
      </w:pPr>
      <w:r>
        <w:rPr>
          <w:rFonts w:ascii="Arial" w:cs="Arial" w:eastAsia="Arial" w:hAnsi="Arial"/>
          <w:sz w:val="17"/>
          <w:szCs w:val="17"/>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51" w:lineRule="exact"/>
        <w:rPr>
          <w:sz w:val="20"/>
          <w:szCs w:val="20"/>
          <w:color w:val="auto"/>
        </w:rPr>
      </w:pPr>
    </w:p>
    <w:p>
      <w:pPr>
        <w:ind w:left="2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0" w:lineRule="exact"/>
        <w:rPr>
          <w:sz w:val="20"/>
          <w:szCs w:val="20"/>
          <w:color w:val="auto"/>
        </w:rPr>
      </w:pPr>
    </w:p>
    <w:p>
      <w:pPr>
        <w:ind w:right="20" w:firstLine="434"/>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44" w:lineRule="exact"/>
        <w:rPr>
          <w:sz w:val="20"/>
          <w:szCs w:val="20"/>
          <w:color w:val="auto"/>
        </w:rPr>
      </w:pPr>
    </w:p>
    <w:p>
      <w:pPr>
        <w:jc w:val="both"/>
        <w:ind w:right="40" w:firstLine="434"/>
        <w:spacing w:after="0" w:line="26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2" w:name="page73"/>
    <w:bookmarkEnd w:id="72"/>
    <w:p>
      <w:pPr>
        <w:ind w:right="40"/>
        <w:spacing w:after="0" w:line="277" w:lineRule="auto"/>
        <w:rPr>
          <w:sz w:val="20"/>
          <w:szCs w:val="20"/>
          <w:color w:val="auto"/>
        </w:rPr>
      </w:pPr>
      <w:r>
        <w:rPr>
          <w:rFonts w:ascii="Arial" w:cs="Arial" w:eastAsia="Arial" w:hAnsi="Arial"/>
          <w:sz w:val="18"/>
          <w:szCs w:val="18"/>
          <w:color w:val="auto"/>
        </w:rPr>
        <w:t>coverage, workers’ compensation or property and casualty and general liability insurance policies that include coverage for damages and fines arising from biological or hazardous waste exposure or contamination.</w:t>
      </w:r>
    </w:p>
    <w:p>
      <w:pPr>
        <w:spacing w:after="0" w:line="143"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130" w:lineRule="exact"/>
        <w:rPr>
          <w:sz w:val="20"/>
          <w:szCs w:val="20"/>
          <w:color w:val="auto"/>
        </w:rPr>
      </w:pPr>
    </w:p>
    <w:p>
      <w:pPr>
        <w:ind w:firstLine="434"/>
        <w:spacing w:after="0" w:line="272" w:lineRule="auto"/>
        <w:rPr>
          <w:sz w:val="20"/>
          <w:szCs w:val="20"/>
          <w:color w:val="auto"/>
        </w:rPr>
      </w:pPr>
      <w:r>
        <w:rPr>
          <w:rFonts w:ascii="Arial" w:cs="Arial" w:eastAsia="Arial" w:hAnsi="Arial"/>
          <w:sz w:val="17"/>
          <w:szCs w:val="17"/>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98"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As of December 31, 2020, we had net operating loss carryforwards for U.S. federal and state income tax purposes of $96.5 million and $97.3 million, respectively, some of which will begin to expire in 2035. As of December 31, 2020, we also had available tax credit carryforwards for U.S. federal income tax purposes of $7.5 million, which begin to expire in 2036, and state income tax purposes of $2.5 million.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completed a Section 382 study of transactions in our stock ownership through December 31, 2020 and concluded that we have experienced ownership changes since inception and our utilization of pre-change net operating loss and credit carryforwards will be subject to the limitation.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 active or liquid market for our common stock may not be sustained</w:t>
      </w:r>
    </w:p>
    <w:p>
      <w:pPr>
        <w:spacing w:after="0" w:line="23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Prior to our initial public offering in June 2020, there was no public market for shares of our common stock. In connection with our initial public offering, our common stock was listed for trading on the Nasdaq Global Select Market. However, an active or liquid market in our common stock may not be sustained.</w:t>
      </w:r>
    </w:p>
    <w:p>
      <w:pPr>
        <w:spacing w:after="0" w:line="143" w:lineRule="exact"/>
        <w:rPr>
          <w:sz w:val="20"/>
          <w:szCs w:val="20"/>
          <w:color w:val="auto"/>
        </w:rPr>
      </w:pPr>
    </w:p>
    <w:p>
      <w:pPr>
        <w:ind w:right="40" w:firstLine="434"/>
        <w:spacing w:after="0" w:line="277" w:lineRule="auto"/>
        <w:rPr>
          <w:sz w:val="20"/>
          <w:szCs w:val="20"/>
          <w:color w:val="auto"/>
        </w:rPr>
      </w:pPr>
      <w:r>
        <w:rPr>
          <w:rFonts w:ascii="Arial" w:cs="Arial" w:eastAsia="Arial" w:hAnsi="Arial"/>
          <w:sz w:val="18"/>
          <w:szCs w:val="18"/>
          <w:color w:val="auto"/>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3" w:name="page74"/>
    <w:bookmarkEnd w:id="73"/>
    <w:p>
      <w:pPr>
        <w:ind w:left="22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98" w:lineRule="exact"/>
        <w:rPr>
          <w:sz w:val="20"/>
          <w:szCs w:val="20"/>
          <w:color w:val="auto"/>
        </w:rPr>
      </w:pPr>
    </w:p>
    <w:p>
      <w:pPr>
        <w:ind w:firstLine="434"/>
        <w:spacing w:after="0" w:line="263"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143" w:lineRule="exact"/>
        <w:rPr>
          <w:sz w:val="20"/>
          <w:szCs w:val="20"/>
          <w:color w:val="auto"/>
        </w:rPr>
      </w:pPr>
    </w:p>
    <w:p>
      <w:pPr>
        <w:ind w:left="880" w:right="400" w:hanging="438"/>
        <w:spacing w:after="0" w:line="277" w:lineRule="auto"/>
        <w:tabs>
          <w:tab w:leader="none" w:pos="8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commencement, enrollment or results of our current Phase 2a clinical trials of PLN-74809 and any other clinical trials for our product candidates conducted by us or our collaborators;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delay in identifying and advancing a clinical candidate for our other development programs;</w:t>
      </w:r>
    </w:p>
    <w:p>
      <w:pPr>
        <w:spacing w:after="0" w:line="198" w:lineRule="exact"/>
        <w:rPr>
          <w:rFonts w:ascii="Arial" w:cs="Arial" w:eastAsia="Arial" w:hAnsi="Arial"/>
          <w:sz w:val="18"/>
          <w:szCs w:val="18"/>
          <w:color w:val="auto"/>
        </w:rPr>
      </w:pPr>
    </w:p>
    <w:p>
      <w:pPr>
        <w:ind w:left="880" w:right="160" w:hanging="438"/>
        <w:spacing w:after="0" w:line="263" w:lineRule="auto"/>
        <w:tabs>
          <w:tab w:leader="none" w:pos="8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delay in our regulatory filings for PLN-74809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results or delays in future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PLN-74809 or any other product candidate;</w:t>
      </w:r>
    </w:p>
    <w:p>
      <w:pPr>
        <w:spacing w:after="0" w:line="184" w:lineRule="exact"/>
        <w:rPr>
          <w:rFonts w:ascii="Arial" w:cs="Arial" w:eastAsia="Arial" w:hAnsi="Arial"/>
          <w:sz w:val="18"/>
          <w:szCs w:val="18"/>
          <w:color w:val="auto"/>
        </w:rPr>
      </w:pPr>
    </w:p>
    <w:p>
      <w:pPr>
        <w:ind w:left="880" w:right="80" w:hanging="438"/>
        <w:spacing w:after="0" w:line="277" w:lineRule="auto"/>
        <w:tabs>
          <w:tab w:leader="none" w:pos="8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laws or regulations applicable to PLN-74809 or any other product candidate, including but not limited to clinical trial requirements for approvals;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 if approved;</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PLN-74809 or any other product candidate;</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84" w:lineRule="exact"/>
        <w:rPr>
          <w:rFonts w:ascii="Arial" w:cs="Arial" w:eastAsia="Arial" w:hAnsi="Arial"/>
          <w:sz w:val="18"/>
          <w:szCs w:val="18"/>
          <w:color w:val="auto"/>
        </w:rPr>
      </w:pPr>
    </w:p>
    <w:p>
      <w:pPr>
        <w:ind w:left="880" w:right="600" w:hanging="438"/>
        <w:spacing w:after="0" w:line="277" w:lineRule="auto"/>
        <w:tabs>
          <w:tab w:leader="none" w:pos="8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product candidates in particular, or positive or negative recommendations or withdrawal of research coverage by securities analysts;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ectPr>
          <w:pgSz w:w="11900" w:h="16838" w:orient="portrait"/>
          <w:cols w:equalWidth="0" w:num="1">
            <w:col w:w="11180"/>
          </w:cols>
          <w:pgMar w:left="320" w:top="1070"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type w:val="continuous"/>
        </w:sectPr>
      </w:pPr>
    </w:p>
    <w:bookmarkStart w:id="74" w:name="page75"/>
    <w:bookmarkEnd w:id="74"/>
    <w:p>
      <w:pPr>
        <w:ind w:left="860" w:hanging="418"/>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84" w:lineRule="exact"/>
        <w:rPr>
          <w:rFonts w:ascii="Arial" w:cs="Arial" w:eastAsia="Arial" w:hAnsi="Arial"/>
          <w:sz w:val="18"/>
          <w:szCs w:val="18"/>
          <w:color w:val="auto"/>
        </w:rPr>
      </w:pPr>
    </w:p>
    <w:p>
      <w:pPr>
        <w:ind w:left="880" w:right="120" w:hanging="438"/>
        <w:spacing w:after="0" w:line="277" w:lineRule="auto"/>
        <w:tabs>
          <w:tab w:leader="none" w:pos="8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85" w:lineRule="exact"/>
        <w:rPr>
          <w:sz w:val="20"/>
          <w:szCs w:val="20"/>
          <w:color w:val="auto"/>
        </w:rPr>
      </w:pPr>
    </w:p>
    <w:p>
      <w:pPr>
        <w:ind w:right="100" w:firstLine="434"/>
        <w:spacing w:after="0" w:line="296" w:lineRule="auto"/>
        <w:rPr>
          <w:sz w:val="20"/>
          <w:szCs w:val="20"/>
          <w:color w:val="auto"/>
        </w:rPr>
      </w:pPr>
      <w:r>
        <w:rPr>
          <w:rFonts w:ascii="Arial" w:cs="Arial" w:eastAsia="Arial" w:hAnsi="Arial"/>
          <w:sz w:val="16"/>
          <w:szCs w:val="16"/>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85" w:lineRule="exact"/>
        <w:rPr>
          <w:sz w:val="20"/>
          <w:szCs w:val="20"/>
          <w:color w:val="auto"/>
        </w:rPr>
      </w:pPr>
    </w:p>
    <w:p>
      <w:pPr>
        <w:ind w:right="200" w:firstLine="434"/>
        <w:spacing w:after="0" w:line="279"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131"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143" w:lineRule="exact"/>
        <w:rPr>
          <w:sz w:val="20"/>
          <w:szCs w:val="20"/>
          <w:color w:val="auto"/>
        </w:rPr>
      </w:pPr>
    </w:p>
    <w:p>
      <w:pPr>
        <w:ind w:firstLine="434"/>
        <w:spacing w:after="0" w:line="296" w:lineRule="auto"/>
        <w:rPr>
          <w:sz w:val="20"/>
          <w:szCs w:val="20"/>
          <w:color w:val="auto"/>
        </w:rPr>
      </w:pPr>
      <w:r>
        <w:rPr>
          <w:rFonts w:ascii="Arial" w:cs="Arial" w:eastAsia="Arial" w:hAnsi="Arial"/>
          <w:sz w:val="16"/>
          <w:szCs w:val="16"/>
          <w:color w:val="auto"/>
        </w:rPr>
        <w:t>Based on shares outstanding as of September 30, 2021, our executive officers, directors and their affiliates and our principal stockholders beneficially held, in the aggregate, approximately a quarter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there are substantial sales of shares of our common stock, the price of our common stock could decline.</w:t>
      </w:r>
    </w:p>
    <w:p>
      <w:pPr>
        <w:spacing w:after="0" w:line="158" w:lineRule="exact"/>
        <w:rPr>
          <w:sz w:val="20"/>
          <w:szCs w:val="20"/>
          <w:color w:val="auto"/>
        </w:rPr>
      </w:pPr>
    </w:p>
    <w:p>
      <w:pPr>
        <w:ind w:right="20" w:firstLine="434"/>
        <w:spacing w:after="0" w:line="289" w:lineRule="auto"/>
        <w:rPr>
          <w:sz w:val="20"/>
          <w:szCs w:val="20"/>
          <w:color w:val="auto"/>
        </w:rPr>
      </w:pPr>
      <w:r>
        <w:rPr>
          <w:rFonts w:ascii="Arial" w:cs="Arial" w:eastAsia="Arial" w:hAnsi="Arial"/>
          <w:sz w:val="16"/>
          <w:szCs w:val="16"/>
          <w:color w:val="auto"/>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126" w:lineRule="exact"/>
        <w:rPr>
          <w:sz w:val="20"/>
          <w:szCs w:val="20"/>
          <w:color w:val="auto"/>
        </w:rPr>
      </w:pPr>
    </w:p>
    <w:p>
      <w:pPr>
        <w:ind w:right="40" w:firstLine="434"/>
        <w:spacing w:after="0" w:line="275" w:lineRule="auto"/>
        <w:rPr>
          <w:sz w:val="20"/>
          <w:szCs w:val="20"/>
          <w:color w:val="auto"/>
        </w:rPr>
      </w:pPr>
      <w:r>
        <w:rPr>
          <w:rFonts w:ascii="Arial" w:cs="Arial" w:eastAsia="Arial" w:hAnsi="Arial"/>
          <w:sz w:val="17"/>
          <w:szCs w:val="17"/>
          <w:color w:val="auto"/>
        </w:rPr>
        <w:t>The holders of over 20 million shares of our common stock are entitled to rights with respect to the registration of their shares under the Securities Act of 1933, as amended, or the Securities Act, as provided under the terms of an investors’ rights agreement between us and certain of our stockholders.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perception that such sales could occur, could have a material adverse effect on the trading price of our common stock.</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5" w:name="page76"/>
    <w:bookmarkEnd w:id="75"/>
    <w:p>
      <w:pPr>
        <w:ind w:left="220" w:right="220"/>
        <w:spacing w:after="0" w:line="289"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10" w:lineRule="exact"/>
        <w:rPr>
          <w:sz w:val="20"/>
          <w:szCs w:val="20"/>
          <w:color w:val="auto"/>
        </w:rPr>
      </w:pPr>
    </w:p>
    <w:p>
      <w:pPr>
        <w:ind w:right="420" w:firstLine="434"/>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130" w:lineRule="exact"/>
        <w:rPr>
          <w:sz w:val="20"/>
          <w:szCs w:val="20"/>
          <w:color w:val="auto"/>
        </w:rPr>
      </w:pPr>
    </w:p>
    <w:p>
      <w:pPr>
        <w:ind w:left="880" w:right="140" w:hanging="438"/>
        <w:spacing w:after="0" w:line="277" w:lineRule="auto"/>
        <w:tabs>
          <w:tab w:leader="none" w:pos="8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29" w:lineRule="exact"/>
        <w:rPr>
          <w:rFonts w:ascii="Arial" w:cs="Arial" w:eastAsia="Arial" w:hAnsi="Arial"/>
          <w:sz w:val="18"/>
          <w:szCs w:val="18"/>
          <w:color w:val="auto"/>
        </w:rPr>
      </w:pPr>
    </w:p>
    <w:p>
      <w:pPr>
        <w:ind w:left="880" w:right="900" w:hanging="438"/>
        <w:spacing w:after="0" w:line="277" w:lineRule="auto"/>
        <w:tabs>
          <w:tab w:leader="none" w:pos="8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43" w:lineRule="exact"/>
        <w:rPr>
          <w:rFonts w:ascii="Arial" w:cs="Arial" w:eastAsia="Arial" w:hAnsi="Arial"/>
          <w:sz w:val="18"/>
          <w:szCs w:val="18"/>
          <w:color w:val="auto"/>
        </w:rPr>
      </w:pPr>
    </w:p>
    <w:p>
      <w:pPr>
        <w:ind w:left="880" w:right="360" w:hanging="438"/>
        <w:spacing w:after="0" w:line="277" w:lineRule="auto"/>
        <w:tabs>
          <w:tab w:leader="none" w:pos="8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84" w:lineRule="exact"/>
        <w:rPr>
          <w:rFonts w:ascii="Arial" w:cs="Arial" w:eastAsia="Arial" w:hAnsi="Arial"/>
          <w:sz w:val="18"/>
          <w:szCs w:val="18"/>
          <w:color w:val="auto"/>
        </w:rPr>
      </w:pPr>
    </w:p>
    <w:p>
      <w:pPr>
        <w:ind w:left="880" w:right="160" w:hanging="438"/>
        <w:spacing w:after="0" w:line="263" w:lineRule="auto"/>
        <w:tabs>
          <w:tab w:leader="none" w:pos="8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56" w:lineRule="exact"/>
        <w:rPr>
          <w:rFonts w:ascii="Arial" w:cs="Arial" w:eastAsia="Arial" w:hAnsi="Arial"/>
          <w:sz w:val="18"/>
          <w:szCs w:val="18"/>
          <w:color w:val="auto"/>
        </w:rPr>
      </w:pPr>
    </w:p>
    <w:p>
      <w:pPr>
        <w:ind w:left="880" w:hanging="438"/>
        <w:spacing w:after="0" w:line="277" w:lineRule="auto"/>
        <w:tabs>
          <w:tab w:leader="none" w:pos="8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129" w:lineRule="exact"/>
        <w:rPr>
          <w:rFonts w:ascii="Arial" w:cs="Arial" w:eastAsia="Arial" w:hAnsi="Arial"/>
          <w:sz w:val="18"/>
          <w:szCs w:val="18"/>
          <w:color w:val="auto"/>
        </w:rPr>
      </w:pPr>
    </w:p>
    <w:p>
      <w:pPr>
        <w:ind w:left="880" w:right="140" w:hanging="438"/>
        <w:spacing w:after="0" w:line="277" w:lineRule="auto"/>
        <w:tabs>
          <w:tab w:leader="none" w:pos="8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30" w:lineRule="exact"/>
        <w:rPr>
          <w:sz w:val="20"/>
          <w:szCs w:val="20"/>
          <w:color w:val="auto"/>
        </w:rPr>
      </w:pPr>
    </w:p>
    <w:p>
      <w:pPr>
        <w:ind w:right="40" w:firstLine="434"/>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07" w:lineRule="exact"/>
        <w:rPr>
          <w:sz w:val="20"/>
          <w:szCs w:val="20"/>
          <w:color w:val="auto"/>
        </w:rPr>
      </w:pPr>
    </w:p>
    <w:p>
      <w:pPr>
        <w:ind w:left="220" w:right="220"/>
        <w:spacing w:after="0" w:line="277" w:lineRule="auto"/>
        <w:rPr>
          <w:sz w:val="20"/>
          <w:szCs w:val="20"/>
          <w:color w:val="auto"/>
        </w:rPr>
      </w:pPr>
      <w:r>
        <w:rPr>
          <w:rFonts w:ascii="Arial" w:cs="Arial" w:eastAsia="Arial" w:hAnsi="Arial"/>
          <w:sz w:val="18"/>
          <w:szCs w:val="18"/>
          <w:b w:val="1"/>
          <w:bCs w:val="1"/>
          <w:i w:val="1"/>
          <w:iCs w:val="1"/>
          <w:color w:val="231F20"/>
        </w:rPr>
        <w:t>Our bylaws designate certain courts as the exclusive forum for certain litigation that may be initiated by our stockholders, which could limit our stockholders’ ability to litigate disputes with us in a different judicial forum.</w:t>
      </w:r>
    </w:p>
    <w:p>
      <w:pPr>
        <w:spacing w:after="0" w:line="130" w:lineRule="exact"/>
        <w:rPr>
          <w:sz w:val="20"/>
          <w:szCs w:val="20"/>
          <w:color w:val="auto"/>
        </w:rPr>
      </w:pPr>
    </w:p>
    <w:p>
      <w:pPr>
        <w:ind w:firstLine="434"/>
        <w:spacing w:after="0" w:line="269" w:lineRule="auto"/>
        <w:rPr>
          <w:sz w:val="20"/>
          <w:szCs w:val="20"/>
          <w:color w:val="auto"/>
        </w:rPr>
      </w:pPr>
      <w:r>
        <w:rPr>
          <w:rFonts w:ascii="Arial" w:cs="Arial" w:eastAsia="Arial" w:hAnsi="Arial"/>
          <w:sz w:val="17"/>
          <w:szCs w:val="17"/>
          <w:color w:val="231F20"/>
        </w:rPr>
        <w:t>P</w:t>
      </w:r>
      <w:r>
        <w:rPr>
          <w:rFonts w:ascii="Arial" w:cs="Arial" w:eastAsia="Arial" w:hAnsi="Arial"/>
          <w:sz w:val="17"/>
          <w:szCs w:val="17"/>
          <w:color w:val="000000"/>
        </w:rPr>
        <w:t>ursuant to our bylaws, unless we consent in writing to the selection of an alternative forum, the Court of Chancery of the State of Delaware will be</w:t>
      </w:r>
      <w:r>
        <w:rPr>
          <w:rFonts w:ascii="Arial" w:cs="Arial" w:eastAsia="Arial" w:hAnsi="Arial"/>
          <w:sz w:val="17"/>
          <w:szCs w:val="17"/>
          <w:color w:val="231F20"/>
        </w:rPr>
        <w:t xml:space="preserve"> </w:t>
      </w:r>
      <w:r>
        <w:rPr>
          <w:rFonts w:ascii="Arial" w:cs="Arial" w:eastAsia="Arial" w:hAnsi="Arial"/>
          <w:sz w:val="17"/>
          <w:szCs w:val="17"/>
          <w:color w:val="000000"/>
        </w:rPr>
        <w:t>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38" w:lineRule="exact"/>
        <w:rPr>
          <w:sz w:val="20"/>
          <w:szCs w:val="20"/>
          <w:color w:val="auto"/>
        </w:rPr>
      </w:pPr>
    </w:p>
    <w:p>
      <w:pPr>
        <w:ind w:right="20" w:firstLine="434"/>
        <w:spacing w:after="0" w:line="263" w:lineRule="auto"/>
        <w:rPr>
          <w:sz w:val="20"/>
          <w:szCs w:val="20"/>
          <w:color w:val="auto"/>
        </w:rPr>
      </w:pPr>
      <w:r>
        <w:rPr>
          <w:rFonts w:ascii="Arial" w:cs="Arial" w:eastAsia="Arial" w:hAnsi="Arial"/>
          <w:sz w:val="18"/>
          <w:szCs w:val="18"/>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76" w:name="page77"/>
    <w:bookmarkEnd w:id="76"/>
    <w:p>
      <w:pPr>
        <w:spacing w:after="0" w:line="270" w:lineRule="auto"/>
        <w:rPr>
          <w:sz w:val="20"/>
          <w:szCs w:val="20"/>
          <w:color w:val="auto"/>
        </w:rPr>
      </w:pPr>
      <w:r>
        <w:rPr>
          <w:rFonts w:ascii="Arial" w:cs="Arial" w:eastAsia="Arial" w:hAnsi="Arial"/>
          <w:sz w:val="17"/>
          <w:szCs w:val="17"/>
          <w:color w:val="auto"/>
        </w:rPr>
        <w:t>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31F20"/>
        </w:rPr>
        <w:t>General Risk Factors</w:t>
      </w:r>
    </w:p>
    <w:p>
      <w:pPr>
        <w:spacing w:after="0" w:line="256" w:lineRule="exact"/>
        <w:rPr>
          <w:sz w:val="20"/>
          <w:szCs w:val="20"/>
          <w:color w:val="auto"/>
        </w:rPr>
      </w:pPr>
    </w:p>
    <w:p>
      <w:pPr>
        <w:ind w:right="100" w:firstLine="1188"/>
        <w:spacing w:after="0" w:line="263"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30" w:lineRule="exact"/>
        <w:rPr>
          <w:sz w:val="20"/>
          <w:szCs w:val="20"/>
          <w:color w:val="auto"/>
        </w:rPr>
      </w:pPr>
    </w:p>
    <w:p>
      <w:pPr>
        <w:ind w:right="60" w:firstLine="434"/>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37" w:lineRule="exact"/>
        <w:rPr>
          <w:sz w:val="20"/>
          <w:szCs w:val="20"/>
          <w:color w:val="auto"/>
        </w:rPr>
      </w:pPr>
    </w:p>
    <w:p>
      <w:pPr>
        <w:ind w:right="20" w:firstLine="434"/>
        <w:spacing w:after="0" w:line="279"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our independent registered public accounting firm is not required to attest to the effectiveness of our internal controls over financial reporting pursuant to Section 404. An independent assessment of the effectiveness of our internal controls over financial reporting could detect problems that our management’s assessment might not.</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231F20"/>
        </w:rPr>
        <w:t>Our disclosure controls and procedures may not prevent or detect all errors or acts of fraud.</w:t>
      </w:r>
    </w:p>
    <w:p>
      <w:pPr>
        <w:spacing w:after="0" w:line="185" w:lineRule="exact"/>
        <w:rPr>
          <w:sz w:val="20"/>
          <w:szCs w:val="20"/>
          <w:color w:val="auto"/>
        </w:rPr>
      </w:pPr>
    </w:p>
    <w:p>
      <w:pPr>
        <w:ind w:right="220" w:firstLine="434"/>
        <w:spacing w:after="0" w:line="290" w:lineRule="auto"/>
        <w:rPr>
          <w:sz w:val="20"/>
          <w:szCs w:val="20"/>
          <w:color w:val="auto"/>
        </w:rPr>
      </w:pPr>
      <w:r>
        <w:rPr>
          <w:rFonts w:ascii="Arial" w:cs="Arial" w:eastAsia="Arial" w:hAnsi="Arial"/>
          <w:sz w:val="16"/>
          <w:szCs w:val="16"/>
          <w:color w:val="auto"/>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38" w:lineRule="exact"/>
        <w:rPr>
          <w:sz w:val="20"/>
          <w:szCs w:val="20"/>
          <w:color w:val="auto"/>
        </w:rPr>
      </w:pPr>
    </w:p>
    <w:p>
      <w:pPr>
        <w:ind w:right="640" w:firstLine="1188"/>
        <w:spacing w:after="0" w:line="277" w:lineRule="auto"/>
        <w:rPr>
          <w:sz w:val="20"/>
          <w:szCs w:val="20"/>
          <w:color w:val="auto"/>
        </w:rPr>
      </w:pPr>
      <w:r>
        <w:rPr>
          <w:rFonts w:ascii="Arial" w:cs="Arial" w:eastAsia="Arial" w:hAnsi="Arial"/>
          <w:sz w:val="18"/>
          <w:szCs w:val="18"/>
          <w:b w:val="1"/>
          <w:bCs w:val="1"/>
          <w:i w:val="1"/>
          <w:iCs w:val="1"/>
          <w:color w:val="231F20"/>
        </w:rPr>
        <w:t>Our issuance of additional capital stock in connection with financings, acquisitions, investments, our stock incentive plans or otherwise will dilute all other stockholders.</w:t>
      </w:r>
    </w:p>
    <w:p>
      <w:pPr>
        <w:spacing w:after="0" w:line="116" w:lineRule="exact"/>
        <w:rPr>
          <w:sz w:val="20"/>
          <w:szCs w:val="20"/>
          <w:color w:val="auto"/>
        </w:rPr>
      </w:pPr>
    </w:p>
    <w:p>
      <w:pPr>
        <w:ind w:right="100" w:firstLine="434"/>
        <w:spacing w:after="0" w:line="242"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continue to grant equity awards to employees, directors, and consultants under our stock incentive plans. We may also raise capital through equity financings in the future, including an "at-the-market" offering pursuant to our Controlled Equity Offering</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Sales Agreement with Cantor Fitzgerald &amp; Co.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88" w:lineRule="exact"/>
        <w:rPr>
          <w:sz w:val="20"/>
          <w:szCs w:val="20"/>
          <w:color w:val="auto"/>
        </w:rPr>
      </w:pPr>
    </w:p>
    <w:p>
      <w:pPr>
        <w:ind w:right="60" w:firstLine="1188"/>
        <w:spacing w:after="0" w:line="27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77" w:name="page78"/>
    <w:bookmarkEnd w:id="77"/>
    <w:p>
      <w:pPr>
        <w:ind w:right="120" w:firstLine="434"/>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27" w:lineRule="exact"/>
        <w:rPr>
          <w:sz w:val="20"/>
          <w:szCs w:val="20"/>
          <w:color w:val="auto"/>
        </w:rPr>
      </w:pPr>
    </w:p>
    <w:p>
      <w:pPr>
        <w:ind w:right="780" w:firstLine="1188"/>
        <w:spacing w:after="0" w:line="277" w:lineRule="auto"/>
        <w:rPr>
          <w:sz w:val="20"/>
          <w:szCs w:val="20"/>
          <w:color w:val="auto"/>
        </w:rPr>
      </w:pPr>
      <w:r>
        <w:rPr>
          <w:rFonts w:ascii="Arial" w:cs="Arial" w:eastAsia="Arial" w:hAnsi="Arial"/>
          <w:sz w:val="18"/>
          <w:szCs w:val="18"/>
          <w:b w:val="1"/>
          <w:bCs w:val="1"/>
          <w:i w:val="1"/>
          <w:iCs w:val="1"/>
          <w:color w:val="231F20"/>
        </w:rPr>
        <w:t>We incur significant increased costs as a result of operating as a public company, and our management is required to devote substantial time to new compliance initiatives.</w:t>
      </w:r>
    </w:p>
    <w:p>
      <w:pPr>
        <w:spacing w:after="0" w:line="130" w:lineRule="exact"/>
        <w:rPr>
          <w:sz w:val="20"/>
          <w:szCs w:val="20"/>
          <w:color w:val="auto"/>
        </w:rPr>
      </w:pPr>
    </w:p>
    <w:p>
      <w:pPr>
        <w:ind w:right="120" w:firstLine="434"/>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Emerging growth companies are permitted to implement many of these requirements over a longer period and we will lose such allowance upon ceasing to be an emerging growth company, which we expect to occur on December 31, 2021.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41" w:lineRule="exact"/>
        <w:rPr>
          <w:sz w:val="20"/>
          <w:szCs w:val="20"/>
          <w:color w:val="auto"/>
        </w:rPr>
      </w:pPr>
    </w:p>
    <w:p>
      <w:pPr>
        <w:ind w:right="40" w:firstLine="434"/>
        <w:spacing w:after="0" w:line="290"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time-consuming and costly, particularly as we expect to cease being an emerging growth company on December 31, 2021.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38" w:lineRule="exact"/>
        <w:rPr>
          <w:sz w:val="20"/>
          <w:szCs w:val="20"/>
          <w:color w:val="auto"/>
        </w:rPr>
      </w:pPr>
    </w:p>
    <w:p>
      <w:pPr>
        <w:ind w:right="180" w:firstLine="1188"/>
        <w:spacing w:after="0" w:line="277" w:lineRule="auto"/>
        <w:rPr>
          <w:sz w:val="20"/>
          <w:szCs w:val="20"/>
          <w:color w:val="auto"/>
        </w:rPr>
      </w:pPr>
      <w:r>
        <w:rPr>
          <w:rFonts w:ascii="Arial" w:cs="Arial" w:eastAsia="Arial" w:hAnsi="Arial"/>
          <w:sz w:val="18"/>
          <w:szCs w:val="18"/>
          <w:b w:val="1"/>
          <w:bCs w:val="1"/>
          <w:i w:val="1"/>
          <w:iCs w:val="1"/>
          <w:color w:val="231F20"/>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130" w:lineRule="exact"/>
        <w:rPr>
          <w:sz w:val="20"/>
          <w:szCs w:val="20"/>
          <w:color w:val="auto"/>
        </w:rPr>
      </w:pPr>
    </w:p>
    <w:p>
      <w:pPr>
        <w:ind w:right="40" w:firstLine="434"/>
        <w:spacing w:after="0" w:line="272" w:lineRule="auto"/>
        <w:rPr>
          <w:sz w:val="20"/>
          <w:szCs w:val="20"/>
          <w:color w:val="auto"/>
        </w:rPr>
      </w:pPr>
      <w:r>
        <w:rPr>
          <w:rFonts w:ascii="Arial" w:cs="Arial" w:eastAsia="Arial" w:hAnsi="Arial"/>
          <w:sz w:val="17"/>
          <w:szCs w:val="17"/>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137" w:lineRule="exact"/>
        <w:rPr>
          <w:sz w:val="20"/>
          <w:szCs w:val="20"/>
          <w:color w:val="auto"/>
        </w:rPr>
      </w:pPr>
    </w:p>
    <w:p>
      <w:pPr>
        <w:ind w:firstLine="434"/>
        <w:spacing w:after="0" w:line="289" w:lineRule="auto"/>
        <w:rPr>
          <w:sz w:val="20"/>
          <w:szCs w:val="20"/>
          <w:color w:val="auto"/>
        </w:rPr>
      </w:pPr>
      <w:r>
        <w:rPr>
          <w:rFonts w:ascii="Arial" w:cs="Arial" w:eastAsia="Arial" w:hAnsi="Arial"/>
          <w:sz w:val="16"/>
          <w:szCs w:val="16"/>
          <w:color w:val="auto"/>
        </w:rPr>
        <w:t>Numerous federal and state laws and regulations, including HIPAA and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8" w:name="page79"/>
    <w:bookmarkEnd w:id="78"/>
    <w:p>
      <w:pPr>
        <w:ind w:right="40"/>
        <w:spacing w:after="0" w:line="270" w:lineRule="auto"/>
        <w:rPr>
          <w:sz w:val="20"/>
          <w:szCs w:val="20"/>
          <w:color w:val="auto"/>
        </w:rPr>
      </w:pPr>
      <w:r>
        <w:rPr>
          <w:rFonts w:ascii="Arial" w:cs="Arial" w:eastAsia="Arial" w:hAnsi="Arial"/>
          <w:sz w:val="17"/>
          <w:szCs w:val="17"/>
          <w:color w:val="auto"/>
        </w:rPr>
        <w:t>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Additionally, on December 10, 2020, OCR issued a proposed rule aimed at strengthening individuals’ rights to access their own health information, as well as reducing administrative burdens on HIPAA covered health care providers and health plans, among other changes. While a final rule has not yet been issued, if adopted, these proposed changes may require us to update our HIPAA policies and procedures to comply with the new requirements</w:t>
      </w:r>
    </w:p>
    <w:p>
      <w:pPr>
        <w:spacing w:after="0" w:line="154" w:lineRule="exact"/>
        <w:rPr>
          <w:sz w:val="20"/>
          <w:szCs w:val="20"/>
          <w:color w:val="auto"/>
        </w:rPr>
      </w:pPr>
    </w:p>
    <w:p>
      <w:pPr>
        <w:ind w:right="40" w:firstLine="434"/>
        <w:spacing w:after="0" w:line="269" w:lineRule="auto"/>
        <w:rPr>
          <w:sz w:val="20"/>
          <w:szCs w:val="20"/>
          <w:color w:val="auto"/>
        </w:rPr>
      </w:pPr>
      <w:r>
        <w:rPr>
          <w:rFonts w:ascii="Arial" w:cs="Arial" w:eastAsia="Arial" w:hAnsi="Arial"/>
          <w:sz w:val="17"/>
          <w:szCs w:val="17"/>
          <w:color w:val="auto"/>
        </w:rPr>
        <w:t>California passed the California Consumer Protection Act of 2018, or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While there is currently an exception for protected health information that is subject to HIPAA and clinical trial regulations, as currently written, the CCPA may impact certain of our business activities. How this HIPAA exception is enforced and interpreted may also impact our business activities. Additionally, this exception does not apply to the private cause of action afforded to individuals for information security incidents.</w:t>
      </w:r>
    </w:p>
    <w:p>
      <w:pPr>
        <w:spacing w:after="0" w:line="145" w:lineRule="exact"/>
        <w:rPr>
          <w:sz w:val="20"/>
          <w:szCs w:val="20"/>
          <w:color w:val="auto"/>
        </w:rPr>
      </w:pPr>
    </w:p>
    <w:p>
      <w:pPr>
        <w:ind w:right="120" w:firstLine="434"/>
        <w:spacing w:after="0" w:line="272" w:lineRule="auto"/>
        <w:rPr>
          <w:sz w:val="20"/>
          <w:szCs w:val="20"/>
          <w:color w:val="auto"/>
        </w:rPr>
      </w:pPr>
      <w:r>
        <w:rPr>
          <w:rFonts w:ascii="Arial" w:cs="Arial" w:eastAsia="Arial" w:hAnsi="Arial"/>
          <w:sz w:val="17"/>
          <w:szCs w:val="17"/>
          <w:color w:val="auto"/>
        </w:rPr>
        <w:t>In addition, the CCPA will be expanded on January 1, 2023, when the California Privacy Rights Act of 2020, or the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 Although there are limited exemptions for clinical trial data under the CCPA, the CCPA and other similar laws could impact our business activities depending on how it is interpreted. In the interim, the CPRA will require additional investment in compliance programs and potential modifications to business processes</w:t>
      </w:r>
    </w:p>
    <w:p>
      <w:pPr>
        <w:spacing w:after="0" w:line="123" w:lineRule="exact"/>
        <w:rPr>
          <w:sz w:val="20"/>
          <w:szCs w:val="20"/>
          <w:color w:val="auto"/>
        </w:rPr>
      </w:pPr>
    </w:p>
    <w:p>
      <w:pPr>
        <w:ind w:firstLine="434"/>
        <w:spacing w:after="0" w:line="241" w:lineRule="auto"/>
        <w:rPr>
          <w:sz w:val="20"/>
          <w:szCs w:val="20"/>
          <w:color w:val="auto"/>
        </w:rPr>
      </w:pPr>
      <w:r>
        <w:rPr>
          <w:rFonts w:ascii="Arial" w:cs="Arial" w:eastAsia="Arial" w:hAnsi="Arial"/>
          <w:sz w:val="16"/>
          <w:szCs w:val="16"/>
          <w:color w:val="auto"/>
        </w:rPr>
        <w:t>The CCPA and CPRA could mark the beginning of a trend toward more stringent privacy legislation in the United States, as other states or the federal government may follow California’s lead and increase protections for U.S. residents. For example, on March 2, 2021, the Virginia Consumer Data Protection Act, which will take effect on January 1, 2023, was signed into law and on July 8, 2021, the Colorado Privacy Act, which will take effect on July 1, 2023, was signed into law. On September 18, 2021, the Uniform Law Commission published the Uniform Personal Data Protection Act, which states may begin to adopt.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spacing w:after="0" w:line="147" w:lineRule="exact"/>
        <w:rPr>
          <w:sz w:val="20"/>
          <w:szCs w:val="20"/>
          <w:color w:val="auto"/>
        </w:rPr>
      </w:pPr>
    </w:p>
    <w:p>
      <w:pPr>
        <w:ind w:right="80" w:firstLine="434"/>
        <w:spacing w:after="0" w:line="271" w:lineRule="auto"/>
        <w:rPr>
          <w:sz w:val="20"/>
          <w:szCs w:val="20"/>
          <w:color w:val="auto"/>
        </w:rPr>
      </w:pPr>
      <w:r>
        <w:rPr>
          <w:rFonts w:ascii="Arial" w:cs="Arial" w:eastAsia="Arial" w:hAnsi="Arial"/>
          <w:sz w:val="17"/>
          <w:szCs w:val="17"/>
          <w:color w:val="auto"/>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w:t>
      </w:r>
    </w:p>
    <w:p>
      <w:pPr>
        <w:spacing w:after="0" w:line="138" w:lineRule="exact"/>
        <w:rPr>
          <w:sz w:val="20"/>
          <w:szCs w:val="20"/>
          <w:color w:val="auto"/>
        </w:rPr>
      </w:pPr>
    </w:p>
    <w:p>
      <w:pPr>
        <w:ind w:right="40" w:firstLine="434"/>
        <w:spacing w:after="0" w:line="272" w:lineRule="auto"/>
        <w:rPr>
          <w:sz w:val="20"/>
          <w:szCs w:val="20"/>
          <w:color w:val="auto"/>
        </w:rPr>
      </w:pPr>
      <w:r>
        <w:rPr>
          <w:rFonts w:ascii="Arial" w:cs="Arial" w:eastAsia="Arial" w:hAnsi="Arial"/>
          <w:sz w:val="17"/>
          <w:szCs w:val="17"/>
          <w:color w:val="auto"/>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OCR, in partnership with the Healthcare and Public Health Sector Coordinating Council, recently issued cybersecurity guidelines for healthcare organizations that reflect consensus-based, voluntary practices to cost-effectively reduce cybersecurity risks for organizations of varying sizes. Although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9" w:name="page80"/>
    <w:bookmarkEnd w:id="79"/>
    <w:p>
      <w:pPr>
        <w:ind w:right="120"/>
        <w:spacing w:after="0" w:line="263" w:lineRule="auto"/>
        <w:rPr>
          <w:sz w:val="20"/>
          <w:szCs w:val="20"/>
          <w:color w:val="auto"/>
        </w:rPr>
      </w:pPr>
      <w:r>
        <w:rPr>
          <w:rFonts w:ascii="Arial" w:cs="Arial" w:eastAsia="Arial" w:hAnsi="Arial"/>
          <w:sz w:val="18"/>
          <w:szCs w:val="18"/>
          <w:color w:val="auto"/>
        </w:rPr>
        <w:t>these HHS-backed guidelines, entitled “Health Industry Cybersecurity Practices: Managing Threats and Protecting Patients,” are voluntary, they are likely to serve as an important reference point for the healthcare industry, and may cause us to invest additional resources in technology, personnel and programmatic cybersecurity controls as the cybersecurity risks we face continue to evolve.</w:t>
      </w:r>
    </w:p>
    <w:p>
      <w:pPr>
        <w:spacing w:after="0" w:line="157" w:lineRule="exact"/>
        <w:rPr>
          <w:sz w:val="20"/>
          <w:szCs w:val="20"/>
          <w:color w:val="auto"/>
        </w:rPr>
      </w:pPr>
    </w:p>
    <w:p>
      <w:pPr>
        <w:ind w:firstLine="434"/>
        <w:spacing w:after="0" w:line="271" w:lineRule="auto"/>
        <w:rPr>
          <w:sz w:val="20"/>
          <w:szCs w:val="20"/>
          <w:color w:val="auto"/>
        </w:rPr>
      </w:pPr>
      <w:r>
        <w:rPr>
          <w:rFonts w:ascii="Arial" w:cs="Arial" w:eastAsia="Arial" w:hAnsi="Arial"/>
          <w:sz w:val="17"/>
          <w:szCs w:val="17"/>
          <w:color w:val="auto"/>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38" w:lineRule="exact"/>
        <w:rPr>
          <w:sz w:val="20"/>
          <w:szCs w:val="20"/>
          <w:color w:val="auto"/>
        </w:rPr>
      </w:pPr>
    </w:p>
    <w:p>
      <w:pPr>
        <w:ind w:right="80" w:firstLine="434"/>
        <w:spacing w:after="0" w:line="286" w:lineRule="auto"/>
        <w:rPr>
          <w:sz w:val="20"/>
          <w:szCs w:val="20"/>
          <w:color w:val="auto"/>
        </w:rPr>
      </w:pPr>
      <w:r>
        <w:rPr>
          <w:rFonts w:ascii="Arial" w:cs="Arial" w:eastAsia="Arial" w:hAnsi="Arial"/>
          <w:sz w:val="16"/>
          <w:szCs w:val="16"/>
          <w:color w:val="auto"/>
        </w:rPr>
        <w:t>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The General Data Protection Regulation, (EU) 2016/679, or EU GDPR, became effective on May 25, 2018, and deals with the collection, use, storage, disclosure, transfer or other processing of personal data, including personal health data, regarding individuals in the EEA. The EU GDPR imposes a broad range of strict requirements on companies subject to the EU GDPR, including requirements relating to having legal bases for processing personal data (i.e., data relating to identifiable individuals) and transferring such personal data outside the EEA, including to the United States, and providing details to those individuals regarding the processing of their personal data, keeping personal data secure, having data processing agreements with third parties who process personal data on our behalf,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Further, national laws of member states of the EU may partially deviate from the EU GDPR and impose different obligations from country to country, so that we do not expect to operate in a uniform legal landscape in the EEA. In particular, as it relates to processing and transfer of genetic data and health data, the EU GDPR specifically allows national laws to impose additional and more specific requirements or restrictions, and European laws have historically differed quite substantially in this field, leading to additional uncertainty.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EU GDPR increases substantially the penalties to which we could be subject in the event of any non-compliance, including fines of up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€10,000,000 or up to 2% of our total worldwide annual turnover for certain comparatively minor offenses, or up to €20,000,000 or up to 4% of our total</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worldwide annual turnover, whichever is greater, for more serious offenses. The EU GDPR also confers a private right of action on data subjects 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consumer associations to lodge complaints with supervisory authorities, seek judicial remedies, and obtain compensation for damages resulting from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violations of the EU GDPR. If our efforts to comply with EU GDPR or other applicable EU laws and regulations are not successful, or are perceived to be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unsuccessful, it could adversely affect our business in the EU.</w:t>
      </w:r>
    </w:p>
    <w:p>
      <w:pPr>
        <w:spacing w:after="0" w:line="169"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The EU GDPR also prohibits the transfer of personal data from the EEA to the United States and most other countries that are not recognized as having “adequate” data protection laws by the European Commission unless the parties to the transfer have implemented specific safeguards to protect the transferred personal data. One of the primary safeguards allowing U.S. companies to import personal data from the EEA has been certification to the EU-U.S. Privacy Shield framework administered by the U.S. Department of Commerce. However, the European Court of Justice, or the ECJ, issued a decision in July 2020 which invalidated the EU-U.S. Privacy Shield framework for international transfers (Schrems II) and imposed further restrictions on the use of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the SCCs will need to be implemented to ensure an essentially equivalent level of data protection to that afforded in the EU. Following that decision, the Swiss Federal Data Protection and Information Commissioner (FDPIC) took a similar view and considered that data transfers based on the Swiss-U.S. Privacy Shield framework are no longer lawful (despite the fact that Schrems II is not directly applicable in Switzerland (unless the Swiss based company is subject to the EU GDPR) and the Swiss-U.S. Privacy Shield has not been officially invalidated).</w:t>
      </w:r>
    </w:p>
    <w:p>
      <w:pPr>
        <w:spacing w:after="0" w:line="131" w:lineRule="exact"/>
        <w:rPr>
          <w:sz w:val="20"/>
          <w:szCs w:val="20"/>
          <w:color w:val="auto"/>
        </w:rPr>
      </w:pPr>
    </w:p>
    <w:p>
      <w:pPr>
        <w:ind w:right="240" w:firstLine="434"/>
        <w:spacing w:after="0" w:line="259" w:lineRule="auto"/>
        <w:rPr>
          <w:sz w:val="20"/>
          <w:szCs w:val="20"/>
          <w:color w:val="auto"/>
        </w:rPr>
      </w:pPr>
      <w:r>
        <w:rPr>
          <w:rFonts w:ascii="Arial" w:cs="Arial" w:eastAsia="Arial" w:hAnsi="Arial"/>
          <w:sz w:val="18"/>
          <w:szCs w:val="18"/>
          <w:color w:val="auto"/>
        </w:rPr>
        <w:t>Further, the European Commission recently published new EU SCCs, which place onerous obligations on the contracting parties. At present, there are few, if any, viable alternatives to the SCCs. These developments could restrict our activities in the EEA/Switzerland, limit our ability to provide our products and services in the EEA/Switzerland, and/or increase our costs and obligations and impose limitations upon our ability to efficiently transfer personal data from the EEA/Switzerland to the United States.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80" w:name="page81"/>
    <w:bookmarkEnd w:id="80"/>
    <w:p>
      <w:pPr>
        <w:ind w:firstLine="434"/>
        <w:spacing w:after="0" w:line="254" w:lineRule="auto"/>
        <w:rPr>
          <w:sz w:val="20"/>
          <w:szCs w:val="20"/>
          <w:color w:val="auto"/>
        </w:rPr>
      </w:pPr>
      <w:r>
        <w:rPr>
          <w:rFonts w:ascii="Arial" w:cs="Arial" w:eastAsia="Arial" w:hAnsi="Arial"/>
          <w:sz w:val="18"/>
          <w:szCs w:val="18"/>
          <w:color w:val="auto"/>
        </w:rPr>
        <w:t>Following the UK’s departure from the EU (Brexit), the EU GDPR’s data protection obligations continue to apply to the UK in substantially unvaried form under the so-called “UK GDPR”. The UK GDPR exists alongside the UK Data Protection Act 2018 which implements certain derogations in the UK GDPR into UK law. 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As a result, we are potentially exposed to two parallel data protection regimes, each of which authorizes fines and the potential for divergent enforcement actions.</w:t>
      </w:r>
    </w:p>
    <w:p>
      <w:pPr>
        <w:spacing w:after="0" w:line="168" w:lineRule="exact"/>
        <w:rPr>
          <w:sz w:val="20"/>
          <w:szCs w:val="20"/>
          <w:color w:val="auto"/>
        </w:rPr>
      </w:pPr>
    </w:p>
    <w:p>
      <w:pPr>
        <w:ind w:firstLine="434"/>
        <w:spacing w:after="0" w:line="269" w:lineRule="auto"/>
        <w:rPr>
          <w:sz w:val="20"/>
          <w:szCs w:val="20"/>
          <w:color w:val="auto"/>
        </w:rPr>
      </w:pPr>
      <w:r>
        <w:rPr>
          <w:rFonts w:ascii="Arial" w:cs="Arial" w:eastAsia="Arial" w:hAnsi="Arial"/>
          <w:sz w:val="16"/>
          <w:szCs w:val="16"/>
          <w:color w:val="auto"/>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individual countries. Compliance with data protection laws in the EEA, the UK and Switzerland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141" w:lineRule="exact"/>
        <w:rPr>
          <w:sz w:val="20"/>
          <w:szCs w:val="20"/>
          <w:color w:val="auto"/>
        </w:rPr>
      </w:pPr>
    </w:p>
    <w:p>
      <w:pPr>
        <w:ind w:right="40" w:firstLine="1188"/>
        <w:spacing w:after="0" w:line="263" w:lineRule="auto"/>
        <w:rPr>
          <w:sz w:val="20"/>
          <w:szCs w:val="20"/>
          <w:color w:val="auto"/>
        </w:rPr>
      </w:pPr>
      <w:r>
        <w:rPr>
          <w:rFonts w:ascii="Arial" w:cs="Arial" w:eastAsia="Arial" w:hAnsi="Arial"/>
          <w:sz w:val="18"/>
          <w:szCs w:val="18"/>
          <w:b w:val="1"/>
          <w:bCs w:val="1"/>
          <w:i w:val="1"/>
          <w:iCs w:val="1"/>
          <w:color w:val="231F20"/>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130" w:lineRule="exact"/>
        <w:rPr>
          <w:sz w:val="20"/>
          <w:szCs w:val="20"/>
          <w:color w:val="auto"/>
        </w:rPr>
      </w:pPr>
    </w:p>
    <w:p>
      <w:pPr>
        <w:ind w:right="20" w:firstLine="434"/>
        <w:spacing w:after="0" w:line="290" w:lineRule="auto"/>
        <w:rPr>
          <w:sz w:val="20"/>
          <w:szCs w:val="20"/>
          <w:color w:val="auto"/>
        </w:rPr>
      </w:pPr>
      <w:r>
        <w:rPr>
          <w:rFonts w:ascii="Arial" w:cs="Arial" w:eastAsia="Arial" w:hAnsi="Arial"/>
          <w:sz w:val="16"/>
          <w:szCs w:val="16"/>
          <w:color w:val="auto"/>
        </w:rPr>
        <w:t>On June 23, 2016, the U.K. held a referendum in which a majority of the eligible members of the electorate voted to leave the EU, commonly referred to as Brexit. Pursuant to Article 50 of the Treaty on EU, the U.K. ceased being a Member State of the EU on January 31, 2020. A transition period began February 1, 2020 and continued until December 31, 2020. During the transition period most laws, including medicinal products laws, of the EU continued to apply to the U.K. while the future relationship between the U.K. and the EU was formally negotiated. The U.K. and the EU have signed a EU-UK Trade and Cooperation Agreement, or TCA, which became provisionally applicable on January 1, 2021 and will become formally applicable once ratified by both the U.K. and the EU. This agreement provides details on how some aspects of the U.K. and EU’s relationship will operate going forwards however there are still many uncertainties. This lack of clarity on future U.K. laws and regulations and their interaction with the EU laws and regulations may negatively impact foreign direct investment in the U.K., increase costs, depress economic activity and restrict access to capital.</w:t>
      </w:r>
    </w:p>
    <w:p>
      <w:pPr>
        <w:spacing w:after="0" w:line="138" w:lineRule="exact"/>
        <w:rPr>
          <w:sz w:val="20"/>
          <w:szCs w:val="20"/>
          <w:color w:val="auto"/>
        </w:rPr>
      </w:pPr>
    </w:p>
    <w:p>
      <w:pPr>
        <w:ind w:right="260" w:firstLine="434"/>
        <w:spacing w:after="0" w:line="263" w:lineRule="auto"/>
        <w:rPr>
          <w:sz w:val="20"/>
          <w:szCs w:val="20"/>
          <w:color w:val="auto"/>
        </w:rPr>
      </w:pPr>
      <w:r>
        <w:rPr>
          <w:rFonts w:ascii="Arial" w:cs="Arial" w:eastAsia="Arial" w:hAnsi="Arial"/>
          <w:sz w:val="18"/>
          <w:szCs w:val="18"/>
          <w:color w:val="auto"/>
        </w:rPr>
        <w:t>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143" w:lineRule="exact"/>
        <w:rPr>
          <w:sz w:val="20"/>
          <w:szCs w:val="20"/>
          <w:color w:val="auto"/>
        </w:rPr>
      </w:pPr>
    </w:p>
    <w:p>
      <w:pPr>
        <w:ind w:right="80" w:firstLine="434"/>
        <w:spacing w:after="0" w:line="257" w:lineRule="auto"/>
        <w:rPr>
          <w:sz w:val="20"/>
          <w:szCs w:val="20"/>
          <w:color w:val="auto"/>
        </w:rPr>
      </w:pPr>
      <w:r>
        <w:rPr>
          <w:rFonts w:ascii="Arial" w:cs="Arial" w:eastAsia="Arial" w:hAnsi="Arial"/>
          <w:sz w:val="18"/>
          <w:szCs w:val="18"/>
          <w:color w:val="auto"/>
        </w:rPr>
        <w:t>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47" w:lineRule="exact"/>
        <w:rPr>
          <w:sz w:val="20"/>
          <w:szCs w:val="20"/>
          <w:color w:val="auto"/>
        </w:rPr>
      </w:pPr>
    </w:p>
    <w:p>
      <w:pPr>
        <w:ind w:right="60" w:firstLine="434"/>
        <w:spacing w:after="0" w:line="263" w:lineRule="auto"/>
        <w:rPr>
          <w:sz w:val="20"/>
          <w:szCs w:val="20"/>
          <w:color w:val="auto"/>
        </w:rPr>
      </w:pPr>
      <w:r>
        <w:rPr>
          <w:rFonts w:ascii="Arial" w:cs="Arial" w:eastAsia="Arial" w:hAnsi="Arial"/>
          <w:sz w:val="18"/>
          <w:szCs w:val="18"/>
          <w:color w:val="auto"/>
        </w:rPr>
        <w:t>If other EU and Member States pursue withdrawal, barrier-free access between the U.K. and other EU Member States or among the European Economic Area overall could be diminished or eliminated. The long-term effects of Brexit will depend on how the terms of the TCA take effect in practice and any further agreements (or lack thereof) between the U.K. and the EU.</w:t>
      </w:r>
    </w:p>
    <w:p>
      <w:pPr>
        <w:spacing w:after="0" w:line="157" w:lineRule="exact"/>
        <w:rPr>
          <w:sz w:val="20"/>
          <w:szCs w:val="20"/>
          <w:color w:val="auto"/>
        </w:rPr>
      </w:pPr>
    </w:p>
    <w:p>
      <w:pPr>
        <w:ind w:right="60" w:firstLine="434"/>
        <w:spacing w:after="0" w:line="277" w:lineRule="auto"/>
        <w:rPr>
          <w:sz w:val="20"/>
          <w:szCs w:val="20"/>
          <w:color w:val="auto"/>
        </w:rPr>
      </w:pPr>
      <w:r>
        <w:rPr>
          <w:rFonts w:ascii="Arial" w:cs="Arial" w:eastAsia="Arial" w:hAnsi="Arial"/>
          <w:sz w:val="18"/>
          <w:szCs w:val="18"/>
          <w:color w:val="auto"/>
        </w:rPr>
        <w:t>Such a withdrawal from the EU is unprecedented, and it is unclear how the restrictions on the U.K.’s access to the European single market for goods, capital, services and labor within the EU, or single market, and the wider commercial, legal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81" w:name="page82"/>
    <w:bookmarkEnd w:id="81"/>
    <w:p>
      <w:pPr>
        <w:ind w:right="940"/>
        <w:spacing w:after="0" w:line="277" w:lineRule="auto"/>
        <w:rPr>
          <w:sz w:val="20"/>
          <w:szCs w:val="20"/>
          <w:color w:val="auto"/>
        </w:rPr>
      </w:pPr>
      <w:r>
        <w:rPr>
          <w:rFonts w:ascii="Arial" w:cs="Arial" w:eastAsia="Arial" w:hAnsi="Arial"/>
          <w:sz w:val="18"/>
          <w:szCs w:val="18"/>
          <w:color w:val="auto"/>
        </w:rPr>
        <w:t>and regulatory environment, will impact our current and future operations (including business activities conducted by third parties and contract manufacturers on our behalf) and clinical activities in the U.K.</w:t>
      </w:r>
    </w:p>
    <w:p>
      <w:pPr>
        <w:spacing w:after="0" w:line="143" w:lineRule="exact"/>
        <w:rPr>
          <w:sz w:val="20"/>
          <w:szCs w:val="20"/>
          <w:color w:val="auto"/>
        </w:rPr>
      </w:pPr>
    </w:p>
    <w:p>
      <w:pPr>
        <w:ind w:right="40" w:firstLine="434"/>
        <w:spacing w:after="0" w:line="268"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The U.K. will lose the benefits of global trade agreements negotiated by the EU on behalf of its members, which may result in increased trade 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European Medicines Agency, or EMA, and a separate process for authorization of drug products, including our product candidates and products in the U.K., will be required in Great Britain resulting in an authorization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Even prior to any change to the U.K.’s relationship with the EU, the announcement of Brexit has created economic uncertainty surrounding the terms of Brexit and its consequences could adversely impact customer confidence resulting in customers reducing their spending budgets on our product candidates, if approved, which could adversely affect our business, financial condition, results of operations and could adversely affect the market price of our common stock.</w:t>
      </w:r>
    </w:p>
    <w:p>
      <w:pPr>
        <w:spacing w:after="0" w:line="141" w:lineRule="exact"/>
        <w:rPr>
          <w:sz w:val="20"/>
          <w:szCs w:val="20"/>
          <w:color w:val="auto"/>
        </w:rPr>
      </w:pPr>
    </w:p>
    <w:p>
      <w:pPr>
        <w:ind w:firstLine="434"/>
        <w:spacing w:after="0" w:line="259" w:lineRule="auto"/>
        <w:rPr>
          <w:sz w:val="20"/>
          <w:szCs w:val="20"/>
          <w:color w:val="auto"/>
        </w:rPr>
      </w:pPr>
      <w:r>
        <w:rPr>
          <w:rFonts w:ascii="Arial" w:cs="Arial" w:eastAsia="Arial" w:hAnsi="Arial"/>
          <w:sz w:val="18"/>
          <w:szCs w:val="18"/>
          <w:color w:val="auto"/>
        </w:rPr>
        <w:t>The UK government is currently trying to renegotiate fundamental aspects of the Northern Ireland Protocol so this is an unpredictable area for companies in the near future. The TCA allows for future deviation from the current regulatory framework and it is not known if and/or when any deviations may occur, which may have an impact on development, manufacture, marketing authorization, commercial sales and distribution of pharmaceutical products.</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231F20"/>
        </w:rPr>
        <w:t>Changes in U.S. tax law could adversely affect our financial condition and results of operations.</w:t>
      </w:r>
    </w:p>
    <w:p>
      <w:pPr>
        <w:spacing w:after="0" w:line="171" w:lineRule="exact"/>
        <w:rPr>
          <w:sz w:val="20"/>
          <w:szCs w:val="20"/>
          <w:color w:val="auto"/>
        </w:rPr>
      </w:pPr>
    </w:p>
    <w:p>
      <w:pPr>
        <w:ind w:right="20" w:firstLine="434"/>
        <w:spacing w:after="0" w:line="211"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4" w:lineRule="exact"/>
        <w:rPr>
          <w:sz w:val="20"/>
          <w:szCs w:val="20"/>
          <w:color w:val="auto"/>
        </w:rPr>
      </w:pPr>
    </w:p>
    <w:p>
      <w:pPr>
        <w:ind w:right="80" w:firstLine="1188"/>
        <w:spacing w:after="0" w:line="258" w:lineRule="auto"/>
        <w:rPr>
          <w:sz w:val="20"/>
          <w:szCs w:val="20"/>
          <w:color w:val="auto"/>
        </w:rPr>
      </w:pPr>
      <w:r>
        <w:rPr>
          <w:rFonts w:ascii="Arial" w:cs="Arial" w:eastAsia="Arial" w:hAnsi="Arial"/>
          <w:sz w:val="18"/>
          <w:szCs w:val="18"/>
          <w:b w:val="1"/>
          <w:bCs w:val="1"/>
          <w:i w:val="1"/>
          <w:iCs w:val="1"/>
          <w:color w:val="231F20"/>
        </w:rPr>
        <w:t>Our internal computer systems, or those of our collaborators or other contractors or consultants, may fail or suffer security breaches, which could result in a material disruption of our product development programs.</w:t>
      </w:r>
    </w:p>
    <w:p>
      <w:pPr>
        <w:spacing w:after="0" w:line="133" w:lineRule="exact"/>
        <w:rPr>
          <w:sz w:val="20"/>
          <w:szCs w:val="20"/>
          <w:color w:val="auto"/>
        </w:rPr>
      </w:pPr>
    </w:p>
    <w:p>
      <w:pPr>
        <w:ind w:firstLine="434"/>
        <w:spacing w:after="0" w:line="289" w:lineRule="auto"/>
        <w:rPr>
          <w:sz w:val="20"/>
          <w:szCs w:val="20"/>
          <w:color w:val="auto"/>
        </w:rPr>
      </w:pPr>
      <w:r>
        <w:rPr>
          <w:rFonts w:ascii="Arial" w:cs="Arial" w:eastAsia="Arial" w:hAnsi="Arial"/>
          <w:sz w:val="16"/>
          <w:szCs w:val="16"/>
          <w:color w:val="auto"/>
        </w:rPr>
        <w:t>Our internal computer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26" w:lineRule="exact"/>
        <w:rPr>
          <w:sz w:val="20"/>
          <w:szCs w:val="20"/>
          <w:color w:val="auto"/>
        </w:rPr>
      </w:pPr>
    </w:p>
    <w:p>
      <w:pPr>
        <w:ind w:right="200" w:firstLine="434"/>
        <w:spacing w:after="0" w:line="272" w:lineRule="auto"/>
        <w:rPr>
          <w:sz w:val="20"/>
          <w:szCs w:val="20"/>
          <w:color w:val="auto"/>
        </w:rPr>
      </w:pPr>
      <w:r>
        <w:rPr>
          <w:rFonts w:ascii="Arial" w:cs="Arial" w:eastAsia="Arial" w:hAnsi="Arial"/>
          <w:sz w:val="17"/>
          <w:szCs w:val="17"/>
          <w:color w:val="auto"/>
        </w:rPr>
        <w:t>We could be subject to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If a material breach of, or accidental or intentional loss of data from, our information technology systems or those of our vendors occurs, the market perception of</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2" w:name="page83"/>
    <w:bookmarkEnd w:id="82"/>
    <w:p>
      <w:pPr>
        <w:ind w:right="800"/>
        <w:spacing w:after="0" w:line="277" w:lineRule="auto"/>
        <w:rPr>
          <w:sz w:val="20"/>
          <w:szCs w:val="20"/>
          <w:color w:val="auto"/>
        </w:rPr>
      </w:pPr>
      <w:r>
        <w:rPr>
          <w:rFonts w:ascii="Arial" w:cs="Arial" w:eastAsia="Arial" w:hAnsi="Arial"/>
          <w:sz w:val="18"/>
          <w:szCs w:val="18"/>
          <w:color w:val="auto"/>
        </w:rPr>
        <w:t>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143" w:lineRule="exact"/>
        <w:rPr>
          <w:sz w:val="20"/>
          <w:szCs w:val="20"/>
          <w:color w:val="auto"/>
        </w:rPr>
      </w:pPr>
    </w:p>
    <w:p>
      <w:pPr>
        <w:ind w:right="180" w:firstLine="434"/>
        <w:spacing w:after="0" w:line="290" w:lineRule="auto"/>
        <w:rPr>
          <w:sz w:val="20"/>
          <w:szCs w:val="20"/>
          <w:color w:val="auto"/>
        </w:rPr>
      </w:pPr>
      <w:r>
        <w:rPr>
          <w:rFonts w:ascii="Arial" w:cs="Arial" w:eastAsia="Arial" w:hAnsi="Arial"/>
          <w:sz w:val="16"/>
          <w:szCs w:val="16"/>
          <w:color w:val="auto"/>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spacing w:after="0" w:line="125" w:lineRule="exact"/>
        <w:rPr>
          <w:sz w:val="20"/>
          <w:szCs w:val="20"/>
          <w:color w:val="auto"/>
        </w:rPr>
      </w:pPr>
    </w:p>
    <w:p>
      <w:pPr>
        <w:ind w:right="80" w:firstLine="434"/>
        <w:spacing w:after="0" w:line="279" w:lineRule="auto"/>
        <w:rPr>
          <w:sz w:val="20"/>
          <w:szCs w:val="20"/>
          <w:color w:val="auto"/>
        </w:rPr>
      </w:pPr>
      <w:r>
        <w:rPr>
          <w:rFonts w:ascii="Arial" w:cs="Arial" w:eastAsia="Arial" w:hAnsi="Arial"/>
          <w:sz w:val="17"/>
          <w:szCs w:val="17"/>
          <w:color w:val="auto"/>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31" w:lineRule="exact"/>
        <w:rPr>
          <w:sz w:val="20"/>
          <w:szCs w:val="20"/>
          <w:color w:val="auto"/>
        </w:rPr>
      </w:pPr>
    </w:p>
    <w:p>
      <w:pPr>
        <w:ind w:right="80" w:firstLine="434"/>
        <w:spacing w:after="0" w:line="296" w:lineRule="auto"/>
        <w:rPr>
          <w:sz w:val="20"/>
          <w:szCs w:val="20"/>
          <w:color w:val="auto"/>
        </w:rPr>
      </w:pPr>
      <w:r>
        <w:rPr>
          <w:rFonts w:ascii="Arial" w:cs="Arial" w:eastAsia="Arial" w:hAnsi="Arial"/>
          <w:sz w:val="16"/>
          <w:szCs w:val="16"/>
          <w:color w:val="auto"/>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spacing w:after="0" w:line="148"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231F20"/>
        </w:rPr>
        <w:t>Unfavorable global economic conditions could adversely affect our business, financial condition or results of operations.</w:t>
      </w:r>
    </w:p>
    <w:p>
      <w:pPr>
        <w:spacing w:after="0" w:line="183" w:lineRule="exact"/>
        <w:rPr>
          <w:sz w:val="20"/>
          <w:szCs w:val="20"/>
          <w:color w:val="auto"/>
        </w:rPr>
      </w:pPr>
    </w:p>
    <w:p>
      <w:pPr>
        <w:ind w:right="40" w:firstLine="434"/>
        <w:spacing w:after="0" w:line="254"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the impact of the COVID-19 pandemic,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231F20"/>
        </w:rPr>
        <w:t>The increasing use of social media platforms presents new risks and challenges.</w:t>
      </w:r>
    </w:p>
    <w:p>
      <w:pPr>
        <w:spacing w:after="0" w:line="185"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3" w:name="page84"/>
    <w:bookmarkEnd w:id="83"/>
    <w:p>
      <w:pPr>
        <w:ind w:right="20" w:firstLine="1152"/>
        <w:spacing w:after="0" w:line="277" w:lineRule="auto"/>
        <w:rPr>
          <w:sz w:val="20"/>
          <w:szCs w:val="20"/>
          <w:color w:val="auto"/>
        </w:rPr>
      </w:pPr>
      <w:r>
        <w:rPr>
          <w:rFonts w:ascii="Arial" w:cs="Arial" w:eastAsia="Arial" w:hAnsi="Arial"/>
          <w:sz w:val="18"/>
          <w:szCs w:val="18"/>
          <w:b w:val="1"/>
          <w:bCs w:val="1"/>
          <w:i w:val="1"/>
          <w:iCs w:val="1"/>
          <w:color w:val="231F20"/>
        </w:rPr>
        <w:t>Our estimates of market opportunity and forecasts of market growth may prove to be inaccurate, and even if the markets in which we compete achieve the forecasted growth, our business may not grow at similar rates, or at all.</w:t>
      </w:r>
    </w:p>
    <w:p>
      <w:pPr>
        <w:spacing w:after="0" w:line="116" w:lineRule="exact"/>
        <w:rPr>
          <w:sz w:val="20"/>
          <w:szCs w:val="20"/>
          <w:color w:val="auto"/>
        </w:rPr>
      </w:pPr>
    </w:p>
    <w:p>
      <w:pPr>
        <w:ind w:right="120" w:firstLine="434"/>
        <w:spacing w:after="0" w:line="284"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02"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On June 2, 2020, our Registration Statement on Form S-1 (No. 333-238146) was declared effective by the SEC pursuant to which we issued and sold an aggregate of 10,350,000 shares of common stock (inclusive of 9,000,000 shares of common stock and 1,350,000 shares of common stock pursuant to the underwriters’ exercise of their over-allotment option) at a public offering price of $16.00 per share for aggregate net cash proceeds of $148.3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sale and issuance of 10,350,000 shares closed on June 5, 2020.</w:t>
      </w:r>
    </w:p>
    <w:p>
      <w:pPr>
        <w:spacing w:after="0" w:line="171" w:lineRule="exact"/>
        <w:rPr>
          <w:sz w:val="20"/>
          <w:szCs w:val="20"/>
          <w:color w:val="auto"/>
        </w:rPr>
      </w:pPr>
    </w:p>
    <w:p>
      <w:pPr>
        <w:ind w:right="200" w:firstLine="434"/>
        <w:spacing w:after="0" w:line="261"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our prospectus dated June 2, 2020 filed with the SEC on June 3, 2020 in connection with our IPO.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following table contains information relating to the repurchases of our common stock made by us in the three months ended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30, 2021.</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Period</w:t>
            </w:r>
          </w:p>
        </w:tc>
        <w:tc>
          <w:tcPr>
            <w:tcW w:w="2120" w:type="dxa"/>
            <w:vAlign w:val="bottom"/>
            <w:gridSpan w:val="2"/>
          </w:tcPr>
          <w:p>
            <w:pPr>
              <w:ind w:left="1420"/>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spacing w:after="0"/>
              <w:rPr>
                <w:sz w:val="14"/>
                <w:szCs w:val="14"/>
                <w:color w:val="auto"/>
              </w:rPr>
            </w:pPr>
          </w:p>
        </w:tc>
        <w:tc>
          <w:tcPr>
            <w:tcW w:w="19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Average Price Paid per Share</w:t>
            </w:r>
          </w:p>
        </w:tc>
        <w:tc>
          <w:tcPr>
            <w:tcW w:w="0" w:type="dxa"/>
            <w:vAlign w:val="bottom"/>
          </w:tcPr>
          <w:p>
            <w:pPr>
              <w:spacing w:after="0"/>
              <w:rPr>
                <w:sz w:val="1"/>
                <w:szCs w:val="1"/>
                <w:color w:val="auto"/>
              </w:rPr>
            </w:pPr>
          </w:p>
        </w:tc>
      </w:tr>
      <w:tr>
        <w:trPr>
          <w:trHeight w:val="188"/>
        </w:trPr>
        <w:tc>
          <w:tcPr>
            <w:tcW w:w="346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Number of Shares Purchased</w:t>
            </w:r>
            <w:r>
              <w:rPr>
                <w:rFonts w:ascii="Arial" w:cs="Arial" w:eastAsia="Arial" w:hAnsi="Arial"/>
                <w:sz w:val="10"/>
                <w:szCs w:val="10"/>
                <w:b w:val="1"/>
                <w:bCs w:val="1"/>
                <w:color w:val="auto"/>
                <w:w w:val="98"/>
              </w:rPr>
              <w:t>(1)</w:t>
            </w:r>
          </w:p>
        </w:tc>
        <w:tc>
          <w:tcPr>
            <w:tcW w:w="1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July 1-31, 2021</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3460" w:type="dxa"/>
            <w:vAlign w:val="bottom"/>
          </w:tcPr>
          <w:p>
            <w:pPr>
              <w:ind w:left="1160"/>
              <w:spacing w:after="0"/>
              <w:rPr>
                <w:sz w:val="20"/>
                <w:szCs w:val="20"/>
                <w:color w:val="auto"/>
              </w:rPr>
            </w:pPr>
            <w:r>
              <w:rPr>
                <w:rFonts w:ascii="Arial" w:cs="Arial" w:eastAsia="Arial" w:hAnsi="Arial"/>
                <w:sz w:val="18"/>
                <w:szCs w:val="18"/>
                <w:color w:val="auto"/>
              </w:rPr>
              <w:t>August 1-31, 2021</w:t>
            </w:r>
          </w:p>
        </w:tc>
        <w:tc>
          <w:tcPr>
            <w:tcW w:w="21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September 1-30, 2021</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220" w:firstLine="1134"/>
        <w:spacing w:after="0" w:line="311" w:lineRule="auto"/>
        <w:rPr>
          <w:sz w:val="20"/>
          <w:szCs w:val="20"/>
          <w:color w:val="auto"/>
        </w:rPr>
      </w:pPr>
      <w:r>
        <w:rPr>
          <w:rFonts w:ascii="Arial" w:cs="Arial" w:eastAsia="Arial" w:hAnsi="Arial"/>
          <w:sz w:val="16"/>
          <w:szCs w:val="16"/>
          <w:color w:val="auto"/>
        </w:rPr>
        <w:t>(1)Represents shares of unvested common stock that were repurchased by us from former employees upon termination of employment in accordance with the terms of the employees’ stock option agreements. The purchase price per share is equal to the original exercise price paid by the former employees. See Note 11 to our condensed financial statements appearing elsewhere in this Report for additional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9880" w:type="dxa"/>
            <w:vAlign w:val="bottom"/>
            <w:gridSpan w:val="16"/>
          </w:tcPr>
          <w:p>
            <w:pPr>
              <w:ind w:left="120"/>
              <w:spacing w:after="0"/>
              <w:rPr>
                <w:sz w:val="20"/>
                <w:szCs w:val="20"/>
                <w:color w:val="auto"/>
              </w:rPr>
            </w:pPr>
            <w:r>
              <w:rPr>
                <w:rFonts w:ascii="Arial" w:cs="Arial" w:eastAsia="Arial" w:hAnsi="Arial"/>
                <w:sz w:val="18"/>
                <w:szCs w:val="18"/>
                <w:color w:val="auto"/>
              </w:rPr>
              <w:t>See Exhibit Index</w:t>
            </w:r>
          </w:p>
        </w:tc>
        <w:tc>
          <w:tcPr>
            <w:tcW w:w="0" w:type="dxa"/>
            <w:vAlign w:val="bottom"/>
          </w:tcPr>
          <w:p>
            <w:pPr>
              <w:spacing w:after="0"/>
              <w:rPr>
                <w:sz w:val="1"/>
                <w:szCs w:val="1"/>
                <w:color w:val="auto"/>
              </w:rPr>
            </w:pPr>
          </w:p>
        </w:tc>
      </w:tr>
      <w:tr>
        <w:trPr>
          <w:trHeight w:val="540"/>
        </w:trPr>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960" w:type="dxa"/>
            <w:vAlign w:val="bottom"/>
            <w:gridSpan w:val="12"/>
          </w:tcPr>
          <w:p>
            <w:pPr>
              <w:ind w:left="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7"/>
        </w:trPr>
        <w:tc>
          <w:tcPr>
            <w:tcW w:w="1020" w:type="dxa"/>
            <w:vAlign w:val="bottom"/>
          </w:tcPr>
          <w:p>
            <w:pPr>
              <w:ind w:left="4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5960" w:type="dxa"/>
            <w:vAlign w:val="bottom"/>
            <w:gridSpan w:val="12"/>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No.</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596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1020" w:type="dxa"/>
            <w:vAlign w:val="bottom"/>
          </w:tcPr>
          <w:p>
            <w:pPr>
              <w:ind w:left="2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3"/>
              </w:rPr>
            </w:pPr>
            <w:hyperlink r:id="rId98">
              <w:r>
                <w:rPr>
                  <w:rFonts w:ascii="Arial" w:cs="Arial" w:eastAsia="Arial" w:hAnsi="Arial"/>
                  <w:sz w:val="18"/>
                  <w:szCs w:val="18"/>
                  <w:color w:val="0000FF"/>
                  <w:w w:val="93"/>
                </w:rPr>
                <w:t>Amended and Restated Certificate of Incorporation of the Registrant, as currently in effect (incorporated by reference to Exhibit</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3.</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of the Registrant’s quarterly report on Form 10-Q (File No. 001-39303) filed on August 11, 2020).</w:t>
              </w:r>
            </w:hyperlink>
          </w:p>
        </w:tc>
        <w:tc>
          <w:tcPr>
            <w:tcW w:w="186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rPr>
            </w:pPr>
            <w:hyperlink r:id="rId99">
              <w:r>
                <w:rPr>
                  <w:rFonts w:ascii="Arial" w:cs="Arial" w:eastAsia="Arial" w:hAnsi="Arial"/>
                  <w:sz w:val="18"/>
                  <w:szCs w:val="18"/>
                  <w:color w:val="0000FF"/>
                </w:rPr>
                <w:t>Amended and Restated Bylaws of the Registrant, as currently in effect (incorporated by reference to Exhibit 3.1 of the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Registrant’s current report on Form 8-K (File No. 001-39303) filed on December 21, 2020)</w:t>
              </w:r>
              <w:r>
                <w:rPr>
                  <w:rFonts w:ascii="Arial" w:cs="Arial" w:eastAsia="Arial" w:hAnsi="Arial"/>
                  <w:sz w:val="18"/>
                  <w:szCs w:val="18"/>
                  <w:color w:val="000000"/>
                </w:rPr>
                <w:t>.</w:t>
              </w:r>
            </w:hyperlink>
          </w:p>
        </w:tc>
        <w:tc>
          <w:tcPr>
            <w:tcW w:w="6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Specimen Common Stock Certificate (incorporated by reference to Exhibit 4.1 of the Registrant’s Registration Statement on Form</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S-1, as amended (File No. 333-238146) filed on May 26, 2020).</w:t>
              </w:r>
            </w:hyperlink>
          </w:p>
        </w:tc>
        <w:tc>
          <w:tcPr>
            <w:tcW w:w="47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2"/>
              </w:rPr>
            </w:pPr>
            <w:hyperlink w:anchor="page87">
              <w:r>
                <w:rPr>
                  <w:rFonts w:ascii="Arial" w:cs="Arial" w:eastAsia="Arial" w:hAnsi="Arial"/>
                  <w:sz w:val="18"/>
                  <w:szCs w:val="18"/>
                  <w:color w:val="0000FF"/>
                  <w:w w:val="92"/>
                </w:rPr>
                <w:t>Certification of Chief Executive Officer required by Rule 13a-14(a) or Rule 15d-14(a) of the Securities Exchange Act of 1934, as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87">
              <w:r>
                <w:rPr>
                  <w:rFonts w:ascii="Arial" w:cs="Arial" w:eastAsia="Arial" w:hAnsi="Arial"/>
                  <w:sz w:val="18"/>
                  <w:szCs w:val="18"/>
                  <w:color w:val="0000FF"/>
                  <w:w w:val="90"/>
                </w:rPr>
                <w:t>adopted pursuant to Section 302 of the Sarbanes-Oxley Act of 2002.</w:t>
              </w:r>
            </w:hyperlink>
          </w:p>
        </w:tc>
        <w:tc>
          <w:tcPr>
            <w:tcW w:w="4380" w:type="dxa"/>
            <w:vAlign w:val="bottom"/>
            <w:tcBorders>
              <w:top w:val="single" w:sz="8" w:color="0000FF"/>
            </w:tcBorders>
            <w:gridSpan w:val="7"/>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3"/>
              </w:rPr>
            </w:pPr>
            <w:hyperlink w:anchor="page88">
              <w:r>
                <w:rPr>
                  <w:rFonts w:ascii="Arial" w:cs="Arial" w:eastAsia="Arial" w:hAnsi="Arial"/>
                  <w:sz w:val="18"/>
                  <w:szCs w:val="18"/>
                  <w:color w:val="0000FF"/>
                  <w:w w:val="93"/>
                </w:rPr>
                <w:t>Certification of Chief Financial Officer required by Rule 13a-14(a) or Rule 15d-14(a) of the Securities Exchange Act of 1934, as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adopted pursuant to Section 302 of the Sarbanes-Oxley Act of 2002.</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3"/>
              </w:rPr>
            </w:pPr>
            <w:hyperlink w:anchor="page89">
              <w:r>
                <w:rPr>
                  <w:rFonts w:ascii="Arial" w:cs="Arial" w:eastAsia="Arial" w:hAnsi="Arial"/>
                  <w:sz w:val="18"/>
                  <w:szCs w:val="18"/>
                  <w:color w:val="0000FF"/>
                  <w:w w:val="93"/>
                </w:rPr>
                <w:t>Certification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89">
              <w:r>
                <w:rPr>
                  <w:rFonts w:ascii="Arial" w:cs="Arial" w:eastAsia="Arial" w:hAnsi="Arial"/>
                  <w:sz w:val="18"/>
                  <w:szCs w:val="18"/>
                  <w:color w:val="0000FF"/>
                </w:rPr>
                <w:t>Section 906 of the Sarbanes-Oxley Act of 2002.</w:t>
              </w:r>
            </w:hyperlink>
          </w:p>
        </w:tc>
        <w:tc>
          <w:tcPr>
            <w:tcW w:w="2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5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9" w:lineRule="exact"/>
        <w:rPr>
          <w:sz w:val="20"/>
          <w:szCs w:val="20"/>
          <w:color w:val="auto"/>
        </w:rPr>
      </w:pPr>
    </w:p>
    <w:p>
      <w:pPr>
        <w:ind w:left="980" w:hanging="972"/>
        <w:spacing w:after="0" w:line="255" w:lineRule="auto"/>
        <w:tabs>
          <w:tab w:leader="none" w:pos="3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1" w:right="47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9, 2021</w:t>
      </w:r>
    </w:p>
    <w:p>
      <w:pPr>
        <w:spacing w:after="0" w:line="144"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5560" w:type="dxa"/>
            <w:vAlign w:val="bottom"/>
            <w:gridSpan w:val="2"/>
          </w:tcPr>
          <w:p>
            <w:pPr>
              <w:ind w:left="460"/>
              <w:spacing w:after="0"/>
              <w:rPr>
                <w:sz w:val="20"/>
                <w:szCs w:val="20"/>
                <w:color w:val="auto"/>
              </w:rPr>
            </w:pPr>
            <w:r>
              <w:rPr>
                <w:rFonts w:ascii="Arial" w:cs="Arial" w:eastAsia="Arial" w:hAnsi="Arial"/>
                <w:sz w:val="18"/>
                <w:szCs w:val="18"/>
                <w:color w:val="auto"/>
              </w:rPr>
              <w:t>PLIANT THERAPEUTICS, INC.</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Bernard Coulie</w:t>
            </w:r>
          </w:p>
        </w:tc>
      </w:tr>
      <w:tr>
        <w:trPr>
          <w:trHeight w:val="222"/>
        </w:trPr>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Bernard Coulie, M.D., Ph.D.</w:t>
            </w:r>
          </w:p>
        </w:tc>
      </w:tr>
      <w:tr>
        <w:trPr>
          <w:trHeight w:val="230"/>
        </w:trPr>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Cummings</w:t>
            </w:r>
          </w:p>
        </w:tc>
      </w:tr>
      <w:tr>
        <w:trPr>
          <w:trHeight w:val="222"/>
        </w:trPr>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Keith Cummings, M.D., M.B.A.</w:t>
            </w:r>
          </w:p>
        </w:tc>
      </w:tr>
      <w:tr>
        <w:trPr>
          <w:trHeight w:val="230"/>
        </w:trPr>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891" w:right="35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Bernard Coulie, certify that:</w:t>
      </w:r>
    </w:p>
    <w:p>
      <w:pPr>
        <w:spacing w:after="0" w:line="225" w:lineRule="exact"/>
        <w:rPr>
          <w:sz w:val="20"/>
          <w:szCs w:val="20"/>
          <w:color w:val="auto"/>
        </w:rPr>
      </w:pPr>
    </w:p>
    <w:p>
      <w:pPr>
        <w:ind w:left="1140" w:hanging="1132"/>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Pliant Therapeutics, Inc.;</w:t>
      </w:r>
    </w:p>
    <w:p>
      <w:pPr>
        <w:spacing w:after="0" w:line="225" w:lineRule="exact"/>
        <w:rPr>
          <w:rFonts w:ascii="Arial" w:cs="Arial" w:eastAsia="Arial" w:hAnsi="Arial"/>
          <w:sz w:val="18"/>
          <w:szCs w:val="18"/>
          <w:color w:val="auto"/>
        </w:rPr>
      </w:pPr>
    </w:p>
    <w:p>
      <w:pPr>
        <w:ind w:left="1140" w:right="100" w:hanging="1132"/>
        <w:spacing w:after="0" w:line="263"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140" w:right="380" w:hanging="1132"/>
        <w:spacing w:after="0" w:line="342" w:lineRule="auto"/>
        <w:tabs>
          <w:tab w:leader="none" w:pos="11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140" w:hanging="1132"/>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440" w:right="360" w:hanging="1298"/>
        <w:spacing w:after="0" w:line="259" w:lineRule="auto"/>
        <w:tabs>
          <w:tab w:leader="none" w:pos="243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2440" w:right="160" w:hanging="1298"/>
        <w:spacing w:after="0" w:line="263" w:lineRule="auto"/>
        <w:tabs>
          <w:tab w:leader="none" w:pos="24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440" w:right="260" w:hanging="1298"/>
        <w:spacing w:after="0" w:line="259" w:lineRule="auto"/>
        <w:tabs>
          <w:tab w:leader="none" w:pos="243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1140" w:right="300" w:hanging="1132"/>
        <w:spacing w:after="0" w:line="263"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440" w:right="80" w:hanging="1298"/>
        <w:spacing w:after="0" w:line="263" w:lineRule="auto"/>
        <w:tabs>
          <w:tab w:leader="none" w:pos="243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440" w:right="460" w:hanging="1298"/>
        <w:spacing w:after="0" w:line="277" w:lineRule="auto"/>
        <w:tabs>
          <w:tab w:leader="none" w:pos="24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Bernard Coulie, M.D.,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0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Cummings, certify that:</w:t>
      </w:r>
    </w:p>
    <w:p>
      <w:pPr>
        <w:spacing w:after="0" w:line="225" w:lineRule="exact"/>
        <w:rPr>
          <w:sz w:val="20"/>
          <w:szCs w:val="20"/>
          <w:color w:val="auto"/>
        </w:rPr>
      </w:pPr>
    </w:p>
    <w:p>
      <w:pPr>
        <w:ind w:left="1300" w:hanging="129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Pliant Therapeutics, Inc.;</w:t>
      </w:r>
    </w:p>
    <w:p>
      <w:pPr>
        <w:spacing w:after="0" w:line="225" w:lineRule="exact"/>
        <w:rPr>
          <w:rFonts w:ascii="Arial" w:cs="Arial" w:eastAsia="Arial" w:hAnsi="Arial"/>
          <w:sz w:val="18"/>
          <w:szCs w:val="18"/>
          <w:color w:val="auto"/>
        </w:rPr>
      </w:pPr>
    </w:p>
    <w:p>
      <w:pPr>
        <w:ind w:left="1300" w:right="160" w:hanging="1292"/>
        <w:spacing w:after="0" w:line="263"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20" w:hanging="1292"/>
        <w:spacing w:after="0" w:line="34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440" w:hanging="1292"/>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440" w:right="360" w:hanging="1136"/>
        <w:spacing w:after="0" w:line="259" w:lineRule="auto"/>
        <w:tabs>
          <w:tab w:leader="none" w:pos="243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2440" w:right="160" w:hanging="1136"/>
        <w:spacing w:after="0" w:line="263" w:lineRule="auto"/>
        <w:tabs>
          <w:tab w:leader="none" w:pos="2428"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440" w:right="260" w:hanging="1136"/>
        <w:spacing w:after="0" w:line="259" w:lineRule="auto"/>
        <w:tabs>
          <w:tab w:leader="none" w:pos="243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1300" w:right="140" w:hanging="1292"/>
        <w:spacing w:after="0" w:line="263"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440" w:right="80" w:hanging="1136"/>
        <w:spacing w:after="0" w:line="263" w:lineRule="auto"/>
        <w:tabs>
          <w:tab w:leader="none" w:pos="243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440" w:right="460" w:hanging="1136"/>
        <w:spacing w:after="0" w:line="277" w:lineRule="auto"/>
        <w:tabs>
          <w:tab w:leader="none" w:pos="242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Cummings, M.D., MBA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0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spacing w:after="0" w:line="165" w:lineRule="exact"/>
        <w:rPr>
          <w:sz w:val="20"/>
          <w:szCs w:val="20"/>
          <w:color w:val="auto"/>
        </w:rPr>
      </w:pPr>
    </w:p>
    <w:p>
      <w:pPr>
        <w:ind w:left="980" w:right="240" w:hanging="972"/>
        <w:spacing w:after="0" w:line="308"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2021, to which this Certification is attached as Exhibit 32.1 (the “Periodic Report”), fully complies with the requirements of Section 13(a) or Section 15(d) of the Exchange Act; and</w:t>
      </w:r>
    </w:p>
    <w:p>
      <w:pPr>
        <w:spacing w:after="0" w:line="146" w:lineRule="exact"/>
        <w:rPr>
          <w:rFonts w:ascii="Arial" w:cs="Arial" w:eastAsia="Arial" w:hAnsi="Arial"/>
          <w:sz w:val="17"/>
          <w:szCs w:val="17"/>
          <w:color w:val="auto"/>
        </w:rPr>
      </w:pPr>
    </w:p>
    <w:p>
      <w:pPr>
        <w:ind w:left="980" w:right="220" w:hanging="972"/>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Bernard Coulie, M.D.,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Cummings, M.D., MBA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13"/>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lvl w:ilvl="1">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98" Type="http://schemas.openxmlformats.org/officeDocument/2006/relationships/hyperlink" Target="https://www.sec.gov/Archives/edgar/data/0001746473/000156459020039327/plrx-ex31_301.htm" TargetMode="External"/><Relationship Id="rId99" Type="http://schemas.openxmlformats.org/officeDocument/2006/relationships/hyperlink" Target="https://www.sec.gov/Archives/edgar/data/1746473/000119312520322128/d61993dex31.htm" TargetMode="External"/><Relationship Id="rId100" Type="http://schemas.openxmlformats.org/officeDocument/2006/relationships/hyperlink" Target="https://www.sec.gov/Archives/edgar/data/0001746473/000119312520150643/d72925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2021-11-09T15:31:44Z</dcterms:created>
  <dcterms:modified xsi:type="dcterms:W3CDTF">2021-11-09T15:31:44Z</dcterms:modified>
</cp:coreProperties>
</file>