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2430.xml.htm"/>
      <w:bookmarkStart w:id="1" w:name="kswkform4_17909724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Raben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PLIANT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 OYSTER POINT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PLIANT THERAPEUTICS, INC.</w:t>
              </w:r>
            </w:hyperlink>
            <w:r>
              <w:rPr/>
              <w:t xml:space="preserve"> [ </w:t>
            </w:r>
            <w:r>
              <w:rPr>
                <w:rFonts w:ascii="Times;serif" w:hAnsi="Times;serif"/>
                <w:color w:val="0000FF"/>
                <w:sz w:val="24"/>
                <w:shd w:fill="FFFFFF" w:val="clear"/>
              </w:rPr>
              <w:t>PLRX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Twenty-five percent (25%) of the shares subject to such option vest and become exercisable on September 30, 2027, and the remaining seventy-five percent (75%) of the shares subject to the option vest and become exercisable in substantially equal installments thereafter on each monthly anniversary of September 30, 2027 (or if there is no corresponding day in any such month, on the last day of each month) over three (3) years, subject to the Reporting Person's continuous service to the Issuer on each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Woo,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4679" TargetMode="External"/><Relationship Id="rId5" Type="http://schemas.openxmlformats.org/officeDocument/2006/relationships/hyperlink" Target="http://www.sec.gov/cgi-bin/browse-edgar?action=getcompany&amp;CIK=00017464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662</Words>
  <Characters>3595</Characters>
  <CharactersWithSpaces>4184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