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For the transition period from</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001-39303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070" w:type="dxa"/>
        <w:jc w:val="left"/>
        <w:tblInd w:w="0" w:type="dxa"/>
        <w:tblLayout w:type="fixed"/>
        <w:tblCellMar>
          <w:top w:w="28" w:type="dxa"/>
          <w:left w:w="28" w:type="dxa"/>
          <w:bottom w:w="28" w:type="dxa"/>
          <w:right w:w="28" w:type="dxa"/>
        </w:tblCellMar>
      </w:tblPr>
      <w:tblGrid>
        <w:gridCol w:w="1540"/>
        <w:gridCol w:w="1350"/>
        <w:gridCol w:w="1369"/>
        <w:gridCol w:w="109"/>
        <w:gridCol w:w="109"/>
        <w:gridCol w:w="109"/>
        <w:gridCol w:w="433"/>
        <w:gridCol w:w="433"/>
        <w:gridCol w:w="61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331 Oyster Point Blvd., South 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(650) 481-6770</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1" w:type="dxa"/>
        <w:jc w:val="left"/>
        <w:tblInd w:w="0" w:type="dxa"/>
        <w:tblLayout w:type="fixed"/>
        <w:tblCellMar>
          <w:top w:w="28" w:type="dxa"/>
          <w:left w:w="28" w:type="dxa"/>
          <w:bottom w:w="28" w:type="dxa"/>
          <w:right w:w="28" w:type="dxa"/>
        </w:tblCellMar>
      </w:tblPr>
      <w:tblGrid>
        <w:gridCol w:w="1175"/>
        <w:gridCol w:w="1027"/>
        <w:gridCol w:w="1038"/>
        <w:gridCol w:w="270"/>
        <w:gridCol w:w="270"/>
        <w:gridCol w:w="271"/>
        <w:gridCol w:w="1157"/>
        <w:gridCol w:w="1157"/>
        <w:gridCol w:w="1646"/>
      </w:tblGrid>
      <w:tr>
        <w:trPr/>
        <w:tc>
          <w:tcPr>
            <w:tcW w:w="117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Layout w:type="fixed"/>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1, 2024, the registrant had 60,853,623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12" w:type="dxa"/>
        <w:jc w:val="left"/>
        <w:tblInd w:w="0" w:type="dxa"/>
        <w:tblLayout w:type="fixed"/>
        <w:tblCellMar>
          <w:top w:w="28" w:type="dxa"/>
          <w:left w:w="28" w:type="dxa"/>
          <w:bottom w:w="28" w:type="dxa"/>
          <w:right w:w="28" w:type="dxa"/>
        </w:tblCellMar>
      </w:tblPr>
      <w:tblGrid>
        <w:gridCol w:w="353"/>
        <w:gridCol w:w="309"/>
        <w:gridCol w:w="314"/>
        <w:gridCol w:w="2452"/>
        <w:gridCol w:w="2452"/>
        <w:gridCol w:w="2460"/>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0">
              <w:r>
                <w:rPr>
                  <w:rStyle w:val="InternetLink"/>
                  <w:rFonts w:ascii="Times New Roman;sans-serif" w:hAnsi="Times New Roman;sans-serif"/>
                  <w:b/>
                  <w:color w:val="112ADB"/>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0">
              <w:r>
                <w:rPr>
                  <w:rStyle w:val="InternetLink"/>
                  <w:rFonts w:ascii="Times New Roman;sans-serif" w:hAnsi="Times New Roman;sans-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0">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
              <w:r>
                <w:rPr>
                  <w:rStyle w:val="InternetLink"/>
                  <w:rFonts w:ascii="Times New Roman;sans-serif" w:hAnsi="Times New Roman;sans-serif"/>
                  <w:b w:val="false"/>
                  <w:color w:val="000080"/>
                  <w:sz w:val="20"/>
                  <w:u w:val="single"/>
                </w:rPr>
                <w:t>Condensed Financial Statements</w:t>
              </w:r>
            </w:hyperlink>
            <w:r>
              <w:rPr>
                <w:rFonts w:ascii="Times New Roman;sans-serif" w:hAnsi="Times New Roman;sans-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3">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6">
              <w:r>
                <w:rPr>
                  <w:rStyle w:val="InternetLink"/>
                  <w:rFonts w:ascii="Times New Roman;sans-serif" w:hAnsi="Times New Roman;sans-serif"/>
                  <w:b w:val="false"/>
                  <w:color w:val="0E32E1"/>
                  <w:sz w:val="20"/>
                  <w:u w:val="single"/>
                </w:rPr>
                <w:t xml:space="preserve">Condensed 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6">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9">
              <w:r>
                <w:rPr>
                  <w:rStyle w:val="InternetLink"/>
                  <w:rFonts w:ascii="Times New Roman;sans-serif" w:hAnsi="Times New Roman;sans-serif"/>
                  <w:b w:val="false"/>
                  <w:color w:val="0E32E1"/>
                  <w:sz w:val="20"/>
                  <w:u w:val="single"/>
                </w:rPr>
                <w:t xml:space="preserve">Condensed Statements of Operations and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9">
              <w:r>
                <w:rPr>
                  <w:rStyle w:val="InternetLink"/>
                  <w:rFonts w:ascii="Times New Roman;sans-serif" w:hAnsi="Times New Roman;sans-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22">
              <w:r>
                <w:rPr>
                  <w:rStyle w:val="InternetLink"/>
                  <w:rFonts w:ascii="Times New Roman;sans-serif" w:hAnsi="Times New Roman;sans-serif"/>
                  <w:b w:val="false"/>
                  <w:color w:val="0E32E1"/>
                  <w:sz w:val="20"/>
                  <w:u w:val="single"/>
                </w:rPr>
                <w:t xml:space="preserve">Condensed Statements of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22">
              <w:r>
                <w:rPr>
                  <w:rStyle w:val="InternetLink"/>
                  <w:rFonts w:ascii="Times New Roman;sans-serif" w:hAnsi="Times New Roman;sans-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25">
              <w:r>
                <w:rPr>
                  <w:rStyle w:val="InternetLink"/>
                  <w:rFonts w:ascii="Times New Roman;sans-serif" w:hAnsi="Times New Roman;sans-serif"/>
                  <w:b w:val="false"/>
                  <w:color w:val="0E32E1"/>
                  <w:sz w:val="20"/>
                  <w:u w:val="single"/>
                </w:rPr>
                <w:t>Condensed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25">
              <w:r>
                <w:rPr>
                  <w:rStyle w:val="InternetLink"/>
                  <w:rFonts w:ascii="Times New Roman;sans-serif" w:hAnsi="Times New Roman;sans-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28">
              <w:r>
                <w:rPr>
                  <w:rStyle w:val="InternetLink"/>
                  <w:rFonts w:ascii="Times New Roman;sans-serif" w:hAnsi="Times New Roman;sans-serif"/>
                  <w:b w:val="false"/>
                  <w:color w:val="0E32E1"/>
                  <w:sz w:val="20"/>
                  <w:u w:val="single"/>
                </w:rPr>
                <w:t xml:space="preserve">Notes to Condensed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28">
              <w:r>
                <w:rPr>
                  <w:rStyle w:val="InternetLink"/>
                  <w:rFonts w:ascii="Times New Roman;sans-serif" w:hAnsi="Times New Roman;sans-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79">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79">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79">
              <w:r>
                <w:rPr>
                  <w:rStyle w:val="InternetLink"/>
                  <w:rFonts w:ascii="Times New Roman;sans-serif" w:hAnsi="Times New Roman;sans-serif"/>
                  <w:b w:val="false"/>
                  <w:color w:val="112ADB"/>
                  <w:sz w:val="20"/>
                  <w:u w:val="single"/>
                </w:rPr>
                <w:t>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12">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12">
              <w:r>
                <w:rPr>
                  <w:rStyle w:val="InternetLink"/>
                  <w:rFonts w:ascii="Times New Roman;sans-serif" w:hAnsi="Times New Roman;sans-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12">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15">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15">
              <w:r>
                <w:rPr>
                  <w:rStyle w:val="InternetLink"/>
                  <w:rFonts w:ascii="Times New Roman;sans-serif" w:hAnsi="Times New Roman;sans-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15">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18">
              <w:r>
                <w:rPr>
                  <w:rStyle w:val="InternetLink"/>
                  <w:rFonts w:ascii="Times New Roman;sans-serif" w:hAnsi="Times New Roman;sans-serif"/>
                  <w:b/>
                  <w:color w:val="112ADB"/>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18">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18">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21">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21">
              <w:r>
                <w:rPr>
                  <w:rStyle w:val="InternetLink"/>
                  <w:rFonts w:ascii="Times New Roman;sans-serif" w:hAnsi="Times New Roman;sans-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21">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24">
              <w:r>
                <w:rPr>
                  <w:rStyle w:val="InternetLink"/>
                  <w:rFonts w:ascii="Times New Roman;sans-serif" w:hAnsi="Times New Roman;sans-serif"/>
                  <w:b w:val="false"/>
                  <w:color w:val="112ADB"/>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24">
              <w:r>
                <w:rPr>
                  <w:rStyle w:val="InternetLink"/>
                  <w:rFonts w:ascii="Times New Roman;sans-serif" w:hAnsi="Times New Roman;sans-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24">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27">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27">
              <w:r>
                <w:rPr>
                  <w:rStyle w:val="InternetLink"/>
                  <w:rFonts w:ascii="Times New Roman;sans-serif" w:hAnsi="Times New Roman;sans-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27">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0">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0">
              <w:r>
                <w:rPr>
                  <w:rStyle w:val="InternetLink"/>
                  <w:rFonts w:ascii="Times New Roman;sans-serif" w:hAnsi="Times New Roman;sans-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30">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3">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3">
              <w:r>
                <w:rPr>
                  <w:rStyle w:val="InternetLink"/>
                  <w:rFonts w:ascii="Times New Roman;sans-serif" w:hAnsi="Times New Roman;sans-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33">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6">
              <w:r>
                <w:rPr>
                  <w:rStyle w:val="InternetLink"/>
                  <w:rFonts w:ascii="Times New Roman;sans-serif" w:hAnsi="Times New Roman;sans-serif"/>
                  <w:b w:val="false"/>
                  <w:color w:val="112ADB"/>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36">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36">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42">
              <w:r>
                <w:rPr>
                  <w:rStyle w:val="InternetLink"/>
                  <w:rFonts w:ascii="Times New Roman;sans-serif" w:hAnsi="Times New Roman;sans-serif"/>
                  <w:b w:val="false"/>
                  <w:color w:val="112ADB"/>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42">
              <w:r>
                <w:rPr>
                  <w:rStyle w:val="InternetLink"/>
                  <w:rFonts w:ascii="Times New Roman;sans-serif" w:hAnsi="Times New Roman;sans-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42">
              <w:r>
                <w:rPr>
                  <w:rStyle w:val="InternetLink"/>
                  <w:rFonts w:ascii="Times New Roman;sans-serif" w:hAnsi="Times New Roman;sans-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16c0a4f14d4f9aa47aff9201b6358c_145">
              <w:r>
                <w:rPr>
                  <w:rStyle w:val="InternetLink"/>
                  <w:rFonts w:ascii="Times New Roman;sans-serif" w:hAnsi="Times New Roman;sans-serif"/>
                  <w:b w:val="false"/>
                  <w:color w:val="112ADB"/>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16c0a4f14d4f9aa47aff9201b6358c_145">
              <w:r>
                <w:rPr>
                  <w:rStyle w:val="InternetLink"/>
                  <w:rFonts w:ascii="Times New Roman;sans-serif" w:hAnsi="Times New Roman;sans-serif"/>
                  <w:b w:val="false"/>
                  <w:color w:val="112ADB"/>
                  <w:sz w:val="20"/>
                  <w:u w:val="single"/>
                </w:rPr>
                <w:t>75</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and clinical trials of our lead product candidate, bexotegrast (PLN-74809), including our expectations that the implementation of BEACON-IPF, a 52-week, randomized, double-blind, placebo-controlled Phase 2b trial in patients with idiopathic pulmonary fibrosis (IPF), as a pivotal adaptive Phase 2b/3 trial design will significantly shorten bexotegrast’s late-stage development compared to standalone Phase 2b and Phase 3 trials, and our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II, Item 1A -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We may fail to secure an appropriate reimbursement price or a positive health technology assessment.</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may be adversely impacted due to disruptions caused by marketplace conditions, including the effects of health epidemics and pandemics, such as COVID-19, or other geopolitical conditions.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effects of health epidemics and pandemics, such as COVID-19 could adversely impact our business, including our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Effective December 31, 2023, we became a large accelerated filer and no longer qualify as a smaller reporting company, which will increase our costs and demands on management.</w:t>
      </w:r>
    </w:p>
    <w:p>
      <w:pPr>
        <w:pStyle w:val="TextBody"/>
        <w:bidi w:val="0"/>
        <w:spacing w:before="120" w:after="12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43"/>
        <w:gridCol w:w="2326"/>
        <w:gridCol w:w="2253"/>
        <w:gridCol w:w="219"/>
        <w:gridCol w:w="861"/>
        <w:gridCol w:w="113"/>
        <w:gridCol w:w="109"/>
        <w:gridCol w:w="109"/>
        <w:gridCol w:w="109"/>
        <w:gridCol w:w="222"/>
        <w:gridCol w:w="872"/>
        <w:gridCol w:w="169"/>
      </w:tblGrid>
      <w:tr>
        <w:trPr/>
        <w:tc>
          <w:tcPr>
            <w:tcW w:w="2843"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 4)</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14)</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(Note 14)</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 (Note 14)</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10,000,000 shares authorized at September 30, 2024 and December 31, 2023, and none issued or outstanding at September 30, 2024 and December 31, 2023 (Note 9)</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300,000,000 shares authorized at September 30, 2024 and December 31, 2023; and 60,849,503 and 59,921,002 shares issued and outstanding at September 30, 2024 and December 31, 2023, respectively; (Note 10)</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gain</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445,665 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20"/>
        </w:rPr>
        <w:t>*The condensed balance sheet as of December 31, 2023 has been derived from the audited financial statements as of that date</w:t>
      </w:r>
      <w:r>
        <w:rPr>
          <w:rFonts w:ascii="Times New Roman;sans-serif" w:hAnsi="Times New Roman;sans-serif"/>
          <w:b w:val="false"/>
          <w:color w:val="000000"/>
          <w:sz w:val="18"/>
        </w:rPr>
        <w:t>.</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1636"/>
        <w:gridCol w:w="1351"/>
        <w:gridCol w:w="1363"/>
        <w:gridCol w:w="240"/>
        <w:gridCol w:w="841"/>
        <w:gridCol w:w="112"/>
        <w:gridCol w:w="112"/>
        <w:gridCol w:w="112"/>
        <w:gridCol w:w="112"/>
        <w:gridCol w:w="240"/>
        <w:gridCol w:w="841"/>
        <w:gridCol w:w="112"/>
        <w:gridCol w:w="109"/>
        <w:gridCol w:w="109"/>
        <w:gridCol w:w="109"/>
        <w:gridCol w:w="211"/>
        <w:gridCol w:w="894"/>
        <w:gridCol w:w="109"/>
        <w:gridCol w:w="109"/>
        <w:gridCol w:w="109"/>
        <w:gridCol w:w="109"/>
        <w:gridCol w:w="211"/>
        <w:gridCol w:w="894"/>
        <w:gridCol w:w="160"/>
      </w:tblGrid>
      <w:tr>
        <w:trPr/>
        <w:tc>
          <w:tcPr>
            <w:tcW w:w="16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60,730,935 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59,688,451 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60,432,643 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58,319,608 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gain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(56,298)</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(41,153)</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(160,069)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(120,176)</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698"/>
        <w:gridCol w:w="383"/>
        <w:gridCol w:w="385"/>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363"/>
        <w:gridCol w:w="829"/>
        <w:gridCol w:w="188"/>
        <w:gridCol w:w="109"/>
        <w:gridCol w:w="109"/>
        <w:gridCol w:w="109"/>
        <w:gridCol w:w="211"/>
        <w:gridCol w:w="845"/>
        <w:gridCol w:w="109"/>
        <w:gridCol w:w="109"/>
        <w:gridCol w:w="109"/>
        <w:gridCol w:w="109"/>
        <w:gridCol w:w="215"/>
        <w:gridCol w:w="843"/>
        <w:gridCol w:w="162"/>
      </w:tblGrid>
      <w:tr>
        <w:trPr/>
        <w:tc>
          <w:tcPr>
            <w:tcW w:w="6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 Gain/(Loss)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59,921,002 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60,318,542 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437,332 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60,425,144 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60,849,503 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345,822 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63"/>
        <w:gridCol w:w="444"/>
        <w:gridCol w:w="445"/>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297"/>
        <w:gridCol w:w="890"/>
        <w:gridCol w:w="155"/>
        <w:gridCol w:w="109"/>
        <w:gridCol w:w="109"/>
        <w:gridCol w:w="109"/>
        <w:gridCol w:w="211"/>
        <w:gridCol w:w="846"/>
        <w:gridCol w:w="109"/>
        <w:gridCol w:w="109"/>
        <w:gridCol w:w="109"/>
        <w:gridCol w:w="109"/>
        <w:gridCol w:w="215"/>
        <w:gridCol w:w="843"/>
        <w:gridCol w:w="163"/>
      </w:tblGrid>
      <w:tr>
        <w:trPr/>
        <w:tc>
          <w:tcPr>
            <w:tcW w:w="7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48,941,254 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9,583,334 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58,978,902 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59,222,685 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59,890,980 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503,048 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850" w:type="dxa"/>
        <w:jc w:val="left"/>
        <w:tblInd w:w="0" w:type="dxa"/>
        <w:tblLayout w:type="fixed"/>
        <w:tblCellMar>
          <w:top w:w="28" w:type="dxa"/>
          <w:left w:w="28" w:type="dxa"/>
          <w:bottom w:w="28" w:type="dxa"/>
          <w:right w:w="28" w:type="dxa"/>
        </w:tblCellMar>
      </w:tblPr>
      <w:tblGrid>
        <w:gridCol w:w="2535"/>
        <w:gridCol w:w="2226"/>
        <w:gridCol w:w="2244"/>
        <w:gridCol w:w="213"/>
        <w:gridCol w:w="882"/>
        <w:gridCol w:w="118"/>
        <w:gridCol w:w="118"/>
        <w:gridCol w:w="118"/>
        <w:gridCol w:w="118"/>
        <w:gridCol w:w="229"/>
        <w:gridCol w:w="882"/>
        <w:gridCol w:w="167"/>
      </w:tblGrid>
      <w:tr>
        <w:trPr/>
        <w:tc>
          <w:tcPr>
            <w:tcW w:w="253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(120,227)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(accretion) on short-term investments and debt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(107,841)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investments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(158,933)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of common stock under benefit plans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 net of issuance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in a public offering</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274,186 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at beginning of period</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81,098 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reported in the balance sheets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81,098 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on short-term investments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in accounts payable and accrued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 related to leases: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Pliant Therapeutics, Inc. (the “Company” or "Pliant" or “we” or “our” or “us”) is a late stage biopharmaceutical company focused on discovering and developing novel therapies for the treatment of fibrosis with an initial focus on treating fibrosis by inhibiting integrin-mediated activation of TGF-</w:t>
      </w:r>
      <w:r>
        <w:rPr>
          <w:rFonts w:ascii="Aptos;sans-serif" w:hAnsi="Aptos;sans-serif"/>
          <w:b w:val="false"/>
          <w:color w:val="000000"/>
          <w:sz w:val="22"/>
        </w:rPr>
        <w:t>β</w:t>
      </w:r>
      <w:r>
        <w:rPr>
          <w:rFonts w:ascii="Times New Roman;sans-serif" w:hAnsi="Times New Roman;sans-serif"/>
          <w:b w:val="false"/>
          <w:color w:val="000000"/>
          <w:sz w:val="20"/>
        </w:rPr>
        <w:t>.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$269.8 million, net of underwriting discounts, commissions and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and nine months ended September 30, 2024 are not necessarily indicative of the results to be expected for the year ending December 31, 2024 or for any other interim period or for any other future year.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herein should be read in conjunction with the audited financial statements and related notes in the Company’s Annual Report on Form 10-K for the year ended December 31, 2023, filed with the SEC on February 27, 2024 (the “2023 10-K”).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three and nine months ended September 30, 2024, as compared to the significant accounting policies described in Note 2 of the "Notes to the Financial Statements" in the Company's audited financial statements included in its 2023 10-K.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Recently Announced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The Company is currently evaluating the impact of this standard on its disclosures and will adopt the ASU for its 2024 10-K.</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Income Taxes (Topic 740): Improvements to Income Tax Disclosures, which expands disclosures in an entity’s income tax rate reconciliation table and regarding cash taxes paid both in the 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jurisdictions. ASU 2023-09 is effective for fiscal years beginning after December 15, 2024 on a prospective basis and retrospective application is permitted. The Company is currently evaluating the impact of this standard on its disclosures and will adopt the ASU for its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for reasons including, but not limited to, managing liquidity, credit risk, duration and asset allocation and such investments represent cash available for current operations. As a result, short-term investments may include securities with maturities beyond twelve months that are classified within current assets in the condensed balance sheets. The Company’s short-term investments classified as available-for-sale are carried at fair market value with unrealized gains or losses recognized in the statements of operations and comprehensive loss.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to the condensed balance sheets using Level 3 inputs as of September 30, 2024 and as of December 31,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short-term investments and cash equivalents by significant investment category as of September 30, 2024 and December 31, 2023 (in thousands):</w:t>
      </w:r>
    </w:p>
    <w:tbl>
      <w:tblPr>
        <w:tblW w:w="11151" w:type="dxa"/>
        <w:jc w:val="left"/>
        <w:tblInd w:w="0" w:type="dxa"/>
        <w:tblLayout w:type="fixed"/>
        <w:tblCellMar>
          <w:top w:w="28" w:type="dxa"/>
          <w:left w:w="28" w:type="dxa"/>
          <w:bottom w:w="28" w:type="dxa"/>
          <w:right w:w="28" w:type="dxa"/>
        </w:tblCellMar>
      </w:tblPr>
      <w:tblGrid>
        <w:gridCol w:w="423"/>
        <w:gridCol w:w="201"/>
        <w:gridCol w:w="202"/>
        <w:gridCol w:w="165"/>
        <w:gridCol w:w="165"/>
        <w:gridCol w:w="166"/>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securities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September 30, 2024 and December 31, 2023. The Company evaluates transfers between levels at the end of each reporting period and there have been no transfers between fair value measurement levels during the nine months ended September 30, 2024. In addition, there were no assets or liabilities measured at fair value on a non-recurring basis as of September 30, 2024 and December 31,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accretion income and amortization expense on short-term investments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481" w:type="dxa"/>
        <w:jc w:val="left"/>
        <w:tblInd w:w="0" w:type="dxa"/>
        <w:tblLayout w:type="fixed"/>
        <w:tblCellMar>
          <w:top w:w="28" w:type="dxa"/>
          <w:left w:w="28" w:type="dxa"/>
          <w:bottom w:w="28" w:type="dxa"/>
          <w:right w:w="28" w:type="dxa"/>
        </w:tblCellMar>
      </w:tblPr>
      <w:tblGrid>
        <w:gridCol w:w="1108"/>
        <w:gridCol w:w="974"/>
        <w:gridCol w:w="978"/>
        <w:gridCol w:w="416"/>
        <w:gridCol w:w="1423"/>
        <w:gridCol w:w="215"/>
        <w:gridCol w:w="109"/>
        <w:gridCol w:w="109"/>
        <w:gridCol w:w="109"/>
        <w:gridCol w:w="396"/>
        <w:gridCol w:w="1355"/>
        <w:gridCol w:w="289"/>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$0.5 million and $1.7 million for the three and nine months ended September 30, 2024, and $0.5 million and $1.4 million for the three and nine months ended September 30,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8351" w:type="dxa"/>
        <w:jc w:val="left"/>
        <w:tblInd w:w="0" w:type="dxa"/>
        <w:tblLayout w:type="fixed"/>
        <w:tblCellMar>
          <w:top w:w="28" w:type="dxa"/>
          <w:left w:w="28" w:type="dxa"/>
          <w:bottom w:w="28" w:type="dxa"/>
          <w:right w:w="28" w:type="dxa"/>
        </w:tblCellMar>
      </w:tblPr>
      <w:tblGrid>
        <w:gridCol w:w="1424"/>
        <w:gridCol w:w="1249"/>
        <w:gridCol w:w="1256"/>
        <w:gridCol w:w="463"/>
        <w:gridCol w:w="1353"/>
        <w:gridCol w:w="239"/>
        <w:gridCol w:w="109"/>
        <w:gridCol w:w="109"/>
        <w:gridCol w:w="109"/>
        <w:gridCol w:w="396"/>
        <w:gridCol w:w="1355"/>
        <w:gridCol w:w="289"/>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7437" w:type="dxa"/>
        <w:jc w:val="left"/>
        <w:tblInd w:w="0" w:type="dxa"/>
        <w:tblLayout w:type="fixed"/>
        <w:tblCellMar>
          <w:top w:w="28" w:type="dxa"/>
          <w:left w:w="28" w:type="dxa"/>
          <w:bottom w:w="28" w:type="dxa"/>
          <w:right w:w="28" w:type="dxa"/>
        </w:tblCellMar>
      </w:tblPr>
      <w:tblGrid>
        <w:gridCol w:w="1093"/>
        <w:gridCol w:w="959"/>
        <w:gridCol w:w="963"/>
        <w:gridCol w:w="463"/>
        <w:gridCol w:w="1353"/>
        <w:gridCol w:w="239"/>
        <w:gridCol w:w="109"/>
        <w:gridCol w:w="109"/>
        <w:gridCol w:w="109"/>
        <w:gridCol w:w="396"/>
        <w:gridCol w:w="1355"/>
        <w:gridCol w:w="289"/>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as amended in October 2022, we entered into a term loan facility (the “Oxford Loan Agreement”) with Oxford Finance LLC (the "Lender") for up to $100.0 million. In connection with the Oxford Loan Agreement, we granted a security interest in substantially all of our current and future assets. There are no warrants or financial covenants associated with the Oxford Loan Agreement. At closing, we entered into a term loan for $10.0 million and we decided not to draw upon the additional $65.0 million that became available to us over the course of 2023 as certain conditions related to the development of bexotegrast and one of our preclinical product candidates were satisfied. As of December 31, 2023, the time period to draw upon the additional $65.0 million had lapsed.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2024, we entered into an Amended and Restated Loan and Security Agreement (the “Amended Loan Agreement”) with the Lender to borrow a series of term loans up to an aggregate principal amount of $150.0 million (the “Term Loans”), of which $50.0 million is subject to the Lender’s sole discretion.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Amended Loan Agreement, we drew an initial Term Loan of $30.0 million, inclusive of $10.0 million in principal amount previously outstanding under the Oxford Loan Agreement. We may borrow up to an additional $70.0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Term Loans at our option upon the satisfaction of certain conditions related to the development of bexotegrast. In connection with the Amended Loan Agreement, the Company granted the Lender a security interest in substantially all of the Company’s assets now owned or hereafter acquired, excluding intellectual property to the extent the aggregate amount of Term Loans advanced and outstanding does not exceed $50.0 million (but including the right to payments and proceeds of intellectual property) and certain customary exceptions.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 Beginning on July 1, 2028, which may be extended to July 1, 2029 (subject to certain conditions set forth in the Amended Loan Agreement), the Company is required to repay the Term Loans in consecutive equal monthly payments of principal, together with applicable interest, in arrears. Interest on the Term Loans is paid on a monthly basis. All unpaid principal and accrued and unpaid interest with respect to each Term Loan will be due and payable in full on March 1, 2029, which may be extended to March 1, 2030 (subject to certain conditions set forth in the Amended Loan Agreement). Accrued interest as of September 30, 2024 and December 31, 2023 is included in other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required to make a final payment of 5.50% (or 7.25% if the amortization date of the Term Loans has been extended to July 1, 2029 (as discussed above)) of the original principal amount of the Term Loans that were drawn, payable at maturity or upon any earlier acceleration or prepayment of the Term Loans. The Company may prepay the Term Loans in whole or in part, subject to a prepayment fee equal to (i) if prepaid on or before the first anniversary date of the funding date of such Term Loan, 3.00% of the principal amount of the applicable Term Loan prepaid, (ii) if prepaid after the first anniversary and on or before the second anniversary of the funding date of such Term Loan, 2.00% of the principal amount of the applicable Term Loan prepaid, and (iii) if prepaid after the second anniversary and on or before the third anniversary of the funding date of such Term Loan prepaid, 1.00% of the principal amount of the applicable Term Loan prepaid.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contains representations and warranties, affirmative, and negative covenants, and events of default that are customary for loans of this type. The occurrence of an event of default could result in the acceleration of the obligations under the Amended Loan Agreement, termination of the Term Loan commitments and the right by the Lender to foreclose on the collateral securing the obligations. During the existence of an event of default, the Term Loans would accrue interest at a rate per annum equal to 5.00% above the otherwise applicable interest rate.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Term Loans as of September 30, 2024 were measured using Level 3 inputs and approximates the carrying value recorded to the balance sheet. The effective interest rate for the Term Loans are 11.57% and 11.72% for the three and nine months ended September 30, 2024 and 12.69% for the three and nine months ended September 30, 2023. Interest expense during the three and nine months ended September 30, 2024 was $0.9 million and $2.2 million, respectively and during the three and nine months ended September 30, 2023 was $0.3 million and $0.9 million, respectively.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September 30, 2024 are as follows (in thousands):</w:t>
      </w:r>
    </w:p>
    <w:tbl>
      <w:tblPr>
        <w:tblW w:w="5620" w:type="dxa"/>
        <w:jc w:val="left"/>
        <w:tblInd w:w="0" w:type="dxa"/>
        <w:tblLayout w:type="fixed"/>
        <w:tblCellMar>
          <w:top w:w="28" w:type="dxa"/>
          <w:left w:w="28" w:type="dxa"/>
          <w:bottom w:w="28" w:type="dxa"/>
          <w:right w:w="28" w:type="dxa"/>
        </w:tblCellMar>
      </w:tblPr>
      <w:tblGrid>
        <w:gridCol w:w="1156"/>
        <w:gridCol w:w="1012"/>
        <w:gridCol w:w="1026"/>
        <w:gridCol w:w="109"/>
        <w:gridCol w:w="109"/>
        <w:gridCol w:w="109"/>
        <w:gridCol w:w="408"/>
        <w:gridCol w:w="1394"/>
        <w:gridCol w:w="297"/>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We assessed the Novartis Agreement in accordance with ASC 606 and determined that Novartis was a customer and identified the following performance obligations: (1) to provide worldwide license rights to PLN-1474, (2) to provide research and development services for PLN-1474, (3) to provide non-exclusive license rights to integrin research targets, and (4) to provide research and development services on integrin research targets.</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17, 2023, Novartis exercised its right to terminate the Novartis Agreement. The termination took effect on April 18, 2023, and effective upon the termination, all rights and licenses granted to Novartis under the Novartis Agreement, including PLN-1474, the related investigational new drug (“IND”), and the validated research target, reverted back to us.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payment obligations of Novartis with respect to future milestones, royalties and research and development funding were also terminated.</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revenues associated with the Novartis Agreement for the three and nine months ended September 30, 2024. Revenues for the three and nine months ended September 30, 2023 were nil and $1.6 million, respectively, which consisted of revenue generated from research and development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September 30, 2024 and December 31, 2023, the Company was authorized to issue 10,000,000 shares of preferred stock and there was no outstanding preferred stock as of September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Amended Loan Agreement restrict our ability to declare and pay dividends.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228"/>
        <w:gridCol w:w="1954"/>
        <w:gridCol w:w="1965"/>
        <w:gridCol w:w="684"/>
        <w:gridCol w:w="599"/>
        <w:gridCol w:w="575"/>
        <w:gridCol w:w="109"/>
        <w:gridCol w:w="109"/>
        <w:gridCol w:w="109"/>
        <w:gridCol w:w="597"/>
        <w:gridCol w:w="563"/>
        <w:gridCol w:w="713"/>
      </w:tblGrid>
      <w:tr>
        <w:trPr/>
        <w:tc>
          <w:tcPr>
            <w:tcW w:w="222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6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8,255,321 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951,127 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328,752 </w:t>
            </w:r>
          </w:p>
        </w:tc>
        <w:tc>
          <w:tcPr>
            <w:tcW w:w="71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4,250,554 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2,882,239 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Employee Stock Purchase Plan</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1,294,745 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805,756 </w:t>
            </w:r>
          </w:p>
        </w:tc>
        <w:tc>
          <w:tcPr>
            <w:tcW w:w="71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2022 Inducement Plan</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460,000 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2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15,211,747 </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12,544,982 </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Equity Incentive Plans and Stock-Based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2020 Plan provides for the grant of incentive stock options, nonqualified stock options or other awards including stock appreciation rights, restricted stock awards and restricted stock units to the Company’s employees, officers, directors, advisors and consultants.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(“Inducement Plan”), under which the Company may grant nonqualified stock options or other awards including stock appreciation rights and restricted stock awards.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Black-Scholes option pricing model to estimate stock-based compensation expense for stock option awards with the following assumptions:</w:t>
      </w:r>
    </w:p>
    <w:tbl>
      <w:tblPr>
        <w:tblW w:w="10205" w:type="dxa"/>
        <w:jc w:val="left"/>
        <w:tblInd w:w="0" w:type="dxa"/>
        <w:tblLayout w:type="fixed"/>
        <w:tblCellMar>
          <w:top w:w="28" w:type="dxa"/>
          <w:left w:w="28" w:type="dxa"/>
          <w:bottom w:w="28" w:type="dxa"/>
          <w:right w:w="28" w:type="dxa"/>
        </w:tblCellMar>
      </w:tblPr>
      <w:tblGrid>
        <w:gridCol w:w="999"/>
        <w:gridCol w:w="848"/>
        <w:gridCol w:w="851"/>
        <w:gridCol w:w="478"/>
        <w:gridCol w:w="466"/>
        <w:gridCol w:w="429"/>
        <w:gridCol w:w="280"/>
        <w:gridCol w:w="280"/>
        <w:gridCol w:w="280"/>
        <w:gridCol w:w="478"/>
        <w:gridCol w:w="466"/>
        <w:gridCol w:w="429"/>
        <w:gridCol w:w="109"/>
        <w:gridCol w:w="109"/>
        <w:gridCol w:w="109"/>
        <w:gridCol w:w="474"/>
        <w:gridCol w:w="466"/>
        <w:gridCol w:w="433"/>
        <w:gridCol w:w="265"/>
        <w:gridCol w:w="265"/>
        <w:gridCol w:w="265"/>
        <w:gridCol w:w="435"/>
        <w:gridCol w:w="427"/>
        <w:gridCol w:w="564"/>
      </w:tblGrid>
      <w:tr>
        <w:trPr/>
        <w:tc>
          <w:tcPr>
            <w:tcW w:w="99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85.14% - 85.74%</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82.66% - 83.22%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85.14% - 86.46%</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80.97% - 83.22%</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3.45% - 4.20%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3.95% - 4.38%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3.45% - 4.60%</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3.42% - 4.38%</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6.01 - 6.07</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6.00 - 6.08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5.31 - 6.08</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5.31 - 6.08</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$11.09 - $13.23</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$16.01 - $18.80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$11.09 - $17.44</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$16.01 - $34.65</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10205" w:type="dxa"/>
        <w:jc w:val="left"/>
        <w:tblInd w:w="0" w:type="dxa"/>
        <w:tblLayout w:type="fixed"/>
        <w:tblCellMar>
          <w:top w:w="28" w:type="dxa"/>
          <w:left w:w="28" w:type="dxa"/>
          <w:bottom w:w="28" w:type="dxa"/>
          <w:right w:w="28" w:type="dxa"/>
        </w:tblCellMar>
      </w:tblPr>
      <w:tblGrid>
        <w:gridCol w:w="1561"/>
        <w:gridCol w:w="1369"/>
        <w:gridCol w:w="1377"/>
        <w:gridCol w:w="488"/>
        <w:gridCol w:w="488"/>
        <w:gridCol w:w="231"/>
        <w:gridCol w:w="109"/>
        <w:gridCol w:w="109"/>
        <w:gridCol w:w="109"/>
        <w:gridCol w:w="307"/>
        <w:gridCol w:w="898"/>
        <w:gridCol w:w="161"/>
        <w:gridCol w:w="109"/>
        <w:gridCol w:w="109"/>
        <w:gridCol w:w="109"/>
        <w:gridCol w:w="418"/>
        <w:gridCol w:w="418"/>
        <w:gridCol w:w="420"/>
        <w:gridCol w:w="109"/>
        <w:gridCol w:w="109"/>
        <w:gridCol w:w="109"/>
        <w:gridCol w:w="211"/>
        <w:gridCol w:w="721"/>
        <w:gridCol w:w="156"/>
      </w:tblGrid>
      <w:tr>
        <w:trPr/>
        <w:tc>
          <w:tcPr>
            <w:tcW w:w="156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2,367,019 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(828,177)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8,255,321 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September 30,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4,328,248 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September 30, 2024</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8,255,321 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there were $47.2 million of unrecognized compensation costs that are expected to be recognized over the weighted-average period of 2.6 years related to stock options. Aggregate intrinsic value represents the difference between the fair value of the underlying common stock and the exercise price as of September 30, 2024.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three years. The following table sets forth the outstanding RSUs and related activity for the nine months ended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9864" w:type="dxa"/>
        <w:jc w:val="left"/>
        <w:tblInd w:w="0" w:type="dxa"/>
        <w:tblLayout w:type="fixed"/>
        <w:tblCellMar>
          <w:top w:w="28" w:type="dxa"/>
          <w:left w:w="28" w:type="dxa"/>
          <w:bottom w:w="28" w:type="dxa"/>
          <w:right w:w="28" w:type="dxa"/>
        </w:tblCellMar>
      </w:tblPr>
      <w:tblGrid>
        <w:gridCol w:w="1570"/>
        <w:gridCol w:w="1380"/>
        <w:gridCol w:w="1384"/>
        <w:gridCol w:w="609"/>
        <w:gridCol w:w="609"/>
        <w:gridCol w:w="611"/>
        <w:gridCol w:w="109"/>
        <w:gridCol w:w="109"/>
        <w:gridCol w:w="109"/>
        <w:gridCol w:w="726"/>
        <w:gridCol w:w="2119"/>
        <w:gridCol w:w="52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2023</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599,011 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(425,979)</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September 30, 2024</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951,127 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$16.0 million of unrecognized stock-based compensation expense related to outstanding RSUs expected to be recognized over a weighted-average period of 1.9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restricted stock units (“PSUs”) vest upon the achievement of market and performance conditions. Market conditions include the Company's total shareholder return (“TSR”) relative to the Nasdaq Biotechnology Index over the term of the award ending on June 30, 2024. Additionally, the number of shares of common stock issued upon vesting will range from 0% to 200% of the PSUs based on achievement of certain targets.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TSR PSUs were derived from a Monte Carlo simulation model that used the following key assumptions: </w:t>
      </w:r>
    </w:p>
    <w:tbl>
      <w:tblPr>
        <w:tblW w:w="5024"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period for the PSUs associated with TSR concluded on the last trading day of the second quarter 2024 and in July 2024, upon certification of the TSR results by the compensation committee of the board of directors, the award recipients vested in a total of 155,292 shares of common stock, representing 55% achievement. Such 155,292 shares of common stock were issued to award recipients as of September 30, 2024. There were no outstanding PSUs associated with market conditions as of September 30,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$0.4 million in stock-based compensation expense for the three and nine months ended September 30, 2024 and $0.1 million and $0.4 million for the three and nine months ended September 30, 2023, respectively. During the three and nine months ended September 30, 2024, 41,340 and 110,222 shares of common stock, respectively, were issued under the 2020 ESPP with 1,294,745 shares remaining available for issuance under the 2020 ESPP. The Company used Black-Scholes option pricing model to estimate stock-based compensation expense for the 2020 ESPP with the following assumptions: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7577"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520"/>
        <w:gridCol w:w="520"/>
        <w:gridCol w:w="520"/>
        <w:gridCol w:w="392"/>
        <w:gridCol w:w="392"/>
        <w:gridCol w:w="392"/>
        <w:gridCol w:w="457"/>
        <w:gridCol w:w="457"/>
        <w:gridCol w:w="646"/>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and 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4.80% - 5.27%</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 - 5.47%</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50.95% - 63.92% </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54.78% - 69.15%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expense for the Company’s stock-based awards for the three and nine months ended September 30, 2024 and 2023 (in thousands):</w:t>
      </w:r>
    </w:p>
    <w:tbl>
      <w:tblPr>
        <w:tblW w:w="9844" w:type="dxa"/>
        <w:jc w:val="center"/>
        <w:tblInd w:w="0" w:type="dxa"/>
        <w:tblLayout w:type="fixed"/>
        <w:tblCellMar>
          <w:top w:w="28" w:type="dxa"/>
          <w:left w:w="28" w:type="dxa"/>
          <w:bottom w:w="28" w:type="dxa"/>
          <w:right w:w="28" w:type="dxa"/>
        </w:tblCellMar>
      </w:tblPr>
      <w:tblGrid>
        <w:gridCol w:w="1246"/>
        <w:gridCol w:w="1097"/>
        <w:gridCol w:w="1106"/>
        <w:gridCol w:w="109"/>
        <w:gridCol w:w="109"/>
        <w:gridCol w:w="109"/>
        <w:gridCol w:w="265"/>
        <w:gridCol w:w="774"/>
        <w:gridCol w:w="137"/>
        <w:gridCol w:w="137"/>
        <w:gridCol w:w="137"/>
        <w:gridCol w:w="137"/>
        <w:gridCol w:w="265"/>
        <w:gridCol w:w="906"/>
        <w:gridCol w:w="137"/>
        <w:gridCol w:w="109"/>
        <w:gridCol w:w="109"/>
        <w:gridCol w:w="109"/>
        <w:gridCol w:w="245"/>
        <w:gridCol w:w="837"/>
        <w:gridCol w:w="126"/>
        <w:gridCol w:w="126"/>
        <w:gridCol w:w="126"/>
        <w:gridCol w:w="126"/>
        <w:gridCol w:w="245"/>
        <w:gridCol w:w="837"/>
        <w:gridCol w:w="178"/>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Operating Lease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28, 2023, the Company entered into a lease agreement with HCP BTC, LLC, a Delaware limited liability company (“the Landlord”) for a premises consisting of approximately 100,904 square feet of office and laboratory space located at Oyster Point Blvd, South San Francisco, California (the “Oyster Point Lease”), which is being used as a single unified Company headquarters. The lease term of approximately seven years started in the second quarter of 2024 when the Landlord substantially completed tenant improvements and may be extended for a period of eight years at the then prevailing market rates for a comparable property. Future lease payments are approximately $43.4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Additionally, the Company provided a letter of credit to the Landlord in the amount of $1.4 million in connection with the Oyster Point Lease, which is classified as restricted cash as of September 30,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Though the Oyster Point Lease is accounted for as a single contract, the office space was occupied in March 2024 while the laboratory space was occupied in June 2024. Accordingly, the Company measured and allocated consideration to each lease component. Upon commencement of the second lease component during the quarter ended June 30, 2024, the Company recognized an aggregate right-of-use asset ("ROU") and lease liability of $29.8 million.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liability as of September 30, 2024 were as follows (in thousands):</w:t>
      </w:r>
    </w:p>
    <w:tbl>
      <w:tblPr>
        <w:tblW w:w="5382" w:type="dxa"/>
        <w:jc w:val="left"/>
        <w:tblInd w:w="0" w:type="dxa"/>
        <w:tblLayout w:type="fixed"/>
        <w:tblCellMar>
          <w:top w:w="28" w:type="dxa"/>
          <w:left w:w="28" w:type="dxa"/>
          <w:bottom w:w="28" w:type="dxa"/>
          <w:right w:w="28" w:type="dxa"/>
        </w:tblCellMar>
      </w:tblPr>
      <w:tblGrid>
        <w:gridCol w:w="1322"/>
        <w:gridCol w:w="1158"/>
        <w:gridCol w:w="1165"/>
        <w:gridCol w:w="109"/>
        <w:gridCol w:w="109"/>
        <w:gridCol w:w="109"/>
        <w:gridCol w:w="274"/>
        <w:gridCol w:w="936"/>
        <w:gridCol w:w="200"/>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29,752 </w:t>
            </w:r>
          </w:p>
        </w:tc>
        <w:tc>
          <w:tcPr>
            <w:tcW w:w="2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7294"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302"/>
        <w:gridCol w:w="302"/>
        <w:gridCol w:w="302"/>
        <w:gridCol w:w="302"/>
        <w:gridCol w:w="302"/>
        <w:gridCol w:w="302"/>
        <w:gridCol w:w="302"/>
        <w:gridCol w:w="302"/>
        <w:gridCol w:w="42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and nine months ended September 30, 2024 and 2023. Lease expenses for each of the three and nine months ended September 30, 2024 and 2023 are as follows (in thousands):</w:t>
      </w:r>
    </w:p>
    <w:tbl>
      <w:tblPr>
        <w:tblW w:w="7898"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98"/>
        <w:gridCol w:w="870"/>
        <w:gridCol w:w="154"/>
        <w:gridCol w:w="154"/>
        <w:gridCol w:w="154"/>
        <w:gridCol w:w="154"/>
        <w:gridCol w:w="298"/>
        <w:gridCol w:w="658"/>
        <w:gridCol w:w="154"/>
        <w:gridCol w:w="268"/>
        <w:gridCol w:w="782"/>
        <w:gridCol w:w="138"/>
        <w:gridCol w:w="138"/>
        <w:gridCol w:w="138"/>
        <w:gridCol w:w="138"/>
        <w:gridCol w:w="268"/>
        <w:gridCol w:w="782"/>
        <w:gridCol w:w="19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plan under Section 401(k) of the Internal Revenue Code covering substantially all full-time U.S. employees. Employee contributions are voluntary and are determined on an individual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maximum allowable under federal tax regulations. The Company made contributions to the plan of $0.3 million and $1.1 million for the three and nine months ended September 30, 2024 and $0.2 million and $0.8 million for the three and nine months ended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Net Loss Per Share Attributable to Common Stockholders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6564" w:type="dxa"/>
        <w:jc w:val="left"/>
        <w:tblInd w:w="0" w:type="dxa"/>
        <w:tblLayout w:type="fixed"/>
        <w:tblCellMar>
          <w:top w:w="28" w:type="dxa"/>
          <w:left w:w="28" w:type="dxa"/>
          <w:bottom w:w="28" w:type="dxa"/>
          <w:right w:w="28" w:type="dxa"/>
        </w:tblCellMar>
      </w:tblPr>
      <w:tblGrid>
        <w:gridCol w:w="1073"/>
        <w:gridCol w:w="946"/>
        <w:gridCol w:w="950"/>
        <w:gridCol w:w="678"/>
        <w:gridCol w:w="302"/>
        <w:gridCol w:w="302"/>
        <w:gridCol w:w="302"/>
        <w:gridCol w:w="302"/>
        <w:gridCol w:w="302"/>
        <w:gridCol w:w="678"/>
        <w:gridCol w:w="302"/>
        <w:gridCol w:w="427"/>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8,255,321 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6,852,652 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951,127 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9,206,448 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7,769,360 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financial statements and related notes appearing elsewhere in this Report, as well as our audited financial statements and related notes included in our 2023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2023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late-stage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bexotegrast (PLN-74809), is an oral, small molecule, dual selective inhibitor of αvβ6 and αvβ1 integrins that we are developing for the treatment of idiopathic pulmonary fibrosis, or IPF, and primary sclerosing cholangitis, or PSC. We announced positive data from our Phase 2a INTEGRIS-IPF trial in May 2023 and positive long-term data from our Phase 2a INTEGRIS-PSC trial in July 2024. We are currently conducting BEACON-IPF, a 52-week, randomized, double-blind, placebo-controlled adaptive Phase 2b/3 trial in patients with IPF.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received FDA clearance of investigational new drug application, or IND, for our third clinical program to date, PLN-101095, a small molecule, dual selective inhibitor of integrins αvβ8 and αvβ1 for the treatment of solid tumors that are resistant to immune checkpoint inhibitors. We are currently dosing the third of five dose cohorts in a Phase 1 open label dose-escalation trial of PLN-101095 as monotherapy and in combination with pembrolizumab in patients with solid tumors that are resistant to immune checkpoint inhibitors. Preliminary data is expected in early 2025.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fourth program, PLN-101325, is in development for treatment of muscular dystrophies, including Duchenne muscular dystrophy. PLN-101325 is a monoclonal antibody designed to act as an allosteric agonist of integrin α7β1. In the first quarter of 2024, we received regulatory clearance for the conduct of a first-in-human Phase 1 clinical study of PLN-101325.</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Third Quarter and Recent Highlights</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Bexotegrast Highlights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Enrollment remains on track in BEACON-IPF, a pivotal adaptive Phase 2b/3 trial of bexotegrast in patients with idiopathic pulmonary fibrosis (IPF)</w:t>
      </w:r>
      <w:r>
        <w:rPr>
          <w:rFonts w:ascii="Times New Roman;sans-serif" w:hAnsi="Times New Roman;sans-serif"/>
          <w:b w:val="false"/>
          <w:color w:val="000000"/>
          <w:sz w:val="20"/>
        </w:rPr>
        <w:t>. The BEACON-IPF Phase 2b/3 trial is a 52-week, multinational, randomized, dose-ranging, double-blind, placebo-controlled trial evaluating bexotegrast at once-daily doses of 160 mg or 320 mg. The Phase 2b portion of BEACON-IPF will enroll 360 patients with IPF. Enrollment in this portion of this trial is expected to be complete in the first quarter of 2025 with data anticipated in mid-2026.</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Results from Phase 2a PET imaging target engagement trial published in the American Journal of Respiratory and Critical Care Medicine (AJRCCM).</w:t>
      </w:r>
      <w:r>
        <w:rPr>
          <w:color w:val="000000"/>
        </w:rPr>
        <w:t xml:space="preserve"> </w:t>
      </w:r>
      <w:r>
        <w:rPr>
          <w:rFonts w:ascii="Times New Roman;sans-serif" w:hAnsi="Times New Roman;sans-serif"/>
          <w:b w:val="false"/>
          <w:color w:val="000000"/>
          <w:sz w:val="20"/>
        </w:rPr>
        <w:t>Also known as the “Blue Journal,” AJRCCM is a leading peer-reviewed journal published by the American Thoracic Society. The publication reviews the previously reported positive results from an open-label trial in which bexotegrast showed dose-dependent αvβ6 integrin receptor occupancy in lungs of patients with IPF.</w:t>
      </w:r>
    </w:p>
    <w:p>
      <w:pPr>
        <w:pStyle w:val="TextBody"/>
        <w:bidi w:val="0"/>
        <w:spacing w:lineRule="auto" w:line="288" w:before="120" w:after="283"/>
        <w:jc w:val="left"/>
        <w:rPr/>
      </w:pPr>
      <w:r>
        <w:rPr>
          <w:rFonts w:ascii="Times New Roman;sans-serif" w:hAnsi="Times New Roman;sans-serif"/>
          <w:b/>
          <w:color w:val="000000"/>
          <w:sz w:val="20"/>
          <w:u w:val="single"/>
          <w:shd w:fill="FFFFFF" w:val="clear"/>
        </w:rPr>
        <w:t>Pipeline</w:t>
      </w:r>
      <w:r>
        <w:rPr>
          <w:color w:val="000000"/>
          <w:u w:val="single"/>
        </w:rPr>
        <w:t xml:space="preserve"> </w:t>
      </w:r>
      <w:r>
        <w:rPr>
          <w:rFonts w:ascii="Times New Roman;sans-serif" w:hAnsi="Times New Roman;sans-serif"/>
          <w:b/>
          <w:color w:val="000000"/>
          <w:sz w:val="20"/>
          <w:u w:val="single"/>
        </w:rPr>
        <w:t>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Phase 1 trial of PLN-101095 in solid tumors is progressing with dosing of the third of five cohorts. </w:t>
      </w:r>
      <w:r>
        <w:rPr>
          <w:rFonts w:ascii="Times New Roman;sans-serif" w:hAnsi="Times New Roman;sans-serif"/>
          <w:b w:val="false"/>
          <w:color w:val="000000"/>
          <w:sz w:val="20"/>
        </w:rPr>
        <w:t>PLN-101095 is an oral, small molecule, dual selective inhibitor of αvβ8 and αvβ1 integrins designed to block TGF-β activation in the tumor microenvironment. The Company has completed enrollment in the third of five cohorts in the Phase 1 open-label, dose-escalation trial. In this trial, PLN-101095 is being tested as monotherapy and in combination with pembrolizumab in patients with solid tumors that are resistant to immune checkpoint inhibitors. Preliminary data is expected in early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PLN-101325 applications beyond muscular dystrophies.</w:t>
      </w:r>
      <w:r>
        <w:rPr>
          <w:color w:val="000000"/>
        </w:rPr>
        <w:t xml:space="preserve"> </w:t>
      </w:r>
      <w:r>
        <w:rPr>
          <w:rFonts w:ascii="Times New Roman;sans-serif" w:hAnsi="Times New Roman;sans-serif"/>
          <w:b w:val="false"/>
          <w:color w:val="000000"/>
          <w:sz w:val="20"/>
        </w:rPr>
        <w:t>PLN-101325 is a monoclonal antibody that acts as an allosteric agonist of integrin α7β1, currently in development for treatment of muscular dystrophies. The Company is currently generating additional evidence in support of potential expansion of the scope of PLN-101325 prior to initiating a Phase 1 trial.</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Corporate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 xml:space="preserve">Appointment of Gary Palmer, M.D. as Senior Vice President of Medical Affairs. </w:t>
      </w:r>
      <w:r>
        <w:rPr>
          <w:rFonts w:ascii="Times New Roman;sans-serif" w:hAnsi="Times New Roman;sans-serif"/>
          <w:b w:val="false"/>
          <w:color w:val="000000"/>
          <w:sz w:val="20"/>
        </w:rPr>
        <w:t>Dr. Palmer brings over 25 years of global leadership experience in medical affairs from biopharmaceutical companies of various sizes and stages, and across multiple therapeutic areas including pulmonary medicine, immunology and neurology. Most recently, Dr. Palmer served as Senior Vice President of Global Medical Affairs, Immunology and Neuroscience at Bristol Myers Squibb.</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$57.8 million and $41.5 million for the three months ended September 30, 2024 and 2023, respectively. Our net loss for the nine months ended September 30, 2024 and 2023 was $160.6 million and $120.2 million, respectively. As of September 30, 2024, we had an accumulated deficit of $660.3 million and cash, cash equivalents, and short-term investments of $406.0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invest in or in-license other technologies or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Components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has been derived from a Collaboration and License Agreement with Novartis, or the "Novartis Agreement," that was executed in 2019.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Under the terms of the Novartis Agreement, we received an upfront license fee payment of $50.0 million for the worldwide, exclusive license to PLN-1474, an αv</w:t>
      </w:r>
      <w:r>
        <w:rPr>
          <w:rFonts w:ascii="Aptos;sans-serif" w:hAnsi="Aptos;sans-serif"/>
          <w:b w:val="false"/>
          <w:color w:val="000000"/>
          <w:sz w:val="22"/>
        </w:rPr>
        <w:t>β</w:t>
      </w:r>
      <w:r>
        <w:rPr>
          <w:rFonts w:ascii="Times New Roman;sans-serif" w:hAnsi="Times New Roman;sans-serif"/>
          <w:b w:val="false"/>
          <w:color w:val="000000"/>
          <w:sz w:val="20"/>
        </w:rPr>
        <w:t xml:space="preserve">1 inhibitor developed by Pliant to target metabolic dysfunction-associated steatohepatitis, or MASH, and an additional $29.0 million upon the achievement of specified research and development milestones. As part of a broad strategic realignment, Novartis has discontinued clinical development in MASH and, as a result, discontinued development of PLN-1474. In February 2023, Novartis issued a termination notice for the collaboration and license agreement, and returned global rights to Pliant for PLN-1474.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termination of the Novartis Agreement, we are no longer eligible to receive additional milestone or royalty payments under the arrangement; however, we continued to earn research and development services revenues through the effective termination date of April 18, 2023. There were no revenues for performing research and development activities associated with PLN-1474 and integrin research targets in the three months ended September 30, 2024 and 2023, respectively.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costs associated with technology and intellectual property licenses;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facilities and other allocated expenses, which include expenses for rent and other facility related costs and other supplies.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and cash equivalents, and short-term investments, and realized gains and losses on investments.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under the Oxford Loan Agreement that we entered into in May 2022. On March 11, 2024, we entered into an Amended and Restated Loan and Security Agreement (the “Amended Loan Agreement”) with the Lender to borrow up to $150.0 million. Borrowings under the Amended Loan Agreement bear interest at a rate per annum equal to 1-month term Secured Overnight Financing Rate (SOFR) plus 5.25%, subject to an agreed upon floor of 8.75%.</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2024 and 2023 (in thousands)</w:t>
      </w:r>
    </w:p>
    <w:tbl>
      <w:tblPr>
        <w:tblW w:w="7724" w:type="dxa"/>
        <w:jc w:val="center"/>
        <w:tblInd w:w="0" w:type="dxa"/>
        <w:tblLayout w:type="fixed"/>
        <w:tblCellMar>
          <w:top w:w="28" w:type="dxa"/>
          <w:left w:w="28" w:type="dxa"/>
          <w:bottom w:w="28" w:type="dxa"/>
          <w:right w:w="28" w:type="dxa"/>
        </w:tblCellMar>
      </w:tblPr>
      <w:tblGrid>
        <w:gridCol w:w="1208"/>
        <w:gridCol w:w="1064"/>
        <w:gridCol w:w="1073"/>
        <w:gridCol w:w="238"/>
        <w:gridCol w:w="900"/>
        <w:gridCol w:w="123"/>
        <w:gridCol w:w="123"/>
        <w:gridCol w:w="123"/>
        <w:gridCol w:w="123"/>
        <w:gridCol w:w="238"/>
        <w:gridCol w:w="900"/>
        <w:gridCol w:w="123"/>
        <w:gridCol w:w="109"/>
        <w:gridCol w:w="109"/>
        <w:gridCol w:w="109"/>
        <w:gridCol w:w="211"/>
        <w:gridCol w:w="7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September 30, 2024 and 2023 (in thousands):</w:t>
      </w:r>
    </w:p>
    <w:tbl>
      <w:tblPr>
        <w:tblW w:w="10205" w:type="dxa"/>
        <w:jc w:val="center"/>
        <w:tblInd w:w="0" w:type="dxa"/>
        <w:tblLayout w:type="fixed"/>
        <w:tblCellMar>
          <w:top w:w="28" w:type="dxa"/>
          <w:left w:w="28" w:type="dxa"/>
          <w:bottom w:w="28" w:type="dxa"/>
          <w:right w:w="28" w:type="dxa"/>
        </w:tblCellMar>
      </w:tblPr>
      <w:tblGrid>
        <w:gridCol w:w="2223"/>
        <w:gridCol w:w="1956"/>
        <w:gridCol w:w="1963"/>
        <w:gridCol w:w="231"/>
        <w:gridCol w:w="792"/>
        <w:gridCol w:w="119"/>
        <w:gridCol w:w="119"/>
        <w:gridCol w:w="119"/>
        <w:gridCol w:w="119"/>
        <w:gridCol w:w="231"/>
        <w:gridCol w:w="792"/>
        <w:gridCol w:w="119"/>
        <w:gridCol w:w="109"/>
        <w:gridCol w:w="109"/>
        <w:gridCol w:w="109"/>
        <w:gridCol w:w="211"/>
        <w:gridCol w:w="721"/>
        <w:gridCol w:w="163"/>
      </w:tblGrid>
      <w:tr>
        <w:trPr/>
        <w:tc>
          <w:tcPr>
            <w:tcW w:w="2223"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September 30, 2024 increased $15.4 million, primarily due to BEACON-IPF, a Phase 2b/3 study of bexotegrast in patients with IPF, and related manufacturing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September 30, 2024 decreased $1.1 million, primarily due to a decrease in professional service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decreased $1.4 million, attributable to lower investment balances due to continued funding of operating activities.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September 30, 2024 increased $0.6 million due to additional borrowings under the Amended Loan Agreement executed March 11, 2024. </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2024 and 2023 (in thousands)</w:t>
      </w:r>
    </w:p>
    <w:tbl>
      <w:tblPr>
        <w:tblW w:w="7635" w:type="dxa"/>
        <w:jc w:val="center"/>
        <w:tblInd w:w="0" w:type="dxa"/>
        <w:tblLayout w:type="fixed"/>
        <w:tblCellMar>
          <w:top w:w="28" w:type="dxa"/>
          <w:left w:w="28" w:type="dxa"/>
          <w:bottom w:w="28" w:type="dxa"/>
          <w:right w:w="28" w:type="dxa"/>
        </w:tblCellMar>
      </w:tblPr>
      <w:tblGrid>
        <w:gridCol w:w="1208"/>
        <w:gridCol w:w="1064"/>
        <w:gridCol w:w="1073"/>
        <w:gridCol w:w="213"/>
        <w:gridCol w:w="913"/>
        <w:gridCol w:w="110"/>
        <w:gridCol w:w="110"/>
        <w:gridCol w:w="110"/>
        <w:gridCol w:w="110"/>
        <w:gridCol w:w="213"/>
        <w:gridCol w:w="913"/>
        <w:gridCol w:w="110"/>
        <w:gridCol w:w="109"/>
        <w:gridCol w:w="109"/>
        <w:gridCol w:w="109"/>
        <w:gridCol w:w="211"/>
        <w:gridCol w:w="7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revenue of $1.6 million is attributable to the termination of the Novartis Agreement that went into effect in April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nine months ended September 30, 2024 and 2023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21"/>
        <w:gridCol w:w="1953"/>
        <w:gridCol w:w="1961"/>
        <w:gridCol w:w="222"/>
        <w:gridCol w:w="872"/>
        <w:gridCol w:w="114"/>
        <w:gridCol w:w="114"/>
        <w:gridCol w:w="114"/>
        <w:gridCol w:w="114"/>
        <w:gridCol w:w="222"/>
        <w:gridCol w:w="761"/>
        <w:gridCol w:w="114"/>
        <w:gridCol w:w="109"/>
        <w:gridCol w:w="109"/>
        <w:gridCol w:w="109"/>
        <w:gridCol w:w="211"/>
        <w:gridCol w:w="721"/>
        <w:gridCol w:w="164"/>
      </w:tblGrid>
      <w:tr>
        <w:trP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nine months ended September 30, 2024 increased $35.9 million, primarily due to BEACON-IPF, a Phase 2b/3 study of bexotegrast in patients with IPF, employee-related expenses driven by increased headcount, increased facilities &amp; other allocated expenses related to the new leased premise at Oyster Point and other consultancy services supporting research and development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nine months ended September 30, 2024 increased $0.5 million, primarily attributable to employee-related costs, driven by increased headcount.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decreased $1.2 million, attributable to lower investment balances due to continued funding of operating activities.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nine months ended September 30, 2024 increased $1.2 million due to additional borrowings under the Amended Loan Agreement executed March 11,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$406.0 million of cash, cash equivalents and short-term investments. Our short-term investments consist of U.S. Treasury securities, U.S. Government agency securities and highly rated, investment-grade corporate debt securities. </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entered into an Amended Loan Agreement with Oxford Finance LLC (or the “Lender” or “Oxford”) which upsized our existing Term Loan facility to a total size of $150.0 million of available non-dilutive capital. Pursuant to the Amended Loan Agreement, we drew an additional Term Loan of $20.0 million and may borrow up to $70.0 million at our option upon the satisfaction of certain conditions related to the development of bexotegrast. A further $50.0 million may be made available to us at the sole discretion of Lender. See Note 7 to the Notes to our condensed financial statements of this Report for more information.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completed an underwritten public offering of 9,583,334 shares of common stock, including the exercise in full of the underwriters' option to purchase 1,250,000 additional shares of common stock. The shares were offered at a price to the public of $30.00 per share, resulting in aggregate proceeds of approximately $269.8 million, net of underwriting discounts, commissions and offering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During the third quarter of 2021, we entered into a Controlled Equity Offering</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As of the date of this Report, we have not issued any shares pursuant to any at-the-market offerings, including pursuant to the Sales Agreement, but may do so at a future date.</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120"/>
        <w:ind w:left="0" w:right="0" w:hanging="54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U.S. Food and Drug Administration, or FDA, and other comparable foreign regulatory authorities including but not limited to the European Medicines Agency (EMA),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any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operating as a public company and the financial impact of current and future laws, regulations and ordinances.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or royalty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licensing or royalty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2024 and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7046" w:type="dxa"/>
        <w:jc w:val="center"/>
        <w:tblInd w:w="0" w:type="dxa"/>
        <w:tblLayout w:type="fixed"/>
        <w:tblCellMar>
          <w:top w:w="28" w:type="dxa"/>
          <w:left w:w="28" w:type="dxa"/>
          <w:bottom w:w="28" w:type="dxa"/>
          <w:right w:w="28" w:type="dxa"/>
        </w:tblCellMar>
      </w:tblPr>
      <w:tblGrid>
        <w:gridCol w:w="1519"/>
        <w:gridCol w:w="1338"/>
        <w:gridCol w:w="1342"/>
        <w:gridCol w:w="222"/>
        <w:gridCol w:w="948"/>
        <w:gridCol w:w="114"/>
        <w:gridCol w:w="114"/>
        <w:gridCol w:w="114"/>
        <w:gridCol w:w="114"/>
        <w:gridCol w:w="222"/>
        <w:gridCol w:w="837"/>
        <w:gridCol w:w="162"/>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274,186 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16,382 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23,994 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$16.6 million compared to the nine months ended September 30, 2023, driven by an increase in net loss of $40.3 million, which was partially offset by the receipt of accreted value upon maturities of short-term investment portfolio during the nine months ended September 30,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(Used in) Investing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increased over the same period of prior year as maturities of marketable securities exceeded related purchases during the nine months ended September 30, 2024, while purchases exceeded maturities during the nine months ended September 30, 2023 as a result of the public offering of common stock in January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$251.2 million primarily due to net proceeds of $270.3 million from the Company's January 2023 underwritten public offering, which was partially offset by additional Term Loans entered into during the current nine months ended September 30, 2024 associated with the Amended Loan Agreement.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mentioned below, there have been no material changes to our contractual obligations and other commitments as of September 30, 2024, as compared to those disclosed in the 2023 10-K.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various non-cancelable operating leases for office space and equipment, which expire between September 30, 2024 and June 2031. Refer to Note 13 and 14 in the notes to condensed unaudited financial statements of this Report for a discussion of material obligations and commitments.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Notes to Condensed Unaudited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and cash equivalents and short-term investments of $406.0 million as of September 30, 2024 which consisted of bank deposits, highly liquid money market funds and short-term investments in U.S. treasury securities, U.S. government agency securities and corporate debt securities. Under the Amended Loan Agreement, we had a $30.0 million term loan outstanding as of September 30, 2024 which is subject to the movement in interest rates. Due to the short-term maturities of our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2024, the design and operation of our disclosure controls and procedures were effective at a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controls over financial reporting identified in connection with the evaluation required by Rule 13a-15(d) and 15d-15(d) under the Exchange Act that occurred during the quarter ended September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$57.8 million and $41.5 million for the three months ended September 30, 2024 and 2023, respectively. Our net loss was $160.6 million and $120.2 million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 and 2023, respectively. As of September 30, 2024, we had an accumulated deficit of $660.3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advance our lead product candidate, bexotegrast, and our other product candidates through clinical development, and, if successful, later-stage clinical trials;</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approximately $406.0 million in cash, cash equivalents, and short-term investments. Based on our current operating plan, we believe that our existing cash, cash equivalents and short-term investments will be sufficient to fund our anticipated operating expenses and capital expenditure requirements for the next 12 months and beyond.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borrowed and in the future may borrow additional capital from institutional and commercial banking sources to fund future growth, including pursuant to our Amended and Restated Loan and Security Agreement with Oxford Finance LLC (Amended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Amended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Amended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Loan Agreement, Oxford has been granted a security interest in substantially all of our assets, excluding intellectual property (but including the right to payments and proceeds of intellectual property) and such exclusion of intellectual property is subject to change per the terms of the Amended Loan Agreement), and a negative pledge on substantially all of our intellectual property, subject to customary exceptions. If an event of default occurs under the Amended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Amended Loan Agreement may limit our flexibility in raising capital for other purposes. Because substantially all of our assets are pledged to secure the Amended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Amended Loan Agreement, we may be limited in our business activities and access to credit or may default under the Amended Loan Agreement. Provisions in the Amended Loan Agreement impose certain restrictions or require prior approval on our ability, and the ability of certain of our subsidiaries to, among other things: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Create liens or encumbrances;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Amended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Amended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general market conditions or extraordinary external events, such as recessions or the effects of health epidemics and pandemics, such as the COVID-19 pandemic;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conducting a Phase 2b trial of bexotegrast in IPF and a Phase 2a trial in PSC and have no products that are approved for commercial sale and may never be able to develop marketable products. If bexotegrast or any of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candidates encounter safety or efficacy problems, development delays, regulatory issues or other problems, our development plans and business would be significantly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in submitting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high drop-out rates or screening failures of subjects from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is designed to discover and develop targeted treatments for fibrosis with an initial focus on the antagonism of tissue-specific TGF-β signaling through the inhibition of integrins known to mediate the release of activated TGF-β in fibrotic tissue. However,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or inability to perform by third party vendors, including vendors foreign jurisdictions including China;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new EU Clinical Trials Regulation (EU) No 536/2014 (CTR) has amended the system of approval for clinical trials in the EU and has established a new clinical trials portal and database for application for authorizations, called the Clinical Trials Information System (CTIS). The CTR provides a three-year transition period; by January 31, 2025 all ongoing clinical trials in the EU will be subject to the provisions of the CTR. In addition, on June 18, 2024, new CTIS transparency rules came into effect, requiring scheduled publication of certain key clinical trial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regulators or institutional review boards, or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fail to comply with the deadline for transition to CTIS under the new EU Clinical Trial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clinical trials to date, bexotegrast has been generally well tolerated.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willingness or availability of patients to participate in our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due, in part, to the small size of these patient populations. 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Further, in December 2023, FDA published a final rule, “Institutional Review Board Waiver or Alteration of Informed Consent for Minimal Risk Clinical Investigations,” which allows exceptions from informed consent requirements when a clinical investigation poses no more than minimal risk to the human subject and includes appropriate safeguards to protect the rights, safety, and welfare of human subjects. The FDA’s new guidance and rulemaking present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Further, requirements regarding clinical trial data may evolve. In June 2023, the FDA published draft guidance, which seeks to unify standards for clinical trial data for International Council for Harmonisation of Technical Requirements of Pharmaceuticals for Human Use 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EU/U.K. to justify the investment needed for its development; and (3) there exists no satisfactory method of diagnosis, prevention or treatment of such condition authorized for marketing in the EU/U.K.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w:t>
      </w:r>
      <w:r>
        <w:rPr>
          <w:color w:val="000000"/>
        </w:rPr>
        <w:t xml:space="preserve"> </w:t>
      </w:r>
      <w:r>
        <w:rPr>
          <w:rFonts w:ascii="Times New Roman;sans-serif" w:hAnsi="Times New Roman;sans-serif"/>
          <w:b w:val="false"/>
          <w:color w:val="000000"/>
          <w:sz w:val="20"/>
        </w:rPr>
        <w:t>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product candidates progress through preclinical to late-stage clinical trials to marketing approval and commercialization, it is common that various aspects of the development program, such as manufacturing methods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including our adaptive trial,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would require significant financial and management resources. Regardless of the merits or eventual outcome, liability claims may result in: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decreased demand for our products;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fines, injunctions or criminal penalties;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decline in our share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Eli Lilly and Company, Novartis AG, Scholar Rock, Inc., and Takeda Pharmaceutical Company.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judicial scrutiny. Any resulting changes in regulation may result in unexpected delays, increased costs, or other negative impacts on our business that are difficult to predict.</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positive HTA assessment in jurisdictions where required;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payers, including Medicare, may question the coverage of, and challenge or seek to lower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or by future laws, regulations, or guidance seeking to limit prescription drug prices.</w:t>
      </w:r>
      <w:r>
        <w:rPr>
          <w:color w:val="000000"/>
        </w:rPr>
        <w:t xml:space="preserve"> </w:t>
      </w:r>
      <w:r>
        <w:rPr>
          <w:rFonts w:ascii="Times New Roman;sans-serif" w:hAnsi="Times New Roman;sans-serif"/>
          <w:b w:val="false"/>
          <w:color w:val="000000"/>
          <w:sz w:val="20"/>
        </w:rPr>
        <w:t>If we are unable to promptly obtain coverage and adequate reimbursement rates from both government-funded and private payers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our Annual Report on Form 10-K for the year ended December 31, 2023.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our Annual Report on Form 10-K for the year ended December 31, 2023. For example, in August 2022, President Biden signed into law the Inflation Reduction Act or IRA, which implements substantial changes to the Medicare program, including 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that are selected by the Centers for Medicare and Medicaid Services (CMS) and covered under Medicare Parts B and D following a price negotiation process with the agency.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As we are developing bexotegrast in multiple orphan indications, this aspect of the IRA could have a negative impact on our ability to rely on the orphan drug exclusion to the "maximum fair price" program.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CMS has taken a number of steps to implement various drug pricing provisions of the IRA. This includes, without limitation, issuing guidance detailing the requirements and parameters of the price negotiation process for products subject to the “maximum fair price” program under the CMS has also released the initial list of 10 drugs that were subject to the first round of price negotiations under the program and subsequently announced the negotiated prices that will apply for such products in price applicability year 2026.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From January 2025, Regulation No 2021/2282 on Health Technology Assessment (HTA Regulation) will become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patenting process is expensive and time-consuming, and we may not be able to file and prosecute all necessary or desirable patent applications at a reasonable cost or in a timely manner. In addition, we may not pursue, obtain, or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America Invents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2045,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America Invents Act also includes a number of significant changes that affect the way patent applications will be prosecuted and also may affect patent litigation. These include allowing third party submission of prior art to the USPTO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CJEU has recently narrowed the availability of patent term extension for second medical use therefore affecting the scope of patent protection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and Northern Ireland.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(SPCs).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or challenging macroeconomic conditions, including the effects of health epidemics and pandemics, such as COVID-19.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Global health pandemics, including the effects of health epidemics and pandemics, such as COVID-19, could adversely impact our business, including our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government measures taken in response thereto had a significant impact, both direct and indirect, on businesses and commerce. As a result of COVID-19, we experienced disruptions that negatively impacted our business, preclinical studies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resurgences of COVID-19 or other pandemics may result in renewed travel restrictions and social distancing in the United States and other countries, business closures or business disruptions. Any such disruptions could have a material adverse impact on our business, financial condition or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166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net operating loss carryforwards for U.S. federal and state income tax purposes of $241.5 million and $397.6 million, respectively, some of which will begin to expire in 2035. As of December 31, 2023, we also had available tax credit carryforwards for U.S. federal income tax purposes of $31.5 million, which begin to expire in 2036, and state income tax purposes of $7.1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2023,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commencement, enrollment or results of our current Phase 2a and Phase 2b clinical trials of bexotegrast and any other clinical trials for our product candidates conducted by us or our collaborators;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secure a positive health technology assessment recommendation;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the structure of the healthcare payment systems;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the Israel-Hamas conflict and related global escalation of geopolitical tensions,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the Amended Loan Agreement contains, and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Effective December 31, 2023, we became a large accelerated filer and no longer qualify as a smaller reporting company, which increases our costs and demands on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market value of our common stock held by our non-affiliates as of June 30, 2023, we are no longer considered a smaller reporting company and are considered a “large accelerated filer” effective as of December 31, 2023. Thus, we are subject to accelerated filing deadlines as well as the requirements of Section 404(b) of the Sarbanes-Oxley Act of 2002, which require our independent registered public accounting firm to formally attest to the effectiveness of our internal control over financial reporting. We have devoted, and expect to continue to devote, significant time and effort to implement and comply with the additional standards, rules and regulations that apply to us. Compliance with the additional requirements of being a large accelerated filer will also increase our legal, accounting and financial compliance costs.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due to the complexity and logistical difficulty of implementing the standards, rules and regulations that now apply to our business,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Our disclosure</w:t>
      </w:r>
      <w:r>
        <w:rPr>
          <w:color w:val="231F20"/>
        </w:rPr>
        <w:t xml:space="preserve"> </w:t>
      </w:r>
      <w:r>
        <w:rPr>
          <w:rFonts w:ascii="Times New Roman;sans-serif" w:hAnsi="Times New Roman;sans-serif"/>
          <w:b/>
          <w:i/>
          <w:color w:val="231F20"/>
          <w:sz w:val="20"/>
        </w:rPr>
        <w:t>controls</w:t>
      </w:r>
      <w:r>
        <w:rPr>
          <w:color w:val="231F20"/>
        </w:rPr>
        <w:t xml:space="preserve"> </w:t>
      </w:r>
      <w:r>
        <w:rPr>
          <w:rFonts w:ascii="Times New Roman;sans-serif" w:hAnsi="Times New Roman;sans-serif"/>
          <w:b/>
          <w:i/>
          <w:color w:val="231F20"/>
          <w:sz w:val="20"/>
        </w:rPr>
        <w:t>and procedures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prevent</w:t>
      </w:r>
      <w:r>
        <w:rPr>
          <w:color w:val="231F20"/>
        </w:rPr>
        <w:t xml:space="preserve"> </w:t>
      </w:r>
      <w:r>
        <w:rPr>
          <w:rFonts w:ascii="Times New Roman;sans-serif" w:hAnsi="Times New Roman;sans-serif"/>
          <w:b/>
          <w:i/>
          <w:color w:val="231F20"/>
          <w:sz w:val="20"/>
        </w:rPr>
        <w:t>or detect</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errors</w:t>
      </w:r>
      <w:r>
        <w:rPr>
          <w:color w:val="231F20"/>
        </w:rPr>
        <w:t xml:space="preserve"> </w:t>
      </w:r>
      <w:r>
        <w:rPr>
          <w:rFonts w:ascii="Times New Roman;sans-serif" w:hAnsi="Times New Roman;sans-serif"/>
          <w:b/>
          <w:i/>
          <w:color w:val="231F20"/>
          <w:sz w:val="20"/>
        </w:rPr>
        <w:t>or acts</w:t>
      </w:r>
      <w:r>
        <w:rPr>
          <w:color w:val="231F20"/>
        </w:rPr>
        <w:t xml:space="preserve"> </w:t>
      </w:r>
      <w:r>
        <w:rPr>
          <w:rFonts w:ascii="Times New Roman;sans-serif" w:hAnsi="Times New Roman;sans-serif"/>
          <w:b/>
          <w:i/>
          <w:color w:val="231F20"/>
          <w:sz w:val="20"/>
        </w:rPr>
        <w:t>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research, including data subject to 45 C.F.R. Parts 46, 50, and 56. Nevada also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passed the California Consumer Protection Act of 2018, or the CCPA, which went into effect in January 2020 and provides data privacy rights for consumers and operational requirements for companies. In addition, the CCPA was expanded on January 1, 2023, when the California Privacy Rights Act of 2020, or the CPRA, became operative. The CCPA, and its later amendments through the CPRA, gives California residents expanded data privacy rights, such as rights to access and delete their personal information, opt out of certain personal information sharing, and the ability to limit use of certain sensitive personal information in certain contexts, among other privacy right.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and the CPRA established a new California Privacy Protection Agency to implement the law through additional regulations and enforcement. While there is currently an exception for protected health information that is subject to HIPAA and other personal information subject to clinical trial regulations, as currently written, the CCPA may impact certain of our business activities. Additionally, this exception does not apply to the private cause of action afforded to individuals for information security incidents. Compliance with the CCPA may increase our compliance costs and potential liability, and impact our business activities depending on how it is interpreted. In the interim, implementing the evolving CPRA regulations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the Commission asserts are unfair or deceptive in the coming years.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pursuant to legislation passed in 2021,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ICFs);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Court of Justice of the EU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On January 1,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On March 24, 2024, the U.K. Government and the EU adopted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w:t>
      </w:r>
      <w:r>
        <w:rPr>
          <w:color w:val="000000"/>
        </w:rPr>
        <w:t xml:space="preserve"> </w:t>
      </w:r>
      <w:r>
        <w:rPr>
          <w:rFonts w:ascii="Times New Roman;sans-serif" w:hAnsi="Times New Roman;sans-serif"/>
          <w:b w:val="false"/>
          <w:color w:val="000000"/>
          <w:sz w:val="20"/>
        </w:rPr>
        <w:t>These new measures will be implemented on January 1, 2025. The new U.K. Government, elected on July 4, 2024, has committed to implement the Windsor Framework.</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Changes in U.S.</w:t>
      </w:r>
      <w:r>
        <w:rPr>
          <w:color w:val="231F20"/>
        </w:rPr>
        <w:t xml:space="preserve"> </w:t>
      </w:r>
      <w:r>
        <w:rPr>
          <w:rFonts w:ascii="Times New Roman;sans-serif" w:hAnsi="Times New Roman;sans-serif"/>
          <w:b/>
          <w:i/>
          <w:color w:val="231F20"/>
          <w:sz w:val="20"/>
        </w:rPr>
        <w:t>tax law could 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geopolitical events, such as the Russian invasion of Ukraine, the Israel-Hamas conflict and related global escalation of geopolitical tensions, inflationary pressures and interest rate volatility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The increasing use of social media platforms presents new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2024, Mike Ouimette, our General Counsel, adopted a trading plan, or the Ouimette 10b5-1 Sales Plan, intended to satisfy the affirmative defense of Rule 10b5-1(c) under the Exchange Act. Under the Ouimette 10b5-1 Sales Plan, which goes into effect on January 2, 2025, an aggregate of 40,000 shares of the Company’s common stock (such aggregate amount, which may be reduced by any shares sold prior pursuant to a prior trading plan adopted by Mr. Ouimette on October 4, 2023 and prior to initiation of sales pursuant to the Ouimette 10b5-1 Sales Plan) and up to 100% of net shares Mr. Ouimette may receive from the vesting of certain outstanding RSU awards from time to time (the “Ouimette Authorized Shares”) may be sold. Due to vesting conditions of the awards and the number of shares withheld for taxes, to be determined only on the vesting date and market conditions, the number of shares actually sold under the Ouimette 10b5-1 Sales Plan may be less than the maximum number of shares that can be sold. The Ouimette 10b5-1 Sales Plan, which was entered into during an open trading window under the Company’s insider trading policy, will be in effect until the earlier of (1) December 31, 2025, or (2) the date on which all Ouimette Authorized Shares have been sold under the Ouimette 10b5-1 Sales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2024, Keith Cummings, our Chief Financial Officer, adopted a trading plan, or the Cummings 10b5-1 Sales Plan, intended to satisfy the affirmative defense of Rule 10b5-1(c) under the Exchange Act. Under the Cummings 10b5-1 Sales Plan, which goes into effect on December 26, 2024, an aggregate of 91,434 shares of the Company’s common stock may be sold (such aggregate amount, which may be reduced by any shares sold prior pursuant to a prior trading plan adopted by Dr. Cummings on June 13, 2023 and prior to initiation of sales pursuant to the Cummings 10b5-1 Sales Plan, the “Cummings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The Cummings 10b5-1 Sales Plan, which was entered into during an open trading window under the Company’s insider trading policy, will be in effect until the earlier of (1) December 12, 2025, or (2) the date in which all Cummings Authorized Shares have been sold under the Cummings 10b5-1 Sales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86"/>
        <w:gridCol w:w="251"/>
        <w:gridCol w:w="253"/>
        <w:gridCol w:w="109"/>
        <w:gridCol w:w="109"/>
        <w:gridCol w:w="109"/>
        <w:gridCol w:w="2716"/>
        <w:gridCol w:w="2624"/>
        <w:gridCol w:w="3748"/>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Third Amended and Restated Bylaws of the Registrant, as currently in effect (incorporated by reference to Exhibit 3.1 of the Registrant’s Current Report on Form 8-K (File No. 001-39303) filed on September 27, 2024).</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p>
            <w:pPr>
              <w:pStyle w:val="TableContents"/>
              <w:bidi w:val="0"/>
              <w:spacing w:lineRule="auto" w:line="240" w:before="0" w:after="0"/>
              <w:jc w:val="left"/>
              <w:rPr>
                <w:color w:val="000000"/>
              </w:rPr>
            </w:pPr>
            <w:r>
              <w:rPr>
                <w:color w:val="000000"/>
              </w:rPr>
              <w:t> </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930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930xex311.htm">
              <w:r>
                <w:rPr>
                  <w:rStyle w:val="InternetLink"/>
                  <w:rFonts w:ascii="Times New Roman;sans-serif" w:hAnsi="Times New Roman;sans-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930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930xex312.htm">
              <w:r>
                <w:rPr>
                  <w:rStyle w:val="InternetLink"/>
                  <w:rFonts w:ascii="Times New Roman;sans-serif" w:hAnsi="Times New Roman;sans-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930x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930x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2024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2024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September 30, 2024,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November 7, 2024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6" w:type="dxa"/>
        <w:jc w:val="left"/>
        <w:tblInd w:w="0" w:type="dxa"/>
        <w:tblLayout w:type="fixed"/>
        <w:tblCellMar>
          <w:top w:w="28" w:type="dxa"/>
          <w:left w:w="28" w:type="dxa"/>
          <w:bottom w:w="28" w:type="dxa"/>
          <w:right w:w="28" w:type="dxa"/>
        </w:tblCellMar>
      </w:tblPr>
      <w:tblGrid>
        <w:gridCol w:w="917"/>
        <w:gridCol w:w="806"/>
        <w:gridCol w:w="81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6473/000156459020039327/plrx-ex31_301.htm" TargetMode="External"/><Relationship Id="rId3" Type="http://schemas.openxmlformats.org/officeDocument/2006/relationships/hyperlink" Target="https://www.sec.gov/Archives/edgar/data/0001746473/000156459020039327/plrx-ex31_301.htm" TargetMode="External"/><Relationship Id="rId4" Type="http://schemas.openxmlformats.org/officeDocument/2006/relationships/hyperlink" Target="https://www.sec.gov/ix?doc=/Archives/edgar/data/1746473/000174647324000153/plrx-20240924.htm" TargetMode="External"/><Relationship Id="rId5" Type="http://schemas.openxmlformats.org/officeDocument/2006/relationships/hyperlink" Target="https://www.sec.gov/ix?doc=/Archives/edgar/data/1746473/000174647324000153/plrx-20240924.htm" TargetMode="External"/><Relationship Id="rId6" Type="http://schemas.openxmlformats.org/officeDocument/2006/relationships/hyperlink" Target="https://www.sec.gov/Archives/edgar/data/1746473/000119312520150643/d729258dex41.htm" TargetMode="External"/><Relationship Id="rId7" Type="http://schemas.openxmlformats.org/officeDocument/2006/relationships/hyperlink" Target="https://www.sec.gov/Archives/edgar/data/0001746473/000119312520150643/d729258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54014</Words>
  <Characters>303377</Characters>
  <CharactersWithSpaces>355779</CharactersWithSpaces>
  <Paragraphs>2475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