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2ab8a64028ef4885b24b55403c56fd93_7">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w:t>
      </w:r>
    </w:p>
    <w:p>
      <w:pPr>
        <w:pStyle w:val="TextBody"/>
        <w:bidi w:val="0"/>
        <w:spacing w:lineRule="auto" w:line="288" w:before="60" w:after="283"/>
        <w:jc w:val="center"/>
        <w:rPr>
          <w:rFonts w:ascii="Times New Roman;sans-serif" w:hAnsi="Times New Roman;sans-serif"/>
          <w:b/>
          <w:color w:val="000000"/>
          <w:sz w:val="30"/>
        </w:rPr>
      </w:pPr>
      <w:r>
        <w:rPr>
          <w:rFonts w:ascii="Times New Roman;sans-serif" w:hAnsi="Times New Roman;sans-serif"/>
          <w:b/>
          <w:color w:val="000000"/>
          <w:sz w:val="30"/>
        </w:rPr>
        <w:t>FORM 10-K</w:t>
      </w:r>
    </w:p>
    <w:p>
      <w:pPr>
        <w:pStyle w:val="TextBody"/>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w:t>
      </w:r>
    </w:p>
    <w:p>
      <w:pPr>
        <w:pStyle w:val="TextBody"/>
        <w:bidi w:val="0"/>
        <w:spacing w:lineRule="auto" w:line="288" w:before="60" w:after="283"/>
        <w:jc w:val="left"/>
        <w:rPr>
          <w:rFonts w:ascii="Times New Roman;sans-serif" w:hAnsi="Times New Roman;sans-serif"/>
          <w:b/>
          <w:color w:val="000000"/>
          <w:sz w:val="16"/>
        </w:rPr>
      </w:pPr>
      <w:r>
        <w:rPr>
          <w:rFonts w:ascii="Times New Roman;sans-serif" w:hAnsi="Times New Roman;sans-serif"/>
          <w:b/>
          <w:color w:val="000000"/>
          <w:sz w:val="16"/>
        </w:rPr>
        <w:t>(Mark One)</w:t>
      </w:r>
    </w:p>
    <w:tbl>
      <w:tblPr>
        <w:tblW w:w="8682" w:type="dxa"/>
        <w:jc w:val="left"/>
        <w:tblInd w:w="0" w:type="dxa"/>
        <w:tblLayout w:type="fixed"/>
        <w:tblCellMar>
          <w:top w:w="28" w:type="dxa"/>
          <w:left w:w="28" w:type="dxa"/>
          <w:bottom w:w="28" w:type="dxa"/>
          <w:right w:w="28" w:type="dxa"/>
        </w:tblCellMar>
      </w:tblPr>
      <w:tblGrid>
        <w:gridCol w:w="124"/>
        <w:gridCol w:w="109"/>
        <w:gridCol w:w="109"/>
        <w:gridCol w:w="2437"/>
        <w:gridCol w:w="2437"/>
        <w:gridCol w:w="34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83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ANNUAL REPORT PURSUANT TO SECTION 13 OR 15(d) OF THE SECURITIES EXCHANGE ACT OF 1934</w:t>
            </w:r>
          </w:p>
        </w:tc>
      </w:tr>
    </w:tbl>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fiscal year ended December 31, 2024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TRANSITION REPORT PURSUANT TO SECTION 13 OR 15(d) OF THE SECURITIES EXCHANGE ACT OF 1934 FOR THE TRANSITION PERIOD FROM                      TO</w:t>
            </w:r>
          </w:p>
        </w:tc>
      </w:tr>
    </w:tbl>
    <w:p>
      <w:pPr>
        <w:pStyle w:val="TextBody"/>
        <w:bidi w:val="0"/>
        <w:spacing w:lineRule="auto" w:line="288" w:before="60" w:after="283"/>
        <w:jc w:val="center"/>
        <w:rPr/>
      </w:pPr>
      <w:r>
        <w:rPr>
          <w:rFonts w:ascii="Times New Roman;sans-serif" w:hAnsi="Times New Roman;sans-serif"/>
          <w:b/>
          <w:color w:val="000000"/>
          <w:sz w:val="20"/>
        </w:rPr>
        <w:t>Commission File Number </w:t>
      </w:r>
      <w:r>
        <w:rPr>
          <w:rFonts w:ascii="Times New Roman;sans-serif" w:hAnsi="Times New Roman;sans-serif"/>
          <w:b/>
          <w:color w:val="000000"/>
          <w:sz w:val="18"/>
        </w:rPr>
        <w:t>001-39303</w:t>
      </w:r>
    </w:p>
    <w:p>
      <w:pPr>
        <w:pStyle w:val="TextBody"/>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PLIANT THERAPEUTICS,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w:t>
      </w:r>
    </w:p>
    <w:tbl>
      <w:tblPr>
        <w:tblW w:w="3730" w:type="dxa"/>
        <w:jc w:val="center"/>
        <w:tblInd w:w="0" w:type="dxa"/>
        <w:tblLayout w:type="fixed"/>
        <w:tblCellMar>
          <w:top w:w="28" w:type="dxa"/>
          <w:left w:w="28" w:type="dxa"/>
          <w:bottom w:w="28" w:type="dxa"/>
          <w:right w:w="28" w:type="dxa"/>
        </w:tblCellMar>
      </w:tblPr>
      <w:tblGrid>
        <w:gridCol w:w="310"/>
        <w:gridCol w:w="272"/>
        <w:gridCol w:w="272"/>
        <w:gridCol w:w="272"/>
        <w:gridCol w:w="272"/>
        <w:gridCol w:w="272"/>
        <w:gridCol w:w="272"/>
        <w:gridCol w:w="272"/>
        <w:gridCol w:w="272"/>
        <w:gridCol w:w="363"/>
        <w:gridCol w:w="363"/>
        <w:gridCol w:w="518"/>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24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47-4272481</w:t>
            </w:r>
          </w:p>
        </w:tc>
      </w:tr>
      <w:tr>
        <w:trPr/>
        <w:tc>
          <w:tcPr>
            <w:tcW w:w="24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(State or Other Jurisdiction of</w:t>
              <w:br/>
              <w:t>Incorporation or Organization)</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(I.R.S. Employer</w:t>
              <w:br/>
              <w:t>Identification No.)</w:t>
            </w:r>
          </w:p>
        </w:tc>
      </w:tr>
      <w:tr>
        <w:trPr/>
        <w:tc>
          <w:tcPr>
            <w:tcW w:w="24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331 Oyster Point Boulevard</w:t>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6"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South San Francisco, CA</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94080</w:t>
            </w:r>
          </w:p>
        </w:tc>
      </w:tr>
      <w:tr>
        <w:trPr/>
        <w:tc>
          <w:tcPr>
            <w:tcW w:w="24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(Address of Principal Executive Offices)</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(Zip Code)</w:t>
            </w:r>
          </w:p>
        </w:tc>
      </w:tr>
    </w:tbl>
    <w:p>
      <w:pPr>
        <w:pStyle w:val="TextBody"/>
        <w:bidi w:val="0"/>
        <w:spacing w:lineRule="auto" w:line="288" w:before="60" w:after="283"/>
        <w:jc w:val="center"/>
        <w:rPr/>
      </w:pPr>
      <w:r>
        <w:rPr>
          <w:rFonts w:ascii="Times New Roman;sans-serif" w:hAnsi="Times New Roman;sans-serif"/>
          <w:b/>
          <w:color w:val="000000"/>
          <w:sz w:val="20"/>
        </w:rPr>
        <w:t>Registrant’s telephone number, including area code: </w:t>
      </w:r>
      <w:r>
        <w:rPr>
          <w:rFonts w:ascii="Times New Roman;sans-serif" w:hAnsi="Times New Roman;sans-serif"/>
          <w:b/>
          <w:color w:val="000000"/>
          <w:sz w:val="18"/>
        </w:rPr>
        <w:t>(650) 481-6770</w:t>
      </w:r>
    </w:p>
    <w:p>
      <w:pPr>
        <w:pStyle w:val="TextBody"/>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w:t>
      </w:r>
    </w:p>
    <w:p>
      <w:pPr>
        <w:pStyle w:val="TextBody"/>
        <w:bidi w:val="0"/>
        <w:spacing w:lineRule="auto" w:line="288" w:before="6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Securities registered pursuant to Section 12(b) of the Act:</w:t>
      </w:r>
    </w:p>
    <w:tbl>
      <w:tblPr>
        <w:tblW w:w="8113" w:type="dxa"/>
        <w:jc w:val="center"/>
        <w:tblInd w:w="0" w:type="dxa"/>
        <w:tblLayout w:type="fixed"/>
        <w:tblCellMar>
          <w:top w:w="28" w:type="dxa"/>
          <w:left w:w="28" w:type="dxa"/>
          <w:bottom w:w="28" w:type="dxa"/>
          <w:right w:w="28" w:type="dxa"/>
        </w:tblCellMar>
      </w:tblPr>
      <w:tblGrid>
        <w:gridCol w:w="1169"/>
        <w:gridCol w:w="1032"/>
        <w:gridCol w:w="1039"/>
        <w:gridCol w:w="484"/>
        <w:gridCol w:w="484"/>
        <w:gridCol w:w="486"/>
        <w:gridCol w:w="1000"/>
        <w:gridCol w:w="1000"/>
        <w:gridCol w:w="1419"/>
      </w:tblGrid>
      <w:tr>
        <w:trPr/>
        <w:tc>
          <w:tcPr>
            <w:tcW w:w="116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par value $0.0001 per share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PLRX</w:t>
            </w:r>
          </w:p>
        </w:tc>
        <w:tc>
          <w:tcPr>
            <w:tcW w:w="341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w:t>
            </w:r>
          </w:p>
        </w:tc>
      </w:tr>
    </w:tbl>
    <w:p>
      <w:pPr>
        <w:pStyle w:val="TextBody"/>
        <w:bidi w:val="0"/>
        <w:spacing w:lineRule="auto" w:line="288" w:before="60" w:after="283"/>
        <w:jc w:val="left"/>
        <w:rPr/>
      </w:pPr>
      <w:r>
        <w:rPr>
          <w:rFonts w:ascii="Times New Roman;sans-serif" w:hAnsi="Times New Roman;sans-serif"/>
          <w:b w:val="false"/>
          <w:color w:val="000000"/>
          <w:sz w:val="16"/>
        </w:rPr>
        <w:t>Securities registered pursuant to Section 12(g) of the Act: </w:t>
      </w:r>
      <w:r>
        <w:rPr>
          <w:rFonts w:ascii="Times New Roman;sans-serif" w:hAnsi="Times New Roman;sans-serif"/>
          <w:b/>
          <w:color w:val="000000"/>
          <w:sz w:val="16"/>
        </w:rPr>
        <w:t>None</w:t>
      </w:r>
    </w:p>
    <w:p>
      <w:pPr>
        <w:pStyle w:val="TextBody"/>
        <w:bidi w:val="0"/>
        <w:spacing w:lineRule="auto" w:line="288" w:before="60" w:after="283"/>
        <w:jc w:val="left"/>
        <w:rPr/>
      </w:pPr>
      <w:r>
        <w:rPr>
          <w:rFonts w:ascii="Times New Roman;sans-serif" w:hAnsi="Times New Roman;sans-serif"/>
          <w:b w:val="false"/>
          <w:color w:val="000000"/>
          <w:sz w:val="16"/>
        </w:rPr>
        <w:t>Indicate by check mark if the Registrant is a well-known seasoned issuer, as defined in Rule 405 of the Securities Act. Yes </w:t>
      </w:r>
      <w:r>
        <w:rPr>
          <w:rFonts w:ascii="Wingdings;sans-serif" w:hAnsi="Wingdings;sans-serif"/>
          <w:b w:val="false"/>
          <w:color w:val="000000"/>
          <w:sz w:val="16"/>
        </w:rPr>
        <w:t>x</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60" w:after="283"/>
        <w:jc w:val="left"/>
        <w:rPr/>
      </w:pPr>
      <w:r>
        <w:rPr>
          <w:rFonts w:ascii="Times New Roman;sans-serif" w:hAnsi="Times New Roman;sans-serif"/>
          <w:b w:val="false"/>
          <w:color w:val="000000"/>
          <w:sz w:val="16"/>
        </w:rPr>
        <w:t>Indicate by check mark if the Registrant is not required to file reports pursuant to Section 13 or 15(d) of the Act.  Yes </w:t>
      </w:r>
      <w:r>
        <w:rPr>
          <w:color w:val="000000"/>
        </w:rPr>
        <w:t>☐ </w:t>
      </w:r>
      <w:r>
        <w:rPr>
          <w:rFonts w:ascii="Times New Roman;sans-serif" w:hAnsi="Times New Roman;sans-serif"/>
          <w:b w:val="false"/>
          <w:color w:val="000000"/>
          <w:sz w:val="16"/>
        </w:rPr>
        <w:t>No </w:t>
      </w:r>
      <w:r>
        <w:rPr>
          <w:rFonts w:ascii="Wingdings;sans-serif" w:hAnsi="Wingdings;sans-serif"/>
          <w:b w:val="false"/>
          <w:color w:val="000000"/>
          <w:sz w:val="16"/>
        </w:rPr>
        <w:t>x</w:t>
      </w:r>
    </w:p>
    <w:p>
      <w:pPr>
        <w:pStyle w:val="TextBody"/>
        <w:bidi w:val="0"/>
        <w:spacing w:lineRule="auto" w:line="288" w:before="60" w:after="283"/>
        <w:jc w:val="left"/>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60" w:after="283"/>
        <w:jc w:val="left"/>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6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076" w:type="dxa"/>
        <w:jc w:val="center"/>
        <w:tblInd w:w="0" w:type="dxa"/>
        <w:tblLayout w:type="fixed"/>
        <w:tblCellMar>
          <w:top w:w="28" w:type="dxa"/>
          <w:left w:w="28" w:type="dxa"/>
          <w:bottom w:w="28" w:type="dxa"/>
          <w:right w:w="28" w:type="dxa"/>
        </w:tblCellMar>
      </w:tblPr>
      <w:tblGrid>
        <w:gridCol w:w="739"/>
        <w:gridCol w:w="649"/>
        <w:gridCol w:w="652"/>
        <w:gridCol w:w="109"/>
        <w:gridCol w:w="109"/>
        <w:gridCol w:w="109"/>
        <w:gridCol w:w="109"/>
        <w:gridCol w:w="109"/>
        <w:gridCol w:w="109"/>
        <w:gridCol w:w="669"/>
        <w:gridCol w:w="669"/>
        <w:gridCol w:w="672"/>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60" w:after="283"/>
        <w:jc w:val="left"/>
        <w:rPr/>
      </w:pPr>
      <w:r>
        <w:rPr>
          <w:rFonts w:ascii="Times New Roman;sans-serif" w:hAnsi="Times New Roman;sans-serif"/>
          <w:b w:val="false"/>
          <w:color w:val="00000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sans-serif" w:hAnsi="Wingdings;sans-serif"/>
          <w:b w:val="false"/>
          <w:color w:val="000000"/>
          <w:sz w:val="16"/>
        </w:rPr>
        <w:t>x</w:t>
      </w:r>
    </w:p>
    <w:p>
      <w:pPr>
        <w:pStyle w:val="TextBody"/>
        <w:bidi w:val="0"/>
        <w:spacing w:lineRule="auto" w:line="268" w:before="0" w:after="0"/>
        <w:jc w:val="left"/>
        <w:rPr/>
      </w:pPr>
      <w:r>
        <w:rPr>
          <w:rFonts w:ascii="Times New Roman;sans-serif" w:hAnsi="Times New Roman;sans-serif"/>
          <w:b w:val="false"/>
          <w:color w:val="000000"/>
          <w:sz w:val="16"/>
        </w:rPr>
        <w:t xml:space="preserve">If securities are registered pursuant to Section 12(b) of the Act, indicate by check mark whether financial statements of the registrant included in the filing reflect the correction of an error to previously issued financial statements. </w:t>
      </w:r>
      <w:r>
        <w:rPr>
          <w:color w:val="000000"/>
        </w:rPr>
        <w:t>☐ </w:t>
      </w:r>
    </w:p>
    <w:p>
      <w:pPr>
        <w:pStyle w:val="TextBody"/>
        <w:bidi w:val="0"/>
        <w:spacing w:lineRule="auto" w:line="268" w:before="0" w:after="0"/>
        <w:jc w:val="left"/>
        <w:rPr/>
      </w:pPr>
      <w:r>
        <w:rPr>
          <w:rFonts w:ascii="Times New Roman;sans-serif" w:hAnsi="Times New Roman;sans-serif"/>
          <w:b w:val="false"/>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lineRule="auto" w:line="288" w:before="60" w:after="283"/>
        <w:jc w:val="left"/>
        <w:rPr/>
      </w:pPr>
      <w:r>
        <w:rPr>
          <w:rFonts w:ascii="Times New Roman;sans-serif" w:hAnsi="Times New Roman;sans-serif"/>
          <w:b w:val="false"/>
          <w:color w:val="000000"/>
          <w:sz w:val="16"/>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16"/>
        </w:rPr>
        <w:t>No </w:t>
      </w:r>
      <w:r>
        <w:rPr>
          <w:rFonts w:ascii="Wingdings;sans-serif" w:hAnsi="Wingdings;sans-serif"/>
          <w:b w:val="false"/>
          <w:color w:val="000000"/>
          <w:sz w:val="16"/>
        </w:rPr>
        <w:t>x</w:t>
      </w:r>
    </w:p>
    <w:p>
      <w:pPr>
        <w:pStyle w:val="TextBody"/>
        <w:bidi w:val="0"/>
        <w:spacing w:lineRule="auto" w:line="288" w:before="6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The aggregate market value of the voting and non-voting common equity held by non-affiliates of the Registrant, based on the closing price of the shares of common stock on The NASDAQ Stock Market on June 30, 2024, was $607,605,287.</w:t>
      </w:r>
    </w:p>
    <w:p>
      <w:pPr>
        <w:pStyle w:val="TextBody"/>
        <w:bidi w:val="0"/>
        <w:spacing w:lineRule="auto" w:line="288" w:before="6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The number of shares of Registrant’s Common Stock outstanding as of February 21, 2025 was 61,236,291.</w:t>
      </w:r>
    </w:p>
    <w:p>
      <w:pPr>
        <w:pStyle w:val="TextBody"/>
        <w:bidi w:val="0"/>
        <w:spacing w:lineRule="auto" w:line="288" w:before="6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DOCUMENTS INCORPORATED BY REFERENCE</w:t>
      </w:r>
    </w:p>
    <w:p>
      <w:pPr>
        <w:pStyle w:val="TextBody"/>
        <w:bidi w:val="0"/>
        <w:spacing w:lineRule="auto" w:line="288" w:before="6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Portions of the registrant’s definitive Proxy Statement for the 2025 Annual Meeting of Stockholders to be filed with the U.S. Securities and Exchange Commission pursuant to Regulation 14A not later than 120 days after the end of the fiscal year covered by this Annual Report on Form 10-K are incorporated by reference in Part III, Items 10-14 of this Annual Report on Form 10-K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2ab8a64028ef4885b24b55403c56fd9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30"/>
        <w:gridCol w:w="289"/>
        <w:gridCol w:w="297"/>
        <w:gridCol w:w="2904"/>
        <w:gridCol w:w="2904"/>
        <w:gridCol w:w="2909"/>
        <w:gridCol w:w="167"/>
        <w:gridCol w:w="167"/>
        <w:gridCol w:w="238"/>
      </w:tblGrid>
      <w:tr>
        <w:trPr/>
        <w:tc>
          <w:tcPr>
            <w:tcW w:w="33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04" w:type="dxa"/>
            <w:tcBorders/>
            <w:vAlign w:val="center"/>
          </w:tcPr>
          <w:p>
            <w:pPr>
              <w:pStyle w:val="TableContents"/>
              <w:bidi w:val="0"/>
              <w:spacing w:before="0" w:after="283"/>
              <w:jc w:val="left"/>
              <w:rPr>
                <w:sz w:val="4"/>
                <w:szCs w:val="4"/>
              </w:rPr>
            </w:pPr>
            <w:r>
              <w:rPr>
                <w:sz w:val="4"/>
                <w:szCs w:val="4"/>
              </w:rPr>
            </w:r>
          </w:p>
        </w:tc>
        <w:tc>
          <w:tcPr>
            <w:tcW w:w="2904" w:type="dxa"/>
            <w:tcBorders/>
            <w:vAlign w:val="center"/>
          </w:tcPr>
          <w:p>
            <w:pPr>
              <w:pStyle w:val="TableContents"/>
              <w:bidi w:val="0"/>
              <w:spacing w:before="0" w:after="283"/>
              <w:jc w:val="left"/>
              <w:rPr>
                <w:sz w:val="4"/>
                <w:szCs w:val="4"/>
              </w:rPr>
            </w:pPr>
            <w:r>
              <w:rPr>
                <w:sz w:val="4"/>
                <w:szCs w:val="4"/>
              </w:rPr>
            </w:r>
          </w:p>
        </w:tc>
        <w:tc>
          <w:tcPr>
            <w:tcW w:w="29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b8a64028ef4885b24b55403c56fd93_10">
              <w:r>
                <w:rPr>
                  <w:rStyle w:val="InternetLink"/>
                  <w:rFonts w:ascii="Times New Roman;sans-serif" w:hAnsi="Times New Roman;sans-serif"/>
                  <w:b w:val="false"/>
                  <w:color w:val="0000FF"/>
                  <w:sz w:val="20"/>
                  <w:u w:val="single"/>
                </w:rPr>
                <w:t>Special Note Regarding Forward-Looking Statements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b8a64028ef4885b24b55403c56fd93_10">
              <w:r>
                <w:rPr>
                  <w:rStyle w:val="InternetLink"/>
                  <w:rFonts w:ascii="Times New Roman;sans-serif" w:hAnsi="Times New Roman;sans-serif"/>
                  <w:b w:val="false"/>
                  <w:strike w:val="false"/>
                  <w:dstrike w:val="false"/>
                  <w:color w:val="000000"/>
                  <w:sz w:val="20"/>
                  <w:u w:val="none"/>
                  <w:effect w:val="none"/>
                </w:rPr>
                <w:t>1</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b8a64028ef4885b24b55403c56fd93_13">
              <w:r>
                <w:rPr>
                  <w:rStyle w:val="InternetLink"/>
                  <w:rFonts w:ascii="Times New Roman;sans-serif" w:hAnsi="Times New Roman;sans-serif"/>
                  <w:b w:val="false"/>
                  <w:color w:val="0000FF"/>
                  <w:sz w:val="20"/>
                  <w:u w:val="single"/>
                </w:rPr>
                <w:t>Summary of Risks Associated With Our Business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b8a64028ef4885b24b55403c56fd93_13">
              <w:r>
                <w:rPr>
                  <w:rStyle w:val="InternetLink"/>
                  <w:rFonts w:ascii="Times New Roman;sans-serif" w:hAnsi="Times New Roman;sans-serif"/>
                  <w:b w:val="false"/>
                  <w:strike w:val="false"/>
                  <w:dstrike w:val="false"/>
                  <w:color w:val="000000"/>
                  <w:sz w:val="20"/>
                  <w:u w:val="none"/>
                  <w:effect w:val="none"/>
                </w:rPr>
                <w:t>2</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b8a64028ef4885b24b55403c56fd93_16">
              <w:r>
                <w:rPr>
                  <w:rStyle w:val="InternetLink"/>
                  <w:rFonts w:ascii="Times New Roman;sans-serif" w:hAnsi="Times New Roman;sans-serif"/>
                  <w:b/>
                  <w:color w:val="0000FF"/>
                  <w:sz w:val="20"/>
                  <w:u w:val="single"/>
                </w:rPr>
                <w:t>PART I</w:t>
              </w:r>
            </w:hyperlink>
          </w:p>
        </w:tc>
        <w:tc>
          <w:tcPr>
            <w:tcW w:w="8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b8a64028ef4885b24b55403c56fd93_19">
              <w:r>
                <w:rPr>
                  <w:rStyle w:val="InternetLink"/>
                  <w:rFonts w:ascii="Times New Roman;sans-serif" w:hAnsi="Times New Roman;sans-serif"/>
                  <w:b w:val="false"/>
                  <w:strike w:val="false"/>
                  <w:dstrike w:val="false"/>
                  <w:color w:val="000000"/>
                  <w:sz w:val="20"/>
                  <w:u w:val="none"/>
                  <w:effect w:val="none"/>
                </w:rPr>
                <w:t>Item 1.</w:t>
              </w:r>
            </w:hyperlink>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b8a64028ef4885b24b55403c56fd93_19">
              <w:r>
                <w:rPr>
                  <w:rStyle w:val="InternetLink"/>
                  <w:rFonts w:ascii="Times New Roman;sans-serif" w:hAnsi="Times New Roman;sans-serif"/>
                  <w:b w:val="false"/>
                  <w:color w:val="0000FF"/>
                  <w:sz w:val="20"/>
                  <w:u w:val="single"/>
                </w:rPr>
                <w:t>Business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b8a64028ef4885b24b55403c56fd93_19">
              <w:r>
                <w:rPr>
                  <w:rStyle w:val="InternetLink"/>
                  <w:rFonts w:ascii="Times New Roman;sans-serif" w:hAnsi="Times New Roman;sans-serif"/>
                  <w:b w:val="false"/>
                  <w:strike w:val="false"/>
                  <w:dstrike w:val="false"/>
                  <w:color w:val="000000"/>
                  <w:sz w:val="20"/>
                  <w:u w:val="none"/>
                  <w:effect w:val="none"/>
                </w:rPr>
                <w:t>4</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b8a64028ef4885b24b55403c56fd93_22">
              <w:r>
                <w:rPr>
                  <w:rStyle w:val="InternetLink"/>
                  <w:rFonts w:ascii="Times New Roman;sans-serif" w:hAnsi="Times New Roman;sans-serif"/>
                  <w:b w:val="false"/>
                  <w:strike w:val="false"/>
                  <w:dstrike w:val="false"/>
                  <w:color w:val="000000"/>
                  <w:sz w:val="20"/>
                  <w:u w:val="none"/>
                  <w:effect w:val="none"/>
                </w:rPr>
                <w:t>Item 1A.</w:t>
              </w:r>
            </w:hyperlink>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b8a64028ef4885b24b55403c56fd93_22">
              <w:r>
                <w:rPr>
                  <w:rStyle w:val="InternetLink"/>
                  <w:rFonts w:ascii="Times New Roman;sans-serif" w:hAnsi="Times New Roman;sans-serif"/>
                  <w:b w:val="false"/>
                  <w:color w:val="0000FF"/>
                  <w:sz w:val="20"/>
                  <w:u w:val="single"/>
                </w:rPr>
                <w:t>Risk Factors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b8a64028ef4885b24b55403c56fd93_22">
              <w:r>
                <w:rPr>
                  <w:rStyle w:val="InternetLink"/>
                  <w:rFonts w:ascii="Times New Roman;sans-serif" w:hAnsi="Times New Roman;sans-serif"/>
                  <w:b w:val="false"/>
                  <w:strike w:val="false"/>
                  <w:dstrike w:val="false"/>
                  <w:color w:val="000000"/>
                  <w:sz w:val="20"/>
                  <w:u w:val="none"/>
                  <w:effect w:val="none"/>
                </w:rPr>
                <w:t>2</w:t>
              </w:r>
            </w:hyperlink>
            <w:r>
              <w:rPr>
                <w:rFonts w:ascii="Times New Roman;sans-serif" w:hAnsi="Times New Roman;sans-serif"/>
                <w:b w:val="false"/>
                <w:color w:val="000000"/>
                <w:sz w:val="20"/>
              </w:rPr>
              <w:t>4</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b8a64028ef4885b24b55403c56fd93_25">
              <w:r>
                <w:rPr>
                  <w:rStyle w:val="InternetLink"/>
                  <w:rFonts w:ascii="Times New Roman;sans-serif" w:hAnsi="Times New Roman;sans-serif"/>
                  <w:b w:val="false"/>
                  <w:strike w:val="false"/>
                  <w:dstrike w:val="false"/>
                  <w:color w:val="000000"/>
                  <w:sz w:val="20"/>
                  <w:u w:val="none"/>
                  <w:effect w:val="none"/>
                </w:rPr>
                <w:t>Item 1B.</w:t>
              </w:r>
            </w:hyperlink>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b8a64028ef4885b24b55403c56fd93_25">
              <w:r>
                <w:rPr>
                  <w:rStyle w:val="InternetLink"/>
                  <w:rFonts w:ascii="Times New Roman;sans-serif" w:hAnsi="Times New Roman;sans-serif"/>
                  <w:b w:val="false"/>
                  <w:color w:val="0000FF"/>
                  <w:sz w:val="20"/>
                  <w:u w:val="single"/>
                </w:rPr>
                <w:t>Unresolved Staff Comments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b8a64028ef4885b24b55403c56fd93_25">
              <w:r>
                <w:rPr>
                  <w:rStyle w:val="InternetLink"/>
                  <w:rFonts w:ascii="Times New Roman;sans-serif" w:hAnsi="Times New Roman;sans-serif"/>
                  <w:b w:val="false"/>
                  <w:strike w:val="false"/>
                  <w:dstrike w:val="false"/>
                  <w:color w:val="000000"/>
                  <w:sz w:val="20"/>
                  <w:u w:val="none"/>
                  <w:effect w:val="none"/>
                </w:rPr>
                <w:t>69</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b8a64028ef4885b24b55403c56fd93_28">
              <w:r>
                <w:rPr>
                  <w:rStyle w:val="InternetLink"/>
                  <w:rFonts w:ascii="Times New Roman;sans-serif" w:hAnsi="Times New Roman;sans-serif"/>
                  <w:b w:val="false"/>
                  <w:strike w:val="false"/>
                  <w:dstrike w:val="false"/>
                  <w:color w:val="000000"/>
                  <w:sz w:val="20"/>
                  <w:u w:val="none"/>
                  <w:effect w:val="none"/>
                </w:rPr>
                <w:t>Item 1C</w:t>
              </w:r>
            </w:hyperlink>
            <w:r>
              <w:rPr>
                <w:rFonts w:ascii="Times New Roman;sans-serif" w:hAnsi="Times New Roman;sans-serif"/>
                <w:b w:val="false"/>
                <w:color w:val="000000"/>
                <w:sz w:val="20"/>
              </w:rPr>
              <w:t>.</w:t>
            </w:r>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b8a64028ef4885b24b55403c56fd93_28">
              <w:r>
                <w:rPr>
                  <w:rStyle w:val="InternetLink"/>
                  <w:rFonts w:ascii="Times New Roman;sans-serif" w:hAnsi="Times New Roman;sans-serif"/>
                  <w:b w:val="false"/>
                  <w:color w:val="0000FF"/>
                  <w:sz w:val="20"/>
                  <w:u w:val="single"/>
                </w:rPr>
                <w:t>Cybersecurity</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b8a64028ef4885b24b55403c56fd93_28">
              <w:r>
                <w:rPr>
                  <w:rStyle w:val="InternetLink"/>
                  <w:rFonts w:ascii="Times New Roman;sans-serif" w:hAnsi="Times New Roman;sans-serif"/>
                  <w:b w:val="false"/>
                  <w:strike w:val="false"/>
                  <w:dstrike w:val="false"/>
                  <w:color w:val="000000"/>
                  <w:sz w:val="20"/>
                  <w:u w:val="none"/>
                  <w:effect w:val="none"/>
                </w:rPr>
                <w:t>69</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b8a64028ef4885b24b55403c56fd93_31">
              <w:r>
                <w:rPr>
                  <w:rStyle w:val="InternetLink"/>
                  <w:rFonts w:ascii="Times New Roman;sans-serif" w:hAnsi="Times New Roman;sans-serif"/>
                  <w:b w:val="false"/>
                  <w:strike w:val="false"/>
                  <w:dstrike w:val="false"/>
                  <w:color w:val="000000"/>
                  <w:sz w:val="20"/>
                  <w:u w:val="none"/>
                  <w:effect w:val="none"/>
                </w:rPr>
                <w:t>Item 2.</w:t>
              </w:r>
            </w:hyperlink>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b8a64028ef4885b24b55403c56fd93_31">
              <w:r>
                <w:rPr>
                  <w:rStyle w:val="InternetLink"/>
                  <w:rFonts w:ascii="Times New Roman;sans-serif" w:hAnsi="Times New Roman;sans-serif"/>
                  <w:b w:val="false"/>
                  <w:color w:val="0000FF"/>
                  <w:sz w:val="20"/>
                  <w:u w:val="single"/>
                </w:rPr>
                <w:t>Properties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b8a64028ef4885b24b55403c56fd93_31">
              <w:r>
                <w:rPr>
                  <w:rStyle w:val="InternetLink"/>
                  <w:rFonts w:ascii="Times New Roman;sans-serif" w:hAnsi="Times New Roman;sans-serif"/>
                  <w:b w:val="false"/>
                  <w:strike w:val="false"/>
                  <w:dstrike w:val="false"/>
                  <w:color w:val="000000"/>
                  <w:sz w:val="20"/>
                  <w:u w:val="none"/>
                  <w:effect w:val="none"/>
                </w:rPr>
                <w:t>70</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b8a64028ef4885b24b55403c56fd93_34">
              <w:r>
                <w:rPr>
                  <w:rStyle w:val="InternetLink"/>
                  <w:rFonts w:ascii="Times New Roman;sans-serif" w:hAnsi="Times New Roman;sans-serif"/>
                  <w:b w:val="false"/>
                  <w:strike w:val="false"/>
                  <w:dstrike w:val="false"/>
                  <w:color w:val="000000"/>
                  <w:sz w:val="20"/>
                  <w:u w:val="none"/>
                  <w:effect w:val="none"/>
                </w:rPr>
                <w:t>Item 3.</w:t>
              </w:r>
            </w:hyperlink>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b8a64028ef4885b24b55403c56fd93_34">
              <w:r>
                <w:rPr>
                  <w:rStyle w:val="InternetLink"/>
                  <w:rFonts w:ascii="Times New Roman;sans-serif" w:hAnsi="Times New Roman;sans-serif"/>
                  <w:b w:val="false"/>
                  <w:color w:val="0000FF"/>
                  <w:sz w:val="20"/>
                  <w:u w:val="single"/>
                </w:rPr>
                <w:t>Legal Proceedings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b8a64028ef4885b24b55403c56fd93_34">
              <w:r>
                <w:rPr>
                  <w:rStyle w:val="InternetLink"/>
                  <w:rFonts w:ascii="Times New Roman;sans-serif" w:hAnsi="Times New Roman;sans-serif"/>
                  <w:b w:val="false"/>
                  <w:strike w:val="false"/>
                  <w:dstrike w:val="false"/>
                  <w:color w:val="000000"/>
                  <w:sz w:val="20"/>
                  <w:u w:val="none"/>
                  <w:effect w:val="none"/>
                </w:rPr>
                <w:t>70</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b8a64028ef4885b24b55403c56fd93_37">
              <w:r>
                <w:rPr>
                  <w:rStyle w:val="InternetLink"/>
                  <w:rFonts w:ascii="Times New Roman;sans-serif" w:hAnsi="Times New Roman;sans-serif"/>
                  <w:b w:val="false"/>
                  <w:strike w:val="false"/>
                  <w:dstrike w:val="false"/>
                  <w:color w:val="000000"/>
                  <w:sz w:val="20"/>
                  <w:u w:val="none"/>
                  <w:effect w:val="none"/>
                </w:rPr>
                <w:t>Item 4.</w:t>
              </w:r>
            </w:hyperlink>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b8a64028ef4885b24b55403c56fd93_37">
              <w:r>
                <w:rPr>
                  <w:rStyle w:val="InternetLink"/>
                  <w:rFonts w:ascii="Times New Roman;sans-serif" w:hAnsi="Times New Roman;sans-serif"/>
                  <w:b w:val="false"/>
                  <w:color w:val="0000FF"/>
                  <w:sz w:val="20"/>
                  <w:u w:val="single"/>
                </w:rPr>
                <w:t>Mine Safety Disclosures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b8a64028ef4885b24b55403c56fd93_37">
              <w:r>
                <w:rPr>
                  <w:rStyle w:val="InternetLink"/>
                  <w:rFonts w:ascii="Times New Roman;sans-serif" w:hAnsi="Times New Roman;sans-serif"/>
                  <w:b w:val="false"/>
                  <w:strike w:val="false"/>
                  <w:dstrike w:val="false"/>
                  <w:color w:val="000000"/>
                  <w:sz w:val="20"/>
                  <w:u w:val="none"/>
                  <w:effect w:val="none"/>
                </w:rPr>
                <w:t>70</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b8a64028ef4885b24b55403c56fd93_40">
              <w:r>
                <w:rPr>
                  <w:rStyle w:val="InternetLink"/>
                  <w:rFonts w:ascii="Times New Roman;sans-serif" w:hAnsi="Times New Roman;sans-serif"/>
                  <w:b/>
                  <w:color w:val="0000FF"/>
                  <w:sz w:val="20"/>
                  <w:u w:val="single"/>
                </w:rPr>
                <w:t>PART II</w:t>
              </w:r>
            </w:hyperlink>
          </w:p>
        </w:tc>
        <w:tc>
          <w:tcPr>
            <w:tcW w:w="8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b8a64028ef4885b24b55403c56fd93_43">
              <w:r>
                <w:rPr>
                  <w:rStyle w:val="InternetLink"/>
                  <w:rFonts w:ascii="Times New Roman;sans-serif" w:hAnsi="Times New Roman;sans-serif"/>
                  <w:b w:val="false"/>
                  <w:strike w:val="false"/>
                  <w:dstrike w:val="false"/>
                  <w:color w:val="000000"/>
                  <w:sz w:val="20"/>
                  <w:u w:val="none"/>
                  <w:effect w:val="none"/>
                </w:rPr>
                <w:t>Item 5.</w:t>
              </w:r>
            </w:hyperlink>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b8a64028ef4885b24b55403c56fd93_43">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b8a64028ef4885b24b55403c56fd93_43">
              <w:r>
                <w:rPr>
                  <w:rStyle w:val="InternetLink"/>
                  <w:rFonts w:ascii="Times New Roman;sans-serif" w:hAnsi="Times New Roman;sans-serif"/>
                  <w:b w:val="false"/>
                  <w:strike w:val="false"/>
                  <w:dstrike w:val="false"/>
                  <w:color w:val="000000"/>
                  <w:sz w:val="20"/>
                  <w:u w:val="none"/>
                  <w:effect w:val="none"/>
                </w:rPr>
                <w:t>71</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b8a64028ef4885b24b55403c56fd93_46">
              <w:r>
                <w:rPr>
                  <w:rStyle w:val="InternetLink"/>
                  <w:rFonts w:ascii="Times New Roman;sans-serif" w:hAnsi="Times New Roman;sans-serif"/>
                  <w:b w:val="false"/>
                  <w:strike w:val="false"/>
                  <w:dstrike w:val="false"/>
                  <w:color w:val="000000"/>
                  <w:sz w:val="20"/>
                  <w:u w:val="none"/>
                  <w:effect w:val="none"/>
                </w:rPr>
                <w:t>Item 6.</w:t>
              </w:r>
            </w:hyperlink>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b8a64028ef4885b24b55403c56fd93_46">
              <w:r>
                <w:rPr>
                  <w:rStyle w:val="InternetLink"/>
                  <w:rFonts w:ascii="Times New Roman;sans-serif" w:hAnsi="Times New Roman;sans-serif"/>
                  <w:b w:val="false"/>
                  <w:color w:val="0000FF"/>
                  <w:sz w:val="20"/>
                  <w:u w:val="single"/>
                </w:rPr>
                <w:t>Reserved</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b8a64028ef4885b24b55403c56fd93_46">
              <w:r>
                <w:rPr>
                  <w:rStyle w:val="InternetLink"/>
                  <w:rFonts w:ascii="Times New Roman;sans-serif" w:hAnsi="Times New Roman;sans-serif"/>
                  <w:b w:val="false"/>
                  <w:strike w:val="false"/>
                  <w:dstrike w:val="false"/>
                  <w:color w:val="000000"/>
                  <w:sz w:val="20"/>
                  <w:u w:val="none"/>
                  <w:effect w:val="none"/>
                </w:rPr>
                <w:t>72</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b8a64028ef4885b24b55403c56fd93_49">
              <w:r>
                <w:rPr>
                  <w:rStyle w:val="InternetLink"/>
                  <w:rFonts w:ascii="Times New Roman;sans-serif" w:hAnsi="Times New Roman;sans-serif"/>
                  <w:b w:val="false"/>
                  <w:strike w:val="false"/>
                  <w:dstrike w:val="false"/>
                  <w:color w:val="000000"/>
                  <w:sz w:val="20"/>
                  <w:u w:val="none"/>
                  <w:effect w:val="none"/>
                </w:rPr>
                <w:t>Item 7.</w:t>
              </w:r>
            </w:hyperlink>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b8a64028ef4885b24b55403c56fd93_49">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b8a64028ef4885b24b55403c56fd93_49">
              <w:r>
                <w:rPr>
                  <w:rStyle w:val="InternetLink"/>
                  <w:rFonts w:ascii="Times New Roman;sans-serif" w:hAnsi="Times New Roman;sans-serif"/>
                  <w:b w:val="false"/>
                  <w:strike w:val="false"/>
                  <w:dstrike w:val="false"/>
                  <w:color w:val="000000"/>
                  <w:sz w:val="20"/>
                  <w:u w:val="none"/>
                  <w:effect w:val="none"/>
                </w:rPr>
                <w:t>72</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b8a64028ef4885b24b55403c56fd93_76">
              <w:r>
                <w:rPr>
                  <w:rStyle w:val="InternetLink"/>
                  <w:rFonts w:ascii="Times New Roman;sans-serif" w:hAnsi="Times New Roman;sans-serif"/>
                  <w:b w:val="false"/>
                  <w:strike w:val="false"/>
                  <w:dstrike w:val="false"/>
                  <w:color w:val="000000"/>
                  <w:sz w:val="20"/>
                  <w:u w:val="none"/>
                  <w:effect w:val="none"/>
                </w:rPr>
                <w:t>Item 7A.</w:t>
              </w:r>
            </w:hyperlink>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b8a64028ef4885b24b55403c56fd93_76">
              <w:r>
                <w:rPr>
                  <w:rStyle w:val="InternetLink"/>
                  <w:rFonts w:ascii="Times New Roman;sans-serif" w:hAnsi="Times New Roman;sans-serif"/>
                  <w:b w:val="false"/>
                  <w:color w:val="0000FF"/>
                  <w:sz w:val="20"/>
                  <w:u w:val="single"/>
                </w:rPr>
                <w:t>Quantitative and Qualitative Disclosures About Market Risk</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b8a64028ef4885b24b55403c56fd93_76">
              <w:r>
                <w:rPr>
                  <w:rStyle w:val="InternetLink"/>
                  <w:rFonts w:ascii="Times New Roman;sans-serif" w:hAnsi="Times New Roman;sans-serif"/>
                  <w:b w:val="false"/>
                  <w:strike w:val="false"/>
                  <w:dstrike w:val="false"/>
                  <w:color w:val="000000"/>
                  <w:sz w:val="20"/>
                  <w:u w:val="none"/>
                  <w:effect w:val="none"/>
                </w:rPr>
                <w:t>83</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b8a64028ef4885b24b55403c56fd93_79">
              <w:r>
                <w:rPr>
                  <w:rStyle w:val="InternetLink"/>
                  <w:rFonts w:ascii="Times New Roman;sans-serif" w:hAnsi="Times New Roman;sans-serif"/>
                  <w:b w:val="false"/>
                  <w:strike w:val="false"/>
                  <w:dstrike w:val="false"/>
                  <w:color w:val="000000"/>
                  <w:sz w:val="20"/>
                  <w:u w:val="none"/>
                  <w:effect w:val="none"/>
                </w:rPr>
                <w:t>Item 8.</w:t>
              </w:r>
            </w:hyperlink>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b8a64028ef4885b24b55403c56fd93_79">
              <w:r>
                <w:rPr>
                  <w:rStyle w:val="InternetLink"/>
                  <w:rFonts w:ascii="Times New Roman;sans-serif" w:hAnsi="Times New Roman;sans-serif"/>
                  <w:b w:val="false"/>
                  <w:color w:val="0000FF"/>
                  <w:sz w:val="20"/>
                  <w:u w:val="single"/>
                </w:rPr>
                <w:t>Financial Statements and Supplementary Data</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b8a64028ef4885b24b55403c56fd93_79">
              <w:r>
                <w:rPr>
                  <w:rStyle w:val="InternetLink"/>
                  <w:rFonts w:ascii="Times New Roman;sans-serif" w:hAnsi="Times New Roman;sans-serif"/>
                  <w:b w:val="false"/>
                  <w:strike w:val="false"/>
                  <w:dstrike w:val="false"/>
                  <w:color w:val="000000"/>
                  <w:sz w:val="20"/>
                  <w:u w:val="none"/>
                  <w:effect w:val="none"/>
                </w:rPr>
                <w:t>84</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b8a64028ef4885b24b55403c56fd93_163">
              <w:r>
                <w:rPr>
                  <w:rStyle w:val="InternetLink"/>
                  <w:rFonts w:ascii="Times New Roman;sans-serif" w:hAnsi="Times New Roman;sans-serif"/>
                  <w:b w:val="false"/>
                  <w:strike w:val="false"/>
                  <w:dstrike w:val="false"/>
                  <w:color w:val="000000"/>
                  <w:sz w:val="20"/>
                  <w:u w:val="none"/>
                  <w:effect w:val="none"/>
                </w:rPr>
                <w:t>Item 9.</w:t>
              </w:r>
            </w:hyperlink>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b8a64028ef4885b24b55403c56fd93_163">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b8a64028ef4885b24b55403c56fd93_163">
              <w:r>
                <w:rPr>
                  <w:rStyle w:val="InternetLink"/>
                  <w:rFonts w:ascii="Times New Roman;sans-serif" w:hAnsi="Times New Roman;sans-serif"/>
                  <w:b w:val="false"/>
                  <w:strike w:val="false"/>
                  <w:dstrike w:val="false"/>
                  <w:color w:val="000000"/>
                  <w:sz w:val="20"/>
                  <w:u w:val="none"/>
                  <w:effect w:val="none"/>
                </w:rPr>
                <w:t>109</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b8a64028ef4885b24b55403c56fd93_166">
              <w:r>
                <w:rPr>
                  <w:rStyle w:val="InternetLink"/>
                  <w:rFonts w:ascii="Times New Roman;sans-serif" w:hAnsi="Times New Roman;sans-serif"/>
                  <w:b w:val="false"/>
                  <w:strike w:val="false"/>
                  <w:dstrike w:val="false"/>
                  <w:color w:val="000000"/>
                  <w:sz w:val="20"/>
                  <w:u w:val="none"/>
                  <w:effect w:val="none"/>
                </w:rPr>
                <w:t>Item 9A.</w:t>
              </w:r>
            </w:hyperlink>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b8a64028ef4885b24b55403c56fd93_166">
              <w:r>
                <w:rPr>
                  <w:rStyle w:val="InternetLink"/>
                  <w:rFonts w:ascii="Times New Roman;sans-serif" w:hAnsi="Times New Roman;sans-serif"/>
                  <w:b w:val="false"/>
                  <w:color w:val="0000FF"/>
                  <w:sz w:val="20"/>
                  <w:u w:val="single"/>
                </w:rPr>
                <w:t>Controls and Procedures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b8a64028ef4885b24b55403c56fd93_166">
              <w:r>
                <w:rPr>
                  <w:rStyle w:val="InternetLink"/>
                  <w:rFonts w:ascii="Times New Roman;sans-serif" w:hAnsi="Times New Roman;sans-serif"/>
                  <w:b w:val="false"/>
                  <w:strike w:val="false"/>
                  <w:dstrike w:val="false"/>
                  <w:color w:val="000000"/>
                  <w:sz w:val="20"/>
                  <w:u w:val="none"/>
                  <w:effect w:val="none"/>
                </w:rPr>
                <w:t>109</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b8a64028ef4885b24b55403c56fd93_169">
              <w:r>
                <w:rPr>
                  <w:rStyle w:val="InternetLink"/>
                  <w:rFonts w:ascii="Times New Roman;sans-serif" w:hAnsi="Times New Roman;sans-serif"/>
                  <w:b w:val="false"/>
                  <w:strike w:val="false"/>
                  <w:dstrike w:val="false"/>
                  <w:color w:val="000000"/>
                  <w:sz w:val="20"/>
                  <w:u w:val="none"/>
                  <w:effect w:val="none"/>
                </w:rPr>
                <w:t>Item 9B.</w:t>
              </w:r>
            </w:hyperlink>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b8a64028ef4885b24b55403c56fd93_169">
              <w:r>
                <w:rPr>
                  <w:rStyle w:val="InternetLink"/>
                  <w:rFonts w:ascii="Times New Roman;sans-serif" w:hAnsi="Times New Roman;sans-serif"/>
                  <w:b w:val="false"/>
                  <w:color w:val="0000FF"/>
                  <w:sz w:val="20"/>
                  <w:u w:val="single"/>
                </w:rPr>
                <w:t>Other Information</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b8a64028ef4885b24b55403c56fd93_169">
              <w:r>
                <w:rPr>
                  <w:rStyle w:val="InternetLink"/>
                  <w:rFonts w:ascii="Times New Roman;sans-serif" w:hAnsi="Times New Roman;sans-serif"/>
                  <w:b w:val="false"/>
                  <w:strike w:val="false"/>
                  <w:dstrike w:val="false"/>
                  <w:color w:val="000000"/>
                  <w:sz w:val="20"/>
                  <w:u w:val="none"/>
                  <w:effect w:val="none"/>
                </w:rPr>
                <w:t>111</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b8a64028ef4885b24b55403c56fd93_175">
              <w:r>
                <w:rPr>
                  <w:rStyle w:val="InternetLink"/>
                  <w:rFonts w:ascii="Times New Roman;sans-serif" w:hAnsi="Times New Roman;sans-serif"/>
                  <w:b w:val="false"/>
                  <w:strike w:val="false"/>
                  <w:dstrike w:val="false"/>
                  <w:color w:val="000000"/>
                  <w:sz w:val="20"/>
                  <w:u w:val="none"/>
                  <w:effect w:val="none"/>
                </w:rPr>
                <w:t>Item 9C</w:t>
              </w:r>
            </w:hyperlink>
            <w:r>
              <w:rPr>
                <w:rFonts w:ascii="Times New Roman;sans-serif" w:hAnsi="Times New Roman;sans-serif"/>
                <w:b w:val="false"/>
                <w:color w:val="000000"/>
                <w:sz w:val="20"/>
              </w:rPr>
              <w:t>.</w:t>
            </w:r>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b8a64028ef4885b24b55403c56fd93_175">
              <w:r>
                <w:rPr>
                  <w:rStyle w:val="InternetLink"/>
                  <w:rFonts w:ascii="Times New Roman;sans-serif" w:hAnsi="Times New Roman;sans-serif"/>
                  <w:b w:val="false"/>
                  <w:color w:val="0000FF"/>
                  <w:sz w:val="20"/>
                  <w:u w:val="single"/>
                </w:rPr>
                <w:t>Disclosure Regarding Foreign Jurisdictions that Prevent Inspections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b8a64028ef4885b24b55403c56fd93_175">
              <w:r>
                <w:rPr>
                  <w:rStyle w:val="InternetLink"/>
                  <w:rFonts w:ascii="Times New Roman;sans-serif" w:hAnsi="Times New Roman;sans-serif"/>
                  <w:b w:val="false"/>
                  <w:strike w:val="false"/>
                  <w:dstrike w:val="false"/>
                  <w:color w:val="000000"/>
                  <w:sz w:val="20"/>
                  <w:u w:val="none"/>
                  <w:effect w:val="none"/>
                </w:rPr>
                <w:t>112</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b8a64028ef4885b24b55403c56fd93_178">
              <w:r>
                <w:rPr>
                  <w:rStyle w:val="InternetLink"/>
                  <w:rFonts w:ascii="Times New Roman;sans-serif" w:hAnsi="Times New Roman;sans-serif"/>
                  <w:b/>
                  <w:color w:val="0000FF"/>
                  <w:sz w:val="20"/>
                  <w:u w:val="single"/>
                </w:rPr>
                <w:t>PART III</w:t>
              </w:r>
            </w:hyperlink>
          </w:p>
        </w:tc>
        <w:tc>
          <w:tcPr>
            <w:tcW w:w="8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b8a64028ef4885b24b55403c56fd93_181">
              <w:r>
                <w:rPr>
                  <w:rStyle w:val="InternetLink"/>
                  <w:rFonts w:ascii="Times New Roman;sans-serif" w:hAnsi="Times New Roman;sans-serif"/>
                  <w:b w:val="false"/>
                  <w:strike w:val="false"/>
                  <w:dstrike w:val="false"/>
                  <w:color w:val="000000"/>
                  <w:sz w:val="20"/>
                  <w:u w:val="none"/>
                  <w:effect w:val="none"/>
                </w:rPr>
                <w:t>Item 10.</w:t>
              </w:r>
            </w:hyperlink>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b8a64028ef4885b24b55403c56fd93_181">
              <w:r>
                <w:rPr>
                  <w:rStyle w:val="InternetLink"/>
                  <w:rFonts w:ascii="Times New Roman;sans-serif" w:hAnsi="Times New Roman;sans-serif"/>
                  <w:b w:val="false"/>
                  <w:color w:val="0000FF"/>
                  <w:sz w:val="20"/>
                  <w:u w:val="single"/>
                </w:rPr>
                <w:t>Directors, Executive Officers and Corporate Governance</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b8a64028ef4885b24b55403c56fd93_181">
              <w:r>
                <w:rPr>
                  <w:rStyle w:val="InternetLink"/>
                  <w:rFonts w:ascii="Times New Roman;sans-serif" w:hAnsi="Times New Roman;sans-serif"/>
                  <w:b w:val="false"/>
                  <w:strike w:val="false"/>
                  <w:dstrike w:val="false"/>
                  <w:color w:val="000000"/>
                  <w:sz w:val="20"/>
                  <w:u w:val="none"/>
                  <w:effect w:val="none"/>
                </w:rPr>
                <w:t>112</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b8a64028ef4885b24b55403c56fd93_184">
              <w:r>
                <w:rPr>
                  <w:rStyle w:val="InternetLink"/>
                  <w:rFonts w:ascii="Times New Roman;sans-serif" w:hAnsi="Times New Roman;sans-serif"/>
                  <w:b w:val="false"/>
                  <w:strike w:val="false"/>
                  <w:dstrike w:val="false"/>
                  <w:color w:val="000000"/>
                  <w:sz w:val="20"/>
                  <w:u w:val="none"/>
                  <w:effect w:val="none"/>
                </w:rPr>
                <w:t>Item 11.</w:t>
              </w:r>
            </w:hyperlink>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b8a64028ef4885b24b55403c56fd93_184">
              <w:r>
                <w:rPr>
                  <w:rStyle w:val="InternetLink"/>
                  <w:rFonts w:ascii="Times New Roman;sans-serif" w:hAnsi="Times New Roman;sans-serif"/>
                  <w:b w:val="false"/>
                  <w:color w:val="0000FF"/>
                  <w:sz w:val="20"/>
                  <w:u w:val="single"/>
                </w:rPr>
                <w:t>Executive Compensation</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b8a64028ef4885b24b55403c56fd93_184">
              <w:r>
                <w:rPr>
                  <w:rStyle w:val="InternetLink"/>
                  <w:rFonts w:ascii="Times New Roman;sans-serif" w:hAnsi="Times New Roman;sans-serif"/>
                  <w:b w:val="false"/>
                  <w:strike w:val="false"/>
                  <w:dstrike w:val="false"/>
                  <w:color w:val="000000"/>
                  <w:sz w:val="20"/>
                  <w:u w:val="none"/>
                  <w:effect w:val="none"/>
                </w:rPr>
                <w:t>112</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b8a64028ef4885b24b55403c56fd93_187">
              <w:r>
                <w:rPr>
                  <w:rStyle w:val="InternetLink"/>
                  <w:rFonts w:ascii="Times New Roman;sans-serif" w:hAnsi="Times New Roman;sans-serif"/>
                  <w:b w:val="false"/>
                  <w:strike w:val="false"/>
                  <w:dstrike w:val="false"/>
                  <w:color w:val="000000"/>
                  <w:sz w:val="20"/>
                  <w:u w:val="none"/>
                  <w:effect w:val="none"/>
                </w:rPr>
                <w:t>Item 12.</w:t>
              </w:r>
            </w:hyperlink>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b8a64028ef4885b24b55403c56fd93_187">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b8a64028ef4885b24b55403c56fd93_187">
              <w:r>
                <w:rPr>
                  <w:rStyle w:val="InternetLink"/>
                  <w:rFonts w:ascii="Times New Roman;sans-serif" w:hAnsi="Times New Roman;sans-serif"/>
                  <w:b w:val="false"/>
                  <w:strike w:val="false"/>
                  <w:dstrike w:val="false"/>
                  <w:color w:val="000000"/>
                  <w:sz w:val="20"/>
                  <w:u w:val="none"/>
                  <w:effect w:val="none"/>
                </w:rPr>
                <w:t>112</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b8a64028ef4885b24b55403c56fd93_190">
              <w:r>
                <w:rPr>
                  <w:rStyle w:val="InternetLink"/>
                  <w:rFonts w:ascii="Times New Roman;sans-serif" w:hAnsi="Times New Roman;sans-serif"/>
                  <w:b w:val="false"/>
                  <w:strike w:val="false"/>
                  <w:dstrike w:val="false"/>
                  <w:color w:val="000000"/>
                  <w:sz w:val="20"/>
                  <w:u w:val="none"/>
                  <w:effect w:val="none"/>
                </w:rPr>
                <w:t>Item 13.</w:t>
              </w:r>
            </w:hyperlink>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b8a64028ef4885b24b55403c56fd93_190">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b8a64028ef4885b24b55403c56fd93_190">
              <w:r>
                <w:rPr>
                  <w:rStyle w:val="InternetLink"/>
                  <w:rFonts w:ascii="Times New Roman;sans-serif" w:hAnsi="Times New Roman;sans-serif"/>
                  <w:b w:val="false"/>
                  <w:strike w:val="false"/>
                  <w:dstrike w:val="false"/>
                  <w:color w:val="000000"/>
                  <w:sz w:val="20"/>
                  <w:u w:val="none"/>
                  <w:effect w:val="none"/>
                </w:rPr>
                <w:t>112</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b8a64028ef4885b24b55403c56fd93_193">
              <w:r>
                <w:rPr>
                  <w:rStyle w:val="InternetLink"/>
                  <w:rFonts w:ascii="Times New Roman;sans-serif" w:hAnsi="Times New Roman;sans-serif"/>
                  <w:b w:val="false"/>
                  <w:strike w:val="false"/>
                  <w:dstrike w:val="false"/>
                  <w:color w:val="000000"/>
                  <w:sz w:val="20"/>
                  <w:u w:val="none"/>
                  <w:effect w:val="none"/>
                </w:rPr>
                <w:t>Item 14.</w:t>
              </w:r>
            </w:hyperlink>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b8a64028ef4885b24b55403c56fd93_193">
              <w:r>
                <w:rPr>
                  <w:rStyle w:val="InternetLink"/>
                  <w:rFonts w:ascii="Times New Roman;sans-serif" w:hAnsi="Times New Roman;sans-serif"/>
                  <w:b w:val="false"/>
                  <w:color w:val="0000FF"/>
                  <w:sz w:val="20"/>
                  <w:u w:val="single"/>
                </w:rPr>
                <w:t>Principal Accounting Fees and Services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b8a64028ef4885b24b55403c56fd93_193">
              <w:r>
                <w:rPr>
                  <w:rStyle w:val="InternetLink"/>
                  <w:rFonts w:ascii="Times New Roman;sans-serif" w:hAnsi="Times New Roman;sans-serif"/>
                  <w:b w:val="false"/>
                  <w:strike w:val="false"/>
                  <w:dstrike w:val="false"/>
                  <w:color w:val="000000"/>
                  <w:sz w:val="20"/>
                  <w:u w:val="none"/>
                  <w:effect w:val="none"/>
                </w:rPr>
                <w:t>112</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b8a64028ef4885b24b55403c56fd93_196">
              <w:r>
                <w:rPr>
                  <w:rStyle w:val="InternetLink"/>
                  <w:rFonts w:ascii="Times New Roman;sans-serif" w:hAnsi="Times New Roman;sans-serif"/>
                  <w:b/>
                  <w:color w:val="0000FF"/>
                  <w:sz w:val="20"/>
                  <w:u w:val="single"/>
                </w:rPr>
                <w:t>PART IV</w:t>
              </w:r>
            </w:hyperlink>
          </w:p>
        </w:tc>
        <w:tc>
          <w:tcPr>
            <w:tcW w:w="8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b8a64028ef4885b24b55403c56fd93_199">
              <w:r>
                <w:rPr>
                  <w:rStyle w:val="InternetLink"/>
                  <w:rFonts w:ascii="Times New Roman;sans-serif" w:hAnsi="Times New Roman;sans-serif"/>
                  <w:b w:val="false"/>
                  <w:strike w:val="false"/>
                  <w:dstrike w:val="false"/>
                  <w:color w:val="000000"/>
                  <w:sz w:val="20"/>
                  <w:u w:val="none"/>
                  <w:effect w:val="none"/>
                </w:rPr>
                <w:t>Item 15.</w:t>
              </w:r>
            </w:hyperlink>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b8a64028ef4885b24b55403c56fd93_199">
              <w:r>
                <w:rPr>
                  <w:rStyle w:val="InternetLink"/>
                  <w:rFonts w:ascii="Times New Roman;sans-serif" w:hAnsi="Times New Roman;sans-serif"/>
                  <w:b w:val="false"/>
                  <w:color w:val="0000FF"/>
                  <w:sz w:val="20"/>
                  <w:u w:val="single"/>
                </w:rPr>
                <w:t>Exhibits and Financial Statement Schedules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b8a64028ef4885b24b55403c56fd93_199">
              <w:r>
                <w:rPr>
                  <w:rStyle w:val="InternetLink"/>
                  <w:rFonts w:ascii="Times New Roman;sans-serif" w:hAnsi="Times New Roman;sans-serif"/>
                  <w:b w:val="false"/>
                  <w:strike w:val="false"/>
                  <w:dstrike w:val="false"/>
                  <w:color w:val="000000"/>
                  <w:sz w:val="20"/>
                  <w:u w:val="none"/>
                  <w:effect w:val="none"/>
                </w:rPr>
                <w:t>113</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b8a64028ef4885b24b55403c56fd93_202">
              <w:r>
                <w:rPr>
                  <w:rStyle w:val="InternetLink"/>
                  <w:rFonts w:ascii="Times New Roman;sans-serif" w:hAnsi="Times New Roman;sans-serif"/>
                  <w:b w:val="false"/>
                  <w:strike w:val="false"/>
                  <w:dstrike w:val="false"/>
                  <w:color w:val="000000"/>
                  <w:sz w:val="20"/>
                  <w:u w:val="none"/>
                  <w:effect w:val="none"/>
                </w:rPr>
                <w:t>Item 16</w:t>
              </w:r>
            </w:hyperlink>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b8a64028ef4885b24b55403c56fd93_202">
              <w:r>
                <w:rPr>
                  <w:rStyle w:val="InternetLink"/>
                  <w:rFonts w:ascii="Times New Roman;sans-serif" w:hAnsi="Times New Roman;sans-serif"/>
                  <w:b w:val="false"/>
                  <w:color w:val="0000FF"/>
                  <w:sz w:val="20"/>
                  <w:u w:val="single"/>
                </w:rPr>
                <w:t>Form 10-K Summary</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b8a64028ef4885b24b55403c56fd93_202">
              <w:r>
                <w:rPr>
                  <w:rStyle w:val="InternetLink"/>
                  <w:rFonts w:ascii="Times New Roman;sans-serif" w:hAnsi="Times New Roman;sans-serif"/>
                  <w:b w:val="false"/>
                  <w:strike w:val="false"/>
                  <w:dstrike w:val="false"/>
                  <w:color w:val="000000"/>
                  <w:sz w:val="20"/>
                  <w:u w:val="none"/>
                  <w:effect w:val="none"/>
                </w:rPr>
                <w:t>114</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2ab8a64028ef4885b24b55403c56fd9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or this Report, contains forward-looking statements that involve risks, uncertainties, and assumptions that, if they never materialize or prove incorrect, could cause our results to differ materially from those expressed or implied by such forward-looking statements. The statements contained in this Report that are not purely historical are forward-looking statements within the meaning of Section 27A of the Securities Act of 1933, as amended, or the Securities Act, and Section 21E of the Securities Exchange Act of 1934, as amended, or the Exchange Act. Forward-looking statements are often identified by the use of words such as, but not limited to, “anticipate,” “believe,” “could,” “estimate,” “expect,” “intend,” “may,” “plan,” “potential,” “predict,” “project,” “should,” “will,” “would” or the negative of those terms, and similar expressions that convey uncertainty of future events or outcomes. Any statements contained herein that are not statements of historical facts may be deemed to be forward-looking statements. Forward-looking statements in this Report include, but are not limited to, statements about:</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estimates regarding expenses, future revenue, capital requirements and needs for additional financing;</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The success, cost and timing of our product development activities, preclincal and clinical trials of our product candidates;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plans to initiate, recruit and enroll patients in, and conduct our clinical trials at the pace that we project;</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plans and strategy to obtain and maintain regulatory approvals of our product candidates;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plans and strategy to obtain funding for our operations, including funding necessary to complete further development and, upon successful development, if approved, commercialize any of our product candidates;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The effect and impact of new, existing and proposed laws and regulations;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The potential benefit of orphan drug and Fast Track designations for bexotegrast;</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ability to compete with companies currently marketing or engaged in the development of treatments for fibrosis;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plans and strategy regarding obtaining and maintaining intellectual property protection for our product candidates and the duration of such protection;</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plans and strategy regarding the manufacture of our product candidates for clinical trials and for commercial use, if approved;</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dependence on future collaborators for developing, obtaining regulatory approval for and commercializing product candidates in the collaboration;</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receipt and timing of any milestone payments or royalties under any future research collaboration or license agreements or arrangements;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plans and strategy regarding the commercialization of any products that are approved for marketing and our ability to establish adequate pricing in the U.S. and international markets;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The size and growth potential of the markets for our product candidates, and our ability to serve those markets, either alone or in combination with others;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 xml:space="preserve">Our ability to attract and retain qualified employees and key personnel; </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expectations regarding government and third-party payor coverage and reimbursement; and</w:t>
      </w:r>
    </w:p>
    <w:p>
      <w:pPr>
        <w:pStyle w:val="TextBody"/>
        <w:bidi w:val="0"/>
        <w:spacing w:lineRule="auto" w:line="288" w:before="0" w:after="0"/>
        <w:ind w:left="0" w:right="0" w:hanging="630"/>
        <w:jc w:val="left"/>
        <w:rPr/>
      </w:pPr>
      <w:r>
        <w:rPr>
          <w:color w:val="000000"/>
        </w:rPr>
        <w:t>•</w:t>
      </w:r>
      <w:r>
        <w:rPr>
          <w:rFonts w:ascii="Times New Roman;sans-serif" w:hAnsi="Times New Roman;sans-serif"/>
          <w:b w:val="false"/>
          <w:color w:val="000000"/>
          <w:sz w:val="20"/>
        </w:rPr>
        <w:t>Our expectations of obtaining a positive health technology assessment recommending our products.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These statements are based on the beliefs and assumptions of our management, which are in turn based on information currently available to management. Such forward-looking statements are subject to risks, uncertainties and other important factors that could cause actual results and the timing of certain events to differ materially from future results and timing expressed or implied by such forward-looking statements. Factors that could cause or contribute to such differences include, but are not limited to, those discussed in the section entitled “Risk Factors” included under Part I, Item 1A in this Report. Furthermore, such forward-looking statements speak only as of the date of this Report. Except as required by law, we undertake no obligation to update any forward-looking statements to reflect events or circumstances after the date of such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2ab8a64028ef4885b24b55403c56fd9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SUMMARY OF RISKS ASSOCIATED WITH OUR BUSINESS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involves significant risks, some of which are summarized below. The summary risk factors listed below should be read together with the text of the full risk factors discussed in "Part I, Item 1A. Risk Factors" in this Report. You should carefully consider the risks described below, as well as the other information in this Report, including our financial statements and the related notes and “Management’s Discussion and Analysis of Financial Condition and Results of Operations” as well as in other documents that we file with the Securities and Exchange Commission, or the SEC. The occurrence of any of the events or developments described in this Report could have a material adverse effect on our business, financial condition, results of operations, growth prospects and stock price. In such an event, the market price of our common stock could decline. Additional risks and uncertainties not presently known to us or that we currently deem immaterial may also impair our business operations and the market price of our common stock.</w:t>
      </w:r>
    </w:p>
    <w:p>
      <w:pPr>
        <w:pStyle w:val="TextBody"/>
        <w:bidi w:val="0"/>
        <w:spacing w:lineRule="auto" w:line="288" w:before="120" w:after="12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Risks Related to Our Financial Position and Need for Additional Capital</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We have incurred significant net losses since inception, and we expect to continue to incur significant net losses for the foreseeable future.</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We will require substantial additional capital to finance our operations. If we are unable to raise such capital when needed, or on acceptable terms, we may be forced to delay, reduce and/or eliminate one or more of our research and drug development programs, future commercialization efforts or other operations.</w:t>
      </w:r>
    </w:p>
    <w:p>
      <w:pPr>
        <w:pStyle w:val="TextBody"/>
        <w:bidi w:val="0"/>
        <w:spacing w:lineRule="auto" w:line="288" w:before="120" w:after="12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Risks Related to Research and Development and the Biopharmaceutical Industry</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We have a limited operating history, which may make it difficult to evaluate our prospects and likelihood of success.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 xml:space="preserve">Our business is highly dependent on the success of our lead product candidate, bexotegrast and any other product candidates that we advance into the clinic. All of our product candidates will require significant additional preclinical and clinical development before we may be able to seek regulatory approval for and launch a product commercially. </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approach to drug discovery and development in the area of fibrotic diseases is unproven and may not result in marketable products.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Clinical development involves a lengthy, complex, and expensive process, with an uncertain outcome to support either a marketing authorization or positive pricing and reimbursement decisions.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We may incur additional costs or experience delays in completing, or ultimately be unable to complete, the development and commercialization of our product candidates.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We may fail to obtain and maintain certain regulatory exclusivities and orphan designations in some jurisdictions and therefore fail to secure orphan exclusivity or other exclusivity extensions in those jurisdictions.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ongoing and future clinical trials may reveal significant adverse events or unexpected drug-drug interactions not seen in our preclinical studies and may result in a safety profile that could delay or prevent regulatory approval or market acceptance of any of our product candidates.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If we encounter difficulties enrolling patients in our clinical trials, our clinical development activities could be delayed or otherwise adversely affected.</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We face substantial competition, which may result in others discovering, developing, or commercializing products before or more successfully than us.</w:t>
      </w:r>
    </w:p>
    <w:p>
      <w:pPr>
        <w:pStyle w:val="TextBody"/>
        <w:bidi w:val="0"/>
        <w:spacing w:lineRule="auto" w:line="288" w:before="0" w:after="0"/>
        <w:ind w:left="0" w:right="0" w:hanging="630"/>
        <w:jc w:val="left"/>
        <w:rPr/>
      </w:pPr>
      <w:r>
        <w:rPr>
          <w:color w:val="000000"/>
        </w:rPr>
        <w:t>•</w:t>
      </w:r>
      <w:r>
        <w:rPr>
          <w:rFonts w:ascii="Times New Roman;sans-serif" w:hAnsi="Times New Roman;sans-serif"/>
          <w:b w:val="false"/>
          <w:color w:val="000000"/>
          <w:sz w:val="20"/>
        </w:rPr>
        <w:t>We may fail to secure an appropriate reimbursement price or a positive health technology assessment.</w:t>
      </w:r>
    </w:p>
    <w:p>
      <w:pPr>
        <w:pStyle w:val="TextBody"/>
        <w:bidi w:val="0"/>
        <w:spacing w:lineRule="auto" w:line="288" w:before="120" w:after="12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Risks Related to Our Intellectual Property</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success depends in part on our ability to obtain patent term extensions and to protect our intellectual property. It is difficult and costly to protect our proprietary rights and technology, and we may not be able to ensure their protection.</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collaborators may assert ownership or commercial rights to inventions they develop from research we support, or that we develop from our use of the tissue samples or other biological materials which they provide to us, or otherwise arising from the collaboration.</w:t>
      </w:r>
    </w:p>
    <w:p>
      <w:pPr>
        <w:pStyle w:val="TextBody"/>
        <w:bidi w:val="0"/>
        <w:spacing w:lineRule="auto" w:line="288" w:before="120" w:after="12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Risks Related to Our Reliance on Third Parties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2ab8a64028ef4885b24b55403c56fd9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We rely on third parties to conduct certain aspects of our preclinical studies and clinical trials and for tissue samples and other materials required for our research and development activities.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We rely on single-source third party suppliers located in foreign jurisdictions, including China, to manufacture our drug candidates. An interruption in this supply, caused by a business interruption or geopolitical events, could materially disrupt our research and development activities.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If we are unable to enter into new collaborations, or if these collaborations are not successful, our business could be adversely affected.</w:t>
      </w:r>
    </w:p>
    <w:p>
      <w:pPr>
        <w:pStyle w:val="TextBody"/>
        <w:bidi w:val="0"/>
        <w:spacing w:lineRule="auto" w:line="288" w:before="120" w:after="12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Risks Related to Managing Our Business and Operations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loss of key management personnel, or our failure to recruit additional highly skilled personnel, will impair our ability to develop current product candidates or identify and develop new product candidates, could result in loss of markets or market share and could make us less competitive.</w:t>
      </w:r>
    </w:p>
    <w:p>
      <w:pPr>
        <w:pStyle w:val="TextBody"/>
        <w:bidi w:val="0"/>
        <w:spacing w:before="0" w:after="0"/>
        <w:ind w:left="0" w:right="0" w:firstLine="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2ab8a64028ef4885b24b55403c56fd9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lineRule="auto" w:line="288" w:before="8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are a late-stage biopharmaceutical company focused on discovering and developing novel therapies for the treatment of fibrosis and related diseases. Our initial focus is on treating fibrosis by inhibiting integrin-mediated activation of TGF-β. We have applied our deep understanding of fibrosis biology, along with our medicinal chemistry and translational medicine expertise to develop a set of proprietary tools designed to discover and de-risk product candidates quickly and efficiently. Our wholly owned lead product candidate, bexotegrast, is an oral, small molecule, dual selective inhibitor of αvβ6 and αvβ1 integrins. We have recently discontinued BEACON-IPF trial, a global Phase 2b trial in patients with idiopathic pulmonary fibrosis (IPF). While an imbalance in unadjudicated IPF-related adverse events between the treatment and placebo groups led to the discontinuation of the trial, early evidence of efficacy on the forced vital capacity (FVC) endpoint was also observed. The Company plans to analyze the complete data from the BEACON-IPF trial and evaluate next steps for bexotegrast’s development.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second clinical program, PLN-101095, is a small molecule, dual selective inhibitor of integrins αvβ8 and αvβ1 for the treatment of solid tumors that are resistant to immune checkpoint inhibitors. We are currently enrolling the fourth of five dose cohorts in a Phase 1 open-label dose-escalation trial of PLN-101095 as monotherapy and in combination with pembrolizumab in patients with solid tumors that are resistant to immune checkpoint inhibitors. Preliminary data from cohorts one through three is expected in the first quarter of 2025.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Phase 1-ready program PLN-101325, is in development for treatment of muscular dystrophies, including Duchenne muscular dystrophy. PLN-101325 is a monoclonal antibody designed to act as an allosteric agonist of integrin α7β1. PLN-101325 has received a clinical trial approval (CTA) in Australia.</w:t>
      </w:r>
    </w:p>
    <w:p>
      <w:pPr>
        <w:pStyle w:val="TextBody"/>
        <w:bidi w:val="0"/>
        <w:spacing w:lineRule="auto" w:line="288" w:before="80" w:after="283"/>
        <w:ind w:left="0" w:right="0" w:firstLine="450"/>
        <w:jc w:val="left"/>
        <w:rPr>
          <w:rFonts w:ascii="Times New Roman;sans-serif" w:hAnsi="Times New Roman;sans-serif"/>
          <w:b/>
          <w:color w:val="000000"/>
          <w:sz w:val="20"/>
        </w:rPr>
      </w:pPr>
      <w:r>
        <w:rPr>
          <w:rFonts w:ascii="Times New Roman;sans-serif" w:hAnsi="Times New Roman;sans-serif"/>
          <w:b/>
          <w:color w:val="000000"/>
          <w:sz w:val="20"/>
        </w:rPr>
        <w:t xml:space="preserve">Our Pipeline </w:t>
      </w:r>
    </w:p>
    <w:p>
      <w:pPr>
        <w:pStyle w:val="TextBody"/>
        <w:bidi w:val="0"/>
        <w:spacing w:before="80" w:after="283"/>
        <w:jc w:val="left"/>
        <w:rPr/>
      </w:pPr>
      <w:r>
        <w:rPr/>
        <w:drawing>
          <wp:inline distT="0" distB="0" distL="0" distR="0">
            <wp:extent cx="6286500" cy="2428875"/>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6286500" cy="2428875"/>
                    </a:xfrm>
                    <a:prstGeom prst="rect">
                      <a:avLst/>
                    </a:prstGeom>
                  </pic:spPr>
                </pic:pic>
              </a:graphicData>
            </a:graphic>
          </wp:inline>
        </w:drawing>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Our Lead Candidate - Bexotegrast</w:t>
      </w:r>
    </w:p>
    <w:p>
      <w:pPr>
        <w:pStyle w:val="TextBody"/>
        <w:bidi w:val="0"/>
        <w:spacing w:lineRule="auto" w:line="288" w:before="120" w:after="120"/>
        <w:ind w:left="0" w:right="0" w:firstLine="450"/>
        <w:jc w:val="left"/>
        <w:rPr>
          <w:rFonts w:ascii="Times New Roman;sans-serif" w:hAnsi="Times New Roman;sans-serif"/>
          <w:b w:val="false"/>
          <w:color w:val="231F20"/>
          <w:sz w:val="20"/>
        </w:rPr>
      </w:pPr>
      <w:r>
        <w:rPr>
          <w:rFonts w:ascii="Times New Roman;sans-serif" w:hAnsi="Times New Roman;sans-serif"/>
          <w:b w:val="false"/>
          <w:color w:val="231F20"/>
          <w:sz w:val="20"/>
        </w:rPr>
        <w:t>Our lead wholly owned product candidate, bexotegrast, is an oral, small molecule, dual-selective inhibitor of αvß6 and αvß1. While expressed at very low levels in normal tissues, αvß6 and αvß1 are upregulated in the pulmonary tissues of IPF patients. They both serve as activators of TGF-β, leading to increased collagen production and fibrosis in these tissues. By blocking TGF-β activation by both αvß6 and αvß1, we believe bexotegrast may slow and potentially halt the progression of fibrosis in these patient populations. Bexotegrast has been granted orphan drug designation by the FDA, and the European Medicines Agency, or EMA, and Fast Track designation by the FDA for IPF.</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Bexotegrast for Treatment of IPF</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IPF is the most common and severe form of progressive pulmonary fibrosis, affecting approximately 150,000 patients in the United States and over 3 million patients around the world. While the underlying cause of IPF is unknown, the course of the disease is well documented, with progressive scarring that destroys the structure and function of the lungs over time. The average life expectancy for patients with confirmed IPF is between three and five years. There are currently two FDA-approved therapies for IPF. Both have shown modest slowing of disease progression. However, both therapies have safety and tolerability challenges that lead to treatment interruption, dose adjustment, and permanent discontinuation.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Bexotegrast is an oral small molecule that selectively inhibits both αvß6 and αvß1 integrins that we are developing as a potential therapy for IPF and PSC. It has been shown that expression of both αvß6 on epithelial cells and αvß1 on fibroblasts can lead to excessive activation of TGF-β in fibrosis. Epithelial tissue includes any tissue that lines the surfaces of the body such as alveoli, bile ducts, urinary tract, skin, and gastrointestinal tract. Each of these tissues contains multiple cell types including epithelial cells and fibroblasts. An important secondary effect of the TGF-β cascade is that it promotes upregulation of αvß6 on epithelial cells and αvß1 on fibroblasts. The increased expression of these integrins on the cell surface contributes in turn to further TGF-β activation in a TGF-β-driven positive feed-forward loop.</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May 2023, we announced final data from INTEGRIS-IPF, a multinational, randomized, double-blind, placebo-controlled Phase 2a clinical trial of bexotegrast in patients with IPF. The trial compared bexotegrast doses of 40 mg, 80 mg, 160 mg and 320 mg versus placebo over 12 weeks of treatment, with the 320 mg dose group allowed to treat for at least 24 weeks. The trial met its primary and secondary endpoints demonstrating that bexotegrast was well tolerated over a 12-week treatment period and displayed a favorable pharmacokinetic profile. The trial’s exploratory efficacy endpoints assessing changes in forced vital capacity, or FVC, Quantitative Lung Fibrosis, or QLF, imaging, serum biomarkers and clinical symptoms. Bexotegrast demonstrated a dose-dependent treatment effect on FVC, FVC percent predicted, or FVCpp, and QLF, as well as serum biomarkers and cough compared to placebo over 12 weeks in treated patients. Bexotegrast was well tolerated over 12 weeks of treatment with no drug related serious adverse events, or SAEs.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Bexotegrast at 320 mg demonstrated a statistically significant mean increase in FVC from baseline at all timepoints up to 12 weeks, surpassing all lower dose groups, and showed a strong treatment effect on FVC, FVCpp, QLF, profibrotic biomarkers and cough versus placebo at 12 weeks. The bexotegrast 320 mg group also met its primary and secondary endpoints at 24 weeks, demonstrating that bexotegrast was well tolerated over the 24-week treatment period and displayed a favorable pharmacokinetic profile. At Week 24, bexotegrast at 320 mg, in combination with standard of care, reduced FVC decline by 80% relative to standard of care alone. Eighty-nine percent of bexotegrast-treated patients who experienced an increase in FVC from baseline at Week 12 maintained an increase at Week 24. Bexotegrast at 320 mg showed a strong treatment effect with stabilization of fibrosis as measured by QLF imaging at Week 24. Bexotegrast was well tolerated up to 40 weeks of treatment at 320 mg with no drug-related serious adverse events.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2023, we initiated BEACON-IPF, a 52-week, multinational, randomized, dose-ranging, double-blind, placebo-controlled Phase 2b trial evaluating bexotegrast at doses of 160 mg or 320 mg at sites in the United States. In March 2024, we initiated the Phase 2b/3 adaptive portion of the BEACON-IPF trial at global sites outside of the U.S. The BEACON-IPF Phase 2b portion of this multinational trial is enrolling approximately 360 patients with IPF. The primary endpoint is an assessment of the change from baseline in absolute mL of forced vital capacity (FVC) at Week 52. Key secondary endpoints include the measurement of time to disease progression (defined as either a ≥10% decline from baseline in FVC precent predicted (FVCpp), respiratory-related hospitalization, or all-cause mortality), change from baseline of absolute FVC (mL) with or without background therapies, change from baseline in patient reported measurements of symptoms, well-being at Week 52 and safety and tolerability. </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3, 2025, we announced that, following a prespecified data review and recommendation by the trial’s independent DSMB, as well as a secondary review and recommendation by an outside expert panel, Pliant has discontinued the BEACON-IPF Phase 2b trial. While an imbalance in unadjudicated IPF-related adverse events between the treatment and placebo groups led to the discontinuation of the trial, early evidence of efficacy on the forced vital capacity (FVC) endpoint was also observed. </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mean exposure duration in BEACON-IPF was approximately 17 weeks. Overall, the percentage of IPF-related adverse events in both dose groups was comparable (approximately 10%). The imbalance between active and placebo appears to have been driven by a low number (below 3%) of IPF-related adverse events in the placebo group. In comparison, the IPF-related adverse event rate in pooled placebo group of the INTEGRIS-IPF study was 10% with a comparable treatment duration to that of BEACON-IPF (mean exposure duration approximately 16 weeks).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plans to analyze the complete data from the BEACON-IPF trial and evaluate next steps for bexotegrast’s development. Once the full analysis is completed, which should provide a better understanding of the benefit risk profile and therapeutic window of bexotegrast, the Company will consider additional dose-ranging Phase 2b studies with lower doses in pulmonary fibrosis and potentially other, non-respiratory indications, including liver diseases. </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Bexotegrast for Treatment of Primary Sclerosing Cholangitis</w:t>
      </w:r>
    </w:p>
    <w:p>
      <w:pPr>
        <w:pStyle w:val="TextBody"/>
        <w:bidi w:val="0"/>
        <w:spacing w:lineRule="auto" w:line="288" w:before="120" w:after="283"/>
        <w:ind w:left="0" w:right="0" w:firstLine="45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Primary Sclerosing Cholangitis, or PSC is a progressive liver disorder affecting approximately 30,000 to 45,000 patients in the United States. The disease is characterized by fibrosis originating in the bile ducts that ultimately results in bile flow obstruction or cholestasis, causing liver inflammation and progressive fibrosis of the liver. Patients have a median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231F20"/>
          <w:sz w:val="20"/>
        </w:rPr>
      </w:pPr>
      <w:r>
        <w:rPr>
          <w:rFonts w:ascii="Times New Roman;sans-serif" w:hAnsi="Times New Roman;sans-serif"/>
          <w:b w:val="false"/>
          <w:color w:val="231F20"/>
          <w:sz w:val="20"/>
        </w:rPr>
        <w:t>survival of 10 to 12 years without intervention and carry high lifetime risk of developing gastrointestinal malignancies. There are currently no FDA-approved therapies for PSC.</w:t>
      </w:r>
    </w:p>
    <w:p>
      <w:pPr>
        <w:pStyle w:val="TextBody"/>
        <w:bidi w:val="0"/>
        <w:spacing w:lineRule="auto" w:line="288" w:before="120" w:after="283"/>
        <w:ind w:left="0" w:right="0" w:firstLine="45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We conducted and have announced results from INTEGRIS-PSC, a Phase 2a trial of bexotegrast in PSC. The trial compared bexotegrast doses of 40 mg, 80 mg, 160 mg and 320 mg versus placebo over 12-weeks of treatment, with the 320 mg dose cohort allowed to treat for at least 24 weeks. Results from the INTEGRIS-PSC trial were positive with data disclosed in company press releases in 2023 and 2024. </w:t>
      </w:r>
    </w:p>
    <w:p>
      <w:pPr>
        <w:pStyle w:val="TextBody"/>
        <w:bidi w:val="0"/>
        <w:spacing w:lineRule="auto" w:line="288" w:before="120" w:after="283"/>
        <w:ind w:left="0" w:right="0" w:firstLine="45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Following discussions with regulatory authorities, it is clear that a cost effective and efficient development path for Pliant in PSC is not available at this time; however, we continue to evaluate the best path forward for this program. </w:t>
      </w:r>
    </w:p>
    <w:p>
      <w:pPr>
        <w:pStyle w:val="TextBody"/>
        <w:bidi w:val="0"/>
        <w:spacing w:lineRule="auto" w:line="256" w:before="240" w:after="120"/>
        <w:jc w:val="left"/>
        <w:rPr>
          <w:rFonts w:ascii="Times New Roman;sans-serif" w:hAnsi="Times New Roman;sans-serif"/>
          <w:b/>
          <w:color w:val="000000"/>
          <w:sz w:val="20"/>
        </w:rPr>
      </w:pPr>
      <w:r>
        <w:rPr>
          <w:rFonts w:ascii="Times New Roman;sans-serif" w:hAnsi="Times New Roman;sans-serif"/>
          <w:b/>
          <w:color w:val="000000"/>
          <w:sz w:val="20"/>
        </w:rPr>
        <w:t>PLN-101095 for Treatment of Solid Tumors That are Resistant to Immune Checkpoint Inhibitors</w:t>
      </w:r>
    </w:p>
    <w:p>
      <w:pPr>
        <w:pStyle w:val="TextBody"/>
        <w:bidi w:val="0"/>
        <w:spacing w:lineRule="auto" w:line="288" w:before="120" w:after="120"/>
        <w:ind w:left="0" w:right="0" w:firstLine="450"/>
        <w:jc w:val="left"/>
        <w:rPr>
          <w:rFonts w:ascii="Times New Roman;sans-serif" w:hAnsi="Times New Roman;sans-serif"/>
          <w:b w:val="false"/>
          <w:color w:val="231F20"/>
          <w:sz w:val="20"/>
        </w:rPr>
      </w:pPr>
      <w:r>
        <w:rPr>
          <w:rFonts w:ascii="Times New Roman;sans-serif" w:hAnsi="Times New Roman;sans-serif"/>
          <w:b w:val="false"/>
          <w:color w:val="231F20"/>
          <w:sz w:val="20"/>
        </w:rPr>
        <w:t>Our third clinical program to date, PLN-101095, is an oral, dual inhibitor of αvß8 and αvß1 integrins for the treatment of solid tumors with a suboptimal response to immune checkpoint inhibitors, or ICIs. As TGF-β biology has been elucidated, it has become increasingly understood in the scientific literature that TGF-β plays an important anti-inflammatory role in the tumor micro-environment, preventing T-cell infiltration and inhibiting release of various cytokines. This mechanism is becoming increasingly recognized as a potential cause of the resistance to checkpoint inhibitors such as anti-PD-1 therapies seen in many tumors. We are targeting the TGF-β activating integrins αvβ8 and αvβ1, which are upregulated in certain tumors, with the goal of sensitizing tumors to checkpoint inhibitors. We are currently dosing the fourth of five planned dose cohorts in a Phase 1 open label dose-escalation trial of PLN-101095 as monotherapy for 14 days, followed by combination therapy with pembrolizumab in patients with solid tumors that are resistant to immune checkpoint inhibitors. Preliminary data from first three cohorts of the Phase 1 trial are expected in the first quarter of 2025.</w:t>
      </w:r>
    </w:p>
    <w:p>
      <w:pPr>
        <w:pStyle w:val="TextBody"/>
        <w:bidi w:val="0"/>
        <w:spacing w:lineRule="auto" w:line="276"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PLN-101325 for Treatment of Muscular Dystrophies </w:t>
      </w:r>
    </w:p>
    <w:p>
      <w:pPr>
        <w:pStyle w:val="TextBody"/>
        <w:bidi w:val="0"/>
        <w:spacing w:lineRule="auto" w:line="288" w:before="120" w:after="283"/>
        <w:ind w:left="0" w:right="0" w:firstLine="450"/>
        <w:jc w:val="left"/>
        <w:rPr/>
      </w:pPr>
      <w:r>
        <w:rPr>
          <w:rFonts w:ascii="Times New Roman;sans-serif" w:hAnsi="Times New Roman;sans-serif"/>
          <w:b w:val="false"/>
          <w:color w:val="231F20"/>
          <w:sz w:val="20"/>
        </w:rPr>
        <w:t xml:space="preserve">We are developing PLN-101325, a monoclonal antibody targeting α7β1 for treatment of muscular dystrophies, including Duchenne Muscular Dystrophy, or DMD. The α7β1 integrin is upregulated on muscle cells in several muscular dystrophy indications. It partially compensates for the lack of dystrophin by helping to anchor muscle cells to the extracellular matrix. PLN-101325 binds and allosterically activates α7β1 in order to augment this naturally occurring compensatory mechanism. Because the antibody is not mutation specific, it could potentially be effective as a single therapy or in combination with other treatment modalities across multiple muscular dystrophy indications. </w:t>
      </w:r>
      <w:r>
        <w:rPr>
          <w:rFonts w:ascii="Times New Roman;sans-serif" w:hAnsi="Times New Roman;sans-serif"/>
          <w:b w:val="false"/>
          <w:color w:val="000000"/>
          <w:sz w:val="20"/>
        </w:rPr>
        <w:t>A clinical trial approval (CTA) was granted in Australia and is active in authorizing the initiation of a Phase 1 clinical trial of PLN-101325 in healthy volunteers</w:t>
      </w:r>
      <w:r>
        <w:rPr>
          <w:rFonts w:ascii="Times New Roman;sans-serif" w:hAnsi="Times New Roman;sans-serif"/>
          <w:b w:val="false"/>
          <w:color w:val="231F20"/>
          <w:sz w:val="20"/>
        </w:rPr>
        <w:t>.</w:t>
      </w:r>
    </w:p>
    <w:p>
      <w:pPr>
        <w:pStyle w:val="TextBody"/>
        <w:bidi w:val="0"/>
        <w:spacing w:lineRule="auto" w:line="288" w:before="120" w:after="120"/>
        <w:jc w:val="left"/>
        <w:rPr>
          <w:rFonts w:ascii="Times New Roman;sans-serif" w:hAnsi="Times New Roman;sans-serif"/>
          <w:b/>
          <w:color w:val="231F20"/>
          <w:sz w:val="20"/>
        </w:rPr>
      </w:pPr>
      <w:r>
        <w:rPr>
          <w:rFonts w:ascii="Times New Roman;sans-serif" w:hAnsi="Times New Roman;sans-serif"/>
          <w:b/>
          <w:color w:val="231F20"/>
          <w:sz w:val="20"/>
        </w:rPr>
        <w:t>Our Team</w:t>
      </w:r>
    </w:p>
    <w:p>
      <w:pPr>
        <w:pStyle w:val="TextBody"/>
        <w:bidi w:val="0"/>
        <w:spacing w:lineRule="auto" w:line="288" w:before="120" w:after="120"/>
        <w:ind w:left="0" w:right="0" w:firstLine="450"/>
        <w:jc w:val="left"/>
        <w:rPr>
          <w:rFonts w:ascii="Times New Roman;sans-serif" w:hAnsi="Times New Roman;sans-serif"/>
          <w:b w:val="false"/>
          <w:color w:val="231F20"/>
          <w:sz w:val="20"/>
        </w:rPr>
      </w:pPr>
      <w:r>
        <w:rPr>
          <w:rFonts w:ascii="Times New Roman;sans-serif" w:hAnsi="Times New Roman;sans-serif"/>
          <w:b w:val="false"/>
          <w:color w:val="231F20"/>
          <w:sz w:val="20"/>
        </w:rPr>
        <w:t>We have assembled an executive team with highly relevant experience in fibrosis, small molecule drug discovery and clinical development. Bernard Coulie, M.D., Ph.D., our President and Chief Executive Officer, has over 20 years of experience in drug development, previously serving as Chief Executive Officer and Chief Medical Officer of ActoGeniX, as well as holding senior roles at Johnson &amp; Johnson. Éric Lefebvre, M.D., our Chief Medical Officer, brings deep experience in clinical development in liver disease. He previously served as head of clinical research and development for the MASH program at Allergan. Prior to Allergan, Dr. Lefebvre led HIV and HCV development at Janssen and later served as Chief Medical Officer at Tobira. Our science builds on the research of world-renowned researchers Dean Sheppard, M.D., Rik Derynck, Ph.D., Bill DeGrado, Ph.D. and Hal Chapman, M.D., all from the University of California, San Francisco, who bring broad experience in fibrosis biology and small molecule chemistry among other related disciplines.</w:t>
      </w:r>
    </w:p>
    <w:p>
      <w:pPr>
        <w:pStyle w:val="TextBody"/>
        <w:bidi w:val="0"/>
        <w:spacing w:lineRule="auto" w:line="276" w:before="200" w:after="120"/>
        <w:jc w:val="left"/>
        <w:rPr>
          <w:rFonts w:ascii="Times New Roman;sans-serif" w:hAnsi="Times New Roman;sans-serif"/>
          <w:b/>
          <w:color w:val="000000"/>
          <w:sz w:val="20"/>
        </w:rPr>
      </w:pPr>
      <w:r>
        <w:rPr>
          <w:rFonts w:ascii="Times New Roman;sans-serif" w:hAnsi="Times New Roman;sans-serif"/>
          <w:b/>
          <w:color w:val="000000"/>
          <w:sz w:val="20"/>
        </w:rPr>
        <w:t>Our Strategy</w:t>
      </w:r>
    </w:p>
    <w:p>
      <w:pPr>
        <w:pStyle w:val="TextBody"/>
        <w:bidi w:val="0"/>
        <w:spacing w:lineRule="auto" w:line="249" w:before="120" w:after="283"/>
        <w:ind w:left="0" w:right="0" w:firstLine="720"/>
        <w:jc w:val="left"/>
        <w:rPr>
          <w:rFonts w:ascii="Times New Roman;sans-serif" w:hAnsi="Times New Roman;sans-serif"/>
          <w:b w:val="false"/>
          <w:color w:val="231F20"/>
          <w:sz w:val="20"/>
        </w:rPr>
      </w:pPr>
      <w:r>
        <w:rPr>
          <w:rFonts w:ascii="Times New Roman;sans-serif" w:hAnsi="Times New Roman;sans-serif"/>
          <w:b w:val="false"/>
          <w:color w:val="231F20"/>
          <w:sz w:val="20"/>
        </w:rPr>
        <w:t>Our goal is to become a world-leading fibrosis company, developing and commercializing disease- modifying therapies across a spectrum of fibrotic diseases. To achieve this, we are focused on the following key strategies: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color w:val="000000"/>
          <w:sz w:val="20"/>
        </w:rPr>
        <w:t>Rapidly advance bexotegrast through clinical development and commercialization in IPF.</w:t>
      </w:r>
      <w:r>
        <w:rPr>
          <w:color w:val="000000"/>
        </w:rPr>
        <w:t xml:space="preserve"> </w:t>
      </w:r>
      <w:r>
        <w:rPr>
          <w:rFonts w:ascii="Times New Roman;sans-serif" w:hAnsi="Times New Roman;sans-serif"/>
          <w:b w:val="false"/>
          <w:color w:val="000000"/>
          <w:sz w:val="20"/>
        </w:rPr>
        <w:t>We are developing our lead oral, small molecule inhibitor of αvß6 and αvß1 as a novel therapy for IPF, an area of high unmet medical need. IPF is an orphan indication that we believe we can commercialize on our own in key geographies using a targeted sales force.</w:t>
      </w:r>
    </w:p>
    <w:p>
      <w:pPr>
        <w:pStyle w:val="TextBody"/>
        <w:bidi w:val="0"/>
        <w:spacing w:lineRule="auto" w:line="288" w:before="120" w:after="120"/>
        <w:ind w:left="0" w:right="0" w:hanging="630"/>
        <w:jc w:val="left"/>
        <w:rPr/>
      </w:pPr>
      <w:r>
        <w:rPr>
          <w:color w:val="000000"/>
        </w:rPr>
        <w:t>•</w:t>
      </w:r>
      <w:r>
        <w:rPr>
          <w:rFonts w:ascii="Times New Roman;sans-serif" w:hAnsi="Times New Roman;sans-serif"/>
          <w:b/>
          <w:color w:val="000000"/>
          <w:sz w:val="20"/>
        </w:rPr>
        <w:t xml:space="preserve">Selectively evaluate additional partnerships in indications and geographies where we believe partners can add significant commercial and/or development capabilities. </w:t>
      </w:r>
      <w:r>
        <w:rPr>
          <w:rFonts w:ascii="Times New Roman;sans-serif" w:hAnsi="Times New Roman;sans-serif"/>
          <w:b w:val="false"/>
          <w:color w:val="000000"/>
          <w:sz w:val="20"/>
        </w:rPr>
        <w:t>Fibrotic diseases represent a broad set of disease indications to pursue. Our focus is to commercialize our assets in orphan fibrosis indications and to selectively work with partners in larger indications and in geographies outside of North America. Furthermore, we will evaluate and potentially choose to partner our unpartnered product candidates in indications outside of fibrosis.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hanging="630"/>
        <w:jc w:val="left"/>
        <w:rPr/>
      </w:pPr>
      <w:r>
        <w:rPr>
          <w:color w:val="000000"/>
        </w:rPr>
        <w:t>•</w:t>
      </w:r>
      <w:r>
        <w:rPr>
          <w:rFonts w:ascii="Times New Roman;sans-serif" w:hAnsi="Times New Roman;sans-serif"/>
          <w:b/>
          <w:color w:val="000000"/>
          <w:sz w:val="20"/>
        </w:rPr>
        <w:t xml:space="preserve">Explore opportunities for our pipeline assets in additional fibrotic indications. </w:t>
      </w:r>
      <w:r>
        <w:rPr>
          <w:rFonts w:ascii="Times New Roman;sans-serif" w:hAnsi="Times New Roman;sans-serif"/>
          <w:b w:val="false"/>
          <w:color w:val="000000"/>
          <w:sz w:val="20"/>
        </w:rPr>
        <w:t>We are evaluating the potential benefit of our product candidates outside of their lead indications. Our product candidates have shown anti-fibrotic activity in multiple animal models as well as human tissue in indications outside of IPF, PSC and MASH. We will continue to evaluate additional indications to maximize the potential of our pipeline.</w:t>
      </w:r>
    </w:p>
    <w:p>
      <w:pPr>
        <w:pStyle w:val="TextBody"/>
        <w:bidi w:val="0"/>
        <w:spacing w:lineRule="auto" w:line="288" w:before="120" w:after="120"/>
        <w:ind w:left="0" w:right="0" w:hanging="630"/>
        <w:jc w:val="left"/>
        <w:rPr/>
      </w:pPr>
      <w:r>
        <w:rPr>
          <w:color w:val="000000"/>
        </w:rPr>
        <w:t>•</w:t>
      </w:r>
      <w:r>
        <w:rPr>
          <w:rFonts w:ascii="Times New Roman;sans-serif" w:hAnsi="Times New Roman;sans-serif"/>
          <w:b/>
          <w:color w:val="000000"/>
          <w:sz w:val="20"/>
        </w:rPr>
        <w:t xml:space="preserve">Leverage our industry leading tools and capabilities to advance our mission of becoming a leading fibrosis company. </w:t>
      </w:r>
      <w:r>
        <w:rPr>
          <w:rFonts w:ascii="Times New Roman;sans-serif" w:hAnsi="Times New Roman;sans-serif"/>
          <w:b w:val="false"/>
          <w:color w:val="000000"/>
          <w:sz w:val="20"/>
        </w:rPr>
        <w:t>Since our founding, we have endeavored to advance the understanding of fibrosis biology, uncover new targets and advance novel product candidates. Currently, our proprietary capabilities include a target expression atlas, an expansive library of over 10,000 integrin binding molecules, an integrin screening assay platform, a live fibrotic human tissue program, a PET-ligand imaging program and biomarker assays. We continue to expand our integrin inhibitor library and develop tools such as additional PET-ligands as well as novel disease biomarkers. In addition, we have a library of over 70,000 compounds for non-integrin targets. We intend to leverage these tools and capabilities in a target- and modality-agnostic manner to expand our pipeline with a mission to become a world-leading fibrosis company.</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lineRule="auto" w:line="288" w:before="120" w:after="120"/>
        <w:ind w:left="0" w:right="0" w:firstLine="450"/>
        <w:jc w:val="left"/>
        <w:rPr>
          <w:rFonts w:ascii="Times New Roman;sans-serif" w:hAnsi="Times New Roman;sans-serif"/>
          <w:b w:val="false"/>
          <w:color w:val="231F20"/>
          <w:sz w:val="20"/>
        </w:rPr>
      </w:pPr>
      <w:r>
        <w:rPr>
          <w:rFonts w:ascii="Times New Roman;sans-serif" w:hAnsi="Times New Roman;sans-serif"/>
          <w:b w:val="false"/>
          <w:color w:val="231F20"/>
          <w:sz w:val="20"/>
        </w:rPr>
        <w:t>The biotechnology and biopharmaceutical industries are characterized by rapidly advancing technologies, strong competition and an emphasis on proprietary products. While we believe that our technology, knowledge, experience and scientific personnel provide us with competitive advantages, we face substantial competition from many different sources, including larger pharmaceutical companies with greater resources. Smaller specialty biotechnology and biopharmaceutical companies, academic research institutions, governmental agencies, as well as public and private institutions are also potential sources of competitive products and technologies, including through collaborative arrangements with large and established biopharmaceutical companies. We also face competition in recruiting and retaining qualified scientific and management personnel, establishing clinical trial sites and enrolling patients for clinical trials, and acquiring technologies complementary to, or necessary for, our programs. We believe that the key competitive factors affecting the success of any of our product candidates will include efficacy, safety profile, convenience, method of administration, cost, level of promotional activity and intellectual property protection.</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There are a number of biopharmaceutical and biotechnology companies that are currently pursuing the development of products for the treatment of fibrosis. Companies that we are aware of that are targeting the treatment of various fibrosis indications through inhibiting various parts of the TGF-β pathway include companies with significant financial resources such as AbbVie Inc., AstraZeneca plc, Bristol Myers Squibb Co., Corbus Pharmaceutical, Merck &amp; Co., Inc., Novartis AG, Scholar Rock, Inc. and Takeda Pharmaceutical Company.</w:t>
      </w:r>
    </w:p>
    <w:p>
      <w:pPr>
        <w:pStyle w:val="TextBody"/>
        <w:bidi w:val="0"/>
        <w:spacing w:lineRule="auto" w:line="268" w:before="0" w:after="0"/>
        <w:ind w:left="0" w:right="0" w:firstLine="450"/>
        <w:jc w:val="left"/>
        <w:rPr/>
      </w:pPr>
      <w:r>
        <w:rPr>
          <w:rFonts w:ascii="Times New Roman;sans-serif" w:hAnsi="Times New Roman;sans-serif"/>
          <w:b w:val="false"/>
          <w:color w:val="231F20"/>
          <w:sz w:val="20"/>
        </w:rPr>
        <w:t xml:space="preserve">Boehringer Ingelheim's PDE4B inhibitor (BI 1015550), </w:t>
      </w:r>
      <w:r>
        <w:rPr>
          <w:rFonts w:ascii="Times New Roman;sans-serif" w:hAnsi="Times New Roman;sans-serif"/>
          <w:b w:val="false"/>
          <w:color w:val="000000"/>
          <w:sz w:val="20"/>
        </w:rPr>
        <w:t>Bristol Myers Squibb Co.’s LPAR1 inhibitor (BMS-986278)</w:t>
      </w:r>
      <w:r>
        <w:rPr>
          <w:color w:val="231F20"/>
        </w:rPr>
        <w:t xml:space="preserve"> </w:t>
      </w:r>
      <w:r>
        <w:rPr>
          <w:rFonts w:ascii="Times New Roman;sans-serif" w:hAnsi="Times New Roman;sans-serif"/>
          <w:b w:val="false"/>
          <w:color w:val="231F20"/>
          <w:sz w:val="20"/>
        </w:rPr>
        <w:t>and United Therapeutics Corporation prostacyclin vasodilator (treprostinil) are the most advanced development candidates for the treatment of IPF.</w:t>
      </w:r>
    </w:p>
    <w:p>
      <w:pPr>
        <w:pStyle w:val="TextBody"/>
        <w:bidi w:val="0"/>
        <w:spacing w:lineRule="auto" w:line="288" w:before="120" w:after="120"/>
        <w:ind w:left="0" w:right="0" w:firstLine="450"/>
        <w:jc w:val="left"/>
        <w:rPr>
          <w:rFonts w:ascii="Times New Roman;sans-serif" w:hAnsi="Times New Roman;sans-serif"/>
          <w:b w:val="false"/>
          <w:color w:val="231F20"/>
          <w:sz w:val="20"/>
        </w:rPr>
      </w:pPr>
      <w:r>
        <w:rPr>
          <w:rFonts w:ascii="Times New Roman;sans-serif" w:hAnsi="Times New Roman;sans-serif"/>
          <w:b w:val="false"/>
          <w:color w:val="231F20"/>
          <w:sz w:val="20"/>
        </w:rPr>
        <w:t>Although our novel approach is unique from most other existing or investigational therapies across the disease areas where we are focusing our development, we will need to compete with currently approved therapies, and potentially those currently in development if they are approved. We are aware of several marketed and investigational products in our leading disease areas, including but not limited to:</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i/>
          <w:color w:val="000000"/>
          <w:sz w:val="20"/>
        </w:rPr>
        <w:t>IPF</w:t>
      </w:r>
      <w:r>
        <w:rPr>
          <w:rFonts w:ascii="Times New Roman;sans-serif" w:hAnsi="Times New Roman;sans-serif"/>
          <w:b w:val="false"/>
          <w:color w:val="000000"/>
          <w:sz w:val="20"/>
        </w:rPr>
        <w:t>: There are currently two approved products for the treatment of IPF; pirfenidone – brand name Esbriet</w:t>
      </w:r>
      <w:r>
        <w:rPr>
          <w:rFonts w:ascii="Times New Roman;sans-serif" w:hAnsi="Times New Roman;sans-serif"/>
          <w:b w:val="false"/>
          <w:color w:val="000000"/>
          <w:sz w:val="13"/>
        </w:rPr>
        <w:t>®</w:t>
      </w:r>
      <w:r>
        <w:rPr>
          <w:rFonts w:ascii="Times New Roman;sans-serif" w:hAnsi="Times New Roman;sans-serif"/>
          <w:b w:val="false"/>
          <w:color w:val="000000"/>
          <w:sz w:val="20"/>
        </w:rPr>
        <w:t>, marketed by Roche Holding AG, with generics marketed by Sandoz Group AG, Teva Pharmaceutical Industries Ltd., and others, and nintedanib – brand name Ofev</w:t>
      </w:r>
      <w:r>
        <w:rPr>
          <w:rFonts w:ascii="Times New Roman;sans-serif" w:hAnsi="Times New Roman;sans-serif"/>
          <w:b w:val="false"/>
          <w:color w:val="000000"/>
          <w:sz w:val="13"/>
        </w:rPr>
        <w:t>®</w:t>
      </w:r>
      <w:r>
        <w:rPr>
          <w:rFonts w:ascii="Times New Roman;sans-serif" w:hAnsi="Times New Roman;sans-serif"/>
          <w:b w:val="false"/>
          <w:color w:val="000000"/>
          <w:sz w:val="20"/>
        </w:rPr>
        <w:t>, marketed by Boehringer Ingelheim GmbH. Companies currently developing product candidates in IPF include Boehringer Ingelheim Pharmaceuticals, Inc., Bristol Myers Squibb Co., United Therapeutics Corporation, Amgen, Roche Holding AG, Vicore Pharma Holding, CSL Behring, PureTech Health PLC, GlaxoSmithKline, InSilico Medicines, Tvardi Therapeutics, BridgeBio Therapeutics Inc., Syndax Pharmaceuticals Inc., Endeavor BioMedicines, Inc., Contineum Therapeutics, Inc.and Avalyn Pharma Inc.</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i/>
          <w:color w:val="000000"/>
          <w:sz w:val="20"/>
        </w:rPr>
        <w:t>PSC</w:t>
      </w:r>
      <w:r>
        <w:rPr>
          <w:rFonts w:ascii="Times New Roman;sans-serif" w:hAnsi="Times New Roman;sans-serif"/>
          <w:b w:val="false"/>
          <w:color w:val="000000"/>
          <w:sz w:val="20"/>
        </w:rPr>
        <w:t>: There are currently no approved therapies for the treatment of PSC. Companies currently developing product candidates in PSC include Dr. Falk Pharma GmbH, Mirum Pharmaceuticals, Inc., Chemomab Therapeutics Ltd., Ipsen Biopharmaceuticals Inc., Curome Biosciences and NGM Biopharmaceuticals, Inc.</w:t>
      </w:r>
    </w:p>
    <w:p>
      <w:pPr>
        <w:pStyle w:val="TextBody"/>
        <w:bidi w:val="0"/>
        <w:spacing w:lineRule="auto" w:line="288" w:before="120" w:after="120"/>
        <w:ind w:left="0" w:right="0" w:firstLine="45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The availability of reimbursement from government and other third-party payors will also significantly affect the pricing and competitiveness of our product candidates, if approved for marketing. Our competitors also may obtain FDA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231F20"/>
          <w:sz w:val="20"/>
        </w:rPr>
      </w:pPr>
      <w:r>
        <w:rPr>
          <w:rFonts w:ascii="Times New Roman;sans-serif" w:hAnsi="Times New Roman;sans-serif"/>
          <w:b w:val="false"/>
          <w:color w:val="231F20"/>
          <w:sz w:val="20"/>
        </w:rPr>
        <w:t>other regulatory approval for their products more rapidly than we do, which could result in our competitors establishing a strong market position before we are able to enter the market.</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bidi w:val="0"/>
        <w:spacing w:lineRule="auto" w:line="288" w:before="80" w:after="283"/>
        <w:jc w:val="left"/>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strive to protect and enhance the proprietary technology, inventions, and improvements that are commercially important to the development of our business, including seeking, maintaining, and defending patent rights, whether developed internally or licensed from third parties. We also rely on trade secrets relating to our proprietary technology platform and on know-how, continuing technological innovation and in-licensing opportunities to develop, strengthen, and maintain our proprietary position in the field of fibrosis that may be important for the development of our business. We additionally may rely on regulatory protection afforded through data exclusivity, market exclusivity, and patent term extensions, where available.</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commercial success may depend in part on our ability to: obtain and maintain patent and other proprietary protection for commercially important technology, inventions and know-how related to our business; defend and enforce our patents; preserve the confidentiality of our trade secrets; and operate without infringing the valid enforceable patents and proprietary rights of third parties. Our ability to stop third parties from making, using, selling, offering to sell, or importing our products may depend on the extent to which we have rights under valid and enforceable licenses, patents, or trade secrets that cover these activities. In some cases, enforcement of these rights may depend on third party licensors. With respect to both licensed and company-owned intellectual property, we cannot be sure that patents will be granted with respect to any of our pending patent applications or with respect to any patent applications filed by us in the future, nor can we be sure that any of our existing patents or any patents that may be granted to us in the future will be commercially useful in protecting our commercial products and methods of manufacturing the same.</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February 26, 2025, we own or co-own over 300 pending patent applications worldwide in over 30 patent families, including United States and corresponding foreign patent applications. As of February 26, 2025, thirteen U.S. patents and thirty-nine foreign patents have been issued, granted or allowed. Our patents and any patents that may issue from our pending patent applications are generally expected to expire between the years 2037 to 2046, subject to possible patent term adjustment and/or extension. Our policy is to file patent applications to protect technology, inventions and improvements to inventions that are commercially important to the development of our business. We seek United States and foreign patent protection for a variety of technologies, including, research compounds and methods, candidate compounds and antibodies for modulating the activity of integrins, methods for treating diseases of interest, and methods for manufacturing our products. We also intend to seek patent protection or rely upon trade secret rights to protect other technologies that may be used to discover and validate targets and that may be used to identify and develop novel products. We seek protection, in part, through confidentiality and proprietary information agreements. We are a party to various other license agreements that give us rights to use specific technologies in our research and development.</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Company Owned IP</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own multiple families of patent applications that are directed to small molecule compositions capable of modulating integrins and methods for treating or preventing diseases associated with integrins. Certain applications in these families relate to our bexotegrast and PLN-1474 small molecule product candidates, backup compounds and structural analogs, various unit dosages, dosing regimens, and routes of administration. We are also pursuing innovative ways to modulate integrin function using antibodies, and as of February 26, 2025 we have 35 pending patent applications to that technology in the United States and foreign jurisdictions. As of February 26, 2025, we have one U.S. patent and two foreign patents that have been issued, granted, or allowed. These antibody patents and patents that may issue from company owned antibody applications are generally expected to expire between the years 2040 to 2045, subject to possible patent term adjustment and/or extension.</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Trademark Protection</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two registered U.S. trademarks for use in connection with our products. We may pursue additional registrations for future products in markets of interest.</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Trade Secret Protection</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may rely, in some circumstances, on trade secrets to protect our technology. We seek to protect our proprietary technology and processes, in part, by entering into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above, we have established expertise and development capabilities focused in the areas of preclinical research and development, manufacturing and manufacturing process development, quality control, quality assurance, regulatory affairs, and clinical trial design and implementation. We believe that our focus and expertise will help us develop products based on our proprietary intellectual property.</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Manufacturing</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lead product candidate, bexotegrast, is a small molecule inhibitor amenable to standard formulation technologies. We have confirmed the utility of the synthetic process and manufactured multi-kilogram quantities sufficient to provide drug product for our clinical trials. The manufacturing process of the drug substance for such product candidate is robust and accessed from readily available starting materials. The synthetic route is amenable to large-scale production and does not require unusual equipment or handling during the manufacturing process. </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own or operate facilities for clinical drug manufacturing, storage, distribution, or quality testing. All of our clinical manufacturing is outsourced to third-party manufacturers. Our agreements with third-party manufacturers include confidentiality and intellectual property provisions as well as routine quality audits. We also rely on internal personnel with extensive cGMP manufacturing experience in order to ensure effective technology transfer and to manage the manufacturing and development processes conducted by third-party manufacturers. </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established an adequate supply of the drug substance for bexotegrast from our Asian contract manufacturing organizations, or CMOs, to satisfy both our clinical and preclinical requirements.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our development programs expand and we build new process efficiencies, we expect to continually evaluate this strategy with the objective of satisfying demand for our clinical trials and, if approved, the manufacture, sale, and distribution of commercial products.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Government Regulation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FDA, Centers for Medicare and Medicaid Services, or CMS,U.S. Department of Health and Human Services Office of the Inspector General, or HHS-OIG and comparable regulatory authorities in state and local jurisdictions and in other countries impose substantial and burdensome requirements upon companies involved in the clinical development, manufacture, marketing, sale and distribution of drugs, such as those we are developing. These agencies and other federal, state, and local entities regulate, among other things, the research and development, testing, manufacture, quality control, safety, effectiveness, labeling, storage, record keeping, approval, advertising and promotion, distribution, post-approval monitoring and reporting, sampling, coverage, reimbursement, pricing, and export and import of our product candidates.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U.S. government regulation of drug products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the United States, the FDA regulates drugs under the Federal Food, Drug, and Cosmetic Act, or FDCA, and its implementing regulations. The FDA also regulates biological products under the FDCA and the Public Health Service Act, or PHSA. If we advance clinical development of a biological product candidate in the future, these development activities will be subject to additional regulatory requirements specific to biological products. The process of obtaining regulatory approvals and the subsequent compliance with applicable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approve pending New Drug Applications, or NDAs, withdrawal of an approval, imposition of a clinical hold, issuance of warning letters, product recalls, product seizures, total or partial suspension of production or distribution, injunctions, fines, refusals of government contracts, restitution, disgorgement or civil or criminal penalties.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process required by the FDA before a drug may be marketed in the United States generally involves the following:</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Completion of preclinical laboratory tests, animal studies and formulation studies in compliance with the FDA’s good laboratory practice, or GLP, regulations;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Submission to the FDA of an investigational new drug application, or IND, which must become effective before human clinical trials may begin;</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Approval by an independent institutional review board, or IRB, at each clinical site before each trial may be initiated;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Performance of adequate and well-controlled human clinical trials in accordance with good clinical practice, or GCP, requirements to establish the safety and efficacy of the proposed drug product for each indication;</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Submission to the FDA of an NDA;</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Satisfactory completion of an FDA advisory committee review, if applicable;</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Satisfactory completion of an FDA inspection of the manufacturing facility or facilities at which the product is produced to assess compliance with current good manufacturing practice, or cGMP, requirements and to assure that the facilities, methods and controls are adequate to preserve the drug’s identity, strength, quality and purity;</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Satisfactory completion of FDA audits of clinical trial sites to assure compliance with GCPs and the integrity of the clinical data;</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Payment of user fees and securing FDA approval of the NDA; and</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Compliance with any post-approval requirements, including the potential requirement to implement a Risk Evaluation and Mitigation Strategy, or REMS, and the potential requirement to conduct post-approval studies.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Preclinical studies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Preclinical studies include laboratory evaluation of product chemistry, toxicity and formulation, as well as animal studies to assess potential safety and efficacy. An IND sponsor must submit the results of the preclinical tests, together with manufacturing information, analytical data and any available clinical data or literature, among other things, to the FDA as part of an IND. Some preclinical testing may continue even after the IND is submitted. An IND automatically becomes effective 30 days after receipt by the FDA, unless before that time the FDA raises concerns or questions related to one or more proposed clinical trials and places the clinical trial on a clinical hold. In such a case, the IND sponsor and the FDA must resolve any outstanding concerns before the clinical trial can begin. As a result, submission of an IND may not result in the FDA allowing clinical trials to initiate.</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Clinical trials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Clinical trials involve the administration of the investigational new drug to human subjects under the supervision of qualified investigators in accordance with GCP requirements, which include the requirement that all research subjects provide their informed consent in writing for their participation in any clinical trial. Clinical trials are conducted under protocols detailing, among other things, the objectives of the trial, the parameters to be used in monitoring safety, and the effectiveness criteria to be evaluated. A protocol for each clinical trial and any subsequent protocol amendments must be submitted to the FDA as part of the IND. In addition, an IRB at each institution participating in the clinical trial must review and approve the plan for any clinical trial before it initiates at that institution. Information about certain clinical trials must be submitted within specific timeframes to the National Institutes of Health, or NIH, for public dissemination on their www.clinicaltrials.gov website.</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Human clinical trials are typically conducted in three sequential phases, which may overlap or be combined:</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Phase 1: The drug is initially introduced into healthy human subjects or patients with the target disease or condition and tested for safety, dosage tolerance, absorption, metabolism, distribution, excretion and, if possible, to gain an early indication of its effectiveness.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Phase 2: The drug is administered to a limited patient population to identify possible adverse effects and safety risks, to preliminarily evaluate the efficacy of the product for specific targeted diseases and to determine dosage tolerance and optimal dosage.</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Phase 3: The drug is administered to an expanded patient population, generally at geographically dispersed clinical trial sites, in well-controlled clinical trials to generate enough data to statistically evaluate the efficacy and safety of the product for approval, to establish the overall risk-benefit profile of the product, and to provide adequate information for the labeling of the product.</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Progress reports detailing the results of the clinical trials must be submitted at least annually to the FDA and more frequently if serious adverse events occur. Phase 1, Phase 2 and Phase 3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Similarly,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an IRB can suspend or terminate approval of a clinical trial at its institution if the clinical trial is not being conducted in accordance with the IRB’s requirements or if the drug has been associated with unexpected serious harm to patients.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Marketing approval</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Assuming successful completion of the required clinical testing, the results of the preclinical and clinical studies, together with detailed information relating to the product’s chemistry, manufacture, controls, and proposed labeling, among other things, are submitted to the FDA as part of an NDA requesting approval to market the product for one or more indications. In most cases, the submission of an NDA is subject to a substantial application user fee. Under the Prescription Drug User Fee Act, or PDUFA, guidelines that are currently in effect, the FDA has a goal of ten months from the date of “filing” of a standard NDA, for a new molecular entity to review and act on the submission. This review typically takes twelve months from the date the NDA is submitted to FDA because the FDA has approximately two months to make a “filing” decision.</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under the Pediatric Research Equity Act of 2003, or PREA, as amended and reauthorized, certain NDAs or supplements to an NDA must contain data that are adequate to assess the safety and effectiveness of the drug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 An Agreed Initial Pediatric Study Plan requesting a waiver from the requirement to conduct clinical studies has been submitted to the FDA.</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FDA also may require submission of a risk evaluation and mitigation strategy, or REMS, plan to ensure that the benefits of the drug outweigh its risks. The REMS plan could include medication guides, physician communication plans, assessment plans, and/or elements to assure safe use, such as restricted distribution methods, patient registries, or other risk minimization tools.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reviews an NDA to determine, among other things, whether the drug is safe and effective and whether the facility in which it is manufactured, processed, packaged or held meets standards designed to assure the product’s continued safety, quality and purity.</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FDA may refer an application for a novel drug to an advisory committee. An advisory committee is a panel of independent experts, including clinicians and other scientific experts, which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Before approving an NDA,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may inspect one or more clinical trial sites to assure compliance with GCP requirements.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After evaluating the NDA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generally contains a statement of specific conditions that must be met in order to secure final approval of the NDA and may require additional clinical or preclinical testing in order for FDA to reconsider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drug with specific prescribing information for specific indications.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Even if the FDA approves a product, it may limit the approved indications for use of the product, require that contraindications, warnings or precautions be included in the product labeling, require that post-approval studies, including Phase 4 clinical trials, be conducted to further assess a drug’s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new indications, manufacturing changes, and additional labeling claims, are subject to further testing requirements and FDA review and approval.</w:t>
      </w:r>
    </w:p>
    <w:p>
      <w:pPr>
        <w:pStyle w:val="TextBody"/>
        <w:bidi w:val="0"/>
        <w:spacing w:lineRule="auto" w:line="268" w:before="200" w:after="283"/>
        <w:jc w:val="left"/>
        <w:rPr>
          <w:rFonts w:ascii="Times New Roman;sans-serif" w:hAnsi="Times New Roman;sans-serif"/>
          <w:b/>
          <w:i/>
          <w:color w:val="000000"/>
          <w:sz w:val="20"/>
        </w:rPr>
      </w:pPr>
      <w:r>
        <w:rPr>
          <w:rFonts w:ascii="Times New Roman;sans-serif" w:hAnsi="Times New Roman;sans-serif"/>
          <w:b/>
          <w:i/>
          <w:color w:val="000000"/>
          <w:sz w:val="20"/>
        </w:rPr>
        <w:t>Fast Track designation</w:t>
      </w:r>
    </w:p>
    <w:p>
      <w:pPr>
        <w:pStyle w:val="TextBody"/>
        <w:bidi w:val="0"/>
        <w:spacing w:lineRule="auto" w:line="26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FDA is authorized to designate certain products for expedited review if they are intended to address an unmet medical need in the treatment of a serious or life-threatening disease or condition. Among these programs is Fast Track designation. In May 2014, the FDA published a final Guidance for Industry titled “Expedited Programs for Serious Conditions Drugs and Biologics,” which provides guidance on the FDA programs that are intended to facilitate and expedite development and review of new drug or biological product candidates as well as threshold criteria generally applicable to concluding that a product candidate is a candidate for these expedited development and review programs.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FDA may designate a product for Fast Track review if it is intended, whether alone or in combination with one or more other products, for the treatment of a serious or life-threatening disease or condition, and nonclinical or clinical data demonstrate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review clock for a Fast Track application does not begin until the last section of the application is submitted. In addition, the Fast Track designation may be withdrawn by the FDA if the FDA believes that the designation is no longer supported by data emerging in the clinical trial process.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Orphan drug designation and exclusivity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Under the Orphan Drug Act, the FDA may designate a drug product as an “orphan drug” if it is intended to treat a rare disease or condition (generally meaning that it affects fewer than 200,000 individuals in the United States, or more in cases in which there is no reasonable expectation that the cost of developing and making a drug product available in the United States for treatment of the disease or condition will be recovered from sales of the product). A company must request orphan product designation before submitting an NDA. If the request is granted, the FDA will disclose the identity of the therapeutic agent and its potential use. Orphan product designation does not convey any advantage in or shorten the duration of the regulatory review and approval process.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a product with orphan status receives the first FDA approval for the disease or condition for which it has such designation or for a select indication or use within the rare disease or condition for which it was designated, the product generally will be receiving orphan product exclusivity. The first active moiety to be approved to treat a disease with FDA's Orphan Drug designation is entitled to a seven-year period of marketing exclusivity in the United States for that product indication, except in certain limited circumstances. If a drug or drug product designated as an orphan product ultimately receives marketing approval for an indication broader than what was designated in its orphan product application, it may not be entitled to exclusivity. Orphan exclusivity will not bar approval of another product under certain circumstances, including if a subsequent product with the same active ingredient for the same indication is shown to be clinically superior to the approved product on the basis of greater efficacy or safety, or providing a major contribution to patient care, or if the company with orphan drug exclusivity is not able to meet market demand. Further, the FDA may approve more than one product for the same orphan indication or disease as long as the products contain different active ingredients. Moreover, competitors may receive approval of different products for the indication for which the orphan product has exclusivity or obtain approval for the same product but for a different indication for which the orphan product has exclusivity.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Congress is considering updates to the orphan drug provisions of the FDCA in response to a recent decision by the U.S. Court of Appeals for the Eleventh Circuit. Any changes to the orphan drug provisions could change our opportunities for, or likelihood of success in obtaining, orphan drug exclusivity and would materially adversely affect our business, results of operations, financial condition and prospects.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U.S. marketing exclusivity</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Market exclusivity provisions under the FDCA also can delay the submission or the approval of certain applications. The FDCA provides a five-year period of non-patent marketing exclusivity within the United States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The FDCA also provides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three years of marketing exclusivity for a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for the original non-modified version of the drug.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Pediatric exclusivity is another type of regulatory market exclusivity in the United States. Pediatric exclusivity, if granted, adds six months to existing regulatory exclusivity periods. This six-month exclusivity may be granted based on the voluntary completion of a pediatric trial in accordance with an FDA-issued “Written Request” for such a trial.</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Post-approval requirements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are continuing, annual user fee requirements for any marketed products and the establishments where such products are manufactured, as well as new application fees for supplemental applications with clinical data.</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FDA may impose a number of post-approval requirements as a condition of approval of an NDA. For example, the FDA may require post-marketing testing, including Phase 4 clinical trials, and surveillance to further assess and monitor the product’s safety and effectiveness after commercialization.</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Once an approval of a drug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Restrictions on the marketing or manufacturing of the product, complete withdrawal of the product from the market or product recalls;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Fines, warning letters or holds on post-approval clinical trials;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Refusal of the FDA to approve pending NDAs or supplements to approved NDAs, or suspension or revocation of product approvals;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Product seizure or detention, or refusal to permit the import or export of products; and</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Injunctions or the imposition of civil or criminal penalties.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FDA strictly regulates marketing, labeling, advertising, and promotion of products that are placed on the market. Drugs may be promoted by a manufacturer and any third parties acting on behalf of a manufacturer only for the approved indications and in a manner consistent with the approved label for the product. The FDA and other agencies actively enforce the laws and regulations prohibiting the promotion of off-label uses, and a company that is found to have improperly promoted off-label uses may be subject to significant liability.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Other healthcare laws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Healthcare providers, physicians, and third party payors play a primary role in the recommendation and prescription of drug products for which we obtain marketing approval. Arrangements with third party payors, healthcare providers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physicians, in connection with the clinical research, sales, marketing and promotion of products, once approved, and related activities, may expose a pharmaceutical manufacturer to broadly applicable fraud and abuse and other healthcare laws and regulations. In the United States, these laws include, without limitation, state and federal anti- kickback, false claims, physician payment transparency, price transparency, and patient data privacy and security laws and regulations, including but not limited to those described below:</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the federal Anti-Kickback Statute, or AKS, which makes it illegal for any person, including a prescription drug manufacturer (or a party acting on its behalf) to knowingly and willfully solicit, receive, offer or pay any remuneration (including any kickback, bribe, or rebate), directly or indirectly, overtly or covertly, in cash or in kind, that is intended to induce or reward, referrals including the purchase recommendation, order or prescription of a particular drug for which payment may be made under a federal healthcare program, such as the Medicare and Medicaid programs.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federal False Claims Act, or FCA. Violations of the federal Anti-Kickback Statute are punishable by imprisonment for up to ten years and statutory fines of up to $100,000.</w:t>
      </w:r>
      <w:r>
        <w:rPr>
          <w:color w:val="000000"/>
        </w:rPr>
        <w:t xml:space="preserve"> </w:t>
      </w:r>
      <w:r>
        <w:rPr>
          <w:rFonts w:ascii="Times New Roman;sans-serif" w:hAnsi="Times New Roman;sans-serif"/>
          <w:b w:val="false"/>
          <w:color w:val="000000"/>
          <w:sz w:val="20"/>
        </w:rPr>
        <w:t>Additional criminal fines can be imposed under federal U.S. criminal procedure laws.</w:t>
      </w:r>
      <w:r>
        <w:rPr>
          <w:color w:val="000000"/>
        </w:rPr>
        <w:t xml:space="preserve"> </w:t>
      </w:r>
      <w:r>
        <w:rPr>
          <w:rFonts w:ascii="Times New Roman;sans-serif" w:hAnsi="Times New Roman;sans-serif"/>
          <w:b w:val="false"/>
          <w:color w:val="000000"/>
          <w:sz w:val="20"/>
        </w:rPr>
        <w:t>Civil penalties include statutory amounts of up to $100,000 (adjusted for inflation) per violation, assessments of up to three times the total payments between the parties to the arrangement, and exclusion from participation in the federal healthcare programs or suspension from future participation in Medicare and Medicaid. Further, violation of the federal Anti-Kickback Statute can also form the basis for False Claims Act liability (discussed below).</w:t>
      </w:r>
      <w:r>
        <w:rPr>
          <w:color w:val="000000"/>
        </w:rPr>
        <w:t xml:space="preserve"> </w:t>
      </w:r>
      <w:r>
        <w:rPr>
          <w:rFonts w:ascii="Times New Roman;sans-serif" w:hAnsi="Times New Roman;sans-serif"/>
          <w:b w:val="false"/>
          <w:color w:val="000000"/>
          <w:sz w:val="20"/>
        </w:rPr>
        <w:t xml:space="preserve">Although there are a number of statutory exceptions and regulatory safe harbors to the federal Anti-Kickback Statute protecting certain common business arrangements and activities from prosecution or regulatory sanctions, the exceptions and safe harbors are drawn narrowly, and practices that involve remuneration to those who prescribe, purchase, or recommend pharmaceutical and biological products, may be subject to scrutiny if they do not fit squarely within an exception or safe harbor; </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the federal civil and criminal false claims laws, including the FCA, which can be enforced through “qui tam” or “whistleblower” actions, and civil monetary penalty laws, which impose criminal and civil penalties against individuals or entities for, among other things, knowingly presenting, or causing to be presented, claims for payment or approval from Medicare, Medicaid, or other federal health care programs that are false or fraudulent; knowingly making or causing a false statement material to a false or fraudulent claim or an obligation to pay or transmit money or property to the federal government; or knowingly concealing or knowingly and improperly avoiding or decreasing such an obligation. A person or entity does not need to have actual knowledge of these statutes or specific intent to violate them in order to have committed a violation. Violations of the False Claims Act can result in civil penalties of up to more than $25,000 per false claim or statement (an amount adjusted annually for inflation) plus three times the amount of damages sustained by the government;</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the federal Health Insurance Portability and Accountability Act of 1996, or HIPAA,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HIPAA, as amended by the Health Information Technology for Economic and Clinical Health Act of 2009, or HITECH, and their respective implementing regulations, which impose requirements on certain covered healthcare providers, health plans, and healthcare clearinghouses as well as their respective business associates that perform services for them that involve the creation, use, receipt, maintenance or disclosure of individually identifiable health information, relating to the privacy, security and transmission of individually identifiable health information;</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 xml:space="preserve">the federal Physician Payments Sunshine Act, created under Patient Protection and Affordable Care Act, as amended by the Health Care and Education Reconciliation Act of 2010, or collectively, the ACA, and its implementing regulations, which require certain manufacturers of drugs, devices, biological products and medical supplies for which payment is available under Medicare, Medicaid or the Children’s Health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Insurance Program to report annually to the CMS, under the Open Payments Program, information related to payments or other transfers of value made to physicians (defined to include doctors, dentists, optometrists, podiatrists and chiropractors) , nurse practitioners, clinical nurse specialists, certified registered nurse anesthetists, anesthesiologist assistants, certified nurse-midwives, and teaching hospitals, as well as ownership and investment interests held by physicians and their immediate family members; and </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analogous state and foreign laws and regulations, such as state and foreign anti-kickback, false claims, consumer protection, transparency and disclosure laws,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and, in some states, the reporting of drug wholesale acquisition costs or average manufacturer prices, information related to new drug launches, and drug price increases above certain statutory thresholds; state and local laws requiring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Because of the breadth of these laws, it is possible that some of a pharmaceutical manufacturer’s business activities could be subject to challenge under one or more of such laws. Efforts to ensure that business arrangements comply with applicable healthcare laws involve substantial costs. It is possible that governmental and enforcement authorities will conclude that a pharmaceutical manufacturer’s business practices do not comply with current or future statutes, regulations or case law interpreting applicable fraud and abuse or other healthcare laws and regulations. If any such actions are instituted against a pharmaceutical manufacturer, and it is not successful in defending itself or asserting its rights, those actions could have a significant impact on its business, including the imposition of significant civil, criminal and administrative penalties, damages, disgorgement, imprisonment, monetary fines, possible exclusion from participation in Medicare, Medicaid and other federal healthcare programs, reporting obligations and oversight if a pharmaceutical manufacturer becomes subject to integrity and oversight agreements to resolve allegations of non-compliance, contractual damages, reputational harm, diminished profits and future earnings, and curtailment of operations, any of which could adversely affect a pharmaceutical manufacturer’s ability to operate its business and the results of operations. In addition, commercialization of any drug product outside the United States will also likely be subject to foreign equivalents of the healthcare laws mentioned above, among other foreign laws.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the U.S., numerous federal and state laws, and regulations, including state data breach notification laws, state health information privacy laws, and federal and state consumer protection laws, govern the collection, use, disclosure, and protection of health-related and other personal information. For example, in June 2018, the State of California enacted the California Consumer Privacy Act of 2018, or the CCPA, which came into effect on January 1, 2020 and provides data privacy rights for consumers and operational requirements for companies, which may increase our compliance costs and potential liability.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While there is currently an exception for protected health information that is subject to HIPAA and clinical trial regulations, as currently written, the CCPA impacts certain of our business activities. Many states have followed California in implementing comprehensive state privacy laws, and the various compliance requirements affiliated with these laws could increase our potential liability and adversely affect our business.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the event we decide to conduct clinical trials or continue to enroll subjects in our ongoing or future clinical trials, we may be subject to additional privacy restrictions. In the European Union, the collection, use, storage, disclosure, transfer, or other processing of personal data including special categories of personal data such as health data, is subject to the EU General Data Protection Regulation, or EU GDPR. The U.K. has implemented the EU GDPR as the U.K. GDPR (together with the EU GDPR, the GDPR) which sits alongside the U.K. Data Protection Act 2018.</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GDPR is wide-ranging in scope and imposes numerous requirements on controllers (and in more limited cases, processors) that process personal data (i.e., data relating to identified or identifiable individuals), including requirements around (among others): (i) accountability and transparency, (ii) processing personal data lawfully, including specific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requirements for obtaining valid consent where consent is the legal basis for processing, (iii) responding to individuals’ requests to exercise their rights in respect of their personal data, (iv) implementing safeguards to protect the security and confidentiality of personal data and to provide notification of personal data breaches to data protection authorities and affected individuals in certain circumstances, (v) having data processing agreements with third parties who process personal data on our behalf, and undertaking due diligence in relation to such third-party processors, and (vi) considering data protection when any new products or services are developed and designed, as well as obligations for data protection impact assessments.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EU GDPR also prohibits the international transfer of personal data from the EEA to the United States and other countries that are not recognized as having “adequate” data protection laws by the European Commission unless the parties to the transfer have implemented specific safeguards to protect the transferred personal data or a derogation under the EU GDPR can be relied upon. One of the primary safeguards allowing U.S. companies to import personal data from the EEA are standard contractual clauses (EU SCCs) including, a requirement for companies to carry out a transfer privacy impact assessment, or a TIA. A TIA, among other things, assesses laws governing access to personal data in the recipient country and considers whether supplementary measures that provide privacy protections additional to those provided under the EU SCCs will need to be implemented to ensure an “essentially equivalent” level of data protection to that afforded in the EEA. A further potential safeguard is the EU-US Data Privacy Framework which facilitates transfers of personal data from the EU to entities in the US which are self-certified to the DPF. Underpinning the DPF is an “adequacy decision” from the European Commission which can be relied on also by entities making transfers under the EU SCCs to the U.S. as support for their TIA regarding the equivalence of U.S. national security safeguards and redress.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U.K. GDPR also prohibits the transfer of personal data from the U.K. to countries that the U.K. Government does not recognize as having “adequate” data protection laws, including the U.S., in a similar manner to the EU. In addition, the U.K. Government has published its own form of EU SCCs, known as the International Data Transfer Agreement and an International Data Transfer Addendum to the new EU SCCs. The U.K. Information Commissioner’s Office, or the ICO, has also published its own version of the TIA although companies may choose to either use the EU-style or U.K.-style TIA. Further, on September 21, 2023, the U.K. Secretary of State for Science, Innovation and Technology established a U.K.-U.S. data bridge (i.e., a U.K. equivalent of the Adequacy Decision) and adopted U.K. regulations to implement the U.K.-U.S. data bridge. Personal data may now be transferred from the U.K. under the U.K.-U.S. data bridge through the U.K. extension to the DPF to organizations self-certified under the U.K. extension to DPF. </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GDPR permits data protection authorities to impose large penalties for violations of the GDPR, including potential fines of up to €20 million (£17.5 million under the U.K. GDPR)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EU GDPR. The GDPR may increase our responsibility and liability in relation to personal data that we process where such processing is subject to the GDPR, and we may be required to put in place additional mechanisms to ensure compliance with the GDPR, including as implemented by individual countries in the EEA or required in connection with our clinical trials. Compliance with the GDPR is a rigorous and time-intensive process that increases our cost of doing business and increases risk that we may be subject to fines and penalties, litigation, and reputational harm in connection with our European activities.</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Current and future healthcare reform legislation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both the United States and certain foreign jurisdictions, there have been a number of legislative and regulatory changes to the health care system. For example, in the United States, in March 2010, the Patient Protection and Affordable Care Act, as amended by the Health Care and Education Reconciliation Act, collectively known as the ACA, was enacted, which substantially changed the way healthcare is financed by both governmental and private payors, and significantly affected the pharmaceutical industry. The ACA, among other things, addressed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and established annual fees and taxes on manufacturers of certain branded prescription drugs. There have been numerous historic judicial, administrative, executive, and legislative challenges and amendments (including recent amendments that aimed at expanding access to care and reforming prescription drug pricing) to certain aspects of the ACA and other healthcare laws. In June 2021, the Supreme Court dismissed a lawsuit challenging the constitutionality of certain aspects of the ACA, without ruling on the meris of the constitutionality arguments. In the future, there may be additional legislative, regulatory, executive, or judicial actions that result in healthcare reform. It remains to be seen precisely what any new reforms will provide, when or if they will be enacted, and what impact they will have on the availability and cost of healthcare items and services, including drug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legislative and regulatory changes have been proposed or adopted in the United States since the ACA was enacted, including several legislative and regulatory changes that are focused on capping or reducing healthcare costs, as well as measures that would address healthcare fraud and abuse, value-based care, drug pricing and other reforms. For example, in August 2022, President Biden signed into law the IRA, which implements substantial changes to the Medicare program, including drug pricing reforms and changes to the Medicare Part D benefit design. Among other reforms, the IRA imposes inflation rebates on drug manufacturers for products reimbursed under Medicare Parts B and D if the prices of those products increase faster than inflation; implements changes to the Medicare Part D benefit that, beginning in 2025, will cap benefit annual out-of-pocket spending at $2,000, while imposing new discount obligations for pharmaceutical manufacturers (requiring manufacturers to pay 10% of the negotiated price of brands, biologics and biosimilar products when Medicare Part D beneficiaries are in the initial coverage phase, and 20% of the negotiated price during the catastrophic phase of Medicare Part D coverage); and, beginning in 2026, establishes a “maximum fair price” for a fixed number of high spend pharmaceutical and biological products covered under Medicare Parts B and D following a price negotiation process with the Centers for Medicare and Medicaid Services. The IRA explicitly excludes from price negotiation orphan drugs designated for only one rare disease or condition and for which the only approved indication is for such disease or condition. However, those drugs with multiple orphan designations are not explicitly excluded from drug price negotiation.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Since its enactment, CMS has taken a number of steps to implement various drug pricing provisions of the IRA. This includes, without limitation, issuing new and updated guidance detailing the requirements and parameters of the price negotiation process for products subject to the “maximum fair price” program under the IRA; releasing the initial list of 10 drugs covered under Medicare Part D that were subject to the first round of price negotiations under the program and subsequently announcing the “maximum fair prices” that will apply for such products in price applicability year 2026; and releasing a list of Medicare Part B products with an adjusted coinsurance rate based on the inflationary rebate provisions of the IRA. It remains to be seen how the maximum fair prices or other drug pricing provisions imposed by the IRA will affect orphan drug and small molecule development or the broader pharmaceutical industry. Several pharmaceutical manufacturers and other industry stakeholders have challenged the law, including through lawsuits brought against the HHS, the Secretary of HHS, CMS, and the CMS Administrator challenging the constitutionality and administrative implementation of the IRA’s drug price negotiation provisions. We cannot predict whether the IRA, or any of its component parts, will be overturned, repealed, replaced, or amended nor can we predict the likelihood, nature, or extent of other health reform initiatives that may arise from future legislation, administrative, or other action. However, we expect these initiatives to increase pressure on drug pricing.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regulatory and enforcement interest in the United States with respect to specialty drug pricing practices. For example,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June 28, 2024, the U.S. Supreme Court issued an opinion holding that courts reviewing agency action pursuant to the Administrative Procedure Act, or the APA, “must exercise their independent judgment” and “may not defer to an agency interpretation of the law simply because a statute is ambiguous.” The decision will have a significant impact on how lower courts evaluate challenges to agency interpretations of law, including those by the FDA, CMS and other agencies with significant oversight of the biopharmaceutical industry. The new framework is likely to increase both the frequency of such challenges and their odds of success by eliminating one way in which the government previously prevailed in such cases. As a result, significant regulatory policies may be subject to increased litigation and judicial scrutiny. Any resulting changes in regulation may result in unexpected delays, increased costs, or other negative impacts on our business that are difficult to predict.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At the state level, legislatures are increasingly passing legislation and implementing regulations designed to control biopharmaceutical and biologic product pricing, including price or patient reimbursement constraints, discounts, restrictions on certain product access, marketing cost disclosure and other transparency measures, and, in some cases, legislation, regulation or other guidance designed to encourage or facilitate importation from other countries and bulk purchasing. Some states have also established prescription drug affordability boards tasked with identifying certain high-cost prescription products that may pose affordability challenges for consumers and payors, conducting cost reviews on such products, and, in some circumstances, imposing upper payment limits on such products.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laws, regulations, and actions, and any state or federal healthcare reform measures that may be adopted in the future, could reduce coverage or reimbursement from Medicare and other government programs, may result in a similar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 in coverage or payment from private payors, and may otherwise affect the prices we may obtain for any of our product candidates for which we may obtain regulatory approval or the frequency with which any such product candidate is prescribed or used. Additionally, we expect to experience pricing pressures in connection with the sale of any future approved product candidates due to the trend toward managed healthcare, the increasing influence of health maintenance organizations, cost containment initiatives and additional legislative and regulatory changes.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Legislative and regulatory proposals, and enactment of laws, at the foreign, federal, and state levels, directed at containing or lowering the cost of healthcare, will likely continue into the future.</w:t>
      </w:r>
    </w:p>
    <w:p>
      <w:pPr>
        <w:pStyle w:val="TextBody"/>
        <w:bidi w:val="0"/>
        <w:spacing w:lineRule="auto" w:line="276" w:before="200" w:after="283"/>
        <w:jc w:val="left"/>
        <w:rPr>
          <w:rFonts w:ascii="Times New Roman;sans-serif" w:hAnsi="Times New Roman;sans-serif"/>
          <w:b/>
          <w:i/>
          <w:color w:val="000000"/>
          <w:sz w:val="20"/>
        </w:rPr>
      </w:pPr>
      <w:r>
        <w:rPr>
          <w:rFonts w:ascii="Times New Roman;sans-serif" w:hAnsi="Times New Roman;sans-serif"/>
          <w:b/>
          <w:i/>
          <w:color w:val="000000"/>
          <w:sz w:val="20"/>
        </w:rPr>
        <w:t>Rest of World Regulation</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For other countries outside of the European Union and the United States, such as countries in Eastern Europe, Latin America or Asia, the requirements governing product development, the conduct of clinical trials, manufacturing, distribution, marketing approval, product licensing, pricing and reimbursement vary from country to country. Additionally, clinical trials must be conducted in accordance with GCP requirements and the applicable regulatory requirements and the ethical principles that have their origin in the Declaration of Helsinki.</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we fail to comply with applicable foreign regulatory requirements, we may be subject to, among other things, fines, suspension or withdrawal of regulatory approvals, product recalls, seizure of products, operating restrictions, and criminal prosecution.</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to the extent that any of our product candidates, once approved, are sold in a foreign country, we may be subject to applicable post-marketing requirements, including safety surveillance, anti-fraud and abuse laws and implementation of corporate compliance programs and reporting of payments or other transfers of value to healthcare professionals.</w:t>
      </w:r>
    </w:p>
    <w:p>
      <w:pPr>
        <w:pStyle w:val="TextBody"/>
        <w:bidi w:val="0"/>
        <w:spacing w:lineRule="auto" w:line="276" w:before="200" w:after="283"/>
        <w:jc w:val="left"/>
        <w:rPr>
          <w:rFonts w:ascii="Times New Roman;sans-serif" w:hAnsi="Times New Roman;sans-serif"/>
          <w:b/>
          <w:i/>
          <w:color w:val="000000"/>
          <w:sz w:val="20"/>
        </w:rPr>
      </w:pPr>
      <w:r>
        <w:rPr>
          <w:rFonts w:ascii="Times New Roman;sans-serif" w:hAnsi="Times New Roman;sans-serif"/>
          <w:b/>
          <w:i/>
          <w:color w:val="000000"/>
          <w:sz w:val="20"/>
        </w:rPr>
        <w:t>European Union clinical trials regulation and clinical data sharing</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the EU, a Clinical Trial Application, or CTA, must be submitted for each clinical trial to each country’s national competent authority, or NCA, and at least one independent Ethics Committee, or EC, much like the FDA and an IRB, respectively. Once the CTA is approved in accordance with a country’s requirements, the corresponding clinical trial may proceed. Under the current regime (the EU Clinical Trials Regulation 536/2014, which has been in effect since January 31, 2022 replacing the EU Clinical Trials Directive 2001/20/EC) all suspected unexpected serious adverse reactions to the investigated drug that occur during the clinical trial have to be reported to the NCA and ECs of the Member State where they occurred.</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data privacy requirements, many jurisdictions have mandatory clinical trial information obligations on sponsors. In the EU this is under the Transparency Regulation No 1049/ 2001, EMA Policy 0043, EMA Policy 0070, as well as the Clinical Trials Regulation No 536/2014, all of which impose on sponsors the obligation to make publicly available certain information stemming from clinical studies, either proactively or in response to third party requests. In the EU, the transparency framework provides for a wide right for (EU-based at the moment) interested parties to submit an access to documents request to the EMA for information included in the marketing authorization application dossier for approved medicinal products. Only very limited information is exempted from disclosure, i.e. commercially confidential information (which is construed increasingly narrowly) and protected personal data. It is possible for competitors to access and use this data in their own research and development programs anywhere in the world, once this data is in the public domain.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May 3, 2022, the European Commission published a proposal for a regulation on the European Health Data Space, or EHDS, which aims to further enable exchange of electronic health data both for primary use (among national EU healthcare systems for patient care) and secondary use (among private companies and regulators to enable scientific research). The regulation was adopted by the European Parliament in April 2024 and by the European Council in 2025 and will enter into force twenty days after its publication in the Official Journal of the European Union. This will impose new obligations, but also create opportunities, for entities engaged in health-related research to share and access health data on a scale much larger than what is foreseen under current applicable transparency provisions.</w:t>
      </w:r>
    </w:p>
    <w:p>
      <w:pPr>
        <w:pStyle w:val="TextBody"/>
        <w:bidi w:val="0"/>
        <w:spacing w:lineRule="auto" w:line="276" w:before="200" w:after="283"/>
        <w:jc w:val="left"/>
        <w:rPr>
          <w:rFonts w:ascii="Times New Roman;sans-serif" w:hAnsi="Times New Roman;sans-serif"/>
          <w:b/>
          <w:i/>
          <w:color w:val="000000"/>
          <w:sz w:val="20"/>
        </w:rPr>
      </w:pPr>
      <w:r>
        <w:rPr>
          <w:rFonts w:ascii="Times New Roman;sans-serif" w:hAnsi="Times New Roman;sans-serif"/>
          <w:b/>
          <w:i/>
          <w:color w:val="000000"/>
          <w:sz w:val="20"/>
        </w:rPr>
        <w:t>European drug review and approval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obtain a marketing authorization in the EEA (comprising the EU Member States, plus Norway, Iceland, and Liechtenstein), a company may submit marketing authorization applications either under a centralized procedure administered by the EMA or one of the procedures administered by competent authorities in the EEA Member States (decentralized procedure, national procedure, or mutual recognition procedure). The centralized procedure is compulsory for certain medicines, including those produced by biotechnology, products designated as orphan medicinal products, advanced therapy medicinal products (gene therapy, somatic cell therapy and tissue-engineered products) and those with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active substance indicated for the treatment of HIV, AIDS, cancer, neurodegenerative disorders, autoimmune and other immune dysfunctions, viral diseases, or diabetes. The centralized procedure is optional for those medicines which contain a new active substance, or which are a significant therapeutic, scientific, or technical innovation or whose authorization would be in the interest of public health. The centralized procedure provides for the grant of a single marketing authorization that is valid throughout the EEA. Under the centralized procedure, the maximum timeframe for the evaluation of a marketing authorization application, or MAA, by the EMA is 210 days, excluding clock stops, when additional written or oral information is to be provided by the applicant in response to questions asked by the EMA's Committee for Medicinal Products for Human Use, or CHMP. Clock stops may extend the timeframe of evaluation of a MAA considerably beyond 210 days. Where the CHMP gives a positive opinion, it provides the opinion together with supporting documentation to the European Commission, who make the final decision to grant a marketing authorization, which is issued within 67 days of receipt of the EMA’s positive opinion. On April 26, 2023, the European Commission adopted a proposal for a new Regulation set to replace Regulation (EC) No 726/2004 and a new Directive replacing Directive 2001/83 on the Community Code relating to medicinal products for human use. If made into law, this proposal will revise the existing general pharmaceutical legislation. This reform would provide for a simplified regulatory framework with faster authorizations of new medicines. For instance, for its assessment, EMA will have 180 days instead of 210 days. For the authorization, the Commission will have 46 days instead of 67 days. Furthermore, the scope of the centralized procedure, would be extended to include priority antimicrobial medicinal products and products seeking a pediatric use marketing authorization. Accelerated assessment might be granted by the CHMP in exceptional cases, when a medicinal product is expected to be of major public health interest, particularly from the point of view of therapeutic innovation. The timeframe for the evaluation of a MAA under the accelerated assessment procedure is 150 days, excluding clock stops, but it is possible that the CHMP may revert to the standard time limit for the centralized procedure if it determines that it is no longer appropriate to conduct an accelerated assessment. As far as pediatric marketing authorization applications are concerned, all applications for marketing authorization for new medicines have to include the results of studies as described in an agreed Pediatric Investigation Plan (PIP), unless the medicine is exempt because of a deferral or waiver</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Through the decentralized procedure, a medicinal product that has not yet been authorized in the EEA can be simultaneously authorized in several EEA Member States. The mutual recognition procedure provides for mutual recognition of national approval decisions. Under this procedure, the holder of a national marketing authorization may submit an application to other EEA Member States. Within 90 days of receiving the applications and assessment reports, each Member State involved must decide whether to recognize the approval. If a Member State does not recognize the marketing authorization, the disputed points are eventually referred to the European Commission, whose decision is binding.</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To obtain a marketing authorization in Switzerland, a company must submit a marketing authorization application to Swissmedic, Switzerland’s national authorization and supervisory authority for medicinal products and medical devices. There are no international agreements on mutual recognition of authorizations in relation to medicinal products. However, marketing authorization dossiers can be submitted to Swissmedic with clinical data, irrespective of the location where a clinical trial was conducted, that were collected in accordance with globally applicable international standards such as the Good Clinical Practice, or GCP, of the International Conference on Harmonization, or ICH, which are based on the Declaration of Helsinki. Furthermore, if a medicinal product or procedure is already authorized in a country having equivalent medicinal product control, the results of tests carried out for this purpose shall be taken into account. According to Swissmedic's practice, this includes the authorization procedures of the following countries: Australia, the member states of the EU, the EFTA states in the EEA (Liechtenstein, Norway and Iceland), Japan, Canada, New Zealand, Singapore, the United Kingdom and the United States.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Since the U.K. (which comprises Great Britain and Northern Ireland) left the EU, Great Britain is no longer covered by centralized marketing authorizations, but they continued to be recognized in Northern Ireland under the Northern Irish Protocol. However, this has changed since January 1, 2025, when new measures implemented by the Windsor Framework came into effect in the U.K. The new measures include, among others, the removal of EU licensing processes in relation to Northern Ireland for novel medicines (i.e. those that were authorized under the EU centralized procedure). This means that marketing authorizations granted by the European Commission are no longer valid in Northern Ireland. Companies therefore no longer need to apply for separate licenses for Great Britain and Northern Ireland to market the same novel medicines across the whole U.K. All medicinal products with an existing centralized marketing authorization were automatically converted to Great Britain marketing authorizations on January 1, 2021. The MHRA has ceased to participate in the assessment of any centralized procedures since January 1, 2021. Since then, the MHRA has launched the Innovative Licensing and Access Pathway, or ILAP, a new accelerated assessment procedure for marketing authorization applications facilitating the interaction with pricing authorities and HTA bodies and aiming to enable companies to enter the U.K. market faster. On January 1, 2024, the MHRA launched a new International Recognition Procedure for Great Britain (England, Scotland and Wales) marketing authorization applications whereby the MHRA will, when considering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applications, recognize the approval of medicines by Australia, Canada, Switzerland, Singapore, Japan, United States and the EU following its own abbreviated assessment.</w:t>
      </w:r>
    </w:p>
    <w:p>
      <w:pPr>
        <w:pStyle w:val="TextBody"/>
        <w:bidi w:val="0"/>
        <w:spacing w:lineRule="auto" w:line="276" w:before="200" w:after="283"/>
        <w:jc w:val="left"/>
        <w:rPr>
          <w:rFonts w:ascii="Times New Roman;sans-serif" w:hAnsi="Times New Roman;sans-serif"/>
          <w:b/>
          <w:i/>
          <w:color w:val="000000"/>
          <w:sz w:val="20"/>
        </w:rPr>
      </w:pPr>
      <w:r>
        <w:rPr>
          <w:rFonts w:ascii="Times New Roman;sans-serif" w:hAnsi="Times New Roman;sans-serif"/>
          <w:b/>
          <w:i/>
          <w:color w:val="000000"/>
          <w:sz w:val="20"/>
        </w:rPr>
        <w:t>European orphan drug designation and exclusivity</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in the U.S., we may apply for designation of a product candidate as an orphan drug for the treatment of a specific indication in the EEA before the application for marketing authorization is made. The criteria for designating an “orphan medicinal product” in the EEA are similar in principle to those in the United States. Under Article 3 of Regulation (EC) 141/2000, a medicinal product may be designated as an orphan medicinal product if it meets the following criteria: (1) is intended for the diagnosis, prevention or treatment of a life-threatening or chronically debilitating condition; and (2) either the prevalence of such condition must not be more than five in 10,000 persons in the EU when the application is made, or without the benefits derived from orphan status, it must be unlikely that the marketing of the medicine would generate sufficient return in the EU to justify the investment needed for its development; and (3) there exists no satisfactory method of diagnosis, prevention or treatment of such condition authorized for marketing in the EU or if such a method exists, the product will be of significant benefit to those affected by the condition, as defined in Regulation (EC) 847/2000. Sponsors of orphan drugs can enjoy economic and marketing benefits, including a reduction of fees or fee waivers and up to ten years of market exclusivity for the approved indication which can be further extended by two years under certain circumstances; namely when the pediatric studies have been conducted in accordance with an agreed PIP and other requirements are satisfied. During such period of market exclusivity, marketing authorization applications for “similar medicinal products” will not be accepted, unless another applicant can show that its product is safer, more effective or otherwise clinically superior to the orphan-designated product, the marketing authorization holder consents to the second orphan medicinal product application, or where the marketing authorization holder cannot supply enough orphan medicinal product. In the EEA, a “similar medicinal product” is a medicinal product containing a similar active substance or substances as contained in a currently authorized orphan medicinal product, and which is intended for the same therapeutic indication. The ten-year market exclusivity may be reduced to six years if, at the end of the fifth year, it is established that the product no longer meets the criteria for orphan designation, for example, if the product is sufficiently profitable not to justify the maintenance of market exclusivity.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general pharmaceutical legislative framework, as well as the framework applicable to orphan and pediatric medicinal products in the EU, is under review. On April 26, 2023, the European Commission adopted a proposal for a new Regulation set to replace Regulation (EC) No 726/2004 and a new Directive replacing Directive 2001/83 on the Community Code relating to medicinal products for human use. If made into law, this proposal will revise the existing general pharmaceutical legislation and may reduce applicable regulatory exclusivities which will significantly affect all medicinal products that will be authorized after the legislative changes have taken effect.</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Brexit and the regulatory framework in the United Kingdom</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U.K. officially left the EU on January 31, 2020. A transition period began on February 1, 2020, during which EU pharmaceutical law remained applicable to the U.K. This transition period ended on December 31, 2020. Since the regulatory framework in the U.K. covering the quality, safety and efficacy of pharmaceutical products, clinical trials, marketing authorization, commercial sales and distribution of pharmaceutical products is derived from EU Directives and Regulations, it continues to apply presently as “Retained EU Law”. However, as U.K. legislation now has the potential to diverge from EU legislation, the future regulatory regime which applies to products and the approval of product candidates in the U.K. may change. It remains to be seen how Brexit will impact regulatory requirements for product candidates and products in the U.K. in the long-term. The MHRA published detailed guidance for industry and organizations to follow which will be updated as the U.K.’s regulatory position on medicinal products evolves over time.</w:t>
      </w:r>
    </w:p>
    <w:p>
      <w:pPr>
        <w:pStyle w:val="TextBody"/>
        <w:bidi w:val="0"/>
        <w:spacing w:lineRule="auto" w:line="288" w:before="120" w:after="283"/>
        <w:ind w:left="0" w:right="0" w:firstLine="450"/>
        <w:jc w:val="left"/>
        <w:rPr>
          <w:color w:val="000000"/>
        </w:rPr>
      </w:pPr>
      <w:r>
        <w:rPr>
          <w:color w:val="000000"/>
        </w:rPr>
        <w:t>‘</w:t>
      </w:r>
      <w:r>
        <w:rPr>
          <w:rFonts w:ascii="Times New Roman;sans-serif" w:hAnsi="Times New Roman;sans-serif"/>
          <w:b w:val="false"/>
          <w:color w:val="000000"/>
          <w:sz w:val="20"/>
        </w:rPr>
        <w:t>Retained EU Law,’ generally has prevented substantial divergence to the regulation of medicines. However, some changes to the U.K. legislation have been necessary, including the implementation of the Northern Ireland Protocol (NIP), pursuant to which the EU pharmaceutical legal framework continues to apply in Northern Ireland (subject to periodic consent of the Northern Ireland Legislative Assembly), and only products compliant with EU law can be placed in the Northern Ireland market. This dynamic adds an extra layer of regulatory complexity for companies withing to commercialize medicinal products in Great Britain (namely, England, Wales and Scotland, as EU law continues to apply in Northern Ireland), as such companies now need to comply with separate U.K. regulatory legal framework. In 2023, the U.K. enacted the Retained EU Law (Revocation and Reform) Act 2023 which allows for the revocation of Retained EU Law. In particular, this Act:</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 xml:space="preserve">revokes a long list of specific EU-derived subordinate legislation and retained direct EU legislation, </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renames any continuing Retained EU Law as ‘assimilated law’,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changes the way in which assimilated law is interpreted by removing the general principles of EU law as an aid to interpretation and ceasing the application of the supremacy of EU law from 1 January 2024,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 xml:space="preserve">provides ministers with wide-ranging powers to restate, revoke or replace assimilated law.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U.K. Government and the European Union recently adopted a new agreement, the “Windsor Framework,” which modifies the Northern Ireland Protocol. According to the Windsor Framework, medicinal products intended for the U.K. market, including Northern Ireland, will be authorized by the MHRA and will bear a “U.K. only” label. These new measures became effective January 1, 2025. The Trade and Cooperation Agreement signed between the U.K. and the EU allows for future deviation from the current regulatory framework and it is not known if and/or when any deviations may occur, which may have an impact on development, manufacture, marketing authorization, commercial sales and distribution of pharmaceutical products.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Coverage and reimbursement</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Successful commercialization of new drug products depends in part on the extent to which coverage and reimbursement, as applicable, for those drug products will be available from government health administration authorities, private health insurers, and other organizations. Government authorities and third-party payors, such as private health insurers and health maintenance organizations, decide which drug products they will cover and pay for and establish reimbursement levels. The availability and extent of coverage and reimbursement by governmental and private payors is essential for most patients to be able to afford a drug product. Sales of drug products depend substantially, both domestically and abroad, on the extent to which drugs are covered and the costs of drugs products are paid for by health maintenance, managed care, pharmacy benefit and similar healthcare management organizations, or covered and reimbursed by government health administration authorities, private health coverage insurers and other third-party payors.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 primary trend in the U.S. healthcare industry and elsewhere is cost containment. Government authorities and third-party payors have attempted to control costs by limiting coverage and the amount of reimbursement for particular drug products. In many countries, the prices of drug products are subject to varying price control mechanisms as part of national health systems. In general, the prices of drug products under such systems are substantially lower than in the United States. Other countries allow companies to fix their own prices for drug products but monitor and control company profits. Accordingly, in markets outside the United States, the reimbursement for drug products may be reduced compared with the United States.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the United States, the decisions about Medicare reimbursement for new drug products are typically made by CMS, an agency within the U.S. Department of Health and Human Services, or HHS. CMS decides whether and to what extent a new drug product will be covered and reimbursed under Medicare, and private payors tend to follow CMS coverage guidelines. However, no uniform policy of coverage and reimbursement for drug products exists among third-party payors and coverage and reimbursement levels for drug products can differ significantly from payor to payor.</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Medicare Prescription Drug, Improvement, and Modernization Act of 2003, or the MMA, established the Medicare Part D program to provide a voluntary prescription drug benefit to Medicare beneficiaries. Under Part D, Medicare beneficiaries may enroll in prescription drug plans offered by private entities that provide coverage of outpatient prescription drugs. While all Medicare drug plans must give at least a standard level of coverage set by Medicare, Part D prescription drug plan sponsors are not required to pay for all covered Part D drugs, and each Part D prescription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and with some exceptions for certain classes of drugs. Any formulary used by a Part D prescription drug plan must be developed and reviewed by a pharmacy and therapeutic committee. Government payment for some of the costs of prescription drugs may increase demand for drugs for which we obtain marketing approval. Any negotiated prices for any of our products covered by a Part D prescription drug plan will likely be lower than the prices we might otherwise obtain. Additionally, beginning in 2025, manufacturers must pay additional discounts for products covered under Medicare Part D. Moreover, while the MMA Part D plan policies applies only to drug benefits for Medicare beneficiaries, private payors often follow Medicare coverage policies and payment limitations in setting their own payment rates and coverage guidelines. Any reduction in payment restrictions in Part D coverage that results from the MMA may result in a similar reduction in payment restrictions from non-governmental payors.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a drug product to receive federal reimbursement under the Medicaid or Medicare Part B programs or to be sold directly to U.S. government agencies, the manufacturer must participate in certain other Federal health care programs and also extend discounts to entities eligible to participate in the 340B drug pricing program. The required 340B discount on a given product is calculated based on the average manufacturer price, or AMP, and Medicaid rebate amounts reported by the manufacturer. As of 2010, the ACA expanded the types of entities eligible to receive discounted 340B pricing, although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the current state of the law these newly eligible entities (with the exception of children’s hospitals) will not be eligible to receive discounted 340B pricing on orphan drugs. As 340B drug pricing is determined based on AMP and Medicaid rebate data, any revisions to the Medicaid rebate formula or AMP definition could cause the required 340B discount to increase. The 340B drug pricing program may be subject to future changes in light of ongoing litigation and attempts to reform the program, including legislative proposals to reform the 340B program. It is unclear how any such changes could affect our obligation to offer 340B pricing to certain entities.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These laws, and future state and federal healthcare reform measures may be adopted in the future, any of which may result in additional reductions in Medicare and other healthcare funding and otherwise affect the prices we may obtain for any product candidates for which we may obtain regulatory approval or the frequency with which any such product candidate is prescribed or used.</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Outside of the United States, the pricing of pharmaceutical products and medical devices is subject to governmental control in many countries. For example, in the European Union, pricing and reimbursement schemes vary widely from country to country. Some countries provide that products may be marketed only after a reimbursement price has been agreed. Some countries may require the completion of additional studies that compare the cost effectiveness of a particular therapy to currently available therapies or so-called health technology assessments, or HTA, in order to obtain reimbursement or pricing approval. The outcome of HTA assessments is decided on a national basis and some payors may not reimburse the use of assessed products or may reduce the rate of reimbursement for such products. In December 2021, the EU adopted a new Regulation on Health Technology Assessment. The Regulation creates collaborative structures and procedures that allow Member States to carry out joint clinical assessments, effect joint clinical consultations and identify jointly emerging health technologies and came into effect on January 12, 2025.</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Other countries may allow companies to fix their own prices for products but monitor and control product volumes and issue guidance to physicians to limit prescriptions. Efforts to control prices and utilization of pharmaceutical products and medical devices will likely continue as countries attempt to manage healthcare expenditures.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Human Capital Resources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171 full-time employees, including 51 with Ph.D. or M.D. degrees. Of our employees, 117 were engaged in research and development activities, and 54 were engaged in general and administrative activities. None of our employees are represented by labor unions or covered by collective bargaining agreements, and we have experienced no work stoppages. We consider our relationship with our employees to be good.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rely on skilled, experienced, and innovative employees to conduct the operations of our company and we continue to face intense competition for our personnel from our competitors and other companies throughout our industry. The biotechnology industry is very competitive and recruiting and retaining such employees is important to the continued success of our business. We are committed to building an outstanding, committed team and fostering a rewarding work environment and a culture that values scientific innovation, inclusion, collaboration, and equity. We believe that each employee brings unique perspectives and strengths, and by embracing these strengths, we can do our best work for patients. We focus on recruiting, retaining, and developing employees from a wide range of backgrounds to conduct our research, development, and clinical activities.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part of our measures to attract and retain a highly skilled workforce, we offer a competitive suite of benefits to our full-time employees to help support their health and financial well-being, including medical, dental and vision insurance, life insurance, 401k retirement program with a company match, flexible spending accounts, paid holiday and vacation time, and flexible work arrangements. We provide our employees with competitive salaries and bonuses, opportunities for equity ownership, development opportunities that enable continued learning and growth and a robust recognition program that recognizes and celebrates their accomplishments. In addition, we regularly conduct an employee survey to gauge employee engagement and identify areas of focus.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Corporate and Available Information</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were incorporated under the laws of the State of Delaware in June 2015. Our principal executive office is located at 331 Oyster Point Boulevard, South San Francisco, California 94080, and our telephone number is (650) 481-6770. Our website address is https://pliantrx.com.</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file or furnish electronically with the SEC annual reports on Form 10-K, quarterly reports on Form 10-Q, current reports on Form 8-K and amendments to those reports filed or furnished pursuant to Section 13(a) or 15(d) of the Exchange Act. We make copies of these reports available free of charge through our investor relations website as soon as reasonably practicable after we file or furnish them with the SEC. The SEC maintains an Internet site that contains reports, proxy and information statements and other information regarding our filings at www.sec.gov.</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4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contained on or accessible through our websites is not incorporated into, and does not form a part of, this Annual Report or any other report or document we file with the SEC, and any references to our websites are intended to be inactive textual references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Our business faces significant risks. If any of the events or circumstances described in the following risks actually occurs, our business may suffer, the trading price of our common stock could decline and our financial condition or results of operations could be harmed. These risks should be read in conjunction with the other information set forth in this Annual Report on Form 10-K. The risks and uncertainties described below are not the only ones facing us. There may be additional risks faced by our business. Other events that we do not currently anticipate or that we currently deem immaterial also may adversely affect our financial condition or results of operations.</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RISK FACTORS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Financial Position and Need for Additional Capital</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have incurred significant net losses since inception and we expect to continue to incur significant net losses for the foreseeable future.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incurred significant net losses since our inception and have financed our operations principally through equity and debt financing and our prior collaboration with Novartis. We continue to incur significant research and development and other expenses related to our ongoing operations. Our net loss was $210.3 million, $161.3 million and 123.3 million for the years ended December 31, 2024, 2023 and 2022, respectively. As of December 31, 2024, we had an accumulated deficit of $710.1 million. We have devoted substantially all of our resources and efforts to research and development, and we expect that it will be at least several years, if ever, before we generate revenue from product sales. Even if we receive marketing approval for and commercialize one or more of our product candidates, we expect that we will continue to incur substantial research and development and other expenses in order to further develop and, if approved, market additional potential product candidates.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to continue to incur significant losses for the foreseeable future, and we anticipate that our expenses will increase substantially if, and as, we: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advance our product candidates through clinical development, and, if successful, later-stage clinical trials;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discover and develop new product candidates;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advance our preclinical development programs into clinical development;</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further develop manufacturing processes and manufacture our product candidates;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experience delays or interruptions to preclinical studies, clinical trials, our receipt of services from our third-party service providers on whom we rely, or our supply chain due to the effects of health epidemics and pandemics, such as COVID-19;</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seek regulatory approvals for any product candidates that successfully complete clinical trials;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commercialize bexotegrast, our other product candidates and any future product candidates, if approved;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increase the amount of research and development activities to identify and develop product candidates;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hire additional clinical development, quality control, scientific and management personnel;</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expand our operational, financial and management systems and increase personnel, including personnel to support our clinical development and manufacturing efforts;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establish a sales, marketing, medical affairs and distribution infrastructure to commercialize any products for which we may obtain marketing approval and intend to commercialize on our own or jointly with third parties;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maintain, expand and protect our intellectual property portfolio;</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invest in or in-license other technologies or product candidates;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continue to build out our organization to engage in such activities.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become and remain profitable, we must develop and eventually commercialize products with significant market potential. This will require us to be successful in a range of challenging activities, including completing preclinical studies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 clinical trials, obtaining marketing approval for product candidates, manufacturing, marketing, and selling products for which we may obtain marketing approval and satisfying any post-marketing requirements. We may never succeed in any or all of these activities and, even if we do, we may never generate revenue that is significant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w:t>
      </w:r>
    </w:p>
    <w:p>
      <w:pPr>
        <w:pStyle w:val="TextBody"/>
        <w:bidi w:val="0"/>
        <w:spacing w:lineRule="auto" w:line="288" w:before="12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We will require substantial additional capital to fund our operations. If we are unable to raise such capital when needed, or on acceptable terms, we may be forced to delay, reduce and/or eliminate one or more of our research and drug development programs, future commercialization efforts or other operations.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Developing biopharmaceutical products, including conducting preclinical studies and clinical trials, is a very time-consuming, expensive, and uncertain process that takes years to complete. Our operations have consumed substantial amounts of cash since inception. We expect our expenses to increase in connection with our ongoing activities, particularly as we conduct clinical trials of our product candidates and any future product candidates that we may develop, seek regulatory approvals for our product candidates and to launch and commercialize any products for which we receive regulatory approval. Accordingly, we will need to obtain substantial additional funding in order to maintain our continuing operations. If we are unable to raise capital when needed or on acceptable terms, we may be forced to delay, reduce, or eliminate one or more of our research and drug development programs or future commercialization efforts.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approximately $357.2 million in cash, cash equivalents, restricted cash and short-term investments. Based on our current operating plan, we believe that our existing cash, cash equivalents and short-term investments will be sufficient to fund our anticipated operating expenses and capital expenditure requirements for the next 12 months and beyond. However, our future capital requirements and the period for which our existing resources will support our operations may vary significantly from what we expect, and we will in any event require additional capital in order to complete clinical development of any of our current programs. Our monthly spending levels will vary based on new and ongoing development and corporate activities. Because the length of time and activities associated with development of our product candidates is highly uncertain, we are unable to estimate the actual funds we will require for development, marketing, and commercialization activities. Our future funding requirements, both near and long-term, will depend on many factors, including, but not limited to:</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initiation, progress, timing, costs and results of preclinical studies and clinical trials for our product candidates;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clinical development plans we establish for these product candidates;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timelines of our clinical trials and the overall costs to conduct and complete the clinical trials, including any increased costs due to disruptions caused by marketplace conditions, including the effects of health epidemics and pandemics, such as COVID-19, or other geopolitical conditions;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cost and capital commitments required for developing manufacturing processes for our product candidates and manufacturing our product candidates at clinical and commercial scales;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number and characteristics of product candidates that we develop;</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outcome, timing and cost of meeting regulatory requirements established by the FDA and other comparable foreign regulatory authorities;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 xml:space="preserve">whether we are able to enter into future collaboration agreements and the terms of any such agreements; </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ability to and timing of achieving a favorable pricing and reimbursement decision by the pricing authorities in the markets of interest;</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ability to secure a position recommendation following the health technology assessment by the health technology bodies in the relevant market;</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cost of filing, prosecuting, defending and enforcing our patent claims and other intellectual property rights;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cost of defending intellectual property disputes, including patent infringement actions brought by third parties against us or our product candidates;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effect of competing technological and market developments;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cost and timing of completion of commercial-scale outsourced manufacturing activities;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cost of establishing sales, marketing and distribution capabilities for any product candidates for which we may receive regulatory approval in regions where we choose to commercialize our products on our own.</w:t>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borrowed and in the future may borrow additional capital from institutional and commercial banking sources to fund future growth or potentially pursuant to new arrangements with different lenders. We have borrowed capital under our Amended and Restated Loan and Security Agreement with Oxford Finance LLC, or Amended Loan Agreement. Following our discontinuation of BEACON-IPF, we do not expect to be eligible to borrow additional term loans under the Amended Loan Agreement, given that the availability of two term loans is subject to the satisfaction of certain conditions related to the BEACON-IPF clinical trial and the availability of the third term loan is at the sole discretion of the lender. In addition, we expect to continue to opportunistically seek access to the equity capital markets to support our development efforts and operations. However, we cannot be certain that additional funding will be available on acceptable terms, or at all. Until we can generate sufficient revenue to finance our cash requirements, which we may never do, we expect to finance our future cash needs through a combination of public or private equity offerings, debt financings, collaborations, strategic alliances, licensing arrangements and other marketing or distribution arrangements. If we raise additional funds through public or private equity offerings, the terms of these securities may include liquidation or other preferences that adversely affect the rights of our common stockholders. Further, to the extent that we raise additional capital through the sale of common stock or securities convertible or exchangeable into common stock, your ownership interest will be diluted. In addition, any debt financing may subject us to fixed payment obligations and covenants limiting or restricting our ability to take specific actions, such as incurring additional debt, making capital expenditures, or declaring dividends. If we raise additional capital through marketing and distribution arrangements or other collaborations, strategic alliances, or licensing arrangements with third parties, we may have to relinquish certain valuable intellectual property or other rights to our product candidates, technologies, future revenue streams or research programs or grant licenses on terms that may not be favorable to us. We also may be required to seek collaborators for any of our product candidates at an earlier stage than otherwise would be desirable or relinquish our rights to product candidates or technologies that we otherwise would seek to develop or commercialize ourselves. Market volatility resulting from challenging financial markets factors, including the effects of health epidemics and pandemics, such as the COVID-19 pandemic, could also adversely impact our ability to access capital as and when needed. If we are unable to raise additional capital in sufficient amounts or on terms acceptable to us, we may have to significantly delay, scale back or discontinue the development or commercialization of one or more of our product candidates or one or more of our other research and development initiatives. Any of the above events could significantly harm our business, prospects, financial condition and results of operations and cause the price of our common stock to decline.</w:t>
      </w:r>
    </w:p>
    <w:p>
      <w:pPr>
        <w:pStyle w:val="TextBody"/>
        <w:bidi w:val="0"/>
        <w:spacing w:lineRule="auto" w:line="288" w:before="12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Covenants and other provisions in the Amended Loan Agreement restrict our business and operations in many ways, and if we do not effectively manage our covenants, our financial conditions and results of operations could be adversely affected. In addition, our operations may not provide sufficient cash to meet the repayment obligations of our debt incurred under the Amended Loan Agreement.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Amended Loan Agreement, Oxford has been granted a security interest in substantially all of our assets, excluding intellectual property (but including the right to payments and proceeds of intellectual property, with such exclusion of intellectual property subject to change pursuant to the terms of the Amended Loan Agreement), and a negative pledge on substantially all of our intellectual property, subject to customary exceptions. If an event of default occurs under the Amended Loan Agreement, Oxford may foreclose on its security interest and liquidate some or all of these assets, which would harm our business, financial condition and results of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of a default in connection with our bankruptcy, insolvency, liquidation, or reorganization, Oxford would have a prior right to substantially all of our assets to the exclusion of our general unsecured creditors. Only after satisfying the claims of Oxford and any unsecured creditors would any amount be available for our equity holders.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pledge of these assets and other restrictions imposed in the Amended Loan Agreement may limit our flexibility in raising capital for other purposes. Because substantially all of our assets are pledged to secure the Amended Loan Agreement obligations, our ability to incur additional indebtedness or to sell or dispose of assets to raise capital may be impaired, which could have an adverse effect on our financial flexibility.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if we are unable to comply with certain financial and operating restrictions in the Amended Loan Agreement, we may be limited in our business activities and access to credit or may default under the Amended Loan Agreement. Provisions in the Amended Loan Agreement impose certain restrictions or require prior approval on our ability, and the ability of certain of our subsidiaries to, among other things: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Incur additional debt;</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Make certain investments and acquisitions;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Guarantee the indebtedness of others or our subsidiaries;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Create liens or encumbrances;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Engage in new lines of business;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Enter into transactions with affiliates;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Pay cash dividends and make distributions;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Redeem or repurchase capital shares;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Sell, lease or transfer certain parts of our business or property, including equity interests of our subsidiaries;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Prepay other indebtedness;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Acquire new companies and merge or consolidate.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Amended Loan Agreement also contains other customary covenants. We may not be able to comply with these covenants in the future. Our failure to comply with these covenants may result in the declaration of an event of default, which, if not cured or waived, may result in the acceleration of the maturity of indebtedness outstanding under the Amended Loan Agreement and would require us to pay all amounts outstanding. If the maturity of our indebtedness is accelerated, we may not have sufficient funds then available for repayment or we may not have the ability to borrow or obtain sufficient funds to replace the accelerated indebtedness on terms acceptable to us or at all. Our failure to repay our obligations under the Amended Loan Agreement would result in Oxford foreclosing on all or a portion of our assets, which could force us to curtail or cease our operations.</w:t>
      </w:r>
    </w:p>
    <w:p>
      <w:pPr>
        <w:pStyle w:val="TextBody"/>
        <w:bidi w:val="0"/>
        <w:spacing w:lineRule="auto" w:line="288" w:before="12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The amount of our future losses is uncertain and our quarterly operating results may fluctuate significantly or may fall below the expectations of investors or securities analysts, each of which may cause our stock price to fluctuate or decline.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quarterly and annual operating results may fluctuate significantly in the future due to a variety of factors, many of which are outside of our control and may be difficult to predict, including the following:</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timing and success or failure of clinical trials for our product candidates or competing product candidates, or any other change in the competitive landscape of our industry, including consolidation among our competitors or partners;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our ability to successfully recruit and retain subjects for clinical trials, and any delays caused by difficulties in such efforts;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our ability to obtain marketing approval for our product candidates, and the timing and scope of any such approvals we may receive;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timing and cost of, and level of investment in, research and development activities relating to our product candidates, which may change from time to time;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cost of manufacturing our product candidates, which may vary depending on the difficulty of manufacture, quantity of production and the terms of our agreements with manufacturers;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our ability to attract, hire and retain qualified personnel;</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expenditures that we will or may incur to develop additional product candidates;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level of demand for our product candidates should they receive approval, which may vary significantly;</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risk/benefit profile, cost and reimbursement policies with respect to our product candidates, if approved, and existing and potential future therapeutics that compete with our product candidates;</w:t>
      </w:r>
    </w:p>
    <w:p>
      <w:pPr>
        <w:pStyle w:val="TextBody"/>
        <w:bidi w:val="0"/>
        <w:spacing w:lineRule="auto" w:line="288" w:before="0" w:after="0"/>
        <w:ind w:left="0" w:right="0" w:hanging="630"/>
        <w:jc w:val="left"/>
        <w:rPr/>
      </w:pPr>
      <w:r>
        <w:rPr>
          <w:color w:val="000000"/>
        </w:rPr>
        <w:t>•</w:t>
      </w:r>
      <w:r>
        <w:rPr>
          <w:rFonts w:ascii="Times New Roman;sans-serif" w:hAnsi="Times New Roman;sans-serif"/>
          <w:b w:val="false"/>
          <w:color w:val="000000"/>
          <w:sz w:val="20"/>
        </w:rPr>
        <w:t>general market conditions or extraordinary external events, such as recessions or the effects of health epidemics and pandemics, such as the COVID-19 pandemic;</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changing and volatile U.S. and global economic and political environments;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future accounting pronouncements or changes in our accounting policies.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analysts or investors, the price of our common stock could decline substantially. Such a stock price decline could occur even when we have met any previously publicly stated guidance we may provide.</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Risks Related to Research and Development and the Biopharmaceutical Industry</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have a limited operating history, which may make it difficult to evaluate our prospects and likelihood of success.</w:t>
      </w:r>
    </w:p>
    <w:p>
      <w:pPr>
        <w:pStyle w:val="TextBody"/>
        <w:bidi w:val="0"/>
        <w:spacing w:lineRule="auto" w:line="276"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no products approved for commercial sale and have not generated any revenue from product sales to date. Our operations to date have been limited to organizing and staffing our company, business planning, raising capital, establishing our intellectual property portfolio and performing research and development of our product candidates and our technology related to transforming growth factor beta, or TGF-β, signaling and integrin biology, medicinal chemistry, translational screening technologies, and clinical insights to discover and develop novel therapies for the treatment of fibrosis. Our approach to the discovery and development of product candidates is unproven, and we do not know whether we will be able to develop any products of commercial value. We have not yet demonstrated the ability to progress any product candidate through clinical trials, obtain regulatory approval, manufacture a commercial scale product, or arrange for a third party to do so on our behalf, or conduct sales and marketing activities necessary for successful product commercialization. In March 2025, we announced that we were discontinuing the BEACON-IPF Phase 2b trial following a prespecified data review and recommendation by the trial’s independent DSMB, as well as a secondary review and recommendation by an outside expert panel. In addition, as a business with a limited operating history, we may encounter unforeseen expenses, difficulties, complications, delays and other known and unknown factors and risks frequently experienced by early-stage biopharmaceutical companies in rapidly evolving fields. Consequently, we expect our operating results to continue to fluctuate significantly from quarter to quarter and year to year due to a variety of factors, many of which are beyond our control, and predictions about our future success or viability may not be as accurate as they could be if we had a longer operating history or a history of successfully developing and commercializing drug products.</w:t>
      </w:r>
    </w:p>
    <w:p>
      <w:pPr>
        <w:pStyle w:val="TextBody"/>
        <w:bidi w:val="0"/>
        <w:spacing w:lineRule="auto" w:line="288" w:before="12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 xml:space="preserve">Our business is highly dependent on the success of our lead product candidate, bexotegrast and any other product candidates that we advance into the clinic. Our product candidates will require significant additional development before we may be able to seek regulatory approval for and launch a product commercially. </w:t>
      </w:r>
    </w:p>
    <w:p>
      <w:pPr>
        <w:pStyle w:val="TextBody"/>
        <w:bidi w:val="0"/>
        <w:spacing w:lineRule="auto" w:line="268" w:before="0" w:after="0"/>
        <w:ind w:left="0" w:right="0" w:firstLine="450"/>
        <w:jc w:val="left"/>
        <w:rPr/>
      </w:pPr>
      <w:r>
        <w:rPr>
          <w:rFonts w:ascii="Times New Roman;sans-serif" w:hAnsi="Times New Roman;sans-serif"/>
          <w:b w:val="false"/>
          <w:color w:val="242424"/>
          <w:sz w:val="20"/>
        </w:rPr>
        <w:t>We are currently conducting a Phase 1 clinical trial of PLN-101095 in solid tumors, and PLN-101325 development for treatmen</w:t>
      </w:r>
      <w:r>
        <w:rPr>
          <w:rFonts w:ascii="Times New Roman;sans-serif" w:hAnsi="Times New Roman;sans-serif"/>
          <w:b w:val="false"/>
          <w:color w:val="000000"/>
          <w:sz w:val="20"/>
        </w:rPr>
        <w:t>t of muscular dystrophies is Phase-1 ready. We have no products that are approved for commercial sale and may never be able to develop marketable products. If any of our product candidates encounter safety or efficacy problems, development delays, regulatory issues or other problems, our development plans and business would be significantly harmed. In that regard, in March 2025, we announced that we were discontinuing the BEACON-IPF Phase 2b trial following a prespecified data review and recommendation by the trial’s independent DSMB, as well as a secondary review and recommendation by an outside expert panel.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Before we can generate any revenue from sales of bexotegrast or any of our other product candidates, we must undergo additional preclinical and clinical development, regulatory review, and approval in one or more jurisdictions. In addition, if one or more of our product candidates are approved, we must ensure access to sufficient commercial manufacturing capacity and conduct significant marketing efforts in connection with any commercial launch. These efforts will require substantial investment, and we may not have the financial resources to continue development of our product candidates.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may experience setbacks that could delay or prevent regulatory approval of, or the extent of regulatory protection or our ability to commercialize, our product candidates, including:</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negative or inconclusive results from our preclinical studies or clinical trials or the clinical trials of others for product candidates similar to ours, leading to a decision or requirement to conduct additional preclinical testing or clinical trials or abandon a program;</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product-related side effects experienced by subjects in our clinical trials or by individuals using drugs or therapeutics similar to our product candidates;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delays in submitting investigational new drug (IND) applications or comparable foreign applications or delays or failure in obtaining the necessary approvals from regulators to commence a clinical trial, or a suspension or termination of a clinical trial once commenced;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conditions imposed by the FDA or comparable foreign authorities regarding the scope or design of our clinical trials;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delays in enrolling subjects in clinical trials, including due to operational challenges, competition with other clinical trials or the effects of health epidemics and pandemics, such as the COVID-19 pandemic;</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high drop-out rates or screening failures of subjects from clinical trials;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inadequate supply or quality of product candidates or other materials necessary for the conduct of our clinical trials;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challenges manufacturing our product candidates to regulatory requirements in a cost effective manner;</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greater than anticipated clinical trial costs;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inability to compete with other therapies;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failure to secure or maintain orphan designation in some jurisdictions;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poor efficacy of our product candidates during clinical trials;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unfavorable FDA or other regulatory agency inspection and review of a clinical trial site;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failure of our third-party contractors or investigators to comply with regulatory requirements or otherwise meet their contractual obligations in a timely manner, or at all;</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delays and changes in regulatory requirements, policy and guidelines, including the imposition of additional regulatory oversight around clinical testing generally or with respect to our technology in particular; or</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varying interpretations of data by the FDA and similar foreign regulatory agencies.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do not have complete control over many of these factors, including certain aspects of clinical development and the regulatory submission process, potential threats to our intellectual property rights and our manufacturing, marketing, distribution and sales efforts or that of any future collaborator.</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approach to drug discovery and development in the area of fibrotic diseases, with an initial focus on tissue-specific integrin modulation and TGF-β signaling inhibition, is unproven and may not result in marketable products.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approach is designed to discover and develop targeted treatments for fibrosis with an initial focus on the antagonism of tissue-specific TGF-β signaling through the inhibition of integrins known to mediate the release of activated TGF-β in fibrotic tissue. However, this mechanism has not been definitively proven to successfully treat fibrosis. Targeting integrins to treat fibrosis is a novel approach in a rapidly developing field, and there can be no assurance that we will not experience currently unknown problems or delays in developing our product candidates, that such problems or delays will not result in unanticipated costs, or that any such development problems can be solved. As a result, we may never succeed in developing a marketable product.</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Clinical development involves a lengthy, complex, and expensive process, with an uncertain outcome.</w:t>
      </w:r>
    </w:p>
    <w:p>
      <w:pPr>
        <w:pStyle w:val="TextBody"/>
        <w:bidi w:val="0"/>
        <w:spacing w:lineRule="auto" w:line="268" w:before="0" w:after="0"/>
        <w:ind w:left="0" w:right="0" w:firstLine="450"/>
        <w:jc w:val="left"/>
        <w:rPr/>
      </w:pPr>
      <w:r>
        <w:rPr>
          <w:rFonts w:ascii="Times New Roman;sans-serif" w:hAnsi="Times New Roman;sans-serif"/>
          <w:b w:val="false"/>
          <w:color w:val="242424"/>
          <w:sz w:val="20"/>
        </w:rPr>
        <w:t>To obtain the requisite regulatory approvals to commercialize any product candidates, we must demonstrate through extensive preclinical studies and clinical trials that our product candidates are safe and effective in humans. Clinical testing is expensive and can take many years to complete, and its outcome is inherently uncertain. In particular, the general approach for FDA approval of a new drug is dispositive data from two well-controlled, Phase 3 clinical trials of the relevant drug in the relevant patient population. Phase 3 clinical trials typically involve hundreds of patients, have significant costs and take years to complete. A product candidate can fail at any stage of testing, even after observing promising signals of activity in earlier preclinical studies or earlier stage clinical trials. The results of preclinical studies and early clinical trials of our product candidates may not be predictive of the results of later-stage clinical trials. For example, i</w:t>
      </w:r>
      <w:r>
        <w:rPr>
          <w:rFonts w:ascii="Times New Roman;sans-serif" w:hAnsi="Times New Roman;sans-serif"/>
          <w:b w:val="false"/>
          <w:color w:val="000000"/>
          <w:sz w:val="20"/>
        </w:rPr>
        <w:t xml:space="preserve">n March 2025, we announced that we were discontinuing the BEACON-IPF Phase 2b trial following a prespecified data review and recommendation by the trial’s independent DSMB, as well as a secondary review and recommendation by an outside expert panel. </w:t>
      </w:r>
      <w:r>
        <w:rPr>
          <w:rFonts w:ascii="Times New Roman;sans-serif" w:hAnsi="Times New Roman;sans-serif"/>
          <w:b w:val="false"/>
          <w:color w:val="242424"/>
          <w:sz w:val="20"/>
        </w:rPr>
        <w:t xml:space="preserve">In addition, initial success in clinical trials may not be indicative of results obtained when such trials are completed. There is typically an extremely high rate of attrition from the failure of product candidates proceeding through clinical trials. Product candidates in later stages of clinical trials may fail to show the desired safety and efficacy profile despite having progressed through preclinical studies and initial clinical trials. A large number of companies in the biopharmaceutical industry have suffered significant setbacks in advanced clinical trials due to lack of efficacy or unacceptable safety issues, notwithstanding promising results in earlier trials or divergent conclusions by the FDA, other regulatory agencies, IRBs, DSMBs or others in connection with such findings. </w:t>
      </w:r>
    </w:p>
    <w:p>
      <w:pPr>
        <w:pStyle w:val="TextBody"/>
        <w:bidi w:val="0"/>
        <w:spacing w:lineRule="auto" w:line="288" w:before="120" w:after="283"/>
        <w:ind w:left="0" w:right="0" w:firstLine="450"/>
        <w:jc w:val="left"/>
        <w:rPr>
          <w:rFonts w:ascii="Times New Roman;sans-serif" w:hAnsi="Times New Roman;sans-serif"/>
          <w:b w:val="false"/>
          <w:color w:val="242424"/>
          <w:sz w:val="20"/>
        </w:rPr>
      </w:pPr>
      <w:r>
        <w:rPr>
          <w:rFonts w:ascii="Times New Roman;sans-serif" w:hAnsi="Times New Roman;sans-serif"/>
          <w:b w:val="false"/>
          <w:color w:val="242424"/>
          <w:sz w:val="20"/>
        </w:rPr>
        <w:t>Most product candidates that commence clinical trials are never approved as products and there can be no assurance that any of our future clinical trials will ultimately be successful or support further clinical development of bexotegrast or any of our other product candidates. Product candidates that appear promising in the early phases of development may fail to reach the market for several reasons, including:</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preclinical studies or clinical trials may show the product candidates to be less effective than expected (e.g., a clinical trial could fail to meet its primary endpoint(s)) or to have unacceptable side effects or toxicities;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failure to establish clinical endpoints that applicable regulatory authorities would consider clinically meaningful;</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failure to receive the necessary regulatory approvals;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development of competing products in the same disease state;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 xml:space="preserve">manufacturing costs, formulation issues, pricing or reimbursement issues, or other factors that make a product candidate uneconomical; </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failure or inability to perform by our third party vendors, including vendors in foreign jurisdictions including China;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proprietary rights of others and their competing products and technologies that may prevent one of our product candidates from being commercialized.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differences in trial design between early-stage clinical trials and later-stage clinical trials make it difficult to extrapolate the results of earlier clinical trials to later clinical trials. Further, as we rely on novel technologies including sophisticated imaging technologies to generate data relating to our clinical endpoints, there is an increased risk that we may not properly measure, analyze or interpret this data. Moreover, clinical data are often susceptible to varying interpretations and analyses, and many companies that have believed their product candidates performed satisfactorily in clinical trials have nonetheless failed to obtain marketing approval of their products. Additionally, some of our trials are open label studies, where both the patient and investigator know whether the patient is receiving the investigational product candidate or either an existing approved drug or placebo. Most typically, open label clinical trials test only the investigational product candidate and sometimes do so at different dose levels. Open label clinical trials are subject to various limitations that may exaggerate any therapeutic effect as patients in open label clinical trials are aware when they are receiving treatment. In addition, open 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Therefore, it is possible that positive results observed in open label trials will not be replicated in later placebo-controlled trials.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standards that the FDA and comparable foreign regulatory authorities use when regulating us require judgment and can change, which makes it difficult to predict with certainty how they will be applied. Although we are initially focusing our efforts on development of small molecule drug products, we are also commencing the development of biological products, including a potential candidate for muscular dystrophies, which could make us subject to additional regulatory requirements.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or changes in regulatory policy as a result of judicial challenges. Examples of such regulations and changes include future legislation or administrative action, or changes in FDA policy during the period of product development and FDA regulatory review. It is impossible to predict whether legislative changes will be enacted, or whether FDA or foreign regulations, guidance or interpretations will be changed, or what the impact of such changes, if any, may be. The FDA may also require a panel of experts, referred to as an Advisory Committee, to deliberate on the adequacy of the safety and efficacy data to support approval. The opinion of the Advisory Committee, although not binding, may have a significant impact on our ability to obtain approval of any product candidates that we develop.</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must comply with numerous foreign regulatory requirements governing, among other things, the conduct of clinical trials, manufacturing and marketing authorization, and if approved for marketing,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may differ from that required to obtain FDA approval. Approval by the FDA does not ensure approval by regulatory authorities outside the United States and vice versa.</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Successful completion of clinical trials is a prerequisite to submitting a marketing application to the FDA and similar marketing applications to comparable foreign regulatory authorities, for each product candidate and, consequently, the ultimate approval and commercial marketing of any product candidates. We may experience negative or inconclusive results, which may result in our deciding, or our being required by regulators, to conduct additional clinical studies or trials or abandon some or all of our product development programs, which could have a material adverse effect on our business.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may incur additional costs or experience delays in completing, or ultimately be unable to complete, the development and commercialization of bexotegrast or any other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experience delays in initiating or completing clinical trials. We also may experience numerous unforeseen events during, or as a result of, any future clinical trials that could delay or prevent our ability to receive marketing approval or commercialize bexotegrast or any other product candidates, including: </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regulators, IRBs, or ethics committees may not authorize us or our investigators to commence a clinical trial or conduct a clinical trial at a prospective trial site;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FDA or other comparable regulatory authorities may disagree with our clinical trial design, including with respect to dosing levels administered in our planned clinical trials, which may delay or prevent us from initiating our clinical trials with our originally intended trial design;</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we may experience delays in reaching, or fail to reach, agreement on acceptable terms with prospective trial sites and prospective contract research organizations, or CROs, which can be subject to extensive negotiation and may vary significantly among different CROs and trial sites;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number of subjects required for clinical trials of any product candidates may be larger than we anticipate or subjects may drop out of these clinical trials or fail to return for post-treatment follow-up at a higher rate than we anticipate;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we may experience delays or interruptions to our manufacturing supply chain, or we could suffer delays in reaching, or we may fail to reach, agreement on acceptable terms with third-party service providers on whom we rely;</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additional delays and interruptions to our clinical trials could extend the duration of the trials and increase the overall costs to finish the trials as our fixed costs are not substantially reduced during delays;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we may elect to, or regulators, IRBs, DSMBs, or ethics committees may require that we or our investigators suspend or terminate clinical research or trials for various reasons, including noncompliance with regulatory requirements or a finding that the participants are being exposed to unacceptable health risks;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we may not have the financial resources available to begin and complete the planned trials, or the cost of clinical trials of any product candidates may be greater than we anticipate;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supply or quality of our product candidates or other materials necessary to conduct clinical trials of our product candidates may be insufficient or inadequate to initiate or complete a given clinical trial;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FDA or other comparable foreign regulatory authorities may require us to submit additional data such as long-term toxicology studies, or impose other requirements before permitting us to initiate a clinical trial.</w:t>
      </w:r>
    </w:p>
    <w:p>
      <w:pPr>
        <w:pStyle w:val="TextBody"/>
        <w:bidi w:val="0"/>
        <w:spacing w:lineRule="auto" w:line="288" w:before="120" w:after="283"/>
        <w:ind w:left="0" w:right="0" w:firstLine="450"/>
        <w:jc w:val="left"/>
        <w:rPr>
          <w:rFonts w:ascii="Times New Roman;sans-serif" w:hAnsi="Times New Roman;sans-serif"/>
          <w:b w:val="false"/>
          <w:color w:val="242424"/>
          <w:sz w:val="20"/>
        </w:rPr>
      </w:pPr>
      <w:r>
        <w:rPr>
          <w:rFonts w:ascii="Times New Roman;sans-serif" w:hAnsi="Times New Roman;sans-serif"/>
          <w:b w:val="false"/>
          <w:color w:val="242424"/>
          <w:sz w:val="20"/>
        </w:rPr>
        <w:t>Our product development costs will increase if we experience additional delays in clinical testing or in obtaining marketing approvals. We do not know whether any of our clinical trials will begin as planned, will need to be restructured or will be completed on schedule, or at all. If we do not achieve our product development goals in the timeframes we announce and expect, the approval and commercialization of our product candidates may be delayed or prevented entirely. In addition, significant clinical trial delays could shorten any periods during which we may have the exclusive right to commercialize our product candidates and may allow our competitors to bring products to market before we do, potentially impairing our ability to successfully commercialize our product candidates and harming our business and results of operations. Any delays in our clinical development programs may harm our business, financial condition, and results of operations significantly.</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ongoing and future clinical trials may reveal significant adverse events or unexpected drug-drug interactions not seen in our preclinical studies and may result in a safety profile that could delay or prevent regulatory approval or market acceptance of any of our product candidates.</w:t>
      </w:r>
    </w:p>
    <w:p>
      <w:pPr>
        <w:pStyle w:val="TextBody"/>
        <w:bidi w:val="0"/>
        <w:spacing w:lineRule="auto" w:line="288" w:before="120" w:after="283"/>
        <w:ind w:left="0" w:right="0" w:firstLine="450"/>
        <w:jc w:val="left"/>
        <w:rPr>
          <w:rFonts w:ascii="Times New Roman;sans-serif" w:hAnsi="Times New Roman;sans-serif"/>
          <w:b w:val="false"/>
          <w:color w:val="242424"/>
          <w:sz w:val="20"/>
        </w:rPr>
      </w:pPr>
      <w:r>
        <w:rPr>
          <w:rFonts w:ascii="Times New Roman;sans-serif" w:hAnsi="Times New Roman;sans-serif"/>
          <w:b w:val="false"/>
          <w:color w:val="242424"/>
          <w:sz w:val="20"/>
        </w:rPr>
        <w:t xml:space="preserve">If significant adverse events or other side effects are observed in any of our ongoing or future clinical trials, we may have difficulty recruiting patients to our clinical trials, patients may drop out of our trials, or we may be required to abandon the trials or our development efforts altogether. In March 2025, we announced that we were discontinuing the BEACON-IPF Phase 2b trial following a prespecified data review and recommendation by the trial’s independent DSMB, as well as a secondary review and recommendation by an outside expert panel due to an imbalance in safety events between treatment and placebo groups. We may also encounter unexpected drug-drug interactions in our ongoing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242424"/>
          <w:sz w:val="20"/>
        </w:rPr>
      </w:pPr>
      <w:r>
        <w:rPr>
          <w:rFonts w:ascii="Times New Roman;sans-serif" w:hAnsi="Times New Roman;sans-serif"/>
          <w:b w:val="false"/>
          <w:color w:val="242424"/>
          <w:sz w:val="20"/>
        </w:rPr>
        <w:t xml:space="preserve">planned trials, and may be required to further test our candidates, including additional drug-drug interaction studies, which may be expensive, time-consuming and result in delays to our programs. </w:t>
      </w:r>
    </w:p>
    <w:p>
      <w:pPr>
        <w:pStyle w:val="TextBody"/>
        <w:bidi w:val="0"/>
        <w:spacing w:lineRule="auto" w:line="288" w:before="120" w:after="283"/>
        <w:ind w:left="0" w:right="0" w:firstLine="450"/>
        <w:jc w:val="left"/>
        <w:rPr>
          <w:rFonts w:ascii="Times New Roman;sans-serif" w:hAnsi="Times New Roman;sans-serif"/>
          <w:b w:val="false"/>
          <w:color w:val="242424"/>
          <w:sz w:val="20"/>
        </w:rPr>
      </w:pPr>
      <w:r>
        <w:rPr>
          <w:rFonts w:ascii="Times New Roman;sans-serif" w:hAnsi="Times New Roman;sans-serif"/>
          <w:b w:val="false"/>
          <w:color w:val="242424"/>
          <w:sz w:val="20"/>
        </w:rPr>
        <w:t>Some potential therapeutics developed in the biopharmaceutical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of the approved product due to its tolerability versus other therapies.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If we encounter difficulties enrolling patients in our clinical trials, our clinical development activities could be delayed or otherwise adversely affected.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may experience difficulties in patient enrollment in our clinical trials for a variety of reasons. The timely completion of clinical trials in accordance with their protocols depends, among other things, on our ability to enroll a sufficient number of patients who remain in the trial until its conclusion. The enrollment of patients depends on many factors, including:</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patient eligibility and exclusion criteria defined in the protocol;</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size of the patient population required for analysis of the trial’s primary endpoints and the process for identifying patients;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willingness or availability of patients to participate in our trials ;</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proximity of patients to trial sites;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design of the trial;</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our ability to recruit clinical trial investigators with the appropriate competencies and experience;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clinicians’ and patients’ perceptions as to the potential advantages and risks of the product candidate being studied in relation to other available therapies, including any new products that may be approved for the indications we are investigating or other studies enrolling for similar diseases;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availability of competing commercially available therapies and other competing product candidates’ clinical trials;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our ability to obtain and maintain patient informed consents;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risk that patients enrolled in clinical trials will drop out of the trials before completion.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For example, we are initially developing bexotegrast for the treatment of IPF and PSC, each of which is an orphan indication. In the United States, IPF is estimated to affect approximately 150,000 patients, while PSC is estimated to affect approximately 30,000 to 45,000 patients. As a result, we may encounter difficulties enrolling subjects in our clinical trials of bexotegrast due, in part, to the small size of these patient populations. Our clinical trials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the FDA may modify or enhance trial requirements, which may affect enrollment. For example, in August 2023, the FDA published a guidance document, “Informed Consent, Guidance for IRBs, Clinical Investigators, and Sponsors,” which supersedes past guidance and finalizes draft guidance on informed consent. Further, in December 2023, FDA published a final rule, “Institutional Review Board Waiver or Alteration of Informed Consent for Minimal Risk Clinical Investigations,” which allows exceptions from informed consent requirements when a clinical investigation poses no more than minimal risk to the human subject and includes appropriate safeguards to protect the rights, safety, and welfare of human subjects. The FDA’s new guidance and rulemaking present evolving requirements for informed consent which may affect recruitment and retention of patients in clinical trials. Effects on recruitment and retention of patients may hinder or delay a clinical trial and could cause a significant setback to an applicable program.</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The design or execution of our ongoing and future clinical trials may not support marketing approval.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design or execution of a clinical trial can determine whether its results will support marketing approval, and flaws in the design or execution of a clinical trial may not become apparent until the clinical trial is well advanced.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in some instances, there can be significant variability in safety or efficacy results between different trials with the same product candidate due to numerous factors, including differences in trial protocols, size and type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patient populations, variable adherence to the dosing regimen or other protocol requirements and the rate of dropout among clinical trial participants. We do not know whether any clinical trials we conduct will demonstrate consistent or adequate efficacy and safety to obtain marketing approval to market our product candidates. For example, in March 2025, we announced that we were discontinuing the BEACON-IPF Phase 2b trial following a prespecified data review and recommendation by the trial’s independent DSMB, as well as a secondary review and recommendation by an outside expert panel.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Further, the FDA and comparable foreign regulatory authorities have substantial discretion in the approval process and in determining when or whether marketing approval will be obtained for any of our product candidates. Our product candidates may not be approved even if they achieve their primary endpoints in future Phase 3 clinical trials or registrational trials. The FDA or comparable foreign regulatory authorities may disagree with our trial designs and our interpretation of data from preclinical studies or clinical trials. Moreover, clinical data are often susceptible to varying interpretations and analyses, including by the FDA, comparable foreign regulatory authorities, IRBs or DSMBs interpreting such data. Further, requirements regarding clinical trial data may evolve. In June 2023, the FDA published draft guidance, which seeks to unify standards for clinical trial data for International Council for Harmonisation of Technical Requirements of Pharmaceuticals for Human Use, or ICH member countries and regions. Changes to data requirements may cause the FDA or comparable foreign regulatory authorities to disagree with data from preclinical studies or clinical trials, and may require further studies.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any of these regulatory authorities may change requirements for the approval of a product candidate even after reviewing and providing comments or advice on a protocol for a pivotal Phase 3 or registrational clinical trial. Further, any of these regulatory authorities may also approve a product candidate for fewer or more limited indications than we request or may grant approval contingent on the performance of costly post-marketing clinical trials. The FDA or comparable foreign regulatory authorities may not approve the labeling claims that we believe would be necessary or desirable for the successful commercialization of our product candidates, if approved.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Delays in patient enrollment may result in increased costs or may affect the timing or outcome of our future clinical trials, which could prevent completion of these trials and adversely affect our ability to advance the development of our product candidates.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Although we have received U.S. orphan drug designation for bexotegrast for IPF and PSC indications and EEA orphan drug designation for bexotegrast for IPF and for PSC we may be unable to obtain and maintain orphan drug designation for our other product candidates and, even if we obtain such designation, we may not be able to realize the benefits of such designation, including potential marketing exclusivity of our product candidates, if approved.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Regulatory authorities in some jurisdictions, including the United States and other major markets, may designate drugs intended to treat conditions or diseases affecting relatively small patient populations as orphan drugs. Under the Orphan Drug Act of 1983, the FDA, may designate a product candidate as an orphan drug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 In order to obtain orphan designation in the European Economic Area (EEA) and the U.K., the product must fulfill certain challenging criteria. Under Article 3 of Regulation (EC) 141/2000 in the EU, and Regulation 50G of the Human Medicines Regulation 2012 in the U.K., a medicinal product may be designated as an orphan medicinal product if it meets the following criteria: (1) such product is intended for the diagnosis, prevention or treatment of a life-threatening or chronically debilitating condition; (2) either the prevalence of such condition must not be more than five in 10,000 persons in the territory of the EU or U.K. (as applicable) when the application is made, or without the benefits derived from orphan status, it must be unlikely that the marketing of the medicine would generate sufficient return in the EU or U.K. to justify the investment needed for its development; and (3) there exists no satisfactory method of diagnosis, prevention or treatment of such condition authorized for marketing in the EU or U.K. or if such a method exists, the product will be of significant benefit to those affected by the condition, as defined in Regulation (EC) 847/2000. In the EEA, the grant of the orphan designation does not mean that the product will be granted orphan status at the time it is assessed in parallel with the application for a marketing authorization. The authorities reassess then whether the product still fulfills the criteria for orphan status.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have received U.S. orphan drug designation for bexotegrast for IPF and PSC and EEA orphan drug designation for bexotegrast for IPF and for PSC, we may be unable to obtain and maintain orphan drug designation for our other product candidates, and even if we obtain such designation, the designation of any of our product candidates as an orphan drug does not mean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Generally, if a product candidate with an orphan drug designation receives the first marketing approval for the indication for which it has such designation, the product is entitled to a period of marketing exclusivity, which precludes the FDA or foreign regulatory authorities from approving another marketing application for a product that constitutes a similar medicinal product treating the same indication for that marketing exclusivity period, except in limited circumstances. The applicable period is seven years in the United States and ten years in the EEA. The ten-year period of market exclusivity in the EEA can be extended by a further two years if the product qualifies for a pediatric extension, but can be reduced to a period of six years if the orphan designation criteria are no longer met after the fifth year. Orphan drug exclusivity may be revoked if any regulatory agency determines that the request for designation was materially defective or if the manufacturer is unable to assure sufficient quantity of the product to meet the needs of patients with the rare disease or condition. On April 26, 2023, the European Commission adopted a proposal for a new Regulation set to replace Regulation (EC) No 726/2004 and a new Directive replacing Directive 2001/83 on the Community Code relating to medicinal products for human use. If made into law, this proposal will revise and replace the existing general pharmaceutical legislation and may make it more difficult to obtain orphan designation in the EEA.</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Even if we obtain orphan drug exclusivity for a product candidate, that exclusivity may not effectively protect the product candidate from competition because different drugs with different active moieties can be approved for the same condition in the United States or EEA. Even after an orphan drug is approved, the FDA or EMA, as applicable, may subsequently approve another drug with the same active moiety for the same condition if the FDA concludes that the latter drug is not a similar medicinal product or is clinically superior in that it is shown to be safer, more effective or makes a major contribution to patient care.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Congress is considering updates to the orphan drug provisions of the Food, Drug, and Cosmetic Act, or FDCA, in response to a recent decision by the U.S. Court of Appeals for the Eleventh Circuit. Any changes to the orphan drug provisions could change our opportunities for, or likelihood of success in obtaining, orphan drug exclusivity and would materially adversely affect our business, results of operations, financial condition and prospects.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A Fast Track designation by the FDA, even if granted for other current or future product candidates, may not lead to a faster development or regulatory review or approval process and does not increase the likelihood that our product candidates will receive marketing approval.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may seek Fast Track designation for one or more of our future product candidates. In April 2022, bexotegrast received Fast Track designation for the treatment of IPF. If a drug product is intended for the treatment of a serious or life-threatening disease or condition and it demonstrates the potential to address unmet medical needs for such a disease or condition, the drug sponsor may apply for FDA Fast Track designation for a particular indication. We may seek Fast Track designation for our product candidates, but there is no assurance that the FDA will grant this designation to any of our proposed product candidates. Marketing applications submitted by sponsors of products in Fast Track development may qualify for priority review under the policies and procedures offered by the FDA, but the Fast Track designation does not assure any such qualification or ultimate marketing licensure by the FDA. The FDA has broad discretion whether or not to grant Fast Track designation, so even if we believe a particular product candidate is eligible for this designation, there can be no assurance that the FDA would decide to grant it. Even if we do receive Fast Track designation, we may not experience a faster development process, review or licensure compared to conventional FDA procedures or pathways and receiving a Fast Track designation does not provide assurance of ultimate FDA licensure. In addition, the FDA may withdraw Fast Track designation if it believes that the designation is no longer supported by data from our clinical development program. In addition, the FDA may withdraw any Fast Track designation at any time.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Changes in methods of product candidate manufacturing or formulation may result in additional costs or delay.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product candidates progress through preclinical to late-stage clinical trials to marketing approval and commercialization, it is common that various aspects of the development program, such as manufacturing methods and formulation, are altered along the way in an effort to optimize yield,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and generate revenue.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obtain marketing approval for any of our product candidates, there is no assurance that our manufacturers will be able to manufacture the approved product to specifications acceptable to the FDA or other comparable foreign regulatory authorities, to produce it in sufficient quantities to meet the requirements for the potential commercial launch of the product or to meet potential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demand. Additionally, if we advance a biological candidate into IND-enabling studies, the manufacturing processes for biological products is more complex and expensive than with small molecule products and additional manufacturing suppliers may be needed to manufacture clinical supplies for these programs. If our manufacturers are unable to produce sufficient quantities for clinical trials or for commercialization, our development and commercialization efforts would be impaired, which would have an adverse effect on our business, financial condition, results of operations and growth prospects.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may not be successful in our efforts to identify or discover additional product candidates in the future.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research programs may initially show promise in identifying potential product candidates, yet fail to yield product candidates for clinical development for a number of reasons, including:</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our inability to design such product candidates with the pharmacological properties that we desire or attractive pharmacokinetics; or</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potential product candidates may, on further study, be shown to have harmful side effects or other characteristics that indicate that they are unlikely to be medicines that will receive marketing approval and achieve market acceptance.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Research programs to identify new product candidates require substantial technical, financial, and human resources. If we are unable to identify suitable compounds for preclinical and clinical development, we will not be able to obtain product revenue in future periods, which likely would result in significant harm to our financial position and adversely impact our stock price.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Due to our limited resources and access to capital, we must make decisions on the allocation of resources to certain programs and product candidates; these decisions may prove to be wrong and may adversely affect our business.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limited financial and human resources and intend to initially focus on research programs and product candidates for a limited set of indications. As a result, we may forgo or delay pursuit of opportunities with other product candidates or for other indications that later prove to have greater commercial potential or a greater likelihood of success. In addition, we seek to accelerate our development timelines, including by initiating certain clinical trials of our product candidates, including our adaptive trial, before earlier-stage studies have been completed. This approach may cause us to commit significant resources to prepare for and conduct later-stage trials for one or more product candidates that subsequently fail earlier-stage clinical testing. Therefore, our resource allocation decisions may cause us to fail to capitalize on viable commercial products or profitable market opportunities or expend resources on product candidates that are not viable.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we will ever be able to identify additional therapeutic opportunities for our product candidates or to develop suitable potential product candidates through internal research programs, which could materially adversely affect our future growth and prospects. We may focus our efforts and resources on potential product candidates or other potential programs that ultimately prove to be unsuccessful.</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If product liability lawsuits are brought against us, we may incur substantial financial or other liabilities and may be required to limit commercialization of our product candidates.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face an inherent risk of product liability as a result of testing bexotegrast and any of our other product candidates in clinical trials and will face an even greater risk if we commercialize any products. For example, we may be sued if our product candidates cause or are perceived to cause injury or are found to be otherwise unsuitable during clinical trials,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inability to bring a product candidate to the market;</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decreased demand for our products;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injury to our reputation;</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withdrawal of clinical trial participants and inability to continue clinical trials;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initiation of investigations by regulators;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fines, injunctions or criminal penalties;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costs to defend the related litigation;</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diversion of management’s time and our resources;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substantial monetary awards to trial participants;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product recalls, withdrawals or labeling, marketing or promotional restrictions;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loss of revenue;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exhaustion of any available insurance and our capital resources;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inability to commercialize any product candidate, if approved;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decline in our share price.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inability to obtain sufficient product liability insurance at an acceptable cost to protect against potential product liability claims could prevent or inhibit the commercialization of products we develop. We will need to obtain additional insurance for clinical trials as bexotegrast and other product candidates continue clinical development and as additional product candidates may enter the clinic. However, we may be unable to obtain, or may obtain on unfavorable terms, clinical trial insurance in amounts adequate to cover any liabilities from any of our clinical trials. Our insurance policies may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face substantial competition, which may result in others discovering, developing, or commercializing products before or more successfully than us.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development and commercialization of new drug products is highly competitive. We may face competition with respect to any product candidates that we seek to develop or commercialize in the future from major biopharmaceutical companies, specialty biopharmaceutical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There are a number of biopharmaceutical and biotechnology companies that are currently pursuing the development of products for the treatment of fibrosis. Companies that we are aware of that are targeting the treatment of various fibrosis indications through inhibiting various parts of the TGF-β pathway include companies with significant financial resources such as AbbVie Inc., AstraZeneca plc, Bristol Myers Squibb Co., Corbus Pharmaceutical, Merck &amp; Co., Inc., Eli Lily &amp; Company Novartis AG, Scholar Rock, Inc., and Takeda Pharmaceutical Company.</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Many of our current or potential competitors, either alone or with their strategic partners, have significantly greater financial resources and expertise in research and development, manufacturing, preclinical testing, conducting clinical trials, obtaining regulatory approvals, and marketing approved products than we do.</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Mergers and acquisitions in the biopharmaceutical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more convenient or less expensive than any products that we may develop. Furthermore, products currently approved for other indications could be discovered to be effective treatments of fibrosis as well, which could give such products significant regulatory and market timing advantages over bexotegrast or other product candidates that we may identify. Our competitors also may obtain FDA or other regulatory approval for their products more rapidly than we may obtain approval for ours, which could result in our competitors establishing a strong market position before we are able to enter the market. Additionally, products or technologies developed by our competitors may render our potential product candidates uneconomical or obsolete and we may not be successful in marketing any product candidates we may develop against competitors. The availability of competitive products could limit the demand, and the price we are able to charge, for any products that we may develop and commercialize.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 xml:space="preserve">The biopharmaceutical industry is subject to extensive regulatory obligations and policies that may be subject to significant and abrupt change, including due to judicial challenges, election cycles, and resulting regulatory updates and changes in policy priorities. </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In June 2024, the U.S. Supreme Court issued an opinion holding that courts reviewing agency action pursuant to the Administrative Procedure Act (APA) “must exercise their independent judgment” and “may not defer to an agency interpretation of the law simply because a statute is ambiguous.” The decision will have a significant impact on how lower courts evaluate challenges to agency interpretations of law, including those by the FDA, HHS, CMS and other agencies with significant oversight of the biopharmaceutical industry.</w:t>
      </w:r>
      <w:r>
        <w:rPr>
          <w:color w:val="000000"/>
        </w:rPr>
        <w:t xml:space="preserve"> </w:t>
      </w:r>
      <w:r>
        <w:rPr>
          <w:rFonts w:ascii="Times New Roman;sans-serif" w:hAnsi="Times New Roman;sans-serif"/>
          <w:b w:val="false"/>
          <w:color w:val="000000"/>
          <w:sz w:val="20"/>
        </w:rPr>
        <w:t>The new framework is likely to increase both the frequency of such challenges and their odds of success by eliminating one way in which the government previously prevailed in such cases. As a result, significant regulatory policies will be subject to increased litigation and judicial scrutiny.</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In addition, federal agency priorities, leadership, policies, rulemaking, communications, spending, and staffing may be significantly impacted by election cycles. For example, the current U.S. presidential administration has committed to significantly reduce government spending through cuts to federal healthcare programs and reductions in the workforces of key government agencies, such as HHS, FDA, and CMS.</w:t>
      </w:r>
      <w:r>
        <w:rPr>
          <w:color w:val="000000"/>
        </w:rPr>
        <w:t xml:space="preserve"> </w:t>
      </w:r>
      <w:r>
        <w:rPr>
          <w:rFonts w:ascii="Times New Roman;sans-serif" w:hAnsi="Times New Roman;sans-serif"/>
          <w:b w:val="false"/>
          <w:color w:val="000000"/>
          <w:sz w:val="20"/>
        </w:rPr>
        <w:t>Efforts by the current administration to limit federal agency budgets or personnel may result in reductions to agency budgets, employees, and operations, which may lead to slower response times and longer review periods, potentially affecting our ability to progress development of our product candidates or obtain regulatory approval for our product candidates.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Risks Related to Marketing, Reimbursement, Healthcare Regulations and Ongoing Regulatory Compliance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Even if a product candidate we develop receives marketing approval, it may fail to achieve the degree of market acceptance by physicians, patients, third-party payors and others in the medical community necessary for commercial success.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Even if bexotegrast or any other product candidate we develop receives marketing approval, it may nonetheless fail to gain sufficient market acceptance by physicians, patients and third-party payors. In addition, the availability of coverage by third-party payors may be affected by existing and future healthcare reform measures designed to reduce the cost of health care. If the product candidates we develop do not achieve an adequate level of acceptance, we may not generate significant product revenues and we may not become profitable.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degree of market acceptance of any product candidate, if approved for commercial sale, will depend on a number of factors, including:</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efficacy and potential advantages compared to alternative treatments;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ability to offer our products, if approved, for sale at competitive prices;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convenience and ease of administration compared to alternative treatments;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willingness of the target patient population to try new therapies and of physicians to prescribe these therapies;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recommendations with respect to our product candidates in guidelines published by various scientific organizations applicable to us and our product candidates;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positive HTA assessment in jurisdictions where required;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strength of marketing and distribution support;</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ability to obtain sufficient third-party coverage and adequate reimbursement and a positive recommendation by health technology bodies;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prevalence and severity of any side effects.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government and other third-party payors do not provide coverage and adequate reimbursement levels for any products we commercialize, market acceptance and commercial success would be reduced.</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Coverage and reimbursement may be limited or unavailable or pricing unfavorable in certain market segments for our product candidates, if approved, which could make it difficult for us to sell any product candidates profitably.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Significant uncertainty exists as to the coverage and reimbursement status of any products for which we may obtain regulatory approval. In the United States, sales of any products for which we may receive regulatory marketing approval will depend, in part, on the availability of coverage and adequacy of reimbursement from third-party payors. Third-party payors include government authorities such as Medicare, Medicaid, TRICARE, and the Veterans Administration, managed care providers, private health insurers, and other organizations. Patients who are provided medical treatment for their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conditions generally rely on third-party payors to reimburse all or part of the costs associated with their treatment. Coverage and adequate reimbursement from governmental healthcare programs, such as Medicare and Medicaid, and commercial payors are critical to new product acceptance. Patients are unlikely to use our product candidates unless coverage is provided, and reimbursement is adequate to cover a significant portion of the cost. We cannot be sure that coverage and adequate reimbursement will be available for any product that we may develop and, if reimbursement is available, what the level of reimbursement will be.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Government authorities and other third-party payors decide which drugs and treatments they will cover and the amount of reimbursement. Coverage and reimbursement by a third-party payor may depend upon a number of factors, including the third-party payor’s determination that use of a product is: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 covered benefit under its health plan;</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safe, effective and medically necessary;</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appropriate for the specific patient;</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cost-effective;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neither experimental nor investigational.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United States as well as foreign jurisdictions, no uniform policy of coverage and reimbursement for products exists among third-party payors.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Coverage and reimbursement for products may vary depending on the payor, the insurance plan, and other factors.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on a payor-by-payor basis, with no assurance that coverage and adequate reimbursement will be obtained. Even if we obtain coverage for a given product, the resulting reimbursement payment rates might not be adequate for us to achieve or sustain profitability or may require co-payments that patients find unacceptably high. Additionally, third-party payors may not cover, or provide adequate reimbursement for, long-term follow-up evaluations required following the use of product candidates, once approved. It is difficult to predict at this time what third-party payors will decide with respect to the coverage and reimbursement for our product candidates, if approved.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 primary trend in the United States and European health care industries is toward cost containment, as legislative bodies, government authorities, third-party payors, and others have attempted to control costs by limiting coverage, pricing and the amount of reimbursement available for certain treatments. Such third-party payors, including Medicare, may question the coverage of, and challenge or seek to lower the prices charged for medical products, and many third-party payors limit coverage and reimbursement for newly approved health care products. Moreover, reimbursement, if available,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or by future laws, regulations, or guidance seeking to limit prescription drug prices. If we are unable to promptly obtain coverage and adequate reimbursement rates from both government-funded and private payors for any approved products that we develop, or if net prices are reduced by mandatory discounts or rebates, there could be a material adverse effect on our operating results, our ability to raise capital needed to commercialize products and our overall financial condition.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to current healthcare laws and state and federal healthcare reform measures that may be adopted in the future that impact coverage and reimbursement for drug or biologic products may result in additional payment reductions in Medicare and other healthcare funding and otherwise affect the prices we may obtain for any product candidates for which we may obtain regulatory approval or the frequency with which any such product candidate is prescribed or used. For additional details regarding healthcare reform measures, see the discussion in the risk factor under the heading “Ongoing healthcare legislative and regulatory reform measures may have a material adverse effect on our business and results of operations.” </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Even if we obtain FDA approval of any of our product candidates, we may never obtain approval or commercialize such products outside of the United States, which would limit our ability to realize their full market potential.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market any products outside of the United States, we must establish and comply with numerous and varying regulatory requirements of other countries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our ability to realize the full market potential of our products will be harmed.</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currently have no marketing and sales organization and have no experience as a company in commercializing products, and we may have to invest significant resources to develop these capabilities. If we are unable to establish marketing and sales capabilities or enter into agreements with third parties to market and sell our products, we may not be able to generate product revenue.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no internal sales, marketing, or distribution capabilities, nor have we commercialized a product. If any of our product candidates ultimately receives regulatory approval, we expect to establish a marketing and sales organization with technical expertise and supporting distribution capabilities to commercialize each such product in major markets, which will be expensive and time consuming. We have no prior experience as a company in the marketing, sale and distribution of 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products. We may also choose to collaborate with third parties that have direct sales forces and established distribution systems, either to augment our own sales force and distribution systems or in lieu of our own sales force and distribution systems. We may not be able to enter into collaborations or hire consultants or external service providers to assist us in sales, marketing and distribution functions on acceptable financial terms, or at all. In addition, our product revenues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relationships with healthcare providers, physicians, third-party payors, and other potential referral sources will be subject to applicable anti-kickback, fraud and abuse and other healthcare laws and regulations, which could expose us to criminal sanctions, civil penalties, contractual damages, reputational harm and diminished profits and future earnings.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Healthcare providers, physicians, third-party payors, and other potential referral sources in the United States and elsewhere play a primary role in the distribution, recommendation and prescription of biopharmaceutical products. Arrangements with third-party payors and customers can expose biopharmaceutical manufacturers to broadly applicable fraud and abuse and other healthcare laws and regulations, as detailed in Part I, Item 1 - Business - Government Regulation - Other Healthcare Laws of this Report. In particular, the research of our product candidates, as well as the promotion, sales and marketing of healthcare items and services, and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remuneration provided to health care professionals and their affiliates, charitable donations, interactions with entities excluded from participation in government healthcare programs, and other business arrangements generally. Activities subject to these laws also involve the improper use of information obtained in the course of patient recruitment for clinical trials.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distribution of biopharmaceutical products is subject to additional requirements and regulations, including extensive record-keeping, licensing, storage and security requirements intended to prevent the unauthorized sale of biopharmaceutical products.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scope and enforcement of each of these laws is uncertain and subject to rapid change in the current environment. Ensuring business arrangements comply with applicable healthcare laws can be time- and resource-consuming.</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rights, those actions could have a significant impact on our business, including the imposition of significant civil, criminal and administrative penalties, damages, fines, disgorgement, imprisonment, reputational harm,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Further, if any of the physicians or other healthcare providers or entities with whom we expect to do business is found to be not in compliance with applicable laws, they may be subject to significant criminal, civil or administrative sanctions, including exclusions from government funded healthcare programs. Any action for violation of these laws, even if successfully defended, could cause a biopharmaceutical manufacturer to incur significant legal expenses and divert management’s attention from the operation of the business. Prohibitions or restrictions on sales or withdrawal of future marketed products could materially affect business in an adverse way.</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Even if we receive regulatory approval of any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any of our product candidates are approved, they will be subject to ongoing regulatory requirements for manufacturing, labeling, packaging, storage, advertising, promotion, sampling, record-keeping, conduct of post-marketing studies, pharmacovigilance, and submission of safety, efficacy and other post-market information, including both federal and state requirements in the United States and requirements of comparable foreign regulatory authorities. In addition, we will be subject to continued compliance with current Good Manufacturing Practice, or cGMP, and GCP requirements for any clinical trials that we conduct post-approval.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Manufacturers and their facilities are required to comply with extensive FDA and comparable foreign regulatory authority requirements, including ensuring that quality control and manufacturing procedures conform to cGMP regulations. As such, we and our contract manufacturers will be subject to continual review and inspections to assess compliance with cGMP and adherence to commitments made in any marketing application, and previous responses to inspection observations. Accordingly, we and others with whom we work must continue to expend time, money, and effort in all areas of regulatory compliance, including manufacturing, production and quality control.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The FDA may also require a risk evaluation and mitigation strategies, or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we will have to comply with requirements including submissions of safety and other post-marketing information and reports and registration.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FDA or any other foreign regulatory authority may impose consent decrees or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restrictions on the marketing or manufacturing of our products, withdrawal of the product from the market or voluntary or mandatory product recalls;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fines, warning letters or holds on clinical trials;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refusal by the FDA to approve pending applications or supplements to approved applications filed by us or suspension or revocation of license approvals;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voluntary or mandatory product recalls and related publicity requirements;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total or partial suspension of production;</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product seizure or detention or refusal to permit the import or export of our product candidates;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injunctions or the imposition of civil or criminal penalties.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FDA strictly regulates marketing, labeling, advertising, and promotion of products that are placed on the market. Products may be promoted only for the approved indications and in accordance with the provisions of the approved label. However, companies may share truthful and not misleading information that is not inconsistent with the labeling. The FDA and other agencies actively enforce the laws and regulations prohibiting the promotion of off-label uses and a company that is found to have improperly promoted off-label uses may be subject to significant liability. The policies of the FDA and of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Ongoing healthcare legislative and regulatory reform measures may have a material adverse effect on our business and results of operations.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the United States and other jurisdictions, there have been, and we expect there will continue to be, a number of legislative and regulatory changes and proposed changes to the healthcare system that could affect our ability to profitably sell any product candidates for which we obtain marketing approval or licensure. Changes in regulations, statutes or the interpretation of existing regulations governing the regulatory approval or licensure, manufacture, and marketing of regulated products or the pricing, coverage and reimbursement thereof could impact our business in the future by resulting in, for example: (i) changes to our manufacturing arrangements; (ii) additions or modifications to product labeling; (iii) the recall or discontinuation of our products; (iv) more rigorous coverage criteria or additional downward pressure on the price that we receive for product candidates for which we obtain marketing approval; or (v) additional record-keeping requirements. If any such changes were to be imposed, they could adversely affect the operation of our business.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the United States, there have been and continue to be a number of legislative initiatives to contain healthcare costs, as detailed in Part I, Item 1 – Business – Government Regulation – Current and Future Healthcare Reform Legislation of this Report. For example, in August 2022, President Biden signed into law the Inflation Reduction Act, or IRA, which implements substantial changes to the Medicare program, including drug pricing reforms and changes to the Medicare Part D benefit design.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Among other reforms, the IRA imposes inflation rebates on drug manufacturers for products reimbursed under Medicare Parts B and D if the prices of those products increase faster than inflation; implements changes to the Medicare Part D benefit that, beginning in 2025, will cap patient annual out-of-pocket spending at $2,000, while imposing new discount obligations for pharmaceutical manufacturers and payors; and, beginning in 2026, establishes a “maximum fair price” for a fixed number of high spend pharmaceutical and biological products that are selected by CMS and covered under Medicare Parts B and D following a price negotiation process with the agency. For a drug product to be considered a qualifying single source drug that may be selected by CMS for price negotiation under the “maximum fair price” program, at least seven years must have elapsed since the biological product was licensed by the FDA. For a biological product to be considered a qualifying single source drug that may be selected by CMS for price negotiation, at least eleven years must have elapsed since the biological product was licensed by the FDA.</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IRA explicitly excludes from price negotiation orphan drugs designated for only one rare disease or condition and for which the only active approved indication is for such disease or condition. Those drugs with multiple orphan designations are not excluded from drug price negotiation. As we are developing bexotegrast in multiple orphan indications and may seek obtain orphan drug designation for other product candidates, this aspect of the IRA could have a negative impact on our ability to rely on the orphan drug exclusion to the "maximum fair price".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Since its enactment, CMS, has taken steps to implement various drug pricing provisions of the IRA. This includes, without limitation, releasing the negotiated maximum prices, which will be effective in 2026, for the first ten drugs that were subject to the IRA’s negotiation process, releasing quarterly lists of Medicare Part B products that are subject to adjusted coinsurance rates based on the inflationary rebate provisions of the IRA, and announcing a list of 15 additional drugs that will be subject to price negotiations during 2025. While it remains to be seen how the drug pricing provisions imposed by the IRA will affect the broader pharmaceutical industry (including orphan drug or small molecule development), several pharmaceutical manufacturers and other industry stakeholders have challenged the law, including through lawsuits brought against the U.S. Department of Health and Human Services (HHS), the Secretary of HHS, CMS, and the CMS Administrator challenging the constitutionality and administrative implementation of the IRA’s drug price negotiation provisions. We cannot predict whether the IRA, or any of its component parts, will be overturned, repealed, replaced, or amended nor can we predict the likelihood, nature, or extent of other health reform initiatives that may arise from future legislation, administrative, or other action. However, we expect these initiatives to increase pressure on drug pricing. Further, certain broader legislation that is not targeted to the healthcare industry may nonetheless adversely affect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profitability. Moreover, the healthcare regulatory landscape can also be affected by election cycles and any resulting changes in healthcare policy priorities.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employees and stop critical activities. If a prolonged government shutdown occurs, or if global health concerns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Drug marketing and reimbursement regulations may materially affect our ability to market and secure reimbursement for our products.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intend to seek approval to market our product candidates in both the United States and in selected foreign jurisdictions. If we obtain approval in one or more foreign jurisdictions for our product candidates, we will be subject to rules and regulations in those jurisdictions. In some foreign countries, particularly those in the EU, the pricing of drugs is subject to governmental control and other market regulations which could put pressure on the pricing and usage of our product candidates. As of January 2025, Regulation No 2021/2282 on Health Technology Assessment (HTA Regulation) is applicable in the EU. The HTA Regulation intends to foster cooperation among EU member states in assessing health technologies and provide the basis for cooperation at EU level for joint clinical assessments. In these countries, pricing negotiations with governmental authorities can take considerable time after obtaining marketing approval of a product candidate. Furthermore, in many European countries (including the U.K.), effective access to the market depends on whether the product obtains a positive recommendation from the relevant health technology assessment body. In addition, market acceptance and sales of our product candidates will depend significantly on the availability of adequate coverage and reimbursement from third-party payors for our product candidates and may be affected by existing and future health care reform measures.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Much like the federal Anti-Kickback Statute prohibition in the United States, the provision of benefits or advantages to induce or reward improper performance generally to induce or encourage the prescription, recommendation, endorsement, purchase, supply, order or use of medicinal products is also prohibited in the EU. The provision of benefits or advantages to induce or reward improper performance generally is governed by the national anti-bribery laws of EU Member States, and in respect of the U.K. (which is no longer a member of the EU), the Bribery Act 2010. Infringement of these laws could result in substantial fines and imprisonment. EU Directive 2001/83/EC, which is the EU Directive governing medicinal products for human use, further provides that, where medicinal products are being promoted to persons qualified to prescribe, recommend, use, procure or supply them, no gifts, pecuniary advantages or benefits in kind may be supplied, offered or promised to such persons unless they are inexpensive and relevant to the practice of medicine or pharmacy. This provision has been transposed into the Human Medicines Regulations 2012 and so remains applicable in the U.K. despite its departure from the EU.</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Payments made to physicians in certain EU Member States and more generally throughout Europe (including the U.K.) and other countries must be publicly disclosed under applicable transparency provisions.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comply with these requirements could result in reputational risk, public reprimands, administrative penalties, fines or imprisonment.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in most foreign countries, including those within the EEA, the proposed pricing for a drug must be approved before it may be lawfully marketed. The requirements governing drug pricing and reimbursement are the prerogative of the Member States and vary widely from country to country. For example, the EU provides options for its Member States to restrict the range of medicinal products for which their national health insurance systems provide reimbursement and to control the prices of medicinal products for human use. Reference pricing used by various EU Member States and parallel distribution, or arbitrage between low-priced and high-priced member states, can further reduce prices. A member state may approve a specific price for the medicinal product, or it may instead adopt a system of direct or indirect controls on the profitability of the company placing the medicinal product on the market. In some countries, we may be required to conduct a clinical study or other studies that compare the cost-effectiveness of any of our product candidates to other available therapies in order to obtain or maintain reimbursement or pricing approval. There can be no assurance that any country that has price controls or reimbursement limitations for biopharmaceutical products will allow or maintain favorable reimbursement and pricing arrangements for any of our products. Historically, products launched in the EU do not follow price structures of the United States and generally prices tend to be significantly lower. Publication of discounts by third-party payors or authorities may lead to further pressure on the prices or reimbursement levels within the country of publication and other countries. If pricing is set at unsatisfactory levels or if reimbursement of our products is unavailable or limited in scope or amount, our revenues from sales and the potential profitability of any of our product candidates in those countries would be negatively affected.</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Additional laws and regulations governing international operations could negatively impact or restrict our operations.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we expand our operations outside of the United States, we must dedicate additional resources to comply with numerous laws and regulations in each jurisdiction in which we plan to operate. The U.S. Foreign Corrupt Practices Act, or the FCPA, prohibits any U.S. individual or business entity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Compliance with the FCPA is expensive and difficult, particularly in countries in which corruption is a recognized problem. In addition, the FCPA presents particular challenges in the biopharmaceutical industry, because, in many countries, hospitals are operated by the government, and doctors and other hospital employees are considered foreign officials. Certain payments to hospitals and healthcare providers in connection with clinical trials and other work have been deemed to be improper payments to government officials and have led to FCPA enforcement actions.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Various laws, regulations and executive orders also restrict the use and dissemination outside of the United States, or the sharing with certain non-U.S. nationals, of information products classified for national security purposes, as well as certain products, technology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are subject to certain U.S. and foreign anti-corruption, anti-money laundering, export control, sanctions, and other trade laws and regulations. We can face serious consequences for violations.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Among other matters, U.S. and foreign anti-corruption, anti-money laundering, export control, sanctions, and other trade laws and regulations, which are collectively referred to as Trade Laws, prohibit companies and their employees, agents, contract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Intellectual Property</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success depends in part on our ability to protect our intellectual property. It is difficult and costly to protect our proprietary rights and technology, and we may not be able to ensure their protection.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will depend in large part on obtaining and maintaining patent, IP regulatory rights (such as data exclusivity, marketing exclusivity and patent extensions) trademark and trade secret protection of our proprietary technologies and our product candidates, their respective components, synthetic intermediates, formulations, combination therapies, methods used to manufacture them and methods of treatment, as well as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that cover these activities and whether a court would issue an injunctive remedy.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patenting process is expensive and time-consuming, and we may not be able to file and prosecute all necessary or desirable patent applications at a reasonable cost or in a timely manner. In addition, we may not pursue, obtain, or maintain patent protection in all relevant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strength of patents in the biotechnology and biopharmaceutical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do successfully issue, third parties may challenge the validity, enforceability, or scope thereof, which may result in such patents being narrowed, invalidated, or held unenforceable. Furthermore, even if they are unchallenged, our patents and patent applications may not adequately protect our technology, including our product candidates, or prevent others from designing around our claims. If the breadth or strength of protection provided by the patent applications, we hold with respect to our product candidates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cannot be certain that we were the first to file any patent application related to our technology, including our product candidates, and, if we were not, we may be precluded from obtaining patent protection for our technology, including our product candidates.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cannot be certain that we were the first to invent the inventions covered by pending patent applications and, if we are not, we may be subject to priority disputes. Furthermore, for United States applications in which all claims are entitled to a priority date before March 16, 2013, an interference proceeding can be provoked by a third-party or instituted by the United States Patent and Trademark Office, or USPTO, to determine who was the first to invent any of the subject matter covered by the patent claims of our applications. Similarly, for United States applications in which at least one claim is not entitled to a priority date before March 16, 2013, derivation proceedings can be instituted to determine whether the subject matter of a patent claim was derived from a prior inventor’s disclosure.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be required to disclaim part or all of the term of certain patents or all of the term of certain patent applications. There may be prior art of which we are not aware that may affect the validity or enforceability of a patent or patent application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would adequately protect our product candidates, or would be found by a court to be infringed by a competitor’s technology or product. We may analyze patents or patent applications of our competitors that we believe are relevant to our activities and consider that we are free to operate in relation to our product candidates, but our competitors may obtain issued claims, including in patents we consider to be unrelated, which block our efforts or may potentially result in our product candidates or our activities infringing such claims. The possibility exists that others will develop products which have the same effect as our products on an independent basis which do not infringe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 or other intellectual property rights or will design around the claims of patents that may issue that cover our products.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Recent or future patent reform legislation could increase the uncertainties and costs surrounding the prosecution of our patent applications and the enforcement or defense of our issued patents. Under the Leahy-Smith America Invents Act, or America Invents Act, enacted in 2013, the United States moved from a “first to 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degree of future protection for our proprietary rights is uncertain because legal means afford only limited protection and may not adequately protect our rights or permit us to gain or keep our competitive advantage. For example: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others may be able to make or use compounds that are similar to the compositions of our product candidates but that are not covered by the claims of our patents or those of our licensors;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we or our licensors, as the case may be, may fail to meet our obligations to the U.S. government in regards to any in-licensed patents and patent applications funded by U.S. government grants, leading to the loss of patent rights;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we or our licensors, as the case may be, might not have been the first to file patent applications for these inventions;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others may independently develop similar or alternative technologies or duplicate any of our technologies;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it is possible that our pending patent applications will not result in issued patents;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we may not be able to extend the patent term in some jurisdictions;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it is possible that there are prior public disclosures that could invalidate our or our licensors’ patents, as the case may be, or parts of our or their patents;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it is possible that others may circumvent our owned or in-licensed patents or regulatory intellectual property rights such as our data protection, orphan market exclusivity and others;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it is possible that there are unpublished applications or patent applications maintained in secrecy that may later issue with claims covering our products or technology similar to ours;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laws of foreign countries may not protect our or our licensors’, as the case may be, proprietary rights to the same extent as the laws of the United States;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claims of our owned or in-licensed issued patents or patent applications, if and when issued, may not cover our product candidates;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our owned or in-licensed issued patents may not provide us with any competitive advantages, may be narrowed in scope, or be held invalid or unenforceable as a result of legal challenges by third parties;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inventors of our owned or in-licensed patents or patent applications may become involved with competitors, develop products or processes which design around our patents, or become hostile to us or the patents or patent applications on which they are named as inventors;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we have engaged in scientific collaborations in the past and will continue to do so in the future. Such collaborators may develop adjacent or competing products to ours that are outside the scope of our patents;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we may not develop additional proprietary technologies for which we can obtain patent protection;</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it is possible that product candidates or diagnostic tests we develop may be covered by third parties’ patents or other exclusive rights; 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patents of others may have an adverse effect on our business.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may enter into license or other collaboration agreements that may impose certain obligations on us. If we fail to comply with our obligations under such agreements with third parties, we could lose license rights that may be important to our future business.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our efforts to expand our pipeline of product candidates, we may enter into certain licenses or other collaboration agreements pertaining to the in-license of rights to additional candidates. Such agreements may impose various diligence, milestone payment, royalty, insurance, or other obligations on us, subject to antitrust law restrictions. If we fail to comply with these obligations, our licensor or collaboration partners may have the right to terminate the relevant agreement, in which event we would not be able to develop or market the products covered by such licensed intellectual property.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Moreover, disputes may arise regarding intellectual property subject to a licensing agreement, including:</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scope of rights granted under the license agreement and other interpretation-related issues;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extent to which our product candidates, technology and processes infringe on intellectual property of the licensor that is not subject to the licensing agreement;</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sublicensing of patent and other rights under our collaborative development relationships;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our diligence obligations under the license agreement and what activities satisfy those diligence obligations;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inventorship and ownership of inventions and know-how resulting from the joint creation or use of intellectual property by our licensors and us and our partners;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priority of invention of patented technology.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may have limited control over the maintenance and prosecution of these in-licensed patents and patent applications, or any other intellectual property that may be related to our in-licensed intellectual property. For example, we cannot be certain that such activities by any future licensors have been or will be conducted in compliance with applicable laws and regulations or will result in valid and enforceable patents and other intellectual property rights. We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them ourselves.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If we are unable to protect the confidentiality of our trade secrets, our business and competitive position would be harmed.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patent protection, we rely heavily upon know-how and trade secret protection, as well as non-disclosure agreements and invention assignment agreements with our employees, consultants and third parties, to protect our confidential and proprietary information, especially where we do not believe patent protection is appropriate or obtainable. In addition to contractual measures, we try to protect the confidential nature of our proprietary information using physical and technological security measures. Such measures may not, for example, in the case of misappropriation of a trade secret by an employee or third-party with authorized access, provide adequate protection for our proprietary information. Our security measures may not prevent an employee or consultant from misappropriating our trade secrets and providing them to a competitor, and recourse we take against such misconduct may not provide an adequate remedy to protect our interests fully. 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For example, our clinical development strategy includes the testing of live tissue samples, and our techniques for preserving and testing these samples are proprietary and confidential. If one or more third parties obtain or are otherwise able to replicate these techniques, an important feature and differentiator of our clinical development strategy will become available to potential competitors. If any of our confidential or proprietary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such as our trade secrets, were to be disclosed or misappropriated, or if any such information was independently developed by a competitor, our competitive position could be harmed.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courts outside the United States are sometimes less willing to protect trade secrets. If we choose to go to court to stop a third 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by or made known to the individual or entity during the course of the party’s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addition, we take other appropriate precautions, such as physical and technological security measures, to guard against misappropriation of our proprietary technology by third parties. We have also adopted policies and conduct training that provides guidance on our expectations, and our advice for best practices, in protecting our trade secrets.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Third-party claims of intellectual property infringement may prevent or delay our product discovery and development efforts.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commercial success depends in part on our ability to develop, manufacture, market and sell our product candidates and use our proprietary technologies without infringing the proprietary rights of third parties. There is a substantial amount of litigation involving patents and other intellectual property rights in the biotechnology and biopharmaceutical industries, as well as administrative proceedings for challenging patents, including interference, derivation, inter partes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their intellectual property rights. Numerous U.S. and foreign issued patents and pending patent applications, which are owned by third parties, exist in the fields in which we are developing our product candidates. As the biotechnology and biopharmaceutical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a third party claims that we infringe its intellectual property rights, we may face a number of issues, including, but not limited to:</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infringement and other intellectual property claims which, regardless of merit, may be expensive and time-consuming to litigate and may divert our management’s attention from our core business;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substantial damages for infringement, which we may have to pay if a court decides that the product candidate or technology at issue infringes on or violates the third party’s rights, and, if the court finds that the infringement was willful, we could be ordered to pay treble damages and the patent owner’s attorneys’ fees;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 court prohibiting us from developing, manufacturing, marketing or selling our product candidates, or from using our proprietary technologies, unless the third party licenses its product rights to us, which it is not required to do;</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if a license is available from a third party, we may have to pay substantial royalties, upfront fees and other amounts, and/or grant cross-licenses to intellectual property rights for our products and any license that is available may be non-exclusive, which could result in our competitors gaining access to the same intellectual property;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redesigning our product candidates or processes so they do not infringe, which may not be possible or may require substantial monetary expenditures and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Furthermore, because of the substantial amount of discovery required in connection with intellectual property litigation or administrative proceedings, there is a risk that some of our confidential information could be compromised by disclosure.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collaborators may assert ownership or commercial rights to inventions they develop from research we support or that we develop from our use of the tissue samples or other biological materials, which they provide to us, or otherwise arising from the collaboration.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collaborate with several institutions, universities, medical centers, physicians, and researchers in scientific matters and expect to continue to enter into additional collaboration agreements. In certain cases, we do not have written agreements with these collaborators, or the written agreements we have do not cover intellectual property rights. Also, we rely on numerous third parties to provide us with tissue samples and biological materials that we use to conduct our research activities and develop our product candidates. If we cannot successfully negotiate sufficient ownership and commercial rights to any inventions that result from our use of a third-party collaborator’s materials, or if disputes arise with respect to the intellectual property developed with the use of a collaborator’s samples, or data developed in a collaborator’s study, we may be limited in our ability to capitalize on the market potential of these inventions or developments.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Third parties may assert that we are employing their proprietary technology without authorization.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There may be third-party patents of which we are currently unaware with claims to compositions of matter, materials, formulations, methods of manufacture or methods for treatment that encompass the composition, use or manufacture of our product candidates. There may be currently pending patent applications of which we are currently unaware which may later result in issued patents that our product candidates or their use or manufacture may infringe. In addition, third parties may obtain patents in the future and claim that use of our technologies infringes upon these patents. If any third-party patent were held by a court of competent jurisdiction to cover our product candidates, intermediates used in the manufacture of our product candidates or our materials generally, aspects of our formulations or methods of use,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Third parties may assert that our employees or consultants have wrongfully used or disclosed confidential information or misappropriated trade secrets.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is common in the biotechnology and biopharmaceutical industries, we employ individuals who were previously employed at universities or other biotechnology or biopharmaceutical companies, including our competitors or potential competitors. Although no claims against us are currently pending, and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Litigation may be necessary to defend against these claims. If we fail in defending any such claims, in addition to paying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may not be successful in obtaining or maintaining necessary rights to develop any future product candidates on acceptable terms.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Because our programs may involve additional product candidates that may require the use of proprietary rights held by third parties, the growth of our business may depend in part on our ability to acquire, in-license or use these proprietary rights.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product candidates may also require specific formulations to work effectively and efficiently, and these rights may be held by others. We may develop products containing our compounds and pre-existing biopharmaceutical compounds.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may be involved in lawsuits to protect or enforce our patents or the patents of our licensors, which could be expensive, time-consuming and unsuccessful.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Competitors may infringe our patents or the patents of our current or future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or for other reasons.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choose to challenge the patentability of claims in a third party’s U.S. patent by requesting that the USPTO review the patent claims in an ex-parte re-examination, inter partes review or post-grant review proceedings.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proceedings are expensive and may consume our time or other resources. We may choose to challenge a third party’s patent in patent opposition proceedings in the European Patent Office, or EPO, or other foreign patent office.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product candidates or proprietary technologies.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our products or technology similar to ours. Any such patent application may have priority over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or derivation proceeding declared by the USPTO to determine priority of invention in the United States. If we or one of our licensors is a party to an interference or derivation proceeding involving a U.S. patent application on inventions owned by or in-licensed to us, we may incur substantial costs, divert management’s time and expend other resources, even if we are successful.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Litigation or interference proceedings may result in a decision adverse to our interests and, even if we are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certain circumstances, even inadvertent noncompliance events may permanently and irrevocably jeopardize patent rights. In such an event, our competitors might be able to enter the market, which would have a material adverse effect on our business.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Any patents covering our product candidates could be found invalid or unenforceable if challenged in court or the USPTO (or foreign patent offices).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we or one of our licensors initiate legal proceedings against a third 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 party can assert invalidity or unenforceability of a patent. Third parties may also raise similar claims before administrative bodies in the United States or abroad, even outside the context of litigation. Such mechanisms include re-examination, inter partes review, post grant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Such a loss of patent protection could have a material adverse impact on our business and our ability to commercialize or license our technology and product candidates.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earliest patents may expire before, or soon after, our first product achieves marketing approval in the United States or foreign jurisdictions. Upon the expiration of our current patents, we may lose the right to exclude others from practicing these inventions. The expiration of these patents could also have a similar material adverse effect on our business, results of operations, financial condition and prospects. We own pending patent applications covering our proprietary technologies or our product candidates that if issued as patents are expected to expire from 2037 through 2045, without taking into account any possible patent term adjustments or extensions. However, we cannot be assured that the USPTO, EPO or other relevant foreign patent offices will grant any of these patent applications.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Changes in patent law in the U.S. and in foreign jurisdictions could diminish the value of patents in general, thereby impairing our ability to protect our products.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16, 2013, in the United States, the first to invent the claimed invention was entitled to the patent, while outside the United States, the first to file a patent application was entitled to the patent. On March 16, 2013, under the America Invents Act, enacted in September 2011, the United States transitioned to a first inventor to file system. A third party that files a patent application in the USPTO on or after March 16, 2013, but before us could therefore be awarded a patent covering an invention of ours even if we had made the invention before it was made by such third party. This will require us to be cognizant of the time from invention to filing of a patent application. Since patent applications in the United States and most other countries are confidential for a period of time after filing or until issuance, we cannot be certain that we or our licensors were the first to either (i) file any patent application related to our product candidates or (ii) invent any of the inventions claimed in our or our licensor’s patents or patent applications.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America Invents Act also includes a number of significant changes that affect the way patent applications will be prosecuted and also may affect patent litigation. These include allowing third party submission of prior art to the USPTO during patent prosecution and additional procedures to attack the validity of a patent by USPTO administered post-grant proceedings, including post-grant review, inter-partes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Therefore, the America Invents Act and its implementation could increase the uncertainties and costs surrounding the prosecution of our owned or in-licensed patent applications and the enforcement or defense of our owned or in-licensed issued patents, all of which could have a material adverse effect on our business, financial condition, results of operations, and prospects.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patent positions of companies in the development and commercialization of biopharmaceuticals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the USPTO, and courts or legislative bodies in foreign jurisdictions, the laws and regulations governing patents could change in unpredictable ways that could have a material adverse effect on our existing patent portfolio and our ability to protect and enforce our intellectual property in the future.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have limited foreign intellectual property rights and may not be able to protect our intellectual property rights throughout the world.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and may require a compulsory license to,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Patent terms may be inadequate to protect our competitive position on our product candidates for an adequate amount of time.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Patents have a limited lifespan. In the United States, if all maintenance fees are timely paid, the natural expiration of a patent is generally 20 years from its earliest U.S. non-provisional filing date. Various extensions such as patent term adjustments and/or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the EU level, the CJEU, has recently narrowed the availability of patent term extension for second medical use therefore affecting the scope of patent protection available. </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If we do not obtain patent term extension, data exclusivity and orphan exclusivity for any product candidates we may develop, our business may be materially harmed.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Depending upon the timing, duration, and specifics of any FDA or foreign marketing approval of any product candidates we may develop, one or more of our U.S. patents may be eligible for limited patent term extension under the Drug Price Competition and Patent Term Restoration Action of 1984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In addition, within the EU, regulatory protections afforded to medicinal products such as data exclusivity, marketing protection, market exclusivity for orphan indications and pediatric extensions are currently under review and is likely to be curtailed in future years. On April 26, 2023, the European Commission adopted a proposal for a new Regulation set to replace Regulation (EC) No 726/2004 and a new Directive replacing Directive 2001/83 on the Community Code relating to medicinal products for human use. If made into law, this proposal will revise and replace the existing general pharmaceutical legislation and will affect the existing period of regulatory protection afforded to medicinal products in the European Union and Northern Ireland. If we are unable to obtain patent term extension or the term of any such extension is less than we request, or if data exclusivity or other regulatory protections are reduced, our competitors may obtain approval of competing products following our patent expiration, and our business, financial condition, results of operations, and prospects could be materially harmed. It should be noted that the European Commission’s new proposed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legislation, if implemented, will also affect the current EU legal framework of pediatric medicines as well as the framework applicable to patent term extension, also called Supplementary Protection Certificates (SPCs).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If our trademarks and trade names are not adequately protected, then we may not be able to build name recognition in our markets of interest and our business may be adversely affected.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If we are unable to establish name recognition based on our trademarks and trade names, we may not be able to compete effectively, and our business may be adversely affected.</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Intellectual property rights do not necessarily address all potential threats to our competitive advantage.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others may be able to make drug candidates that are similar to ours but that are not covered by the claims of the patents that we own or have exclusively licensed;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we or our licensors or future collaborators might not have been the first to make the inventions covered by the issued patent or pending patent application that we own or have exclusively licensed;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we or our licensors or future collaborators might not have been the first to file patent applications covering certain of our inventions;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others may independently develop similar or alternative technologies or duplicate any of our technologies without infringing our intellectual property rights;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it is possible that our pending patent applications will not lead to issued patents;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issued patents that we own or have exclusively licensed may be held invalid or unenforceable, as a result of legal challenges by our competitors;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we may not develop additional proprietary technologies that are patentable;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we cannot predict the scope of protection of any patent issuing based on our patent applications, including whether the patent applications that we own or in-license will result in issued patents with claims that cover our drug candidates, drug products or uses thereof in the United States or in other foreign countries;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claims of any patent issuing based on our patent applications may not provide protection against competitors or any competitive advantages, or may be challenged by third parties;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if enforced, a court may not hold that our patents are valid, enforceable and/or infringed;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we may need to initiate litigation or administrative proceedings to enforce and/or defend our patent rights which will be costly whether we win or lose;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we may choose not to file a patent application in order to maintain certain trade secrets or know-how, and a third party may subsequently file a patent application covering such intellectual property;</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 xml:space="preserve">we may fail to adequately protect and police our trademarks and trade secrets; </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other parties may independently develop the technology covered by our trade secrets;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patents of others may have an adverse effect on our business, including if others obtain patents claiming subject matter similar to or improving that covered by our patents and patent applications.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Should any of these events occur, they could significantly harm our business, financial condition, results of operations, and prospects.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Reliance on Third Parties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rely on third parties to conduct certain aspects of our preclinical studies and clinical trials. If these third parties do not successfully carry out their contractual duties, meet expected deadlines or comply with regulatory requirements, we may not be able to obtain regulatory approval of or commercialize any potential product candidates.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depend upon third parties to conduct certain aspects of our preclinical studies and clinical trials, under agreements with universities, medical institutions, CROs, strategic collaborators and others. We expect to have to negotiate budgets and contracts with such third parties, which may result in delays to our development timelines and increased costs.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will rely especially heavily on third parties over the course of our clinical trials, and, as a result, will have limited control over the clinical investigators and limited visibility into their day-to-day activities, including with respect to their compliance with the approved clinical protocol. Nevertheless, we are responsible for ensuring that each of our trials is conducted in accordance with the applicable protocol, legal and regulatory requirements and scientific standards, and our reliance on third parties does not relieve us of our regulatory responsibilities. We and these third parties are required to comply with GCP requirements, which are regulations and guidelines enforced by the FDA and comparable foreign regulatory authorities for product candidates in clinical development. Regulatory authorities enforce these GCP requirements through periodic inspections of trial sponsors, clinical investigators and trial sites. If we or any of these third parties fail to comply with applicable GCP requirements, the clinical data generated in our clinical trials may be deemed unreliable and the FDA or comparable foreign regulatory authorities may require us to suspend or terminate these trials or perform additional preclinical studies or clinical trials before approving our marketing applications. We cannot be certain that, upon inspection, such regulatory authorities will determine that any of our clinical trials comply with the GCP requirements.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Any third parties conducting aspects of our preclinical studies or clinical trials will not be our employees and, except for remedies that may be available to us under our agreements with such third parties, we cannot control whether or not they devote sufficient time and resources to our preclinical studies and clinical programs. These third parties may also have relationships with other commercial entities, including our competitors, for whom they may also be conducting clinical trials or other product development activities, which could affect their performance on our behalf. If these third parties do not successfully carry out their contractual duties or obligations or meet expected deadlines, if they need to be replaced or if the quality or accuracy of the preclinical or clinical data they obtain is compromised due to the failure to adhere to our protocols or regulatory requirements or for other reasons or if due to federal or state orders or absenteeism due to global conditions, including health epidemics and pandemics, they are unable to meet their contractual and regulatory obligations, our development timelines, including clinical development timelines, may be extended, delayed or terminated and we may not be able to complete development of, obtain regulatory approval of or successfully commercialize our product candidates. As a result, our financial results and the commercial prospects for our product candidates would be harmed, our costs could increase and our ability to generate revenue could be delayed.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any of our relationships with these third-party CROs or others terminate, we may not be able to enter into arrangements with alternative CROs or other third parties or to do so on commercially reasonable terms.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Switching or adding additional CROs involves additional cost and requires management time and focus. In addition, there is a natural transition period when a new CRO begins work. As a result, delays may occur, which can materially impact our ability to meet our desired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rely on third parties for tissue samples and other materials required for our research and development activities, and if we are unable to reach agreements with these third parties our research and development activities would be delayed.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third parties, primarily hospitals, health clinics and academic institutions, for the provision of tissue samples and other materials required in our research and development activities. Obtaining these materials requires various approvals as well as reaching a commercial agreement on acceptable terms with the hospital or other provider of the materials. While we currently have agreements in place with the institutions from which we receive our tissue samples, we do not have any exclusive arrangements with such sources and there is no guarantee that we will be able to maintain or renew such agreements on commercially reasonable terms, if at all. If we were unable to maintain or renew such agreements, we would be forced to seek new arrangements with new hospitals, clinics or health institutions. If so, we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be able to reach agreements with alternative partners or do so on terms acceptable to us. If we are unable to enter into such agreements, our research and development activities will be delayed and possibly impaired.</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Because we rely on third-party manufacturing and supply vendors, including single-source vendors and vendors in foreign jurisdictions, including China, our supply of research and development, preclinical and clinical development materials may become limited or interrupted or may not be of satisfactory quantity or quality.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third-party contract manufacturers to manufacture our product candidates for preclinical studies and clinical trials. We do not own manufacturing facilities for producing any clinical trial product supplies. There can be no assurance that our preclinical and clinical development product supplies will not be limited, interrupted, or of satisfactory quality or continue to be available at acceptable prices, including due to severe weather events, natural disasters or challenging macroeconomic conditions, including the effects of health epidemics and pandemics, such as COVID-19. In addition, we rely on vendors in foreign jurisdictions, including China for our clinical drug supply for bexotegrast. If this supply is interrupted for business or geopolitical reasons, the development of bexotegrast could be materially delayed. In particular, any replacement of our manufacturers could require significant time, effort and expertise because there may be a limited number of qualified replacements and the process to transfer technology and initiate manufacturing is complex and time consuming.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cGMPs. In the event that any of our manufacturers fails to comply with such requirements or to perform its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third-party, which we may not be able to do on reasonable terms, if at all. In some cases, the technical skills or technology required to manufacture our product candidates may be unique or proprietary to the original manufacturer and we may have difficulty transferring such skills or technology to another third-party and a feasible alternative may not exist. These factors would increase our reliance on such manufacturer or require us to obtain a license from such manufacturer in order to have another third-party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to continue to rely on third-party manufacturers if we receive regulatory approval for bexotegrast or any other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commercialize our product candidates successfully. Our or a third party’s failure to execute on our manufacturing requirements and comply with cGMP could adversely affect our business in a number of ways, including:</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an inability to initiate or continue clinical trials of product candidates under development;</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delay in submitting regulatory applications, or receiving regulatory approvals, for product candidates;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loss of the cooperation of an existing or future collaborator;</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subjecting third-party manufacturing facilities or our manufacturing facilities to additional inspections by regulatory authorities;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requirements to cease distribution or to recall batches of our product candidates;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in the event of approval to market and commercialize a product candidate, an inability to meet commercial demands for our products.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rely on a sole supplier for the manufacture of bexotegrast. If this sole supplier is unable to supply to us in the quantities we require, or at all, or otherwise defaults on its supply obligations to us, we may not be able to obtain alternative supplies from other suppliers on acceptable terms, in a timely manner, or at all. We also do not have long-term supply agreements with any of our suppliers. Our current contracts with certain suppliers may be canceled or not extended by such suppliers and, therefore, do not afford us with protection against a reduction or interruption in supplies. Moreover, in the event any of these suppliers breach their contracts with us, our legal remedies associated with such a breach may be insufficient to compensate us for any damages we may suffer.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contract with fill and finishing providers with the appropriate expertise, facilities and scale to meet our needs. Failure to maintain cGMP can result in a contractor receiving FDA sanctions, which can impact our ability to operate or lead to delays in any clinical development programs. We believe that our current fill and finish contractor is operating in accordance with cGMP, but we can give no assurance that FDA or other regulatory agencies will not conclude that a lack of compliance exists. In addition, any delay in contracting for fill and finish services, or failure of the contract manufacturer to perform the services as needed, may delay any clinical trials, registration and launches, which could negatively affect our business. In the future, if we advance a biological product candidate into IND-enabling studies, we will need to identify and contract with suppliers who are able to produce biological product candidates and adhere to additional cGMP compliance obligations required for biologicals.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If we are unable to enter into new collaborations, or if these collaborations are not successful, our business could be adversely affected.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 part of our strategy is to selectively evaluate partnerships in indications and geographies where we believe partners can add significant commercial and/or development capabilities. Further, we have limited capabilities for product development and do not yet have any capability for commercialization. Accordingly, we have in the past and may in the future enter into collaborations with other companies to provide us with important technologies and funding for our programs and technology.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Any future collaborations we enter into may pose a number of risks, including the following:</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collaborators may have significant discretion in determining the efforts and resources that they will apply;</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collaborators may not perform their obligations as expected;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collaborators may not pursue development and commercialization of any product candidates that achieve regulatory approval or may elect not to continue or renew development or commercialization programs or license arrangements based on clinical trial results, changes in the collaborators’ strategic focus or available funding, or external factors, such as a strategic transaction that may divert resources or create competing priorities;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collaborators could independently develop, or develop with third parties, products that compete directly or indirectly with our products and product candidates if the collaborators believe that the competitive products are more likely to be successfully developed or can be commercialized under terms that are more economically attractive than ours;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collaborators may fail to comply with applicable regulatory requirements regarding the development, manufacture, distribution or marketing of a product candidate or product;</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collaborators with marketing and distribution rights to one or more of our product candidates that achieve regulatory approval may not commit sufficient resources to the marketing and distribution of such product or products;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collaborators may not provide us with timely and accurate information regarding development progress and activity under any future license agreement, which could adversely impact our ability to report progress to our investors and otherwise plan development of our product candidates;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disagreements with collaborators, including disagreements over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collaborators may infringe the intellectual property rights of third parties, which may expose us to litigation and potential liability;</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if a collaborator of ours is involved in a business combination, the collaborator might deemphasize or terminate the development or commercialization of any product candidate licensed to it by us;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collaborations may be terminated by the collaborator, and, if terminated, we could be required to raise additional capital to pursue further development or commercialization of the applicable product candidates.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collaborations we enter into do not result in the successful discovery, development and commercialization of product candidates or if a future collaborator terminates its agreement with us, we may not receive any research funding or milestone or royalty payments under such collaboration. All of the risks relating to product development, regulatory approval and commercialization described in this Report also apply to the activities of our therapeutic collaborators.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face significant competition in seeking appropriate collaborators for our product candidates, and the negotiation process is time-consuming and complex. In order for us to successfully establish a collaboration for one or more of our product candidates, potential collaborators must view these product candidates as economically valuable in markets they determine to be attractive in light of the terms that we are seeking and other available products for licensing by other companies. Collaborations are complex and time-consuming to negotiate and document. In addition, there have been a significant number of recent business combinations among large biopharmaceutical companies that have resulted in a reduced number of potential future collaborators.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expertise and additional capital, which may not be available to us on acceptable terms, or at all. If we fail to enter into future collaborations or do not have sufficient funds or expertise to undertake the necessary development and commercialization activities, we may not be able to further develop our product candidates, bring them to market and generate revenue from sales of drugs or continue to develop our technology, and our business may be materially and adversely affected. Even if we are successful in our efforts to establish new strategic collaborations, the terms that we agree upon may not be favorable to us, and we may not be able to maintain such strategic collaborations if, for example, development or approval of a product candidate is delayed or sales of an approved product are disappointing. Any delay in entering into new strategic collaboration agreements related to our product candidates could delay the development and commercialization of our product candidates and reduce their competitiveness even if they reach the market.</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 xml:space="preserve">Our suppliers and any future collaborators may need assurances that our financial resources and stability on a stand-alone basis are sufficient to satisfy their requirements for doing or continuing to do business with us.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suppliers and any future collaborators may need assurances that our financial resources and stability on a stand-alone basis are sufficient to satisfy their requirements for doing or continuing to do business with us. If these parties are not satisfied with our financial resources and stability, it could have a material adverse effect on our ability to develop our drug candidates, enter into licenses or other agreements and on our business, financial condition or results of operations. </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Risks Related to Managing Our Business and Operations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may encounter difficulties in managing our growth, which could adversely affect our operations.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our clinical development and commercialization plans and strategies develop, we will need to expand our managerial, clinical, regulatory, sales, marketing, financial, development, manufacturing and legal capabilities or contract with third parties to provide these capabilities for us. As our operations expand, we expect that we will need to manage additional relationships with various strategic collaborators, suppliers and other third parties. Our future growth would impose significant added responsibilities on members of management, including:</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identifying, recruiting, integrating, retaining and motivating additional employees;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managing our development and commercialization efforts effectively, including the clinical and FDA review process for bexotegrast and any other product candidates, while complying with our contractual obligations to contractors and other third parties;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improving our operational, financial and management controls, reporting systems and procedures.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continue to develop and, if approved, commercialize our product candidates will depend, in part, on our ability to effectively manage any future growth. Our management may also have to divert a disproportionate amount of its attention away from day-to-day activities in order to devote a substantial amount of time to managing these growth activities.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we are not able to effectively expand our organization by hiring new employees and expanding our groups of consultants and contractors, we may not be able to successfully implement the tasks necessary to further develop and commercialize bexotegrast or any other product candidates and, accordingly, may not achieve our research, development and commercialization goals.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may acquire additional technology and complementary businesses in the future. Acquisitions involve many risks, any of which could materially harm our business, including the diversion of management’s attention from core business concerns, failure to effectively exploit acquired technologies, failure to successfully integrate the acquired business or realize expected synergies or the loss of key employees from either our business or the acquired businesses.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If we lose key management personnel, or if we fail to recruit additional highly skilled personnel, our ability to develop current product candidates or identify and develop new product candidates will be impaired, could result in loss of markets or market share and could make us less competitive.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compete in the highly competitive biotechnology and biopharmaceutical industries depends upon our ability to attract and retain highly qualified managerial, scientific, and medical personnel. We are highly dependent on our management, scientific and medical personnel, including key members of our senior management and executive team. The loss of the services of any of our executive officers, other key employees and other scientific and medical advisors, and our inability to find suitable replacements could result in delays in product development and harm our business.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conduct our operations at our facility in South San Francisco, California. This region is headquarters to many other biopharmaceutical companies, biotechnology companies and research institutions. Competition for skilled personnel in our market is intense and may limit our ability to hire and retain highly qualified personnel on acceptable terms or at all.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To induce valuable employees to remain at our company, in addition to salary and cash incentives, we have provided equity awards that vest over time. The value to employees of equity awards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Our key employees are at-will employees, which means that any of our employees could leave our employment at any time, with or without notice. We do not maintain “key person” insurance policies on the lives of these individuals or the lives of any of our other employees. Our success also depends on our ability to continue to attract, retain and motivate highly skilled junior, mid-level and senior scientific and medical personnel.</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current operations are concentrated in one location, and we or the third parties upon whom we depend may be adversely affected by earthquakes or other natural disasters and our business continuity and disaster recovery plans may not adequately protect us from a serious disaster, including earthquakes, outbreak of disease or other natural disasters.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operations are located in our facilities in South San Francisco, California. Any unplanned event, such as flood, fire, explosion, earthquake, extreme weather condition, medical epidemics,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and have significant negative consequences on our financial and operating conditions. Loss of access to these facilities may result in increased costs, delays in the development of our product candidates or interruption of our business operations. Earthquakes or other natural disasters could further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employees, independent contractors, consultants, commercial partners, collaborators and vendors may engage in misconduct or other improper activities, including noncompliance with regulatory standards and requirements.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the risk of employee fraud or other illegal activity by our employees, independent contractors, consultants, commercial partners, collaborators, and vendors. Misconduct by these parties could include intentional, reckless and/or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will also increase. These laws may impact, among other things, our current activities with principal investigators and research patients, as well as proposed and future sales, marketing, and education programs. We adopted a code of business conduct and ethics, but it is not always possible to identify and deter misconduct by our employees, independent contractors, consultants, commercial partners and vendors,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actions are instituted against us and we are not successful in defending ourselves or asserting our rights, those actions could result in the imposition of civil, criminal and administrative penalties, damages, monetary fines, imprisonment, disgorgement, possible exclusion from participation in government healthcare programs, additional reporting obligations and oversight if we become subject to a corporate integrity agreement or other agreement to resolve allegations of non-compliance with these laws, contractual damages, reputational harm, diminished profits and future earnings and the curtailment of our operations.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use and generate materials that may expose us to material liability.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research programs involve the use of hazardous materials and chemicals, which are generally handled by third parties. We are subject to foreign, federal, state, and local environmental and health and safety laws and regulations governing, among other matters, the use, manufacture, handling, storage and disposal of hazardous materials and waste products such as human tissue samples that may have the potential to transmit diseases. We may incur significant costs to comply with these current or future environmental and health and safety laws and regulations. In addition, we cannot completely eliminate the risk of contamination or injury from hazardous materials and may incur material liability as a result of such contamination or injury. In the event of an accident, an injured party may seek to hold us liable for any damages that result. Any liability could exceed the limits or fall outside the coverage of our workers’ compensation, property and business interruption insurance and we may not be able to maintain insurance on acceptable terms, if at all. We currently carry no insurance specifically covering environmental claims.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numerous environmental, health and safety laws and regulations, including those governing laboratory procedures and the handling, use, storage, treatment and disposal of hazardous materials and wastes. Our research and development activities involve the use of biological and hazardous materials and produce hazardous waste products. We generally contract with third parties for the disposal of these materials and wastes. We cannot eliminate the risk of contamination or injury from these materials,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We do not carry specific biological waste or hazardous waste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coverage, workers’ compensation or property and casualty and general liability insurance policies that include coverage for damages and fines arising from biological or hazardous waste exposure or contamination.</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Compliance with governmental regulations regarding the treatment of animals used in research could increase our operating costs, which would adversely affect the commercialization of our products.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Animal Welfare Act, or AWA, is the federal law that covers the treatment of certain animals used in research. Currently, the AWA imposes a wide variety of specific regulations that govern the humane handling, care, treatment, and transportation of certain animals by producers and users of research animals, most notably relating to personnel, facilities, sanitation, cage size, and feeding, watering, and shipping conditions. Third parties with whom we contract are subject to registration, inspections, and reporting requirements under the AWA. Furthermore, some states have their own regulations, including general anti-cruelty legislation, which establish certain standards in handling animals. Comparable rules, regulations, and or obligations exist in many foreign jurisdictions. If we or our contractors fail to comply with regulations concerning the treatment of animals used in research, we may be subject to fines and penalties and adverse publicity, and our operations could be adversely affected.</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ability to use our net operating loss carryforwards and certain tax credit carryforwards may be subject to limitation.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net operating loss carryforwards for U.S. federal and state income tax purposes of $318.7 million and $397.9 million, respectively, some of which will begin to expire in 2035. As of December 31, 2024, we also had available tax credit carryforwards for U.S. federal income tax purposes of $40.5 million, which begin to expire in 2036, and state income tax purposes of $9.1 million, which can be carried forward indefinitely. Under Section 382 of the Internal Revenue Code, as amended, or the Code, changes in our ownership may limit the amount of our net operating loss carryforwards and tax credit carryforwards that could be utilized annually to offset our future taxable income, if any. This limitation would generally apply in the event of a cumulative change in ownership of our company of more than 50 percentage points within a three-year period. Any such limitation may significantly reduce our ability to utilize our net operating loss carryforwards and tax credit carryforwards before they expire. We have performed an analysis under Internal Revenue Code Sections 382 and 383 to determine the amount of our net operating loss carryforwards and research and development credit carryforwards that will be subject to annual limitation. This analysis concluded that we have experienced one or more such ownership changes prior to December 31, 2024, and the Company’s net operating losses and tax credit carryforwards generated prior to the identified ownership changes are subject to no permanent limitation under Sections 382 or 383. In addition, we may experience subsequent ownership changes as a result of future equity offerings or other changes in our stock ownership. Any such limitation could have a material adverse effect on our results of operations in future years. Our ability to utilize those net operating loss carryforwards could be limited by an “ownership change” as described above, which could result in increased tax liability to us. Net operating losses generated after December 31, 2017 are not subject to expiration, but may not be carried back to prior taxable years, except that net operating losses generated in 2018, 2019 and 2020 may be carried back five taxable years. Additionally, the deductibility of such U.S. federal net operating losses is limited to 80% of our taxable income in any taxable year beginning after December 31, 2020.</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Common Stock</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The price of our stock may be volatile, and you could lose all or part of your investment.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price of our common stock is likely to be highly volatile and could be subject to wide fluctuations in response to various factors, some of which are beyond our control, including limited trading volume. In addition to the factors discussed in this “Risk Factors” section and elsewhere in this Report, these factors include: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commencement, enrollment or results of preclinical and clinical trials for our product candidates conducted by us or our collaborators;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any delay in identifying and advancing a clinical candidate for our other development programs;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any delay in our regulatory filings for bexotegrast or our other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adverse results or delays in future clinical trials;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our decision to initiate a clinical trial, not to initiate a clinical trial or to terminate an existing clinical trial;</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adverse regulatory decisions, including failure to receive regulatory approval of bexotegrast or any other product candidate;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changes in laws or regulations applicable to bexotegrast or any other product candidate, including but not limited to clinical trial requirements for approvals;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adverse developments concerning our manufacturers;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our inability to obtain adequate product supply for any approved product or inability to do so at acceptable prices;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failure to secure a positive health technology assessment recommendation;</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our inability to establish collaborations, if needed;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our failure to commercialize our product candidates, if approved;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additions or departures of key scientific or management personnel;</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unanticipated serious safety concerns related to the use of bexotegrast or any other product candidate;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introduction of new products or services offered by us or our competitors;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announcements of significant acquisitions, strategic partnerships, joint ventures or capital commitments by us or our competitors;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our ability to effectively manage our growth;</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actual or anticipated variations in quarterly operating results;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our cash position;</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our failure to meet the estimates and projections of the investment community or that we may otherwise provide to the public;</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publication of research reports about us or our industry, or product candidates in particular, or positive or negative recommendations or withdrawal of research coverage by securities analysts;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changes in the market valuations of similar companies;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changes in the structure of the healthcare payment systems;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overall performance of the equity markets;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sales of our common stock by us or our stockholders in the future;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trading volume of our common stock;</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changes in accounting practices;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ineffectiveness of our internal controls;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disputes or other developments relating to proprietary rights, including patents, litigation matters and our ability to obtain patent protection for our technologies;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significant lawsuits, including patent or stockholder litigation;</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general political and economic conditions;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other events or factors, many of which are beyond our control.</w:t>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stock market in general, and the market for biopharmaceutical companies in particular, have experienced extreme price and volume fluctuations that have often been unrelated or disproportionate to the operating performance of these companies, including as a result of effects of health epidemics and pandemics, such as COVID-19, geopolitical events, such as the Russian invasion of Ukraine, the Israel-Hamas conflict and related global escalation of geopolitical tensions, domestic or international trade policies and rising inflationary pressures. 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do not intend to pay dividends on our common stock so any returns will be limited to the value of our stock.</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never declared or paid any cash dividends on our capital stock. We currently intend to retain all available funds and any future earnings to fund the development, operation and growth of our business and do not anticipate declaring or paying any cash dividends for the foreseeable future. Furthermore, the Amended Loan Agreement contains,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 future debt or other financing arrangements may contain terms prohibiting or limiting the amount of dividends that may be declared or paid on our common stock. Any return to stockholders will therefore be limited to the appreciation of their stock.</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executive officers, directors and their affiliates and our principal stockholders own a significant percentage of our stock and will be able to exert significant control over matters subject to stockholder approval.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executive officers, directors and our principal stockholders beneficially hold a significant portion of our voting stock. These stockholders, acting together, may be able to significantly influence matters requiring stockholder approval. For example, these stockholders would be able to significantly influence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If there are substantial sales of shares of our common stock, the price of our common stock could decline.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Shares of common stock that are either subject to outstanding options or reserved for future issuance under our existing equity compensation plans will become eligible for sale in the public market as they become vested. If these additional shares of common stock are sold, or if it is perceived that they will be sold, in the public market, the trading price of our common stock could decline. Additionally, the number of shares of our common stock reserved for issuance under our 2020 Stock Option and Incentive Plan will automatically increase on January 1 of each year by 5% of the total number of shares of our capital stock outstanding on December 31 of the preceding calendar year, or a lesser number of shares determined by our board of directors or compensation committee. Moreover, the number of shares of our common stock reserved for issuance under our 2020 Employee Stock Purchase Plan, or ESPP, will automatically increase on January 1 of each year by the lesser of 700,000 shares of common stock, 1% of the total number of shares of our capital stock outstanding on December 31 of the preceding calendar year, or a lesser number of shares determined by our board of directors or compensation committee. Unless our board of directors elects not to increase the number of shares available for future grant each year, our stockholders may experience additional dilution.</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and bylaws contain provisions that could delay or prevent a change of control of our company or changes in our board of directors that our stockholders might consider favorable. Some of these provisions include: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 board of directors divided into three classes serving staggered three-year terms, such that not all members of the board will be elected at one time;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 prohibition on stockholder action through written consent, which requires that all stockholder actions be taken at a meeting of our stockholders;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 requirement that special meetings of stockholders be called only by the board of directors acting pursuant to a resolution approved by the affirmative vote of a majority of the directors then in office;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advance notice requirements for stockholder proposals and nominations for election to our board of directors;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 requirement of approval of not less than two-thirds of all outstanding shares of our voting stock to amend any bylaws by stockholder action or to amend specific provisions of our certificate of incorporation;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authority of the board of directors to issue preferred stock on terms determined by the board of directors without stockholder approval and which preferred stock may include rights superior to the rights of the holders of common stock.</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because we are incorporated in Delaware, we are governed by the provisions of Section 203 of the General Corporation Law of the State of Delaware, or the DGCL, which may prohibit certain business combinations with stockholders owning 15% or more of our outstanding voting stock. These anti-takeover provisions and other provisions in our certificate of incorporation and bylaws could make it more difficult for stockholders or potential acquirers to obtain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stockholders to elect directors of their choosing or cause us to take other corporate actions our stockholders desire. Any delay or prevention of a change of control transaction or changes in our board of directors could cause the market price of our common stock to decline.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bylaws designate certain courts as the exclusive forum for certain litigation that may be initiated by our stockholders, which could limit our stockholders’ ability to litigate disputes with us in a different judicial forum.</w:t>
      </w:r>
    </w:p>
    <w:p>
      <w:pPr>
        <w:pStyle w:val="TextBody"/>
        <w:bidi w:val="0"/>
        <w:spacing w:lineRule="auto" w:line="288" w:before="120" w:after="283"/>
        <w:ind w:left="0" w:right="0" w:firstLine="450"/>
        <w:jc w:val="left"/>
        <w:rPr/>
      </w:pPr>
      <w:r>
        <w:rPr>
          <w:rFonts w:ascii="Times New Roman;sans-serif" w:hAnsi="Times New Roman;sans-serif"/>
          <w:b w:val="false"/>
          <w:color w:val="231F20"/>
          <w:sz w:val="20"/>
        </w:rPr>
        <w:t>P</w:t>
      </w:r>
      <w:r>
        <w:rPr>
          <w:rFonts w:ascii="Times New Roman;sans-serif" w:hAnsi="Times New Roman;sans-serif"/>
          <w:b w:val="false"/>
          <w:color w:val="000000"/>
          <w:sz w:val="20"/>
        </w:rPr>
        <w:t>ursuant to our bylaws, unless we consent in writing to the selection of an alternative forum, the Court of Chancery of the State of Delaware will be the sole and exclusive forum for any state law claims for: (i) any derivative action or proceeding brought on our behalf; (ii) any action asserting a claim of breach of a fiduciary duty or other wrongdoing by any of our directors, officers, employees or agents to us or our stockholders; (iii) any action asserting a claim against us arising pursuant to any provision of the DGCL, our certificate of incorporation or our bylaws; (iv) any action to interpret, apply, enforce or determine the validity of our certificate of incorporation or bylaws; or (v) any action asserting a claim governed by the internal affairs doctrine; or (vi) any other action asserting an “internal corporate claim” as defined in Section 115 of the DGCL, in each case subject to the Court of Chancery having personal jurisdiction over the indispensable parties named as defendants therein, or the Delaware forum provision. This exclusive forum provision will not apply to any causes of action arising under the Securities Act or the Exchange Act or any other claim for which the federal courts have exclusive jurisdiction. Unless we consent in writing to the selection of an alternate forum, the federal district courts shall be the sole and exclusive forum for resolving any complaint asserting a cause of action arising under the Securities Act, or the federal forum provision. In addition, our bylaws provide that any person or entity purchasing or otherwise acquiring any interest in shares of our common stock is deemed to have notice of and consented to the Delaware forum provision and the federal forum provision; provided, however, that stockholders cannot and will not be deemed to have waived our compliance with the federal securities laws and the rules and regulations thereunder.</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Delaware forum provision and the federal forum provision may impose additional litigation costs on stockholders who assert the provision is not enforceable and may impose more general additional litigation costs in pursuing any such claims, particularly if the stockholders do not reside in or near the State of Delaware or the State of California. In addition, these forum selection clauses in our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were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the provision is not enforceable or invalid. The Court of Chancery of the State of Delaware and the federal district courts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pStyle w:val="TextBody"/>
        <w:bidi w:val="0"/>
        <w:spacing w:lineRule="auto" w:line="288" w:before="120" w:after="283"/>
        <w:jc w:val="left"/>
        <w:rPr>
          <w:rFonts w:ascii="Times New Roman;sans-serif" w:hAnsi="Times New Roman;sans-serif"/>
          <w:b/>
          <w:color w:val="231F20"/>
          <w:sz w:val="20"/>
        </w:rPr>
      </w:pPr>
      <w:r>
        <w:rPr>
          <w:rFonts w:ascii="Times New Roman;sans-serif" w:hAnsi="Times New Roman;sans-serif"/>
          <w:b/>
          <w:color w:val="231F20"/>
          <w:sz w:val="20"/>
        </w:rPr>
        <w:t>General Risk Factors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required to disclose changes made in our internal controls and procedures on a quarterly basis. If we are unable to assert that our internal control over financial reporting is effective, or if our independent registered public accounting firm is unable to express an opinion on the effectiveness of our internal control, including as a result of any identified material weakness, we could lose investor confidence in the accuracy and completeness of our financial reports,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which would cause the price of our common stock to decline, and we may be subject to investigation or sanctions by the SEC. In addition, if we are unable to continue to meet these requirements, we may not be able to remain listed on Nasdaq. </w:t>
      </w:r>
    </w:p>
    <w:p>
      <w:pPr>
        <w:pStyle w:val="TextBody"/>
        <w:bidi w:val="0"/>
        <w:spacing w:lineRule="auto" w:line="288" w:before="120" w:after="283"/>
        <w:ind w:left="0" w:right="0" w:firstLine="450"/>
        <w:jc w:val="left"/>
        <w:rPr>
          <w:rFonts w:ascii="Times New Roman;sans-serif" w:hAnsi="Times New Roman;sans-serif"/>
          <w:b/>
          <w:i/>
          <w:color w:val="231F20"/>
          <w:sz w:val="20"/>
        </w:rPr>
      </w:pPr>
      <w:r>
        <w:rPr>
          <w:rFonts w:ascii="Times New Roman;sans-serif" w:hAnsi="Times New Roman;sans-serif"/>
          <w:b/>
          <w:i/>
          <w:color w:val="231F20"/>
          <w:sz w:val="20"/>
        </w:rPr>
        <w:t>Our disclosure controls and procedures may not prevent or detect all errors or acts of fraud.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a public reporting company, we are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pStyle w:val="TextBody"/>
        <w:bidi w:val="0"/>
        <w:spacing w:lineRule="auto" w:line="288" w:before="120" w:after="283"/>
        <w:ind w:left="0" w:right="0" w:firstLine="450"/>
        <w:jc w:val="left"/>
        <w:rPr/>
      </w:pPr>
      <w:r>
        <w:rPr>
          <w:rFonts w:ascii="Times New Roman;sans-serif" w:hAnsi="Times New Roman;sans-serif"/>
          <w:b/>
          <w:i/>
          <w:color w:val="000000"/>
          <w:sz w:val="20"/>
        </w:rPr>
        <w:t>Our issuance of additional capital stock in connection with financings, acquisitions, investments, our stock incentive plans or otherwise will dilute all other stockholders</w:t>
      </w:r>
      <w:r>
        <w:rPr>
          <w:rFonts w:ascii="Times New Roman;sans-serif" w:hAnsi="Times New Roman;sans-serif"/>
          <w:b/>
          <w:i/>
          <w:color w:val="231F20"/>
          <w:sz w:val="20"/>
        </w:rPr>
        <w:t>.</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We expect to issue additional capital stock in the future that will result in dilution to all other stockholders. We expect to continue to grant equity awards to employees, directors, and consultants under our stock incentive plans. In July 2022 and January 2023, we completed underwritten public offerings of our common stock. In July 2021, we entered into the</w:t>
      </w:r>
      <w:r>
        <w:rPr>
          <w:color w:val="000000"/>
        </w:rPr>
        <w:t xml:space="preserve"> </w:t>
      </w:r>
      <w:r>
        <w:rPr>
          <w:rFonts w:ascii="Times New Roman;sans-serif" w:hAnsi="Times New Roman;sans-serif"/>
          <w:b w:val="false"/>
          <w:color w:val="000000"/>
          <w:sz w:val="20"/>
        </w:rPr>
        <w:t>Sales Agreement (the “Sales Agreement”) with Cantor Fitzgerald &amp; Co., as sales agent, pursuant to which we may issue and sell shares of common stock from time to time. On March 27, 2023, we filed a registration statement on Form S-3 (File No. 333-270862) which included a sales agreement prospectus registering the offer and sale of up to $150.0 million of shares under the Sales Agreement (the Sales Agreement Prospectus).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If securities or industry analysts do not publish research or publish inaccurate or unfavorable research about our business, our stock price and trading volume could decline.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common stock depends in part on the research and reports that securities or industry analysts publish about us or our business.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incur significant increased costs as a result of operating as a public company, and our management is required to devote substantial time to new compliance initiatives.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a public company, we incur significant legal, accounting and other expenses. We are subject to the reporting requirements of the Exchange Act, which requires, among other things, that we file with the SEC annual, quarterly and current reports with respect to our business and financial condition. In addition, the Sarbanes-Oxley Act, as well as rules subsequently adopted by the SEC and the Nasdaq Stock Market, or Nasdaq, to implement provisions of the Sarbanes-Oxley Act, impose significant requirements on public companies, including requiring establishment and maintenance of effective disclosure and financial reporting controls and changes in corporate governance practices. Further, there are significant corporate governance and executive compensation related provisions in the Dodd-Frank Act that require the SEC to adopt additional rules and regulations in these areas such as “say on pay” and proxy access.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an adverse effect on our business.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us to attract and retain qualified persons to serve on our board of directors, our board committees or as executive officers.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may incur substantial costs in our efforts to comply with evolving global data protection laws and regulations, and any failure or perceived failure by us to comply with such laws and regulations may harm our business and operations.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global data protection landscape is rapidly evolving, and we may be or become subject to or affected by numerous federal, state and foreign laws and regulations, as well as regulatory guidance, governing the collection, use, disclosure, transfer, security and processing of personal data, such as information that we collect about participants and healthcare providers in connection with clinical trials. Implementation standards and enforcement practices are likely to remain uncertain for the foreseeable future, which may create uncertainty in our business, affect our or our service providers’ ability to operate in certain jurisdictions or to collect, store, transfer use and share personal data, result in liability or impose additional compliance or other costs on us. Any failure or perceived failure by us to comply with federal, state, or foreign laws or self-regulatory standards could result in negative publicity, diversion of management time and effort and proceedings against us by governmental entities or others.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Numerous federal and state laws and regulations, including the Health Insurance Portability and Accountability Act (HIPAA) and the Health Information Technology for Economic and Clinical Health Act (HITECH), govern the collection, dissemination, security, use and confidentiality of patient-identifiable health information or personal information. In the course of performing our business we obtain personally identifiable information (PII), including health-related information. Such laws and regulations relating to privacy, data protection, and consumer protection are evolving and subject to potentially differing interpretations. These requirements may be interpreted and applied in a manner that varies from one jurisdiction to another and/or may conflict with other laws or regulations. HIPAA establishes national privacy and security standards for the protection of individually identifiable health information, including protected health information (PHI) for certain covered entities, including healthcare providers that submit certain covered transactions electronically, as well as their “business associates.” Penalties for failure to comply with a requirement of HIPAA and HITECH vary significantly depending on the failure and could include civil monetary or criminal penalties. HIPAA also authorizes state attorneys general to file suit under HIPAA on behalf of state residents. Courts can award damages, costs and attorneys’ fees related to violations of HIPAA in such cases. While HIPAA does not create a private right of action allowing individuals to sue us in civil court for HIPAA violations, its standards have been used as the basis for a duty of care claim in state civil suits such as those for negligence or recklessness in the misuse or breach of PHI. The HHS Office for Civil Rights (OCR) has recently increased its enforcement efforts on compliance with HIPAA, including the security regulations (Security Rule), bringing actions against entities which have failed to implement security measures sufficient to reduce risks to electronic protected health information or to conduct an accurate and thorough risk analysis, among other violations. HIPAA enforcement actions may lead to monetary penalties and costly and burdensome corrective action plans. Moreover, compliance with state laws related to health privacy may cause additional compliance costs. For instance, Washington State recently passed the “My Health My Data Act” which regulates “consumer health data” which is defined as “personal information that is linked or reasonably linkable to a consumer and that identifies a consumer’s past, present, or future physical or mental health.” The “My Health My Data Act” provides exemptions for personal data used or shared in research, including data subject to 45 C.F.R. Parts 46, 50, and 56. Nevada has also enacted a consumer health data privacy bill, and additional states may adopt health-specific privacy laws that could impact our business activities depending on how they are interpreted.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may encounter vendors that engage in information blocking practices that may inhibit our ability to access the relevant data on behalf of clients or impose new or additional costs. In 2020, the U.S. Department of Health and Human Services’ Office of the National Coordinator for Health Information Technology (ONC) and the Centers for Medicare and Medicaid Services promulgated final rules to support access, exchange, and use of electronic health information (EHI). Specifically, the information blocking rules were implemented as part of the 21st Century Cures Act, and are primarily designed to facilitate technology interoperability and enable the free flow of healthcare information for healthcare treatment, payment or operation purposes. On June 27, 2023, the Department of Health and Human Services Office of the Inspector General (HHS-OIG) published its final rule implementing information blocking penalties for “actors,” which is supplemented by ONC’s January 9, 2024 final rule enhancing certain blocking requirements. HHS-OIG may impose penalties for information blocking that has occurred after September 1, 2023, and ONC and HHS proposed a rule on November 1, 2023 listing certain disincentives for actors that conduct information blocking. The impact on the information blocking rules to our business is currently unclear.</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California passed the California Consumer Protection Act of 2018, or the CCPA, which went into effect in January 2020 and provides data privacy rights for consumers and operational requirements for companies. In addition, the CCPA was expanded on January 1, 2023, when the California Privacy Rights Act of 2020, or the CPRA, became operative. The CCPA, and its later amendments through the CPRA, gives California residents expanded data privacy rights, such as rights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access and delete their personal information, opt out of certain personal information sharing, and the ability to limit use of certain sensitive personal information in certain contexts, among other privacy right. Failure to comply with the CCPA risks regulatory fines, and the CCPA grants a private right of action and statutory damages for an unauthorized access and exfiltration, theft, or disclosure of certain types of personal information resulting from the company’s violation of a duty to maintain reasonable security procedures and practices. The CCPA also provides authority to the California Attorney General to seek civil penalties for intentional violations of the CCPA, and the CPRA established a new California Privacy Protection Agency to implement the law through additional regulations and enforcement. While there is currently an exception for protected health information that is subject to HIPAA and other personal information subject to clinical trial regulations, as currently written, the CCPA may impact certain of our business activities. Additionally, this exception does not apply to the private cause of action afforded to individuals for information security incidents. Compliance with the CCPA may increase our compliance costs and potential liability, and impact our business activities depending on how it is interpreted. In the interim, implementing the evolving CPRA regulations will require additional investment in compliance programs and potential modifications to business processes.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Multiple other states have followed California and enacted comprehensive privacy laws. Additionally multiple states have enacted or are considering similar legislation which will go into effect in the coming years, and Congress continues to consider federal privacy legislation. While these proposals and new laws generally include exemptions for HIPAA-covered and clinical trial data, they add layers of complexity to compliance in the U.S. market, and could increase our compliance costs and adversely affect our business.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the Federal Trade Commission (FTC) and many state attorneys general are interpreting existing federal and state consumer protection laws to impose evolving standards for the collection, use, dissemination and security of health-related and other personal information and in particular health information. Courts may also adopt the standards for fair information practices promulgated by the FTC, which concern consumer notice, choice, security and access. Consumer protection laws require us to publish statements that describe how we handle personal information and choices individuals may have about the way we handle their personal information. If such information that we publish is considered untrue, we may be subject to government claims of unfair or deceptive trade practices, which could lead to significant liabilities and consequences. Furthermore, according to the FTC, violating consumers’ privacy rights or failing to take appropriate steps to keep consumers’ personal information secure may constitute unfair acts or practices in or affecting commerce in violation of Section 5 of the FTC Act. The FTC has also been active with respect to enforcement of its Health Breach Notification Rule and in scrutinizing the use and disclosure of sensitive personal information. The FTC finalized changes to the Health Breach Notification Rule in April 2024. Additionally, the FTC published an advance notice of proposed rulemaking in 2022 on commercial surveillance and data security, and may implement new trade regulation rules or other regulatory alternatives concerning the ways in which companies (1) collect, aggregate, protect, use, analyze, and retain consumer data, as well as (2) transfer, share, sell, or otherwise monetize that data in ways that the FTC asserts are unfair or deceptive in the coming years.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relies on secure and continuous processing of information and the availability of our Information Technology (IT) networks and IT resources, as well as critical IT vendors that support our technology and data processing operations. Security breaches, computer malware and computer hacking attacks have become more prevalent across industries and may occur on our systems or those of our third-party service providers. Attacks upon information technology systems are increasing in their frequency, levels of persistence, sophistication and intensity, and are being conducted by sophisticated and organized groups and individuals with a wide range of motives and expertise. OCR, pursuant to legislation passed in 2021, issued guidance on recognized security practices for covered entities and business associates. OCR indicated that recognized security practices will not be an aggravating factor in OCR investigations, but that implementation of recognized security practices strengthen an organization’s cybersecurity and regulatory posture, as well as possibly lessening enforcement penalties in a potential regulatory enforcement.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regularly monitor, defend against and respond to attacks to our networks and other information security incidents. Despite our information security efforts, our facilities, systems, and data, as well as those of our third party service providers, may be vulnerable to privacy and information security incidents such as data breaches, viruses or other malicious code, coordinated attacks, data loss, phishing attacks, ransomware, denial of service attacks, or other security or IT incidents caused by threat actors, technological vulnerabilities or human error. If we, or any of our IT support vendors, fail to comply with laws requiring the protection of sensitive personal information, or fail to safeguard and defend personal information or other critical data assets or IT systems, we may be subject to regulatory enforcement and fines as well as private civil actions. We may be required to expend significant resources in the response, containment, mitigation of cybersecurity incidents as well as in defense against claims that our information security was unreasonable or otherwise violated applicable laws or contractual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our operations in the United States, which may be subject to healthcare and other laws relating to the privacy and security of health information and other personal data, we may seek to conduct clinical trials in the EEA and may become subject to additional EEA data privacy laws, regulations and guidelines.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EU, the processing of personal data (i.e., data which identifies an individual or from which an individual is identifiable) is governed by the EU General Data Protection Regulation 2016/679 (EU GDPR). The U.K. has implemented the EU GDPR as the U.K. GDPR (together with the EU GDPR, the GDPR) which sits alongside the U.K. Data Protection Act 2018. The GDPR has direct effect where an entity is established in the EEA or the U.K. (as applicable) and has extra-territorial effect where an entity established outside of the EEA or the UK processes personal data in relation to the offering of goods or services to individuals in the EEA and/or the UK or the monitoring of their behavior.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GDPR imposes obligations on controllers, including, among others: (i) accountability and transparency requirements, requiring controllers to demonstrate and record compliance with the GDPR and to provide detailed information to individuals regarding the processing of their personal data (e.g., via ICFs); (ii) requirements to process personal data lawfully including specific requirements for obtaining valid consent where consent is the lawful basis for processing; (iii) obligations to consider data protection when any new products or services are developed and designed (including e.g., to limit the amount of personal data processed); (iv) obligations to comply with individuals’ data protection rights; and (v) an obligation to report certain personal data breaches to the competent data protection authority and affected individuals.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EU GDPR prohibits the international transfer of personal data from the EEA to jurisdictions that the European Commission does not recognize as having an ‘adequate’ level of data protection unless a data transfer mechanism has been put in place or a derogation under the EU GDPR can be relied on. In July 2020, the Court of Justice of the EU (CJEU) in its Schrems II judgement limited how organizations could lawfully transfer personal data from the EEA to the U.S. by invalidating the EU-U.S. Privacy Shield for purposes of international transfers and imposing further restrictions on the use of standard contractual clauses (EU SCCs), including a requirement for companies to carry out a transfer privacy impact assessment (TIA). A TIA, among other things, assesses laws governing access to personal data in the recipient country. On 10 July 2023, the European Commission adopted its Final Implementing Decision granting the U.S. adequacy (Adequacy Decision) for EU-U.S. transfers of personal data for entities self-certified to the new Trans-Atlantic Data Privacy Framework (DPF). Entities relying on EU SCCs for transfers to the U.S. are also able to rely on the analysis in the Adequacy Decision as support for their TIA regarding the equivalence of U.S. national security safeguards and redress.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U.K. GDPR also imposes similar restrictions on transfers of personal data from the U.K. to jurisdictions that the U.K. Government does not consider adequate, including the US. The U.K. Government has published its own form of the EU SCCs, known as the International Data Transfer Agreement and an International Data Transfer Addendum to the new EU SCCs. The U.K. Information Commissioner’s Office (ICO) has also published its own version of the TIA. Further, on September 21, 2023, the U.K., Secretary of State for Science, Innovation and Technology established a UK-U.S. data bridge (i.e., a U.K. equivalent of the Adequacy Decision) and adopted UK regulations to implement the U.K.-U.S. data bridge (U.K. Adequacy Regulations). Personal data may now be transferred from the UK under the UK-U.S. data bridge through the UK extension to the DPF to organizations self-certified under the UK extension to DPF.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Data protection supervisory authorities have the power under the GDPR to (amongst other things) impose fines for serious breaches of up to the higher of 4% of the organization’s annual worldwide turnover or €20m (under the EU GDPR) or £17.5m (under the U.K. GDPR). Individuals also have a right to compensation, as a result of an organization’s breach of the GDPR which has affected them, for financial or non-financial losses (e.g., distress).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the event we commence clinical trials in the EEA, the U.K. or Switzerland, applicable data protection laws may increase our responsibility and liability in relation to personal data that we process, and we may be required to put in place additional mechanisms and safeguards to ensure compliance, including as implemented by member states in the European Union. Compliance with data protection laws in the EEA, the U.K. and Switzerland is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We expect that we will continue to face uncertainty as to whether our efforts to comply with any obligations under European or Swiss privacy laws will be sufficient. Further, as the EU GDPR may be implemented differently in national laws of member states of the European Union, we may face additional costs associated with complying with potentially varying data protection requirements in these member states.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we are investigated by a European or Swiss data protection authority, we may face fines and other penalties. Any such investigation or charges by European or Swiss data protection authorities could have a negative effect on our existing business and on our ability to attract and retain new clients or biopharmaceutical partners. We may also experience hesitancy, reluctance, or refusal by European or multi-national clients or biopharmaceutical partners to continue to use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products and solutions due to the potential risk exposure as a result of the current (and, in particular, future) data protection obligations imposed on them by certain data protection authorities in interpretation of current law. Such clients or biopharmaceutical partners may also view any alternative approaches to compliance as being too costly, too burdensome, too legally uncertain, or otherwise objectionable and therefore decide not to do business with us. Any of the forgoing could materially harm our business, prospects, financial condition and results of operations.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Following Brexit, legal, political and economic uncertainty surrounding the exit of the U.K. from the EU may be a source of instability in international markets, create significant currency fluctuations, adversely affect our operations in the U.K. and pose additional risks to our business, revenue, financial condition and results of operations.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31, 2020, the U.K. ceased being a Member State of the EU. The U.K. and the EU signed a EU-U.K. Trade and Cooperation Agreement, or TCA, which became effective on May 1, 2021. Such a withdrawal from the EU is unprecedented, and it is unclear how the restrictions on the U.K.’s access to the European single market for goods, capital, services and labor within the EU, or single market, and the wider commercial, legal and regulatory environment, will impact our current and future operations (including business activities conducted by third parties and contract manufacturers on our behalf) and clinical activities in the U.K.</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may also face new regulatory costs and challenges that could have an adverse effect on our operations. Since the regulatory framework in the U.K. covering quality, safety and efficacy of pharmaceutical products, clinical trials, marketing authorization, commercial sales and distribution of pharmaceutical products is derived from EU Directives and Regulations, Brexit could materially impact the future regulatory regime with respect to the approval of our product candidates in the U.K., now that U.K. legislation may depart from EU legislation. For instance, now the transition period has expired, Great Britain will no longer be covered by the centralized procedure for obtaining an EEA-wide marketing authorization from the EMA and a separate process will be required for authorization of drug products covering the U.K. or Great Britain only. In addition, the MHRA has launched new procedures designed to accelerate the marketing authorization application process including the Innovative Licensing and Access Pathway (ILAP) and the International Recognition Procedure. The ILAP is an accelerated assessment procedure for marketing authorization applications facilitating the early interaction with pricing authorities and HTA bodies which aims to enable companies to enter the U.K. market faster. In January 2024, the MHRA also launched a new International Recognition Procedure for Great Britain (England, Scotland and Wales) marketing authorization applications whereby the MHRA will, when considering such applications, recognize the approval of medicines by trusted reference regulators in Australia, Canada, Switzerland, Singapore, Japan, United States and EU following its own abbreviated assessment. Any delay in obtaining, or an inability to obtain, any regulatory approvals, as a result of Brexit or otherwise, would prevent us from commercializing our product candidates in the U.K. and/or the EU and restrict our ability to generate revenue and achieve and sustain profitability. If any of these outcomes occur, we may be forced to restrict or delay efforts to seek regulatory approval in the U.K. and/or EU for our product candidates, which could significantly and materially harm our business.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TCA allows for future deviation from the current regulatory framework and it is not known if and/or when any deviations may occur, which may have an impact on development, manufacture, marketing authorization, commercial sales and distribution of pharmaceutical products. The U.K. Government and the EU recently adopted a new agreement, the “Windsor Framework,” which amended the Northern Ireland Protocol. According to the Windsor Framework, medicinal products intended for the U.K. market, including Northern Ireland, will be authorized by the MHRA and will bear a “U.K. only” label. This means that medicinal products placed on the market in Northern Ireland will no longer need to be compliant with EU law. These new measures were implemented on January 1, 2025.</w:t>
      </w:r>
    </w:p>
    <w:p>
      <w:pPr>
        <w:pStyle w:val="TextBody"/>
        <w:bidi w:val="0"/>
        <w:spacing w:lineRule="auto" w:line="288" w:before="120" w:after="283"/>
        <w:ind w:left="0" w:right="0" w:firstLine="450"/>
        <w:jc w:val="left"/>
        <w:rPr>
          <w:rFonts w:ascii="Times New Roman;sans-serif" w:hAnsi="Times New Roman;sans-serif"/>
          <w:b/>
          <w:i/>
          <w:color w:val="231F20"/>
          <w:sz w:val="20"/>
        </w:rPr>
      </w:pPr>
      <w:r>
        <w:rPr>
          <w:rFonts w:ascii="Times New Roman;sans-serif" w:hAnsi="Times New Roman;sans-serif"/>
          <w:b/>
          <w:i/>
          <w:color w:val="231F20"/>
          <w:sz w:val="20"/>
        </w:rPr>
        <w:t>Changes in U.S. tax law could adversely affect our financial condition and results of operations.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rules dealing with U.S. federal, state and local income taxation are constantly under review by persons involved in the legislative process and by the U.S. Internal Revenue Service and the U.S. Treasury Department. Changes to tax laws (which changes may have retroactive application) could adversely affect us or holders of our common stock. In recent years, many such changes have been made and changes are likely to continue to occur in the future. Future changes in U.S. tax laws could have a material adverse effect on our business, cash flow, financial condition or results of operations. We urge investors to consult with their legal and tax advisors regarding the implications of potential changes in U.S. tax laws on an investment in our common stock.</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information systems, or those of our collaborators or other contractors or consultants, may fail or suffer security breaches, which could result in a material disruption of our product development programs.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information systems and those of our current and any future collaborators, other contractors or consultants, and third-party suppliers (i.e. our supply chain) are vulnerable to damage from computer viruses, unauthorized access, natural disasters, terrorism, war and telecommunication and electrical failures. We exercise little or no direct control over how these third parties operate their networks, which increases our vulnerability to problems with their systems. While we have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experienced any such material system failure, accident or security breach to date, if such an event were to occur and cause interruptions in our information systems or those of our collaborators, vendors, contractors or consultants, it could result in a disruption of our development programs and our business operations, whether due to a loss of our trade secrets or other proprietary information or other similar disruptions, as well as reputational harm and adverse legal and regulatory consequences. For example, the loss of clinical trial data from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are also subject to cybersecurity risks caused by misappropriation, misuse, leakage, falsification or intentional or accidental release, exposure or loss of information maintained in the information systems and networks of our company and our vendors, including personal information of our employees and study subjects, and company and vendor confidential data. In addition, outside parties may attempt to penetrate our systems or those of our vendors or fraudulently induce our personnel or the personnel of our vendors to disclose sensitive information in order to gain access to our data and/or systems. We may experience threats to our data and systems, including malicious code and viruses, supply chain attacks, phishing and other cyberattacks. The number and complexity of these threats continue to increase over time. While we have not experienced, to date, a cybersecurity threat, including as a result of any previous cybersecurity incidents, that has materially affected or is reasonably likely to materially affect us, including our business strategy, results of operations, or financial condition, we cannot guarantee that we will not experience such a threat or incident in the future. If a material breach of, or accidental or intentional loss of data from, our information technology systems or those of our vendors occurs, the market perception of the effectiveness of our security measures could be harmed and our reputation and credibility could be damaged and we could be subject to adverse legal and regulatory consequences. We could be required to expend significant amounts of money and other resources to repair or replace information systems or networks.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could be subject to regulatory actions and/or claims made by individuals and groups in private litigation involving privacy issues related to data collection and use practices and other data privacy laws and regulations, including claims for misuse or inappropriate disclosure of data, as well as unfair or deceptive practices. Although we develop and maintain systems and controls designed to prevent these events from occurring, and we have a process to identify and mitigate threats, the development and maintenance of these systems, controls and processes is costly and requires ongoing monitoring and updating as technologies change and efforts to overcome security measures become increasingly sophisticated. Moreover, despite our efforts, the possibility of these events occurring cannot be eliminated entirely. As we outsource more of our information systems to vendors, engage in more electronic transactions with payors and patients, and rely more on cloud- based information systems, the related security risks will increase and we will need to expend additional resources to protect our technology and information systems.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there can be no assurance that our internal information technology systems or those of our third- party contractors, or our consultants’ efforts to implement adequate security and control measures, will be sufficient to protect us against breakdowns, service disruption, data deterioration or loss in the event of a system malfunction, or prevent data from being stolen or corrupted in the event of a cyberattack, security breach, industrial espionage attacks or insider threat attacks which could result in financial, legal, business or reputational harm.</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while we maintain insurance policies that may cover certain liabilities in connection with a cybersecurity incident, we cannot be certain that the insurance coverage will be adequate for liabilities actually incurred, that insurance will continue to be available to us on commercially reasonable terms, or at all, or that any insurer will not deny coverage as to any future claim. The successful assertion of one or more large claims that exceed available insurance coverage, or the occurrence of changes in insurance policies, including premium increases or the imposition of large deductible or co-insurance requirements, could have a material adverse effect on our business, including its financial condition, results of operations and reputation.</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Unfavorable global economic conditions could adversely affect our business, financial condition or results of operations.</w:t>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results of operations could be adversely affected by general conditions in the global economy and in the global financial markets. Portions of our future clinical trials may be conducted outside of the United States and unfavorable economic conditions resulting in the weakening of the U.S. dollar would make those clinical trials costlier to operate. Furthermore, the most recent global financial crisis caused extreme volatility and disruptions in the capital and credit markets. A severe or prolonged economic downturn, due to factors including the effects of health epidemics and pandemics, such as COVID-19, geopolitical events, such as the Russian invasion of Ukraine, the Israel-Hamas conflict and related global escalation of geopolitical tensions, inflationary pressures, interest rates volatility and domestic or international trade policy could result in a variety of risks to our business, including a reduced ability to raise additional capital when needed on acceptable terms, if at all. A weak or declining economy or international trade disputes could also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strain our suppliers, some of which are located outside of the United States, possibly resulting in supply disruption. Any of the foregoing could harm our business and we cannot anticipate all of the ways in which the current economic climate and financial market conditions could adversely impact our business.</w:t>
      </w:r>
    </w:p>
    <w:p>
      <w:pPr>
        <w:pStyle w:val="TextBody"/>
        <w:bidi w:val="0"/>
        <w:spacing w:lineRule="auto" w:line="288" w:before="120" w:after="283"/>
        <w:ind w:left="0" w:right="0" w:firstLine="450"/>
        <w:jc w:val="left"/>
        <w:rPr>
          <w:rFonts w:ascii="Times New Roman;sans-serif" w:hAnsi="Times New Roman;sans-serif"/>
          <w:b/>
          <w:i/>
          <w:color w:val="231F20"/>
          <w:sz w:val="20"/>
        </w:rPr>
      </w:pPr>
      <w:r>
        <w:rPr>
          <w:rFonts w:ascii="Times New Roman;sans-serif" w:hAnsi="Times New Roman;sans-serif"/>
          <w:b/>
          <w:i/>
          <w:color w:val="231F20"/>
          <w:sz w:val="20"/>
        </w:rPr>
        <w:t>Use of social media platforms presents risks and challenges.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Social media is a medium through which we communicate about our clinical development programs and the diseases our therapeutics are being developed to treat, and we intend to utilize appropriate social media in connection with our commercialization efforts following approval of our product candidates, if any. Social media practices in the biopharmaceutical industry continue to evolve and regulations and regulatory guidance relating to such use are evolving and not always clear. This evolution creates uncertainty and risk of noncompliance with regulations applicable to our business, resulting in potential regulatory actions against us, along with the potential for litigation related to off-label marketing or other prohibited activities. For example, patients may use social media channels to comment on their experience in an ongoing blinded clinical trial or to report an alleged adverse event. When such disclosures occur, there is a risk that trial enrollment may be adversely impacted, that we may fail to monitor and comply with applicable adverse event reporting obligations or that we may not be able to defend our business or the public’s legitimate interests in the face of the political and market pressures generated by social media due to restrictions on what we may say about our product candidates. There is also a risk of inappropriate disclosure of sensitive information or negative or inaccurate posts or comments about us on any social networking website. If any of these events were to occur or we otherwise fail to comply with applicable regulations, we could incur liability, face regulatory actions or incur other harm to our business.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estimates of market opportunity and forecasts of market growth may prove to be inaccurate, and even if the markets in which we compete achieve the forecasted growth, our business may not grow at similar rates, or at all.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 our size estimates and growth forecasts, our business may not grow at similar rates, or at all. Our growth is subject to many factors, including our success in implementing our business strategy, which is subject to many risks and uncertainties.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Pliant’s Cybersecurity Program is integral to safeguarding our assets, maintaining stakeholder trust, and ensuring the continuity of our operations. The management of our Cybersecurity Program is entrusted to the Cybersecurity Governance Committee (“CSGC”), which includes our Chief Financial Officer, General Counsel, Head of Information Technology and Corporate Controller. The CSGC draws on more than twenty years of experience focused in the areas of corporate governance and implementation and oversight of information technology systems and processes. The Board of Directors has delegated oversight of the Company's Cybersecurity Program to the Audit Committee, who receives regular reports from the Chief Financial Officer regarding cyber risks and threats, progress of the Company's projects aimed at strengthening information security systems, assessments of the Cybersecurity Program, and insights into the evolving threat landscape. The Audit Committee provides updates about the Company's Cybersecurity Program to the Board of Directors at least annually.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CSGC leads the enterprise-wide cybersecurity strategy and policy development to ensure alignment and best practices informed by industry established frameworks. The Cybersecurity Program emphasizes continuous improvement by actively engaging with internal and external stakeholders, striving to stay ahead of emerging threats, adapting to the evolving cybersecurity landscape, and fortifying our defenses against potential risks. The Cybersecurity Program undergoes regular evaluations conducted by both internal and external experts to assess the strength of our Cybersecurity Program. Regular penetration tests are performed as well as simulated cybersecurity events to test our defenses and responses to unmitigated penetrations. The results of these evaluations are reported to the CSGC and Audit Committee of the Board of Directors. We have also deployed an information security training program for our employees that includes training on matters such as phishing and email security best practices as well as required training on data privacy. </w:t>
      </w:r>
    </w:p>
    <w:p>
      <w:pPr>
        <w:pStyle w:val="TextBody"/>
        <w:bidi w:val="0"/>
        <w:spacing w:lineRule="auto" w:line="276"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implemented processes designed to minimize the chance of a successful cyberattack and we have also established incident response procedures to address a cyber threat that may occur despite these safeguards. Pliant’s Cybersecurity Incident Response Plan includes engagement with key vendors, industry participants, and intelligence and law enforcement communities which are a fundamental aspect of our strategy. The Response Plan addresses (1) detection, (2) analysis, (3) communication, (4) containment, (5) eradication, (6) recovery and (7) post-incident review.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20" w:after="283"/>
        <w:ind w:left="0" w:right="0" w:firstLine="450"/>
        <w:jc w:val="left"/>
        <w:rPr/>
      </w:pPr>
      <w:r>
        <w:rPr>
          <w:rFonts w:ascii="Times New Roman;sans-serif" w:hAnsi="Times New Roman;sans-serif"/>
          <w:b w:val="false"/>
          <w:color w:val="000000"/>
          <w:sz w:val="20"/>
        </w:rPr>
        <w:t>As of the date of this report, we have not identified any risks from cybersecurity threats, including as a result of any previous cybersecurity incidents, that have materially affected us, our business strategy, results of operation or financial condition. For more information about the risks we face from cybersecurity incidents, please refer those discussed risk factors starting with “</w:t>
      </w:r>
      <w:r>
        <w:rPr>
          <w:rFonts w:ascii="Times New Roman;sans-serif" w:hAnsi="Times New Roman;sans-serif"/>
          <w:b w:val="false"/>
          <w:i/>
          <w:color w:val="000000"/>
          <w:sz w:val="20"/>
        </w:rPr>
        <w:t>We may incur substantial costs in our efforts to comply with evolving global data protection…</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i/>
          <w:color w:val="000000"/>
          <w:sz w:val="20"/>
        </w:rPr>
        <w:t>Our internal computer systems, or those of our collaborators…</w:t>
      </w:r>
      <w:r>
        <w:rPr>
          <w:color w:val="000000"/>
        </w:rPr>
        <w:t xml:space="preserve">” </w:t>
      </w:r>
      <w:r>
        <w:rPr>
          <w:rFonts w:ascii="Times New Roman;sans-serif" w:hAnsi="Times New Roman;sans-serif"/>
          <w:b w:val="false"/>
          <w:color w:val="000000"/>
          <w:sz w:val="20"/>
        </w:rPr>
        <w:t>in the section entitled “Risk Factors” included under Part I, Item 1A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lease premises consisting of approximately 100,904 square feet of office and laboratory space located at Oyster Point Blvd, South San Francisco, California pursuant to a lease agreement entered into on September 28, 2023 (the "Oyster Point Lease"), which is being used as a single unified Company headquarters. The lease term of approximately seven years started in the second quarter of 2024. We believe that our current facilities are sufficient to meet our current and near-term needs for the business of developing and commercializing novel therapies for fibrotic diseases and that, should it be needed, suitable additional space will be available.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previously leased (i) a facility containing 32,974 square feet of laboratory and office space located at 260 Littlefield Avenue, South San Francisco, California 94080, which lease terminated in the third quarter of 2024 and (ii) a facility lease containing 12,456 square feet of office space at 611 Gateway Boulevard, South San Francisco, California 94080, which lease expired March 31,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the date of this Annual Report, we are not party to any material legal matters or claims. We may become party to legal matters and claims arising in the ordinary course of business. We cannot predict the outcome of any such legal matters or claims, and despite the potential outcomes, the existence thereof may have an adverse impact on us because of defense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Market Information</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common stock has been listed on the Nasdaq Global Select Market under the symbol “PLRX” since June 3, 2020. Prior to that date, there was no public trading market for our common stock.</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Performance Graph</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comparisons in the table below are required by the SEC and are not intended to forecast or be indicative of possible future performance of our common stock. This graph shall not be deemed “soliciting material” or be deemed “filed” for purposes of Section 18 of the Exchange Act, or otherwise subject to the liabilities under that Section, and shall not be deemed to be incorporated by reference into any of our filings under the Securities Act, whether made before or after the date hereof and irrespective of any general incorporation language in any such filing, except to the extent we specifically incorporate it by reference into such filing.</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graph compares cumulative total return of our common stock with the cumulative total return of (i) The Nasdaq Composite Index, and (ii) The Nasdaq Biotechnology Index. The graph assumes (a) $100 was invested from June 3, 2020, the first day of trading of our common stock on the Nasdaq Global Select Market through December 31, 2024 in each of our common stock, the stocks comprising the Nasdaq Composite Index and the stocks comprising the Nasdaq Biotechnology Index, and (b) the reinvestment of dividends into shares of common stock; however, no dividends have been declared on our common stock to date.</w:t>
      </w:r>
    </w:p>
    <w:p>
      <w:pPr>
        <w:pStyle w:val="TextBody"/>
        <w:bidi w:val="0"/>
        <w:spacing w:before="120" w:after="283"/>
        <w:ind w:left="0" w:right="0" w:firstLine="450"/>
        <w:jc w:val="left"/>
        <w:rPr/>
      </w:pPr>
      <w:r>
        <w:rPr/>
      </w:r>
    </w:p>
    <w:p>
      <w:pPr>
        <w:pStyle w:val="TextBody"/>
        <w:bidi w:val="0"/>
        <w:spacing w:before="120" w:after="283"/>
        <w:ind w:left="0" w:right="0" w:firstLine="450"/>
        <w:jc w:val="left"/>
        <w:rPr/>
      </w:pPr>
      <w:r>
        <w:rPr/>
        <w:drawing>
          <wp:inline distT="0" distB="0" distL="0" distR="0">
            <wp:extent cx="6000750" cy="3429000"/>
            <wp:effectExtent l="0" t="0" r="0" b="0"/>
            <wp:docPr id="7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2" descr=""/>
                    <pic:cNvPicPr>
                      <a:picLocks noChangeAspect="1" noChangeArrowheads="1"/>
                    </pic:cNvPicPr>
                  </pic:nvPicPr>
                  <pic:blipFill>
                    <a:blip r:embed="rId3"/>
                    <a:stretch>
                      <a:fillRect/>
                    </a:stretch>
                  </pic:blipFill>
                  <pic:spPr bwMode="auto">
                    <a:xfrm>
                      <a:off x="0" y="0"/>
                      <a:ext cx="6000750" cy="3429000"/>
                    </a:xfrm>
                    <a:prstGeom prst="rect">
                      <a:avLst/>
                    </a:prstGeom>
                  </pic:spPr>
                </pic:pic>
              </a:graphicData>
            </a:graphic>
          </wp:inline>
        </w:drawing>
      </w:r>
    </w:p>
    <w:p>
      <w:pPr>
        <w:pStyle w:val="TextBody"/>
        <w:bidi w:val="0"/>
        <w:spacing w:before="120" w:after="283"/>
        <w:ind w:left="0" w:right="0" w:firstLine="450"/>
        <w:jc w:val="left"/>
        <w:rPr/>
      </w:pPr>
      <w:r>
        <w:rPr/>
      </w:r>
    </w:p>
    <w:p>
      <w:pPr>
        <w:pStyle w:val="TextBody"/>
        <w:bidi w:val="0"/>
        <w:spacing w:before="120" w:after="283"/>
        <w:ind w:left="0" w:right="0" w:firstLine="450"/>
        <w:jc w:val="left"/>
        <w:rPr/>
      </w:pPr>
      <w:r>
        <w:rPr/>
      </w:r>
    </w:p>
    <w:tbl>
      <w:tblPr>
        <w:tblW w:w="10205" w:type="dxa"/>
        <w:jc w:val="left"/>
        <w:tblInd w:w="0" w:type="dxa"/>
        <w:tblLayout w:type="fixed"/>
        <w:tblCellMar>
          <w:top w:w="28" w:type="dxa"/>
          <w:left w:w="28" w:type="dxa"/>
          <w:bottom w:w="28" w:type="dxa"/>
          <w:right w:w="28" w:type="dxa"/>
        </w:tblCellMar>
      </w:tblPr>
      <w:tblGrid>
        <w:gridCol w:w="848"/>
        <w:gridCol w:w="715"/>
        <w:gridCol w:w="716"/>
        <w:gridCol w:w="211"/>
        <w:gridCol w:w="616"/>
        <w:gridCol w:w="109"/>
        <w:gridCol w:w="109"/>
        <w:gridCol w:w="109"/>
        <w:gridCol w:w="109"/>
        <w:gridCol w:w="234"/>
        <w:gridCol w:w="684"/>
        <w:gridCol w:w="121"/>
        <w:gridCol w:w="109"/>
        <w:gridCol w:w="109"/>
        <w:gridCol w:w="109"/>
        <w:gridCol w:w="234"/>
        <w:gridCol w:w="684"/>
        <w:gridCol w:w="121"/>
        <w:gridCol w:w="109"/>
        <w:gridCol w:w="109"/>
        <w:gridCol w:w="109"/>
        <w:gridCol w:w="234"/>
        <w:gridCol w:w="684"/>
        <w:gridCol w:w="121"/>
        <w:gridCol w:w="109"/>
        <w:gridCol w:w="109"/>
        <w:gridCol w:w="109"/>
        <w:gridCol w:w="234"/>
        <w:gridCol w:w="684"/>
        <w:gridCol w:w="121"/>
        <w:gridCol w:w="109"/>
        <w:gridCol w:w="109"/>
        <w:gridCol w:w="109"/>
        <w:gridCol w:w="234"/>
        <w:gridCol w:w="684"/>
        <w:gridCol w:w="121"/>
        <w:gridCol w:w="160"/>
      </w:tblGrid>
      <w:tr>
        <w:trPr/>
        <w:tc>
          <w:tcPr>
            <w:tcW w:w="848"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6/3/2020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12/31/2020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12/31/2021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12/31/2022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12/31/2023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12/31/2024</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Pliant Therapeutics Inc.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Nasdaq Composite Index</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Nasdaq Biotechnology Index</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Holders of Record</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the close of business on February 21, 2025, there were 36 stockholders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cash dividends on our common stock. We currently intend to retain all available funds and future earnings, if any, for the development, operation and expansion of our business and do not anticipate declaring or paying any cash dividends for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Securities Authorized for Issuance under Equity Compensation Plans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about our equity compensation plans is incorporated herein by reference to Item 12 of Part III of this Annual Report on Form 10-K.</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Recent Sales of Unregistered Securities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Issuer Purchases of Equity Securities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6. [Reserved]</w:t>
      </w:r>
    </w:p>
    <w:p>
      <w:pPr>
        <w:pStyle w:val="TextBody"/>
        <w:bidi w:val="0"/>
        <w:spacing w:lineRule="auto" w:line="288" w:before="2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lineRule="auto" w:line="288" w:before="120" w:after="283"/>
        <w:ind w:left="0" w:right="0" w:firstLine="450"/>
        <w:jc w:val="left"/>
        <w:rPr/>
      </w:pPr>
      <w:r>
        <w:rPr>
          <w:rFonts w:ascii="Times New Roman;sans-serif" w:hAnsi="Times New Roman;sans-serif"/>
          <w:b w:val="false"/>
          <w:i/>
          <w:color w:val="000000"/>
          <w:sz w:val="20"/>
        </w:rPr>
        <w:t xml:space="preserve">The following discussion and analysis is intended to provide material information around events and uncertainties known to management relevant to an assessment of the financial condition and results of operations of the Company and should therefore be read in conjunction with our audited Financial Statements and the accompanying Notes to Financial Statements and other disclosures included in this Annual Report on Form 10-K (including the disclosures under Part I, Item 1A. Risk Factors) where other material events and uncertainties not otherwise discussed below are disclosed. Certain amounts and percentages herein may not sum or recalculate due to rounding. The following discussion and analysis does not address certain items regarding the year ended December 31, 2022. Discussion and analysis of 2022 and year-to-year comparisons between 2023 and 2022 that are not included in this Report can be found in Item 7. Management’s Discussion and Analysis of Financial Condition and Results of Operations of our </w:t>
      </w:r>
      <w:hyperlink r:id="rId4">
        <w:r>
          <w:rPr>
            <w:rStyle w:val="InternetLink"/>
          </w:rPr>
          <w:t>202</w:t>
        </w:r>
      </w:hyperlink>
      <w:hyperlink r:id="rId5">
        <w:r>
          <w:rPr>
            <w:rStyle w:val="InternetLink"/>
          </w:rPr>
          <w:t>3</w:t>
        </w:r>
      </w:hyperlink>
      <w:hyperlink r:id="rId6">
        <w:r>
          <w:rPr>
            <w:rStyle w:val="InternetLink"/>
          </w:rPr>
          <w:t xml:space="preserve"> Annual Report on Form 10-K</w:t>
        </w:r>
      </w:hyperlink>
      <w:r>
        <w:rPr>
          <w:color w:val="000000"/>
        </w:rPr>
        <w:t xml:space="preserve"> </w:t>
      </w:r>
      <w:r>
        <w:rPr>
          <w:rFonts w:ascii="Times New Roman;sans-serif" w:hAnsi="Times New Roman;sans-serif"/>
          <w:b w:val="false"/>
          <w:i/>
          <w:color w:val="000000"/>
          <w:sz w:val="20"/>
        </w:rPr>
        <w:t>filed with the U.S. Securities and Exchange Commission (“SEC" on February 27, 2024).</w:t>
      </w:r>
    </w:p>
    <w:p>
      <w:pPr>
        <w:pStyle w:val="TextBody"/>
        <w:bidi w:val="0"/>
        <w:spacing w:lineRule="auto" w:line="288" w:before="120" w:after="12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we have conducted exhaustive inquiry into, or review of, all potentially available relevant information. These statements are inherently uncertain and investors are cautioned not to unduly rely upon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are a late-stage biopharmaceutical company focused on discovering and developing novel therapies for the treatment of fibrosis and related diseases. Our initial focus is on treating fibrosis by inhibiting integrin-mediated activation of TGF-β. We have applied our deep understanding of fibrosis biology, along with our medicinal chemistry and translational medicine expertise to develop a set of proprietary tools designed to discover and de-risk product candidates quickly and efficiently. Our wholly owned lead product candidate, bexotegrast, is an oral, small molecule, dual selective inhibitor of αvβ6 and αvβ1 integrins that we are developing for the treatment of idiopathic pulmonary fibrosis, or IPF. We have recently discontinued BEACON-IPF trial, a global Phase 2b trial in patients with idiopathic pulmonary fibrosis (IPF). While an imbalance in unadjudicated IPF-related adverse events between the treatment and placebo groups led to the discontinuation of the trial, early evidence of efficacy on the forced vital capacity (FVC) endpoint was also observed. The Company plans to analyze the complete data from the BEACON-IPF trial and evaluate next steps for bexotegrast’s development.</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2023, we received United States Food and Drug Administration, or FDA, clearance of an investigational new drug application, or IND, for PLN-101095, a small molecule, dual selective inhibitor of integrins αvβ8 and αvβ1 for the treatment of solid tumors that are resistant to immune checkpoint inhibitors. We are currently dosing the fourth of five dose cohorts in a Phase 1 open-label dose-escalation trial of PLN-101095 as monotherapy and in combination with pembrolizumab in patients with solid tumors that are resistant to immune checkpoint inhibitors. Preliminary data from cohorts one through three is expected in the first quarter of 2025.</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Phase 1-ready program PLN-101325, is in development for treatment of muscular dystrophies, including Duchenne muscular dystrophy. PLN-101325 is a monoclonal antibody designed to act as an allosteric agonist of integrin α7β1. PLN-101325 has received a clinical trial approval (CTA) in Australia.</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also developed PLN-1474, an oral, small molecule selective inhibitor of αvß1 for the treatment of liver fibrosis associated with nonalcoholic steatohepatitis, or MASH. Global rights to PLN-1474, licensed to Novartis in 2019, were returned to Pliant in 2023 upon termination of our collaboration and license agreement.</w:t>
      </w:r>
    </w:p>
    <w:p>
      <w:pPr>
        <w:pStyle w:val="TextBody"/>
        <w:bidi w:val="0"/>
        <w:spacing w:lineRule="auto" w:line="276" w:before="200" w:after="283"/>
        <w:jc w:val="left"/>
        <w:rPr>
          <w:rFonts w:ascii="Times New Roman;sans-serif" w:hAnsi="Times New Roman;sans-serif"/>
          <w:b/>
          <w:color w:val="000000"/>
          <w:sz w:val="20"/>
        </w:rPr>
      </w:pPr>
      <w:r>
        <w:rPr>
          <w:rFonts w:ascii="Times New Roman;sans-serif" w:hAnsi="Times New Roman;sans-serif"/>
          <w:b/>
          <w:color w:val="000000"/>
          <w:sz w:val="20"/>
        </w:rPr>
        <w:t xml:space="preserve">Recent Events </w:t>
      </w:r>
    </w:p>
    <w:p>
      <w:pPr>
        <w:pStyle w:val="TextBody"/>
        <w:bidi w:val="0"/>
        <w:spacing w:lineRule="auto" w:line="288" w:before="12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Bexotegrast Highlights</w:t>
      </w:r>
    </w:p>
    <w:p>
      <w:pPr>
        <w:pStyle w:val="TextBody"/>
        <w:bidi w:val="0"/>
        <w:spacing w:lineRule="auto" w:line="288" w:before="120" w:after="283"/>
        <w:ind w:left="0" w:right="0" w:hanging="360"/>
        <w:jc w:val="left"/>
        <w:rPr/>
      </w:pPr>
      <w:r>
        <w:rPr>
          <w:color w:val="000000"/>
          <w:shd w:fill="FFFFFF" w:val="clear"/>
        </w:rPr>
        <w:t>•</w:t>
      </w:r>
      <w:r>
        <w:rPr>
          <w:rFonts w:ascii="Times New Roman;sans-serif" w:hAnsi="Times New Roman;sans-serif"/>
          <w:b/>
          <w:color w:val="000000"/>
          <w:sz w:val="20"/>
          <w:shd w:fill="FFFFFF" w:val="clear"/>
        </w:rPr>
        <w:t xml:space="preserve">BEACON-IPF discontinued following recommendation from expanded data safety monitoring board (DSMB). </w:t>
      </w:r>
      <w:r>
        <w:rPr>
          <w:rFonts w:ascii="Times New Roman;sans-serif" w:hAnsi="Times New Roman;sans-serif"/>
          <w:b w:val="false"/>
          <w:color w:val="000000"/>
          <w:sz w:val="20"/>
          <w:shd w:fill="FFFFFF" w:val="clear"/>
        </w:rPr>
        <w:t xml:space="preserve">Following a prespecified data review and recommendation by the trial’s independent DSMB, as well as a secondary review and recommendation by an outside expert panel, Pliant has discontinued the BEACON-IPF Phase 2b trial.While an imbalance in unadjudicated IPF-related adverse events between the treatment and placebo groups led to the discontinuation of the trial, early evidence of efficacy on the forced vital capacity (FVC) endpoint was also observed. The Company plans to analyze the complete data from the BEACON-IPF trial and evaluate next steps for bexotegrast’s development. BEACON-IPF is a 52-week, multinational, randomized, dose-ranging, double-blind, placebo-controlled trial evaluating bexotegrast at once-daily doses of 160 mg or 320 mg in patients with idiopathic pulmonary fibrosis (IPF). </w:t>
      </w:r>
    </w:p>
    <w:p>
      <w:pPr>
        <w:pStyle w:val="TextBody"/>
        <w:bidi w:val="0"/>
        <w:spacing w:lineRule="auto" w:line="288" w:before="120" w:after="283"/>
        <w:jc w:val="left"/>
        <w:rPr/>
      </w:pPr>
      <w:r>
        <w:rPr>
          <w:rFonts w:ascii="Times New Roman;sans-serif" w:hAnsi="Times New Roman;sans-serif"/>
          <w:b/>
          <w:color w:val="000000"/>
          <w:sz w:val="20"/>
          <w:u w:val="single"/>
          <w:shd w:fill="FFFFFF" w:val="clear"/>
        </w:rPr>
        <w:t xml:space="preserve">Oncology </w:t>
      </w:r>
      <w:r>
        <w:rPr>
          <w:rFonts w:ascii="Times New Roman;sans-serif" w:hAnsi="Times New Roman;sans-serif"/>
          <w:b/>
          <w:color w:val="000000"/>
          <w:sz w:val="20"/>
          <w:u w:val="single"/>
        </w:rPr>
        <w:t>Program</w:t>
      </w:r>
    </w:p>
    <w:p>
      <w:pPr>
        <w:pStyle w:val="TextBody"/>
        <w:bidi w:val="0"/>
        <w:spacing w:lineRule="auto" w:line="288" w:before="120" w:after="283"/>
        <w:ind w:left="0" w:right="0" w:hanging="360"/>
        <w:jc w:val="left"/>
        <w:rPr/>
      </w:pPr>
      <w:r>
        <w:rPr>
          <w:color w:val="000000"/>
        </w:rPr>
        <w:t>•</w:t>
      </w:r>
      <w:r>
        <w:rPr>
          <w:rFonts w:ascii="Times New Roman;sans-serif" w:hAnsi="Times New Roman;sans-serif"/>
          <w:b/>
          <w:color w:val="000000"/>
          <w:sz w:val="20"/>
        </w:rPr>
        <w:t xml:space="preserve">Phase 1 trial of PLN-101095 in solid tumors continues to enroll, with interim data expected in the first quarter 2025. </w:t>
      </w:r>
      <w:r>
        <w:rPr>
          <w:rFonts w:ascii="Times New Roman;sans-serif" w:hAnsi="Times New Roman;sans-serif"/>
          <w:b w:val="false"/>
          <w:color w:val="000000"/>
          <w:sz w:val="20"/>
        </w:rPr>
        <w:t xml:space="preserve">This is a Phase 1 open label trial of PLN-101095, an oral, small molecule, dual selective inhibitor of αvβ8 and αvβ1 integrins designed to block TGF-β activation in the tumor microenvironment. The trial is currently dosing the fourth of five planned dose cohorts in a Phase 1 open label dose-escalation trial of PLN-101095 as monotherapy and in combination with pembrolizumab in patients with solid tumors that are resistant to immune checkpoint inhibitors. Interim data from the first three cohorts is expected in the first quarter of 2025. </w:t>
      </w:r>
    </w:p>
    <w:p>
      <w:pPr>
        <w:pStyle w:val="TextBody"/>
        <w:bidi w:val="0"/>
        <w:spacing w:lineRule="auto" w:line="288" w:before="120" w:after="283"/>
        <w:jc w:val="left"/>
        <w:rPr/>
      </w:pPr>
      <w:r>
        <w:rPr>
          <w:rFonts w:ascii="Times New Roman;sans-serif" w:hAnsi="Times New Roman;sans-serif"/>
          <w:b/>
          <w:color w:val="000000"/>
          <w:sz w:val="20"/>
          <w:u w:val="single"/>
          <w:shd w:fill="FFFFFF" w:val="clear"/>
        </w:rPr>
        <w:t xml:space="preserve">Neuromuscular </w:t>
      </w:r>
      <w:r>
        <w:rPr>
          <w:rFonts w:ascii="Times New Roman;sans-serif" w:hAnsi="Times New Roman;sans-serif"/>
          <w:b/>
          <w:color w:val="000000"/>
          <w:sz w:val="20"/>
          <w:u w:val="single"/>
        </w:rPr>
        <w:t>Program</w:t>
      </w:r>
    </w:p>
    <w:p>
      <w:pPr>
        <w:pStyle w:val="TextBody"/>
        <w:bidi w:val="0"/>
        <w:spacing w:lineRule="auto" w:line="288" w:before="120" w:after="283"/>
        <w:ind w:left="0" w:right="0" w:hanging="360"/>
        <w:jc w:val="left"/>
        <w:rPr/>
      </w:pPr>
      <w:r>
        <w:rPr>
          <w:color w:val="000000"/>
        </w:rPr>
        <w:t>•</w:t>
      </w:r>
      <w:r>
        <w:rPr>
          <w:rFonts w:ascii="Times New Roman;sans-serif" w:hAnsi="Times New Roman;sans-serif"/>
          <w:b/>
          <w:color w:val="000000"/>
          <w:sz w:val="20"/>
        </w:rPr>
        <w:t xml:space="preserve">PLN-101325 for treatment of muscular dystrophies. </w:t>
      </w:r>
      <w:r>
        <w:rPr>
          <w:rFonts w:ascii="Times New Roman;sans-serif" w:hAnsi="Times New Roman;sans-serif"/>
          <w:b w:val="false"/>
          <w:color w:val="000000"/>
          <w:sz w:val="20"/>
        </w:rPr>
        <w:t>PLN-101325 is a monoclonal antibody that acts as an allosteric agonist of integrin α7β1, currently in development for treatment of muscular dystrophies. PLN-101325 is Phase 1 ready with clinical trial approval (CTA) open in Australia.</w:t>
      </w:r>
    </w:p>
    <w:p>
      <w:pPr>
        <w:pStyle w:val="TextBody"/>
        <w:bidi w:val="0"/>
        <w:spacing w:lineRule="auto" w:line="288" w:before="120" w:after="283"/>
        <w:jc w:val="left"/>
        <w:rPr>
          <w:rFonts w:ascii="Times New Roman;sans-serif" w:hAnsi="Times New Roman;sans-serif"/>
          <w:b/>
          <w:color w:val="000000"/>
          <w:sz w:val="20"/>
          <w:u w:val="single"/>
          <w:shd w:fill="FFFFFF" w:val="clear"/>
        </w:rPr>
      </w:pPr>
      <w:r>
        <w:rPr>
          <w:rFonts w:ascii="Times New Roman;sans-serif" w:hAnsi="Times New Roman;sans-serif"/>
          <w:b/>
          <w:color w:val="000000"/>
          <w:sz w:val="20"/>
          <w:u w:val="single"/>
          <w:shd w:fill="FFFFFF" w:val="clear"/>
        </w:rPr>
        <w:t>Corporate Highlights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color w:val="000000"/>
          <w:sz w:val="20"/>
        </w:rPr>
        <w:t>Appointment of Delphine Imbert, Ph.D. as Chief Technical Officer.</w:t>
      </w:r>
      <w:r>
        <w:rPr>
          <w:color w:val="000000"/>
        </w:rPr>
        <w:t xml:space="preserve"> </w:t>
      </w:r>
      <w:r>
        <w:rPr>
          <w:rFonts w:ascii="Times New Roman;sans-serif" w:hAnsi="Times New Roman;sans-serif"/>
          <w:b w:val="false"/>
          <w:color w:val="000000"/>
          <w:sz w:val="20"/>
        </w:rPr>
        <w:t>Dr. Imbert brings 25 years of product development, process optimization and manufacturing experience across multiple drug modalities. Most recently, Dr. Imbert served as Senior Vice President of CMC and Technical Operations at Chinook Therapeutics.</w:t>
      </w:r>
    </w:p>
    <w:p>
      <w:pPr>
        <w:pStyle w:val="TextBody"/>
        <w:bidi w:val="0"/>
        <w:spacing w:lineRule="auto" w:line="288" w:before="240" w:after="120"/>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Since inception, we have had significant operating losses. Our net loss was $210.3 million, $161.3 million and $123.3 million for the years ended December 31, 2024, 2023 and 2022, respectively. As of December 31, 2024, we had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 of $710.1 million and cash, cash equivalents, restricted cash and short-term investments of $357.2 million. We expect to continue to incur net losses for the foreseeable future, and we expect our research and development expenses, general and administrative expenses, and capital expenditures will increase in connection with our ongoing activities, as we:</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perform research and development activities to identify and develop product candidates;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advance product candidates into and through clinical development;</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require the manufacture of supplies to support research and development, preclinical studies and clinical trials;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seek regulatory approvals for any product candidates that successfully complete clinical trials;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expand our operational, financial and management systems and increase personnel to support our clinical development, manufacturing and commercialization efforts and our operations as a public company;</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maintain, expand and protect our intellectual property portfolio; and</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invest in or in-license other technologies or product candidates.</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 xml:space="preserve">Financial Operations Overview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not generated any revenue from product sales and do not expect to do so in the near future. Our revenue to date is derived from a Collaboration and License Agreement with Novartis, or the "Novartis Agreement," that was executed in 2019.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Novartis Agreement was for the development and commercialization of PLN-1474 and up to three additional integrin research targets. Under the terms of the Novartis Agreement, we received an upfront license fee payment of $50.0 million for the worldwide, exclusive license to PLN-1474 and an additional $29.0 million upon the achievement of specified research and development milestones. Novartis discontinued clinical development in MASH and, as a result, discontinued development of PLN-1474. In February 2023, Novartis issued a termination notice for the collaboration and license agreement, and returned global rights to Pliant for PLN-1474.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Following termination of the Novartis Agreement, we were no longer eligible to receive additional milestone or royalty payments under the arrangement, however, we continued to earn research and development services revenues through the effective termination date of April 18, 2023.</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Revenues for the years ended December 31, 2024, 2023 and 2022 were nil, $1.6 million and $9.7 million respectively.</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12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expenses consist of expenses incurred in connection with the development of our product candidates. Research and development expenses include:</w:t>
      </w:r>
    </w:p>
    <w:p>
      <w:pPr>
        <w:pStyle w:val="TextBody"/>
        <w:bidi w:val="0"/>
        <w:spacing w:lineRule="auto" w:line="288" w:before="60" w:after="283"/>
        <w:ind w:left="0" w:right="0" w:hanging="720"/>
        <w:jc w:val="left"/>
        <w:rPr/>
      </w:pPr>
      <w:r>
        <w:rPr>
          <w:color w:val="000000"/>
        </w:rPr>
        <w:t>•</w:t>
      </w:r>
      <w:r>
        <w:rPr>
          <w:rFonts w:ascii="Times New Roman;sans-serif" w:hAnsi="Times New Roman;sans-serif"/>
          <w:b w:val="false"/>
          <w:color w:val="000000"/>
          <w:sz w:val="20"/>
        </w:rPr>
        <w:t>employee-related expenses, which include salaries, benefits and stock-based compensation for our research and development personnel;</w:t>
      </w:r>
    </w:p>
    <w:p>
      <w:pPr>
        <w:pStyle w:val="TextBody"/>
        <w:bidi w:val="0"/>
        <w:spacing w:lineRule="auto" w:line="288" w:before="60" w:after="283"/>
        <w:ind w:left="0" w:right="0" w:hanging="720"/>
        <w:jc w:val="left"/>
        <w:rPr/>
      </w:pPr>
      <w:r>
        <w:rPr>
          <w:color w:val="000000"/>
        </w:rPr>
        <w:t>•</w:t>
      </w:r>
      <w:r>
        <w:rPr>
          <w:rFonts w:ascii="Times New Roman;sans-serif" w:hAnsi="Times New Roman;sans-serif"/>
          <w:b w:val="false"/>
          <w:color w:val="000000"/>
          <w:sz w:val="20"/>
        </w:rPr>
        <w:t>expenses incurred under agreements with third-party contract organizations for pre-clinical studies, clinical trials and consultants that conduct research and development activities on our behalf;</w:t>
      </w:r>
    </w:p>
    <w:p>
      <w:pPr>
        <w:pStyle w:val="TextBody"/>
        <w:bidi w:val="0"/>
        <w:spacing w:lineRule="auto" w:line="288" w:before="60" w:after="283"/>
        <w:ind w:left="0" w:right="0" w:hanging="720"/>
        <w:jc w:val="left"/>
        <w:rPr/>
      </w:pPr>
      <w:r>
        <w:rPr>
          <w:color w:val="000000"/>
        </w:rPr>
        <w:t>•</w:t>
      </w:r>
      <w:r>
        <w:rPr>
          <w:rFonts w:ascii="Times New Roman;sans-serif" w:hAnsi="Times New Roman;sans-serif"/>
          <w:b w:val="false"/>
          <w:color w:val="000000"/>
          <w:sz w:val="20"/>
        </w:rPr>
        <w:t>costs associated with the manufacture of supplies to support research and development, preclinical studies and clinical trials;</w:t>
      </w:r>
    </w:p>
    <w:p>
      <w:pPr>
        <w:pStyle w:val="TextBody"/>
        <w:bidi w:val="0"/>
        <w:spacing w:lineRule="auto" w:line="288" w:before="60" w:after="283"/>
        <w:ind w:left="0" w:right="0" w:hanging="720"/>
        <w:jc w:val="left"/>
        <w:rPr/>
      </w:pPr>
      <w:r>
        <w:rPr>
          <w:color w:val="000000"/>
        </w:rPr>
        <w:t>•</w:t>
      </w:r>
      <w:r>
        <w:rPr>
          <w:rFonts w:ascii="Times New Roman;sans-serif" w:hAnsi="Times New Roman;sans-serif"/>
          <w:b w:val="false"/>
          <w:color w:val="000000"/>
          <w:sz w:val="20"/>
        </w:rPr>
        <w:t>depreciation of laboratory equipment and costs of equipment and supplies;</w:t>
      </w:r>
    </w:p>
    <w:p>
      <w:pPr>
        <w:pStyle w:val="TextBody"/>
        <w:bidi w:val="0"/>
        <w:spacing w:lineRule="auto" w:line="288" w:before="60" w:after="283"/>
        <w:ind w:left="0" w:right="0" w:hanging="720"/>
        <w:jc w:val="left"/>
        <w:rPr/>
      </w:pPr>
      <w:r>
        <w:rPr>
          <w:color w:val="000000"/>
        </w:rPr>
        <w:t>•</w:t>
      </w:r>
      <w:r>
        <w:rPr>
          <w:rFonts w:ascii="Times New Roman;sans-serif" w:hAnsi="Times New Roman;sans-serif"/>
          <w:b w:val="false"/>
          <w:color w:val="000000"/>
          <w:sz w:val="20"/>
        </w:rPr>
        <w:t>facilities expenses, which include expenses for rent and other facility related costs; and</w:t>
      </w:r>
    </w:p>
    <w:p>
      <w:pPr>
        <w:pStyle w:val="TextBody"/>
        <w:bidi w:val="0"/>
        <w:spacing w:lineRule="auto" w:line="288" w:before="60" w:after="283"/>
        <w:ind w:left="0" w:right="0" w:hanging="720"/>
        <w:jc w:val="left"/>
        <w:rPr/>
      </w:pPr>
      <w:r>
        <w:rPr>
          <w:color w:val="000000"/>
        </w:rPr>
        <w:t>•</w:t>
      </w:r>
      <w:r>
        <w:rPr>
          <w:rFonts w:ascii="Times New Roman;sans-serif" w:hAnsi="Times New Roman;sans-serif"/>
          <w:b w:val="false"/>
          <w:color w:val="000000"/>
          <w:sz w:val="20"/>
        </w:rPr>
        <w:t>other expenses and other allocations associated with research and development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research and development expenses for the years ended December 31, 2024, 2023 and 2022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234"/>
        <w:gridCol w:w="1965"/>
        <w:gridCol w:w="1973"/>
        <w:gridCol w:w="211"/>
        <w:gridCol w:w="826"/>
        <w:gridCol w:w="109"/>
        <w:gridCol w:w="109"/>
        <w:gridCol w:w="109"/>
        <w:gridCol w:w="109"/>
        <w:gridCol w:w="211"/>
        <w:gridCol w:w="826"/>
        <w:gridCol w:w="109"/>
        <w:gridCol w:w="109"/>
        <w:gridCol w:w="109"/>
        <w:gridCol w:w="109"/>
        <w:gridCol w:w="211"/>
        <w:gridCol w:w="721"/>
        <w:gridCol w:w="155"/>
      </w:tblGrid>
      <w:tr>
        <w:trPr/>
        <w:tc>
          <w:tcPr>
            <w:tcW w:w="2234"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Employee-related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30,457 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Outside and consulting services for preclinical studies and research and development activities by third party contract organizations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Clinical trials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of lab equipment and costs of equipment and supplies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Facilities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 and other allocations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research and development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96,936 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expense all research and development costs in the periods in which they are incurred. We do not allocate our internal costs by product candidates or by preclinical programs as these are in early stages of clinical trials or development, and any such allocation would involve significant estimates and judgments and, accordingly, would be imprecise. Where appropriate, we allocate our third-party research and development expense by product candidate or preclinical program. These expenses primarily relate to outside consultants, clinical research organizations, contract manufacturing organization. When we refer to the research and development expenses associated with a specific product candidate or preclinical program, these refer exclusively to the allocated third-party expenses associated with that product candidate.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Due to the discontinuation of the BEACON-IPF Phase 2b/3 trial in IPF, we expect research and development expenses to decrease in the near term as we curtail spending on the BEACON-IPF trial. While we plan to analyze data from the BEACON-IPF trial and evaluate next steps for bexotegrast's development, in the near term we will re-prioritize our development of product candidates that are in earlier, less capital intensive stages of development. The process of conducting the necessary clinical research to obtain regulatory approval is costly and time-consuming, and the successful development of our product candidates is highly uncertain. As a result, we are unable to determine the duration and completion costs of our research and development projects or when and to what extent we will generate revenue from the commercialization and sale of any of our product candidates.</w:t>
      </w:r>
    </w:p>
    <w:p>
      <w:pPr>
        <w:pStyle w:val="TextBody"/>
        <w:bidi w:val="0"/>
        <w:spacing w:lineRule="auto" w:line="288" w:before="20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general and administrative expenses consist primarily of salaries, benefits and stock-based compensation for our general and administrative personnel, allocated facilities costs, insurance and other expenses for outside professional services, including legal, marketing, investor relations, human resource and accounting services. We expect general and administrative expenses to remain relatively consistent for the foreseeable future. In addition, if we obtain regulatory approval for any of our product candidates and do not enter into a third-party commercialization collaboration, we expect to incur significant expenses related to building a sales and marketing team to support product sales, marketing and distribution activities.</w:t>
      </w:r>
    </w:p>
    <w:p>
      <w:pPr>
        <w:pStyle w:val="TextBody"/>
        <w:bidi w:val="0"/>
        <w:spacing w:lineRule="auto" w:line="288" w:before="20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and Other Income (Expense), net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interest and other income (expense), net consists of interest, accretion income and amortization expense on cash, cash equivalents and short-term investments, and realized gains and losses on short-term investments. </w:t>
      </w:r>
    </w:p>
    <w:p>
      <w:pPr>
        <w:pStyle w:val="TextBody"/>
        <w:bidi w:val="0"/>
        <w:spacing w:lineRule="auto" w:line="288" w:before="20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interest expense is derived from a term loan executed under the Oxford Loan Agreement that we entered into in May 2022 and amended in March 2024 (the "Amended Loan Agreement"). Borrowings under the Amended Loan Agreement bear interest at a rate per annum equal to 1-month term Secured Overnight Financing Rate (SOFR) plus 5.25%, subject to an agreed upon floor of 8.75%.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Comparison of the Years Ended December 31, 2024 and 2023</w:t>
      </w:r>
    </w:p>
    <w:tbl>
      <w:tblPr>
        <w:tblW w:w="9103" w:type="dxa"/>
        <w:jc w:val="left"/>
        <w:tblInd w:w="0" w:type="dxa"/>
        <w:tblLayout w:type="fixed"/>
        <w:tblCellMar>
          <w:top w:w="28" w:type="dxa"/>
          <w:left w:w="28" w:type="dxa"/>
          <w:bottom w:w="28" w:type="dxa"/>
          <w:right w:w="28" w:type="dxa"/>
        </w:tblCellMar>
      </w:tblPr>
      <w:tblGrid>
        <w:gridCol w:w="1210"/>
        <w:gridCol w:w="1065"/>
        <w:gridCol w:w="1069"/>
        <w:gridCol w:w="211"/>
        <w:gridCol w:w="901"/>
        <w:gridCol w:w="109"/>
        <w:gridCol w:w="109"/>
        <w:gridCol w:w="109"/>
        <w:gridCol w:w="109"/>
        <w:gridCol w:w="211"/>
        <w:gridCol w:w="901"/>
        <w:gridCol w:w="109"/>
        <w:gridCol w:w="109"/>
        <w:gridCol w:w="109"/>
        <w:gridCol w:w="109"/>
        <w:gridCol w:w="211"/>
        <w:gridCol w:w="796"/>
        <w:gridCol w:w="109"/>
        <w:gridCol w:w="109"/>
        <w:gridCol w:w="109"/>
        <w:gridCol w:w="109"/>
        <w:gridCol w:w="338"/>
        <w:gridCol w:w="338"/>
        <w:gridCol w:w="544"/>
      </w:tblGrid>
      <w:tr>
        <w:trPr/>
        <w:tc>
          <w:tcPr>
            <w:tcW w:w="121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(228,365)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(228,365)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(184,145)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(210,304)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(161,336)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(48,968)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Revenue </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decreased by $1.6 million due to decreased research and development services resulting from the termination of the Novartis Agreement. </w:t>
      </w:r>
    </w:p>
    <w:p>
      <w:pPr>
        <w:pStyle w:val="TextBody"/>
        <w:bidi w:val="0"/>
        <w:spacing w:lineRule="auto" w:line="288" w:before="200" w:after="12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Expenses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results of our research and development expenses for the years ended December 31, 2024 and 2023 (in thousands):</w:t>
      </w:r>
    </w:p>
    <w:tbl>
      <w:tblPr>
        <w:tblW w:w="9088" w:type="dxa"/>
        <w:jc w:val="left"/>
        <w:tblInd w:w="0" w:type="dxa"/>
        <w:tblLayout w:type="fixed"/>
        <w:tblCellMar>
          <w:top w:w="28" w:type="dxa"/>
          <w:left w:w="28" w:type="dxa"/>
          <w:bottom w:w="28" w:type="dxa"/>
          <w:right w:w="28" w:type="dxa"/>
        </w:tblCellMar>
      </w:tblPr>
      <w:tblGrid>
        <w:gridCol w:w="2591"/>
        <w:gridCol w:w="2277"/>
        <w:gridCol w:w="2286"/>
        <w:gridCol w:w="258"/>
        <w:gridCol w:w="258"/>
        <w:gridCol w:w="265"/>
        <w:gridCol w:w="109"/>
        <w:gridCol w:w="109"/>
        <w:gridCol w:w="109"/>
        <w:gridCol w:w="240"/>
        <w:gridCol w:w="240"/>
        <w:gridCol w:w="346"/>
      </w:tblGrid>
      <w:tr>
        <w:trPr/>
        <w:tc>
          <w:tcPr>
            <w:tcW w:w="2591" w:type="dxa"/>
            <w:tcBorders/>
            <w:vAlign w:val="center"/>
          </w:tcPr>
          <w:p>
            <w:pPr>
              <w:pStyle w:val="TableContents"/>
              <w:bidi w:val="0"/>
              <w:spacing w:before="0" w:after="283"/>
              <w:jc w:val="left"/>
              <w:rPr>
                <w:sz w:val="4"/>
                <w:szCs w:val="4"/>
              </w:rPr>
            </w:pPr>
            <w:r>
              <w:rPr>
                <w:sz w:val="4"/>
                <w:szCs w:val="4"/>
              </w:rPr>
            </w:r>
          </w:p>
        </w:tc>
        <w:tc>
          <w:tcPr>
            <w:tcW w:w="2277" w:type="dxa"/>
            <w:tcBorders/>
            <w:vAlign w:val="center"/>
          </w:tcPr>
          <w:p>
            <w:pPr>
              <w:pStyle w:val="TableContents"/>
              <w:bidi w:val="0"/>
              <w:spacing w:before="0" w:after="283"/>
              <w:jc w:val="left"/>
              <w:rPr>
                <w:sz w:val="4"/>
                <w:szCs w:val="4"/>
              </w:rPr>
            </w:pPr>
            <w:r>
              <w:rPr>
                <w:sz w:val="4"/>
                <w:szCs w:val="4"/>
              </w:rPr>
            </w:r>
          </w:p>
        </w:tc>
        <w:tc>
          <w:tcPr>
            <w:tcW w:w="228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7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7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Program-specific external expenses:</w:t>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Bexotegrast - clinical trial and outside service third party contracting costs</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51,446</w:t>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pipeline programs - clinical trial and outside service third party contracting costs</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13,754</w:t>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program-specific external expenses</w:t>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65,200</w:t>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internal expenses</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Employee-related expenses</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46,658</w:t>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of lab equipment and costs of equipment and supplies</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5,588</w:t>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Facilities expenses</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4,288</w:t>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 and other allocations</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6,063</w:t>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unallocated internal expenses</w:t>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62,597</w:t>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research and development expenses</w:t>
            </w:r>
          </w:p>
        </w:tc>
        <w:tc>
          <w:tcPr>
            <w:tcW w:w="78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127,797</w:t>
            </w:r>
          </w:p>
        </w:tc>
      </w:tr>
    </w:tbl>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research and development expenses of $41.5 million was primarily due to:</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$34.9 million increase related to bexotegrast development primarily driven by BEACON-IPF, a Phase 2b/3 study of bexotegrast in patients with IPF, and related manufacturing activities;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$3.0 million decrease in others pipeline programs as we prioritized BEACON-IPF;</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$2.9 million increase in employee-related costs, including stock-based compensation, driven by an increase in our research and development workforce;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 xml:space="preserve">$5.5 million increase in facilities and other allocated expenses, resulting from the move to our new office and laboratory space. </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 Expenses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increased by $1.1 million primarily due to an increase in employee-related costs driven by increased headcount.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and Other Income (Expense), Net</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 decreased $3.0 million due to lower average investment balances in 2024 compared to 2023 due to continued funding of operating activities.</w:t>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increased $1.8 million due to additional borrowings under the Amended Loan Agreement executed March 11,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we had cash, cash equivalents, restricted cash and short-term investments of $357.2 million. Our cash, cash equivalents, and short-term investments consist of money market funds, U.S. Treasury securities, U.S. Government Agency securities and highly rated, investment-grade corporate debt securities. </w:t>
      </w:r>
    </w:p>
    <w:p>
      <w:pPr>
        <w:pStyle w:val="TextBody"/>
        <w:bidi w:val="0"/>
        <w:spacing w:lineRule="auto" w:line="26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2024, we entered into an Amended Loan Agreement with Oxford Finance LLC (or the “Lender” or “Oxford”) which upsized our existing Term Loan facility to a total size of $150.0 million of non-dilutive capital. Pursuant to the Amended Loan Agreement, we drew an additional Term Loan of $20.0 million. The agreement allowed for borrowing up to $70.0 million at our option, $35.0 million being available commencing October 1, 2025 contingent upon the continued operation of the BEACON-IPF study and a further $35.0 million being available upon demonstrating that BEACON-IPF had achieved positive Phase 2b data sufficient to support continued development, in the sole discretion of Oxford. An additional $50.0 million could be made available to us at the sole discretion of Lender. Given the discontinuation of the BEACON-IPF trial, we do not expect to have access to additional borrowing under the Oxford Agreement. See Note 7 to the Notes to our financial statements of this Report for more information.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2022, we completed an underwritten public offering of 12,432,432 shares of common stock, including the exercise in full of the underwriters' option to purchase 1,621,621 additional shares of common stock. The shares were offered at a price to the public of $18.50 per share, resulting in aggregate proceeds of approximately $215.4 million, net of underwriting discounts, commissions and offering expenses.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2023, we completed an underwritten public offering of 9,583,334 shares of common stock, including the exercise in full of the underwriters' option to purchase 1,250,000 additional shares of common stock. The shares were offered at a price to the public of $30.00 per share, resulting in aggregate proceeds of approximately $269.8 million, net of underwriting discounts, commissions and offering expenses. </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During the third quarter of 2021, we entered into a Controlled Equity Offering</w:t>
      </w:r>
      <w:r>
        <w:rPr>
          <w:rFonts w:ascii="Times New Roman;sans-serif" w:hAnsi="Times New Roman;sans-serif"/>
          <w:b w:val="false"/>
          <w:color w:val="000000"/>
          <w:sz w:val="13"/>
        </w:rPr>
        <w:t xml:space="preserve">SM </w:t>
      </w:r>
      <w:r>
        <w:rPr>
          <w:rFonts w:ascii="Times New Roman;sans-serif" w:hAnsi="Times New Roman;sans-serif"/>
          <w:b w:val="false"/>
          <w:color w:val="000000"/>
          <w:sz w:val="20"/>
        </w:rPr>
        <w:t>Sales Agreement (the “Sales Agreement”) with Cantor Fitzgerald &amp; Co., as sales agent, pursuant to which we may issue and sell shares of common stock in an "at-the-market" offering. In March 2023, we filed a prospectus registering the offer and sale of up to $150.0 million of shares of common stock from time to time pursuant to the Sales Agreement. We have not issued any shares pursuant to any at-the-market offerings, including pursuant to the Sales Agreement, but may do so at a future date.</w:t>
      </w:r>
    </w:p>
    <w:p>
      <w:pPr>
        <w:pStyle w:val="TextBody"/>
        <w:bidi w:val="0"/>
        <w:spacing w:lineRule="auto" w:line="276"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existing capital resources will be sufficient to fund our anticipated operating expenses and capital expenditure requirements for the next 12 months and beyond. We have based these estimates on assumptions that may prove to be wrong, and we could utilize our available capital resources sooner than we currently expect. Further, our operating plan may change, and we may need additional funds to meet operational needs and capital requirements for product development and commercialization sooner than planned.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operations have been financed primarily through the issuance and sale of common stock and convertible preferred stock and our prior collaboration with Novartis.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Funding Requirements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use of cash is to fund operating expenses, primarily research and development expenditures. Cash used to fund operating expenses is impacted by the timing of when we pay these expenses, as reflected in the change in our outstanding accounts payable, accrued expenses and prepaid expenses.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future funding requirements will depend on many factors, including the following:</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initiation, progress, timing, costs and results of preclinical studies and clinical trials for our product candidates;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clinical development plans we establish for these product candidates;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timelines of our clinical trials and the overall costs to conduct and complete the clinical trials, which may be impacted by health epidemics and pandemics, such as COVID-19;</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number and characteristics of product candidates that we develop;</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outcome, timing and cost of meeting regulatory requirements established by the U.S. Food and Drug Administration, or FDA, and other comparable foreign regulatory authorities including but not limited to the European Medicines Agency (EMA) and the U.K. Medicines and Healthcare products Regulatory Agency (MHRA);</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whether we enter into any collaboration agreements and the terms of any such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cost of filing, prosecuting, defending and enforcing our patent claims and other intellectual property rights;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cost of defending intellectual property disputes, including patent infringement actions brought by third parties against us or our product candidates;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effect of competing technological and market developments;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 xml:space="preserve">the cost and timing of completion of commercial-scale outsourced manufacturing activities; </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cost and timing of achieving favorable pricing and reimbursement agreements with the pricing authorities in each market of interest, including of securing a positive recommendation after undergoing a health technology assessment by health technology authorities;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cost of establishing sales, marketing and distribution capabilities for any product candidates for which we may receive regulatory approval in regions where we choose to commercialize our products on our own;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cost of operating as a public company.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Further, our operating plan may change, and we may need additional funds to meet operational needs and capital requirements for clinical trials and other research and development expenditures. If we need to raise additional capital to fund our operations, funding may not be available to us on acceptable terms, or at all. If we are unable to obtain adequate financing when needed, we may have to delay, reduce the scope of or suspend one or more of our preclinical studies, clinical trials, research and development programs or commercialization efforts. We may seek to raise any necessary additional capital through a combination of public or private equity offerings, debt financings, collaborations and other licensing arrangements. If we raise additional capital through debt financing, we may be subject to covenants limiting or restricting our ability to take specific actions, such as incurring additional debt, making capital expenditures or declaring dividends. If we raise additional capital through marketing and distribution arrangements or other collaborations, strategic alliances or licensing arrangements with third parties, we may have to relinquish certain valuable rights to our product candidates, technologies, future revenue streams or research programs or grant licenses on terms that may not be favorable to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Cash Flows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our cash flows for the periods indicated (in thousands):</w:t>
      </w:r>
    </w:p>
    <w:tbl>
      <w:tblPr>
        <w:tblW w:w="9975" w:type="dxa"/>
        <w:jc w:val="center"/>
        <w:tblInd w:w="0" w:type="dxa"/>
        <w:tblLayout w:type="fixed"/>
        <w:tblCellMar>
          <w:top w:w="28" w:type="dxa"/>
          <w:left w:w="28" w:type="dxa"/>
          <w:bottom w:w="28" w:type="dxa"/>
          <w:right w:w="28" w:type="dxa"/>
        </w:tblCellMar>
      </w:tblPr>
      <w:tblGrid>
        <w:gridCol w:w="2029"/>
        <w:gridCol w:w="1787"/>
        <w:gridCol w:w="1793"/>
        <w:gridCol w:w="211"/>
        <w:gridCol w:w="901"/>
        <w:gridCol w:w="109"/>
        <w:gridCol w:w="109"/>
        <w:gridCol w:w="109"/>
        <w:gridCol w:w="109"/>
        <w:gridCol w:w="211"/>
        <w:gridCol w:w="901"/>
        <w:gridCol w:w="109"/>
        <w:gridCol w:w="109"/>
        <w:gridCol w:w="109"/>
        <w:gridCol w:w="109"/>
        <w:gridCol w:w="211"/>
        <w:gridCol w:w="796"/>
        <w:gridCol w:w="109"/>
        <w:gridCol w:w="154"/>
      </w:tblGrid>
      <w:tr>
        <w:trPr/>
        <w:tc>
          <w:tcPr>
            <w:tcW w:w="2029"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increase (decrease) in cash, cash equivalents and restricted cash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Cash Used in Operating Activities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operating activities increased due to higher spending related to third-party vendors to support research and development and general and administrative operations: approximately $27.0 million paid to outside service vendors in support of BEACON-IPF and an increase of $9.5 million in payroll and related employee costs.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Cash Provided (Used in) Investing Activities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investing activities increased over the same period of prior year as maturities of marketable securities exceeded related purchases during the twelve months ended December 31, 2024, while purchases exceeded maturities during the twelve months ended December 31, 2023 as a result of the public offering of common stock in January 2023.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Cash Provided by Financing Activities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financing activities decreased by $251.3 million primarily due to net proceeds of $270.3 million from the Company's January 2023 underwritten public offering, which was partially offset by additional Term Loans entered into during the twelve months ended December 31, 2024 associated with the Amended Loan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periods presented, we did not have, nor do we currently have, any off-balance sheet arrangements or holdings in any variable interest entities other than the operating lease commitments described in Note 15 to our financial statements appearing elsewhere in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Material Cash Requirements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2024, we have a non-cancelable operating lease for office and laboratory space for a period of seven years through March 31, 2031. Refer to Note 14 and Note 15 to our financial statements appearing elsewhere in this Annual Report for a discussion of material obligations and commitments. </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enter into contracts in the normal course of business with third-party contract organizations for clinical trials, non-clinical studies and testing, manufacturing and other services and products. These contracts generally provide for termination following a certain period after notice and therefore we believe that our cancellable obligations under these agreements are 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Polices and Estimates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management’s discussion and analysis of our financial condition and results of operations is based on our financial statements, which have been prepared in accordance with United States generally accepted accounting principles.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While our significant accounting policies are described in more detail in Note 2 to our financial statements appearing elsewhere in this Annual Report, we believe that the following accounting policies are those most critical to the judgments and estimates used in the preparation of our financial statements.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120" w:after="120"/>
        <w:ind w:left="0" w:right="0" w:firstLine="450"/>
        <w:jc w:val="left"/>
        <w:rPr/>
      </w:pPr>
      <w:r>
        <w:rPr>
          <w:rFonts w:ascii="Times New Roman;sans-serif" w:hAnsi="Times New Roman;sans-serif"/>
          <w:b w:val="false"/>
          <w:color w:val="000000"/>
          <w:sz w:val="20"/>
        </w:rPr>
        <w:t xml:space="preserve">As of December 31, 2024, all of our revenue to date has been generated from the Novartis Agreement. Following termination of the Novartis Agreement, we were no longer eligible to receive additional milestone or royalty payments under the arrangement, however, we continued to earn research and development services revenues through the effective termination date of April 18, 2023. We recognize revenue when our customer obtains control of promised goods or services, in an amount that reflects the consideration which we expect to receive in exchange for those goods or services. To determine the appropriate amount of revenue to be recognized for arrangements determined to be within the scope of Accounting Standards Codification Topic 606, </w:t>
      </w:r>
      <w:r>
        <w:rPr>
          <w:rFonts w:ascii="Times New Roman;sans-serif" w:hAnsi="Times New Roman;sans-serif"/>
          <w:b w:val="false"/>
          <w:i/>
          <w:color w:val="000000"/>
          <w:sz w:val="20"/>
        </w:rPr>
        <w:t xml:space="preserve">Revenue from Contracts with Customers, </w:t>
      </w:r>
      <w:r>
        <w:rPr>
          <w:rFonts w:ascii="Times New Roman;sans-serif" w:hAnsi="Times New Roman;sans-serif"/>
          <w:b w:val="false"/>
          <w:color w:val="000000"/>
          <w:sz w:val="20"/>
        </w:rPr>
        <w:t>("Topic 606") we perform the following five steps: (i) identification of the contract(s) with the customer, (ii) identification of the promised goods or services in the contract and determination of whether the promised goods or services are performance obligations, (iii) measurement of the transaction price, (iv) allocation of the transaction price to the performance obligations, and (v) recognition of revenue when (or as) we satisfy each performance obligation. We only apply the five-step model to contracts when it is probable that we will collect the consideration we are entitled to in exchange for the goods or services we transfer to our customer.</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Identification of the Contracts with the Customers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evaluate every contract to determine whether it in its entirety or in part represent a contract with a customer, or a collaboration agreement and, based on this determination, apply appropriate accounting guidance.</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account for a contract with a customer that is within the scope of Topic 606 when all of the following criteria are met: (i) the arrangement has been approved by the parties and the parties are committed to perform their respective obligations, (ii) each party’s rights regarding the goods or services to be transferred can be identified, (iii) the payment terms for the goods or services to be transferred can be identified, (iv) the arrangement has commercial substance and (v) collection of substantially all of the consideration to which we will be entitled in exchange for the goods or services that will be transferred to the customer is probable.</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Identification of the Performance Obligations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promised goods or services in our collaboration and option arrangements consist of license and research and development services. The arrangements also have options for additional items (i.e., license rights). Options are considered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to be marketing offers and are to be accounted for as separate contracts when the customer elects such options, unless we determine the option provides a material right which would not be provided without entering into the contract. The determination as to whether such options are material rights requires significant management judgment, and management considers factors such as other similar arrangements, market data and the terms of the contractual arrangement to make such conclusion. Performance obligations are promised goods or services in a contract to transfer a distinct good or service to the customer. Promised goods or services are considered distinct when: (i) the customer can benefit from the good or service on its own or together with other readily available resources and (ii) the promised good or service is separately identifiable from other promises in the contract. In assessing whether promised goods or services are distinct, we consider factors such as the stage of development of the underlying intellectual property, the capabilities of our customer to develop the intellectual property on their own and whether the required expertise is readily available.</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Determination of the Transaction Price</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estimate the transaction price based on the amount of consideration we expect to receive for transferring the promised goods or services in the contract. The consideration may include both fixed consideration and variable consideration. At the inception of each arrangement that includes variable consideration, we evaluate the amount of the potential payments and the likelihood that the payments will be received. We utilize either the most likely amount method or expected value method to estimate the transaction price based on which method better predicts the amount of consideration expected to be received. If it is probable that a significant revenue reversal would not occur, the variable consideration is included in the transaction price.</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All contingent future payments, which include research, development, regulatory, and sales-based royalty payments, were not considered in the initial analysis, as they were contingent upon options being exercised or were subject to significant risk of achievement.</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Allocation of Transaction Price</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allocate the transaction price based on the estimated standalone selling price. We must develop assumptions that require judgment to determine the standalone selling price for each performance obligation identified in the contract. We utilize key assumptions to determine the standalone selling price, which may include other comparable transactions, pricing considered in negotiating the transaction, and the estimated costs. Certain variable consideration is allocated specifically to one or more performance obligations in a contract when the terms of the variable consideration relate to the satisfaction of the performance obligation and the resulting amounts allocated to each performance obligation are consistent with the amounts we would expect to receive for satisfying each performance obligation.</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Recognition of Revenue</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 revenue at the point in time when distinct, functional licenses are transferred to the licensee and/or over the period of time which we perform research and development services. We utilize a cost-based input method to measure proportional performance, as such costs have direct relationship between our effort and the progress made towards satisfying its performance obligations to Novartis.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Accrued and Prepaid Research and Development Expenses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record accrued expenses for estimated costs of our research and development activities which include the conduct of clinical studies and preclinical studies by third-party service providers. We record the estimated costs of research and development activities based upon the estimated amount of services provided but not yet invoiced and include these costs in accrued liabilities in the balance sheets and within research and development expenses in the statements of operations and comprehensive loss. These costs are a significant component of our research and development expenses. We record accrued expenses for these costs based on factors such as estimates of the work completed and in accordance with agreements established with these third-party service providers. Any payments made in advance of services provided are recorded as prepaid assets, which are expensed as the contracted services are performed.</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estimate the amount of work completed through review of detailed budgets and timelines included in our contracts and agreements, and update these estimates with information obtained from third-party service providers and internal personnel on a quarterly basis. We make significant judgments and estimates in determining the accrued and/or prepaid balance in each reporting period. As actual costs become known, we adjust our estimates. Our accrued expenses and prepaid research and development expenses are dependent, in part, upon the receipt of timely and accurate reporting from contract research organizations, other third-party service providers and internal research and development personnel. If we under estimate or over-estimate the level of services performed or the costs of these services, our accrued expenses could differ from our estimates. For the periods presented, we have experienced no material differences between our accrued expenses and actual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set forth under Note 2 to the financial statements under the caption “Recently Issued Accounting Pronouncements”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operations both within the U.S. and abroad and we are exposed to market risks in the ordinary course of our business. These risks include fluctuations in interest rates and foreign currency exchange rates, and to a lesser extent, inflation risk.</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Interest rate fluctuation risk</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exposure to market risk for changes in interest rates relates primarily to our short-term investment portfolio. The primary objective of our short-term investment portfolio is to preserve principal while at the same time maximizing the income we receive from our investments without significantly increasing risk. At December 31, 2024 and 2023, we had cash and cash equivalents, restricted cash and short-term investments of $357.2 million and $495.7 million, respectively, which consisted of cash, money market funds, U.S. Treasury securities, U.S. Government Agency securities, and highly rated investment grade corporate debt securities.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Under the Amended Loan Agreement, we had a $30.0 million term loan outstanding as of December 31, 2024 which is subject to the movement in interest rates. The principal amount outstanding under the Term Loans will accrue interest at a floating per annum rate equal to (i) the greater of (a) 1-month term Chicago Mercantile Exchange (“CME”) Term Secured Overnight Financing Rate (“SOFR”) on the last business day of the month that immediately precedes the month in which the interest will accrue and (b) three and one-half percent (3.50%) plus (ii) five and one-quarter percent (5.25%), subject to an agreed upon floor of 8.75%.</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Due to the short-term maturities of our cash equivalents and short-term investments, and the amount of principle outstanding under the Amended Loan Agreement with Oxford, an immediate 100 basis point change in interest rates would not have a material effect on our financial condition.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Foreign currency exchange risk</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Most of our operating expenses are denominated in U.S. dollars and, as a result, we have not experienced significant foreign currency transaction gains and losses to date. We have limited foreign currency exposure associated with our operating expenses. Our exposures are primarily limited to fluctuations in the Euro, Great British Pound and Japanese Yen. We do not anticipate that foreign currency transaction gains or losses will be significant at our current level of operations. However, our operations may become subject to more significant fluctuations in foreign currency exchange rates in the future if we continue to contract with vendors outside of the U.S. and expand our operations internationally.</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Inflation risk</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To date, we do not believe that inflation has had a material effect on our business, financial condition, results of operations or future prospects. However, if current inflationary pressures are sustained for a prolonged period of time, the cost projections associated with our development plans may be impacted as well as the success of businesses from which we procure services, which could harm our business, results of operations, financial condition or future prospects.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hanging="540"/>
        <w:jc w:val="left"/>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bidi w:val="0"/>
        <w:spacing w:lineRule="auto" w:line="288" w:before="200" w:after="283"/>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INDEX TO FINANCIAL STATEMENTS</w:t>
      </w:r>
    </w:p>
    <w:tbl>
      <w:tblPr>
        <w:tblW w:w="6822" w:type="dxa"/>
        <w:jc w:val="left"/>
        <w:tblInd w:w="0" w:type="dxa"/>
        <w:tblLayout w:type="fixed"/>
        <w:tblCellMar>
          <w:top w:w="28" w:type="dxa"/>
          <w:left w:w="28" w:type="dxa"/>
          <w:bottom w:w="28" w:type="dxa"/>
          <w:right w:w="28" w:type="dxa"/>
        </w:tblCellMar>
      </w:tblPr>
      <w:tblGrid>
        <w:gridCol w:w="2335"/>
        <w:gridCol w:w="2052"/>
        <w:gridCol w:w="2063"/>
        <w:gridCol w:w="109"/>
        <w:gridCol w:w="109"/>
        <w:gridCol w:w="154"/>
      </w:tblGrid>
      <w:tr>
        <w:trPr/>
        <w:tc>
          <w:tcPr>
            <w:tcW w:w="2335" w:type="dxa"/>
            <w:tcBorders/>
            <w:vAlign w:val="center"/>
          </w:tcPr>
          <w:p>
            <w:pPr>
              <w:pStyle w:val="TableContents"/>
              <w:bidi w:val="0"/>
              <w:spacing w:before="0" w:after="283"/>
              <w:jc w:val="left"/>
              <w:rPr>
                <w:sz w:val="4"/>
                <w:szCs w:val="4"/>
              </w:rPr>
            </w:pPr>
            <w:r>
              <w:rPr>
                <w:sz w:val="4"/>
                <w:szCs w:val="4"/>
              </w:rPr>
            </w:r>
          </w:p>
        </w:tc>
        <w:tc>
          <w:tcPr>
            <w:tcW w:w="2052" w:type="dxa"/>
            <w:tcBorders/>
            <w:vAlign w:val="center"/>
          </w:tcPr>
          <w:p>
            <w:pPr>
              <w:pStyle w:val="TableContents"/>
              <w:bidi w:val="0"/>
              <w:spacing w:before="0" w:after="283"/>
              <w:jc w:val="left"/>
              <w:rPr>
                <w:sz w:val="4"/>
                <w:szCs w:val="4"/>
              </w:rPr>
            </w:pPr>
            <w:r>
              <w:rPr>
                <w:sz w:val="4"/>
                <w:szCs w:val="4"/>
              </w:rPr>
            </w:r>
          </w:p>
        </w:tc>
        <w:tc>
          <w:tcPr>
            <w:tcW w:w="20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b8a64028ef4885b24b55403c56fd93_82">
              <w:r>
                <w:rPr>
                  <w:rStyle w:val="InternetLink"/>
                  <w:rFonts w:ascii="Times New Roman;sans-serif" w:hAnsi="Times New Roman;sans-serif"/>
                  <w:b w:val="false"/>
                  <w:color w:val="0E32E1"/>
                  <w:sz w:val="20"/>
                  <w:u w:val="single"/>
                </w:rPr>
                <w:t>Report of Independent Registered Public Accounting Firm (PCAOB ID No.</w:t>
              </w:r>
            </w:hyperlink>
            <w:r>
              <w:rPr>
                <w:rFonts w:ascii="Times New Roman;sans-serif" w:hAnsi="Times New Roman;sans-serif"/>
                <w:b w:val="false"/>
                <w:color w:val="0E32E1"/>
                <w:sz w:val="20"/>
              </w:rPr>
              <w:t>34</w:t>
            </w:r>
            <w:hyperlink w:anchor="i2ab8a64028ef4885b24b55403c56fd93_82">
              <w:r>
                <w:rPr>
                  <w:rStyle w:val="InternetLink"/>
                  <w:rFonts w:ascii="Times New Roman;sans-serif" w:hAnsi="Times New Roman;sans-serif"/>
                  <w:b w:val="false"/>
                  <w:color w:val="0E32E1"/>
                  <w:sz w:val="20"/>
                  <w:u w:val="single"/>
                </w:rPr>
                <w:t>)</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b8a64028ef4885b24b55403c56fd93_82">
              <w:r>
                <w:rPr>
                  <w:rStyle w:val="InternetLink"/>
                  <w:rFonts w:ascii="Times New Roman;sans-serif" w:hAnsi="Times New Roman;sans-serif"/>
                  <w:b w:val="false"/>
                  <w:strike w:val="false"/>
                  <w:dstrike w:val="false"/>
                  <w:color w:val="000000"/>
                  <w:sz w:val="20"/>
                  <w:u w:val="none"/>
                  <w:effect w:val="none"/>
                </w:rPr>
                <w:t>85</w:t>
              </w:r>
            </w:hyperlink>
          </w:p>
        </w:tc>
      </w:tr>
      <w:tr>
        <w:trPr/>
        <w:tc>
          <w:tcPr>
            <w:tcW w:w="6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b8a64028ef4885b24b55403c56fd93_85">
              <w:r>
                <w:rPr>
                  <w:rStyle w:val="InternetLink"/>
                  <w:rFonts w:ascii="Times New Roman;sans-serif" w:hAnsi="Times New Roman;sans-serif"/>
                  <w:b w:val="false"/>
                  <w:color w:val="0000FF"/>
                  <w:sz w:val="20"/>
                  <w:u w:val="single"/>
                </w:rPr>
                <w:t xml:space="preserve">Balance Sheets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b8a64028ef4885b24b55403c56fd93_85">
              <w:r>
                <w:rPr>
                  <w:rStyle w:val="InternetLink"/>
                  <w:rFonts w:ascii="Times New Roman;sans-serif" w:hAnsi="Times New Roman;sans-serif"/>
                  <w:b w:val="false"/>
                  <w:strike w:val="false"/>
                  <w:dstrike w:val="false"/>
                  <w:color w:val="000000"/>
                  <w:sz w:val="20"/>
                  <w:u w:val="none"/>
                  <w:effect w:val="none"/>
                </w:rPr>
                <w:t>87</w:t>
              </w:r>
            </w:hyperlink>
          </w:p>
        </w:tc>
      </w:tr>
      <w:tr>
        <w:trPr/>
        <w:tc>
          <w:tcPr>
            <w:tcW w:w="6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b8a64028ef4885b24b55403c56fd93_88">
              <w:r>
                <w:rPr>
                  <w:rStyle w:val="InternetLink"/>
                  <w:rFonts w:ascii="Times New Roman;sans-serif" w:hAnsi="Times New Roman;sans-serif"/>
                  <w:b w:val="false"/>
                  <w:color w:val="0000FF"/>
                  <w:sz w:val="20"/>
                  <w:u w:val="single"/>
                </w:rPr>
                <w:t xml:space="preserve">Statements of Operations and Comprehensive Loss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b8a64028ef4885b24b55403c56fd93_88">
              <w:r>
                <w:rPr>
                  <w:rStyle w:val="InternetLink"/>
                  <w:rFonts w:ascii="Times New Roman;sans-serif" w:hAnsi="Times New Roman;sans-serif"/>
                  <w:b w:val="false"/>
                  <w:strike w:val="false"/>
                  <w:dstrike w:val="false"/>
                  <w:color w:val="000000"/>
                  <w:sz w:val="20"/>
                  <w:u w:val="none"/>
                  <w:effect w:val="none"/>
                </w:rPr>
                <w:t>88</w:t>
              </w:r>
            </w:hyperlink>
          </w:p>
        </w:tc>
      </w:tr>
      <w:tr>
        <w:trPr/>
        <w:tc>
          <w:tcPr>
            <w:tcW w:w="6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b8a64028ef4885b24b55403c56fd93_91">
              <w:r>
                <w:rPr>
                  <w:rStyle w:val="InternetLink"/>
                  <w:rFonts w:ascii="Times New Roman;sans-serif" w:hAnsi="Times New Roman;sans-serif"/>
                  <w:b w:val="false"/>
                  <w:color w:val="0000FF"/>
                  <w:sz w:val="20"/>
                  <w:u w:val="single"/>
                </w:rPr>
                <w:t xml:space="preserve">Statements of Stockholders’ Equity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b8a64028ef4885b24b55403c56fd93_91">
              <w:r>
                <w:rPr>
                  <w:rStyle w:val="InternetLink"/>
                  <w:rFonts w:ascii="Times New Roman;sans-serif" w:hAnsi="Times New Roman;sans-serif"/>
                  <w:b w:val="false"/>
                  <w:strike w:val="false"/>
                  <w:dstrike w:val="false"/>
                  <w:color w:val="000000"/>
                  <w:sz w:val="20"/>
                  <w:u w:val="none"/>
                  <w:effect w:val="none"/>
                </w:rPr>
                <w:t>89</w:t>
              </w:r>
            </w:hyperlink>
          </w:p>
        </w:tc>
      </w:tr>
      <w:tr>
        <w:trPr/>
        <w:tc>
          <w:tcPr>
            <w:tcW w:w="6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b8a64028ef4885b24b55403c56fd93_94">
              <w:r>
                <w:rPr>
                  <w:rStyle w:val="InternetLink"/>
                  <w:rFonts w:ascii="Times New Roman;sans-serif" w:hAnsi="Times New Roman;sans-serif"/>
                  <w:b w:val="false"/>
                  <w:color w:val="0000FF"/>
                  <w:sz w:val="20"/>
                  <w:u w:val="single"/>
                </w:rPr>
                <w:t xml:space="preserve">Statements of Cash Flows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b8a64028ef4885b24b55403c56fd93_94">
              <w:r>
                <w:rPr>
                  <w:rStyle w:val="InternetLink"/>
                  <w:rFonts w:ascii="Times New Roman;sans-serif" w:hAnsi="Times New Roman;sans-serif"/>
                  <w:b w:val="false"/>
                  <w:strike w:val="false"/>
                  <w:dstrike w:val="false"/>
                  <w:color w:val="000000"/>
                  <w:sz w:val="20"/>
                  <w:u w:val="none"/>
                  <w:effect w:val="none"/>
                </w:rPr>
                <w:t>90</w:t>
              </w:r>
            </w:hyperlink>
          </w:p>
        </w:tc>
      </w:tr>
      <w:tr>
        <w:trPr/>
        <w:tc>
          <w:tcPr>
            <w:tcW w:w="6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b8a64028ef4885b24b55403c56fd93_97">
              <w:r>
                <w:rPr>
                  <w:rStyle w:val="InternetLink"/>
                  <w:rFonts w:ascii="Times New Roman;sans-serif" w:hAnsi="Times New Roman;sans-serif"/>
                  <w:b w:val="false"/>
                  <w:color w:val="0000FF"/>
                  <w:sz w:val="20"/>
                  <w:u w:val="single"/>
                </w:rPr>
                <w:t>Notes to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b8a64028ef4885b24b55403c56fd93_97">
              <w:r>
                <w:rPr>
                  <w:rStyle w:val="InternetLink"/>
                  <w:rFonts w:ascii="Times New Roman;sans-serif" w:hAnsi="Times New Roman;sans-serif"/>
                  <w:b w:val="false"/>
                  <w:strike w:val="false"/>
                  <w:dstrike w:val="false"/>
                  <w:color w:val="000000"/>
                  <w:sz w:val="20"/>
                  <w:u w:val="none"/>
                  <w:effect w:val="none"/>
                </w:rPr>
                <w:t>91</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the stockholders and the Board of Directors of Pliant Therapeutics, Inc.</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balance sheets of Pliant Therapeutics, Inc. (the "Company") as of December 31, 2024 and 2023, the related statements of operations and comprehensive loss, stockholders’ equity, and cash flows, for each of the three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pStyle w:val="TextBody"/>
        <w:bidi w:val="0"/>
        <w:spacing w:lineRule="auto" w:line="288" w:before="120" w:after="283"/>
        <w:jc w:val="left"/>
        <w:rPr/>
      </w:pPr>
      <w:r>
        <w:rPr>
          <w:rFonts w:ascii="Times New Roman;sans-serif" w:hAnsi="Times New Roman;sans-serif"/>
          <w:b w:val="false"/>
          <w:color w:val="000000"/>
          <w:sz w:val="20"/>
        </w:rPr>
        <w:t xml:space="preserve">We have also audited, in accordance with the standards of the Public Company Accounting Oversight Board (United States) (PCAOB), the Company's internal control over financial reporting as of December 31, 2024,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 xml:space="preserve">issued by the Committee of Sponsoring Organizations of the Treadway Commission and our report dated March 3, 2025, expressed an unqualified opinion on the Company's internal control over financial reporting. </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Critical Audit Matter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Accrued Research and Development and Prepaid Expenses and Other Current Assets – Accrued and Prepaid Research and Development Expenses related to Contract Research Organizations (CROs) — Refer to Notes 2 and 5 to the financial statements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Critical Audit Matter Description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records accrued expenses for costs of research and development activities which include the conduct of clinical studies by third-party CRO service providers, based upon the estimated amount of services provided but not yet invoiced. Any payments made in advance of services provided are recorded as prepaid assets, which are expensed as the contracted services are performed. The Company estimates the amount of work completed through the review of detailed budgets and timelines included in its contracts and agreements and updates these estimates with information obtained from third-party service providers and internal personnel on a quarterly basis.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Given the significant judgments made by management in estimating the progress or stage of completion of the services, auditing the Company’s accrued and prepaid research and development expenses related to CROs was especially challenging. Specifically, because the amount of accrued and prepaid research and development expenses is dependent on management’s receipt of timely and accurate reporting from third-party service providers, management’s estimates of work completed as of the balance sheet date, and management’s estimates of the period over which this work will be performed, auditing accrued and prepaid research and development expenses related to CROs required a high degree of auditor judgment and an increased extent of effort.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How the Critical Audit Matter Was Addressed in the Audit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audit procedures related to the Company’s accrued and prepaid research and development expenses related to CROs included the following, among others: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tested the effectiveness of controls over the estimation of accrued and prepaid research and development expenses related to CROs.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For a sample of agreements and contracts, we read the related statement of work, purchase order, and inspected information the Company received from its third-party service providers. We tested the accuracy and completeness of the underlying information used in the estimates and evaluated the significant assumptions that are used by management to estimate the recorded amounts by performing the following procedures: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Performed corroborating inquiries with the Company’s research and development personnel that oversee the CRO’s studies to obtain information regarding the nature and extent of progress of the clinical studies.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Obtained written confirmations directly from the Company’s third-party service providers regarding the accuracy and completeness of contracted amounts and percentage of completion.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Evaluated management’s judgments using the evidence obtained.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For a sample of agreements and contracts, we obtained the corresponding invoices and evidence of payment to test the Company’s disbursements made to third-party service providers as of December 31, 2024.</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compared invoices received by the Company subsequent to December 31, 2024, to the accrued research and development expenses related to CROs recognized by the Company as of that date.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Deloitte &amp; Touche LLP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San Francisco, California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March 3, 2025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2018.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Pliant Therapeutics,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Balance Sheets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number of shares and per share amounts)</w:t>
      </w:r>
    </w:p>
    <w:tbl>
      <w:tblPr>
        <w:tblW w:w="10205" w:type="dxa"/>
        <w:jc w:val="left"/>
        <w:tblInd w:w="0" w:type="dxa"/>
        <w:tblLayout w:type="fixed"/>
        <w:tblCellMar>
          <w:top w:w="28" w:type="dxa"/>
          <w:left w:w="28" w:type="dxa"/>
          <w:bottom w:w="28" w:type="dxa"/>
          <w:right w:w="28" w:type="dxa"/>
        </w:tblCellMar>
      </w:tblPr>
      <w:tblGrid>
        <w:gridCol w:w="2871"/>
        <w:gridCol w:w="2366"/>
        <w:gridCol w:w="2303"/>
        <w:gridCol w:w="211"/>
        <w:gridCol w:w="826"/>
        <w:gridCol w:w="109"/>
        <w:gridCol w:w="109"/>
        <w:gridCol w:w="109"/>
        <w:gridCol w:w="109"/>
        <w:gridCol w:w="211"/>
        <w:gridCol w:w="826"/>
        <w:gridCol w:w="155"/>
      </w:tblGrid>
      <w:tr>
        <w:trPr/>
        <w:tc>
          <w:tcPr>
            <w:tcW w:w="2871" w:type="dxa"/>
            <w:tcBorders/>
            <w:vAlign w:val="center"/>
          </w:tcPr>
          <w:p>
            <w:pPr>
              <w:pStyle w:val="TableContents"/>
              <w:bidi w:val="0"/>
              <w:spacing w:before="0" w:after="283"/>
              <w:jc w:val="left"/>
              <w:rPr>
                <w:sz w:val="4"/>
                <w:szCs w:val="4"/>
              </w:rPr>
            </w:pPr>
            <w:r>
              <w:rPr>
                <w:sz w:val="4"/>
                <w:szCs w:val="4"/>
              </w:rPr>
            </w:r>
          </w:p>
        </w:tc>
        <w:tc>
          <w:tcPr>
            <w:tcW w:w="2366"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431,011 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 (Note 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362,264 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505,502 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396,949 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512,154 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(Note 6)</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28,524 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(Note 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38,578 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14)</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$0.0001 par value 10,000,000 shares authorized at December 31, 2024 and 2023, none issued or outstanding at December 31, 2024 and 2023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300,000,000 shares authorized at December 31, 2024 and 2023; and 60,860,838 and 59,921,002 shares issued and outstanding at December 31, 2024 and December 31, 2023,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972,973 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(710,052)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(499,748)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gain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304,081 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473,576 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396,949 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512,154 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Pliant Therapeutics,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Statements of Operations and Comprehensive Loss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number of shares and per share amounts)</w:t>
      </w:r>
    </w:p>
    <w:tbl>
      <w:tblPr>
        <w:tblW w:w="10205" w:type="dxa"/>
        <w:jc w:val="center"/>
        <w:tblInd w:w="0" w:type="dxa"/>
        <w:tblLayout w:type="fixed"/>
        <w:tblCellMar>
          <w:top w:w="28" w:type="dxa"/>
          <w:left w:w="28" w:type="dxa"/>
          <w:bottom w:w="28" w:type="dxa"/>
          <w:right w:w="28" w:type="dxa"/>
        </w:tblCellMar>
      </w:tblPr>
      <w:tblGrid>
        <w:gridCol w:w="2160"/>
        <w:gridCol w:w="1840"/>
        <w:gridCol w:w="1856"/>
        <w:gridCol w:w="211"/>
        <w:gridCol w:w="896"/>
        <w:gridCol w:w="109"/>
        <w:gridCol w:w="109"/>
        <w:gridCol w:w="109"/>
        <w:gridCol w:w="109"/>
        <w:gridCol w:w="211"/>
        <w:gridCol w:w="896"/>
        <w:gridCol w:w="109"/>
        <w:gridCol w:w="109"/>
        <w:gridCol w:w="109"/>
        <w:gridCol w:w="109"/>
        <w:gridCol w:w="211"/>
        <w:gridCol w:w="896"/>
        <w:gridCol w:w="156"/>
      </w:tblGrid>
      <w:tr>
        <w:trPr/>
        <w:tc>
          <w:tcPr>
            <w:tcW w:w="2160"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(96,936)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(39,949)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(228,365)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(136,885)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(228,365)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(184,145)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(127,200)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(123,321)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 basic and 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used in computing net loss per share - basic and diluted</w:t>
            </w:r>
          </w:p>
        </w:tc>
        <w:tc>
          <w:tcPr>
            <w:tcW w:w="110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60,538,639 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58,719,083 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42,015,908 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(123,321)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(loss) gain on short-term investments</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(loss) gain</w:t>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(210,328)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(159,033)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(125,078)</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200" w:after="283"/>
        <w:ind w:left="0" w:right="0" w:firstLine="360"/>
        <w:jc w:val="left"/>
        <w:rPr/>
      </w:pPr>
      <w:r>
        <w:rPr/>
      </w:r>
    </w:p>
    <w:p>
      <w:pPr>
        <w:pStyle w:val="TextBody"/>
        <w:bidi w:val="0"/>
        <w:spacing w:lineRule="auto" w:line="288" w:before="20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Pliant Therapeutics,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Statements of Stockholders’ Equity</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number of shares and per share amounts)</w:t>
      </w:r>
    </w:p>
    <w:tbl>
      <w:tblPr>
        <w:tblW w:w="10230" w:type="dxa"/>
        <w:jc w:val="left"/>
        <w:tblInd w:w="0" w:type="dxa"/>
        <w:tblLayout w:type="fixed"/>
        <w:tblCellMar>
          <w:top w:w="28" w:type="dxa"/>
          <w:left w:w="28" w:type="dxa"/>
          <w:bottom w:w="28" w:type="dxa"/>
          <w:right w:w="28" w:type="dxa"/>
        </w:tblCellMar>
      </w:tblPr>
      <w:tblGrid>
        <w:gridCol w:w="638"/>
        <w:gridCol w:w="311"/>
        <w:gridCol w:w="312"/>
        <w:gridCol w:w="109"/>
        <w:gridCol w:w="109"/>
        <w:gridCol w:w="109"/>
        <w:gridCol w:w="540"/>
        <w:gridCol w:w="541"/>
        <w:gridCol w:w="211"/>
        <w:gridCol w:w="109"/>
        <w:gridCol w:w="109"/>
        <w:gridCol w:w="109"/>
        <w:gridCol w:w="275"/>
        <w:gridCol w:w="333"/>
        <w:gridCol w:w="143"/>
        <w:gridCol w:w="109"/>
        <w:gridCol w:w="109"/>
        <w:gridCol w:w="109"/>
        <w:gridCol w:w="211"/>
        <w:gridCol w:w="976"/>
        <w:gridCol w:w="109"/>
        <w:gridCol w:w="109"/>
        <w:gridCol w:w="109"/>
        <w:gridCol w:w="109"/>
        <w:gridCol w:w="289"/>
        <w:gridCol w:w="866"/>
        <w:gridCol w:w="151"/>
        <w:gridCol w:w="109"/>
        <w:gridCol w:w="109"/>
        <w:gridCol w:w="109"/>
        <w:gridCol w:w="211"/>
        <w:gridCol w:w="841"/>
        <w:gridCol w:w="109"/>
        <w:gridCol w:w="109"/>
        <w:gridCol w:w="109"/>
        <w:gridCol w:w="109"/>
        <w:gridCol w:w="212"/>
        <w:gridCol w:w="832"/>
        <w:gridCol w:w="157"/>
      </w:tblGrid>
      <w:tr>
        <w:trPr/>
        <w:tc>
          <w:tcPr>
            <w:tcW w:w="63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Other</w:t>
              <w:br/>
              <w:t>Comprehensive</w:t>
              <w:br/>
              <w:t xml:space="preserve">(Loss) Gain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Stockholders'</w:t>
              <w:br/>
              <w:t>Equity</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3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36,083,301 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199,059 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in a public offering, net of offering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12,432,432 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215,401 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under benefit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403,680 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restricted stock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21,841 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loss on 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(123,321)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48,941,254 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653,707 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(338,412)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313,342 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in a public offering, net of offering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9,583,334 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269,782 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under benefit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1,396,414 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44,483 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 on 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(161,336)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59,921,002 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972,973 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(499,748)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473,576 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under benefit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939,836 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37,626 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loss on short-term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(210,304)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60,860,838 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1,013,806 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(710,052)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304,081 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financial statements.</w:t>
      </w:r>
    </w:p>
    <w:p>
      <w:pPr>
        <w:pStyle w:val="TextBody"/>
        <w:bidi w:val="0"/>
        <w:spacing w:before="2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Pliant Therapeutics,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Statements of Cash Flows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273"/>
        <w:gridCol w:w="1947"/>
        <w:gridCol w:w="1962"/>
        <w:gridCol w:w="196"/>
        <w:gridCol w:w="802"/>
        <w:gridCol w:w="109"/>
        <w:gridCol w:w="109"/>
        <w:gridCol w:w="109"/>
        <w:gridCol w:w="109"/>
        <w:gridCol w:w="196"/>
        <w:gridCol w:w="802"/>
        <w:gridCol w:w="109"/>
        <w:gridCol w:w="109"/>
        <w:gridCol w:w="109"/>
        <w:gridCol w:w="109"/>
        <w:gridCol w:w="196"/>
        <w:gridCol w:w="802"/>
        <w:gridCol w:w="157"/>
      </w:tblGrid>
      <w:tr>
        <w:trPr/>
        <w:tc>
          <w:tcPr>
            <w:tcW w:w="2273"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6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(210,304)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(161,336)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(123,321)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used in operating activities:</w:t>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expense</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22,598 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operating lease expense</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(accretion) on short-term investments and debt</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liabilities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7,904 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operating activities</w:t>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(155,503)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(116,361)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(94,631)</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1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short-term investments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(211,285)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(583,069)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(325,716)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Maturity of short-term investments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177,272 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property and equipment</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investing activities</w:t>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140,340 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(127,012)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(150,204)</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1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common stock in a public offering</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216,201 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issuances of common stock under benefit plans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offering costs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term loan, net of issuance costs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9,850 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financing activities</w:t>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274,405 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226,854 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 and cash equivalents</w:t>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(17,981)</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beginning of period</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51,665 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33,684 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disclosures of cash flow information:</w:t>
            </w:r>
          </w:p>
        </w:tc>
        <w:tc>
          <w:tcPr>
            <w:tcW w:w="11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Reconciliation of cash, cash equivalents, and restricted cash reported in the balance sheets</w:t>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33,684 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cash, cash equivalents, and restricted cash shown in the statements of cash flows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33,684 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disclosures of noncash investing and financing activities:</w:t>
            </w:r>
          </w:p>
        </w:tc>
        <w:tc>
          <w:tcPr>
            <w:tcW w:w="11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unrealized (loss) gain on short-term investments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property and equipment in 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restricted stock awards from liabilities to common stock upon vesting</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disclosures of cash flow information related to leases:</w:t>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operating lease liabilities in operating cash flows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 obtained in exchange for new operating lease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Decrease in right-of -use assets and liabilities from lease modifications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Pliant Therapeutics,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1.Organization and Description of Business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Pliant Therapeutics, Inc. (the “Company” or "Pliant" or “we” or “our” or “us”) is a late stage clinical stage biopharmaceutical company focused on discovering and developing novel therapies for the treatment of fibrosis with an initial focus on treating fibrosis by inhibiting integrin-mediated activation of TGF-β. Fibrosis refers to the abnormal thickening and scarring of connective tissue due to the production and deposition of excess collagen in the extra-cellular matrix. Fibrosis can occur in many different tissues including lung, liver, kidney, muscle, skin and the GI tract, and often causes severe and debilitating disease leading to organ failure. The Company is located in South San Francisco, California, and was incorporated in the state of Delaware in June 2015.</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Public Offerings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July 2022, the Company completed a public offering of 12,432,432 shares of common stock, including the exercise in full of the underwriters' option to purchase 1,621,621 additional shares of common stock. The shares were offered at a price of $18.50 per share, resulting in aggregate proceeds of approximately $215.4 million, net of underwriting discounts, commissions and offering expenses.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2023, the Company completed a public offering of 9,583,334 shares of common stock, including the exercise in full of the underwriters' option to purchase 1,250,000 additional shares of common stock. The shares were offered at a price of $30.00 per share, resulting in aggregate proceeds of approximately $269.8 million, net of underwriting discounts, commissions and offering expenses payable by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80"/>
        <w:jc w:val="left"/>
        <w:rPr/>
      </w:pPr>
      <w:r>
        <w:rPr>
          <w:rFonts w:ascii="Times New Roman;sans-serif" w:hAnsi="Times New Roman;sans-serif"/>
          <w:b/>
          <w:color w:val="000000"/>
          <w:sz w:val="20"/>
        </w:rPr>
        <w:t>2.</w:t>
      </w:r>
      <w:r>
        <w:rPr>
          <w:color w:val="000000"/>
        </w:rPr>
        <w:t xml:space="preserve"> </w:t>
      </w:r>
      <w:r>
        <w:rPr>
          <w:rFonts w:ascii="Times New Roman;sans-serif" w:hAnsi="Times New Roman;sans-serif"/>
          <w:b/>
          <w:color w:val="000000"/>
          <w:sz w:val="20"/>
        </w:rPr>
        <w:t>Summary of Significant Accounting Policies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financial statements have been prepared in conformity with accounting principles generally accepted in the United States of America (“U.S. GAAP”). Certain prior year reported amounts have been reclassified to conform with the current period presentation.</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assumptions that affect the reported amounts of assets, liabilities, and expenses as well as the disclosure of contingent assets and liabilities in the financial statements and accompanying notes. On an ongoing basis, management evaluates its estimates, including those related to revenue recognition, accruals for research and development costs, fair value of assets, stock-based compensation, income taxes and uncertain tax positions. Management bases its estimates on historical experience and on various other market-specific and relevant assumptions that management believes to be reasonable under the circumstances, however, actual results may differ from those estimates.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120" w:after="120"/>
        <w:ind w:left="0" w:right="0" w:firstLine="450"/>
        <w:jc w:val="left"/>
        <w:rPr/>
      </w:pPr>
      <w:r>
        <w:rPr>
          <w:rFonts w:ascii="Times New Roman;sans-serif" w:hAnsi="Times New Roman;sans-serif"/>
          <w:b w:val="false"/>
          <w:color w:val="000000"/>
          <w:sz w:val="20"/>
        </w:rPr>
        <w:t xml:space="preserve">The Company accounts for revenues in accordance with Accounting Standards Codification Topic 606, </w:t>
      </w:r>
      <w:r>
        <w:rPr>
          <w:rFonts w:ascii="Times New Roman;sans-serif" w:hAnsi="Times New Roman;sans-serif"/>
          <w:b w:val="false"/>
          <w:i/>
          <w:color w:val="000000"/>
          <w:sz w:val="20"/>
        </w:rPr>
        <w:t>Revenue from Contracts with Customers (</w:t>
      </w:r>
      <w:r>
        <w:rPr>
          <w:rFonts w:ascii="Times New Roman;sans-serif" w:hAnsi="Times New Roman;sans-serif"/>
          <w:b w:val="false"/>
          <w:color w:val="000000"/>
          <w:sz w:val="20"/>
        </w:rPr>
        <w:t xml:space="preserve">Topic 606). To determine revenue recognition for arrangements that fall within the scope of ASC 606, we perform the following five steps: (i) identify the contract(s) with a customer; (ii) identify the performance obligations in the contract; (iii) determine the transaction price; (iv) allocate the transaction price to the performance obligations in the contract; and (v) recognize revenue when (or as) we satisfy a performance obligation. We only apply the five-step model to contracts when it is probable that we will collect the consideration we are entitled to in exchange for the goods or services we transfer to the customer. </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At contract inception, we assess the goods or services promised within each contract, determine those that are performance obligations, and assess whether each promised good or service is distinct. We then recognize as revenue the amount of the transaction price that is allocated to the respective performance obligation when (or as) the performance obligation is satisfied. To date, our revenues have been generated solely from the Collaboration and License Agreement with Novartis (the “Novartis Agreement”). The Novartis Agreement, which was terminated effective April 18, 2023, included licenses of intellectual property, cost reimbursements, research and development services, upfront signing fees, milestone payments and royalties on future licensee’s product sales.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accounting for this arrangement, we must apply judgment to determine whether the performance obligations are distinct, and develop assumptions in determining the stand-alone selling price for each distinct performance obligation identified in the contract. To determine the stand-alone selling price, we rely on assumptions which may include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forecasted revenues, development timelines, reimbursement rates for personnel costs, discount rates and probabilities of technical and regulatory success.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Licenses of Intellectual Property</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the license to our intellectual property is determined to be distinct from the other performance obligations identified in the arrangement, we recognize revenues from non-refundable, up-front fees allocated to the license when the license is transferred to the licensee and the licensee is able to use and benefit from the license. For licenses that are bundled with other promises,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revenues. We evaluate the measure of progress each reporting period and, if necessary, adjust the measure of performance and related revenue recognition.</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Milestone Payments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At the inception of an arrangement that includes development milestone payments, we evaluate whether the milestones are considered probable of being reached and estimate the amount to be included in the transaction price using the most likely amount method. If it is probable that a significant revenue reversal would not occur, the associated milestone value is included in the transaction price. The transaction price is then allocated to each performance obligation on a relative stand-alone selling price basis, for which we recognize revenue as or when the performance obligations under the contract are satisfied. At the end of each reporting period, we re-evaluate the probability of achievement of such development milestones and any related constraint and, if necessary, adjust our estimate of the overall transaction price. Any such adjustments are recorded on a cumulative catch-up basis, which would affect collaboration and license revenue in the period of adjustment.</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Research and development services </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Amounts related to research and development services are recognized as the related services or activities are performed, in accordance with the contract terms. The cost associated with full-time equivalent researchers is estimated each period and billable to Novartis based at specified full-time equivalent rates.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Royalties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Sales-based royalties, including milestone payments based on the level of sales, are considered to be predominately related to the license included in the arrangement, and we will recognize revenue at the later of (i) when the related sales occur, or (ii) when the performance obligation to which some or all of the royalty has been allocated has been satisfied (or partially satisfied). We did not recognize any royalty revenue from the Novartis Agreement during the period it was in effect. </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contract assets when we have a right to consideration in exchange for goods or services that the Company has transferred to a customer when that right is conditional on something other than the passage of time. A receivable will be recorded on the balance sheet when the Company has unconditional rights to consideration (i.e., only the passage of time is required before payment becomes due). A contract liability is an obligation to transfer goods or services for which the Company has received consideration, or for which an amount of consideration is due from the customer. Receivables cannot be netted against contract liabilities and would be presented separately from contract assets. Contract assets and contract liabilities are netted at the contract level.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defines fair value as the price that would be received from selling an asset or paid to transfer a liability in an orderly transaction between market participants at the measurement date. When determining the fair value measurements for assets and liabilities which are required to be recorded at fair value, the Company considers the principal or most advantageous market in which to transact and the market-based risk. Fair value accounting is applied for all financial assets and liabilities and non-financial assets and liabilities that are recognized or disclosed at fair value in the financial statements on a recurring basis. The carrying amount of the Company’s financial instruments, including cash and cash equivalents, tax credit receivable, accounts receivable, prepaid expenses and other current assets, accounts payable and accrued liabilities approximate fair value due to their short-term maturities.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Concentration of Credit Risk and Other Risks and Uncertainties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instruments that potentially subject the Company to a concentration of credit risk consist of cash and cash equivalents, short-term investments and accounts receivable. The Company invests in Money Market Funds, United States (“U.S.”) Treasury securities, government notes and corporate debt securities. The Company limits its credit risk associated with its cash and cash equivalents by placing them with banks and institutions it believes are highly credit worthy and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highly rated investments. However, the Company had deposits in excess of the Federal Deposit Insurance Corporation (“FDIC”) insured limit of $250,000. The Company performs credit evaluations of its customer, and the risk with respect to accounts receivable is further mitigated by the short duration of customer payment terms, generally within 60 days, and the pedigree of the customer base. During the year ended December 31, 2024, the Company had no revenue or accounts receivable, and during the years ended December 31, 2023 and 2022, Novartis accounted for 100% of the Company’s revenue and accounts receivable.</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future results of operations involve several other risks and uncertainties. Factors that could affect the Company’s future operating results and cause actual results to vary materially from expectations include, but are not limited to, uncertainty of results of clinical trials and reaching milestones, uncertainty of regulatory approval of the Company’s product candidates, uncertainty of market acceptance of the Company’s product candidates, competition from substitute products, including those that may be developed or marketed by larger companies, securing and protecting intellectual property, strategic relationships and dependence on key individuals and sole source suppliers.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product candidates require approvals from the U.S. Food and Drug Administration (“FDA”) and comparable foreign regulatory agencies prior to commercial sales in their respective jurisdictions. There can be no assurance that any product candidates will receive the necessary approvals. If the Company was denied approval, approval was delayed or the Company was unable to maintain approval for any product candidate, it could have a materially adverse impact on the Company.</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Segment</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The Company operates and manages its business as one reportable and operating segment, which is the business of developing and commercializing novel therapies for fibrotic diseases. The Company’s chief executive officer, who is the chief operating decision maker ("CODM"), reviews financial information on an aggregate basis for allocating and evaluating financial performance; however, our CODM is regularly provided with more detailed expense information than what is included in our Statement of Operations and Comprehensive Loss. See Note 13 for further details. The single operating segment constitutes all of the Company activity, the chief operating decision maker regularly reviews the entity-wide operating results and performance</w:t>
      </w:r>
      <w:r>
        <w:rPr>
          <w:rFonts w:ascii="Times New Roman;sans-serif" w:hAnsi="Times New Roman;sans-serif"/>
          <w:b w:val="false"/>
          <w:color w:val="EE2724"/>
          <w:sz w:val="22"/>
        </w:rPr>
        <w:t>.</w:t>
      </w:r>
      <w:r>
        <w:rPr>
          <w:color w:val="EE2724"/>
        </w:rPr>
        <w:t xml:space="preserve"> </w:t>
      </w:r>
      <w:r>
        <w:rPr>
          <w:rFonts w:ascii="Times New Roman;sans-serif" w:hAnsi="Times New Roman;sans-serif"/>
          <w:b w:val="false"/>
          <w:color w:val="000000"/>
          <w:sz w:val="20"/>
        </w:rPr>
        <w:t>All long-lived assets are maintained in the United States of America.</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considers all highly liquid investments purchased with original maturities of three months or less from the purchase date to be cash equivalents. Cash equivalents consist of amounts invested in Money Market Funds and are stated at fair value.</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Restricted Cash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restricted cash balance of $1.4 million as of December 31, 2024 and 2023 represented cash required to be held as collateral by a financial institution to guarantee lease payments due to our landlord at Oyster Point Blvd, South San Francisco, California (the "Oyster Point Lease").</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Short-Term Investments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short-term investments consist of U.S. Treasury securities, U.S. government agency securities and corporate debt securities with remaining maturities beyond three months at the date of purchase. The Company has classified and accounted for its short-term investments as available-for-sale securities as the Company may sell these securities at any time even prior to maturity and such investments represent cash available for current operations. As a result, short-term investments may include securities with maturities beyond twelve months that are classified within current assets in the Balance Sheets. As of December 31, 2024 and 2023, all of the Company’s short-term investments were classified as available-for-sale and were carried at fair market value with unrealized losses recorded in other comprehensive (loss) gain in the statements of operations and comprehensive loss. See Note 3 for further details.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records an allowance for credit losses using an expected loss model. Credit losses are limited to the amount by which the amortized cost of an investment exceeds its fair value. A previously recognized credit loss may be decreased in subsequent periods if the Company’s estimate of fair value for the investment increases. To determine whether to record a credit loss, the Company considers issuer specific credit ratings and historical losses as well as current economic conditions and its expectations for future economic conditions. The Company has not recorded any credit losses during the three years ended December 31, 2024, 2023 and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Property and Equipment, Net</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are recorded at cost net of accumulated depreciation and amortization. Property and equipment are depreciated using the straight-line method over the estimated useful lives of the assets. The useful lives of property and equipment are as follows:</w:t>
      </w:r>
    </w:p>
    <w:tbl>
      <w:tblPr>
        <w:tblW w:w="7468" w:type="dxa"/>
        <w:jc w:val="left"/>
        <w:tblInd w:w="0" w:type="dxa"/>
        <w:tblLayout w:type="fixed"/>
        <w:tblCellMar>
          <w:top w:w="28" w:type="dxa"/>
          <w:left w:w="28" w:type="dxa"/>
          <w:bottom w:w="28" w:type="dxa"/>
          <w:right w:w="28" w:type="dxa"/>
        </w:tblCellMar>
      </w:tblPr>
      <w:tblGrid>
        <w:gridCol w:w="1054"/>
        <w:gridCol w:w="926"/>
        <w:gridCol w:w="929"/>
        <w:gridCol w:w="1331"/>
        <w:gridCol w:w="1331"/>
        <w:gridCol w:w="1897"/>
      </w:tblGrid>
      <w:tr>
        <w:trPr/>
        <w:tc>
          <w:tcPr>
            <w:tcW w:w="105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Laboratory equipment</w:t>
            </w:r>
          </w:p>
        </w:tc>
        <w:tc>
          <w:tcPr>
            <w:tcW w:w="455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 years</w:t>
            </w:r>
          </w:p>
        </w:tc>
      </w:tr>
      <w:tr>
        <w:trPr/>
        <w:tc>
          <w:tcPr>
            <w:tcW w:w="2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 and software</w:t>
            </w:r>
          </w:p>
        </w:tc>
        <w:tc>
          <w:tcPr>
            <w:tcW w:w="45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 years</w:t>
            </w:r>
          </w:p>
        </w:tc>
      </w:tr>
      <w:tr>
        <w:trPr/>
        <w:tc>
          <w:tcPr>
            <w:tcW w:w="29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455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Shorter of remaining lease term or estimated useful life</w:t>
            </w:r>
          </w:p>
        </w:tc>
      </w:tr>
    </w:tbl>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Upon retirement or sale of the assets, the cost and related accumulated depreciation and amortization are removed from the balance sheets and the resulting gain or loss is recorded to the statements of operations and comprehensive loss. Repairs and maintenance are expensed as incurred.</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determines if an arrangement contains a lease at the inception of the contract and a records right-of-use (“ROU”) asset and lease liability on the balance sheet at lease commencement based on the present value of remaining lease payments over the lease term. The Company only considers payments that are fixed and determinable at the time of commencement.</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For leases with an initial term greater than 12 months, lease liabilities are recognized based on the present value of the future minimum lease payments discounted by the Company’s estimated incremental borrowing rate. The Company measures ROU assets based on the corresponding lease liability adjusted for (i) payments made to the lessor at or before the commencement date, (ii) initial direct costs incurred and (iii) tenant incentives under the lease. The Company’s lease terms may include options to extend or terminate the lease when it is reasonably certain that it will exercise that option. Lease expense for minimum lease payments is recognized on a straight-line basis over the lease term.</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calculates the present value of future minimum lease payments using its estimated incremental borrowing rate when the discount rate implicit in the lease is not known. The incremental borrowing rate is the rate of interest that a lessee would have to pay to borrow on a collateralized basis over a similar term at an amount equal to the lease payments in a similar economic environment. In determining its incremental borrowing rate, the Company gives consideration to its credit risk, term of the lease, total lease payments and an analysis of peer companies with profiles similar to its own.</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elected the short-term lease practical expedient to exclude leases with a term less than 12 months from its ROU assets and lease liabilities. The Company records rent expense for short-term leases in its statements of operations on a straight-line basis over the lease term and records variable lease payments as incurred. The Company has also elected to not separate lease and non-lease components and, as a result, accounts for any lease and non-lease components as a single lease component.</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Impairment of Long-Lived Assets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assets are reviewed for impairment whenever events or changes in circumstances indicate that the carrying amount of an asset may not be recoverable. Recoverability of assets to be held and used is measured by a comparison of the carrying amount of an asset to future net cash flows expected to be generated by the asset. If the carrying amount of an asset exceeds its estimated future cash flows, an impairment charge is recognized by the amount by which the carrying amount of the asset exceeds the fair value of the asset. There was no impairment of long-lived assets during the years ended December 31, 2024, 2023 and 2022.</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costs are expensed as incurred. Research and development expenses consist primarily of personnel costs for the Company’s research and development employees. Also included are non-personnel costs such as fees paid to consultants and third parties for preclinical and clinical studies, research and development services, laboratory supplies and equipment maintenance costs, license costs, contract manufacturing costs and allocations of facility related costs. The Company estimates preclinical and clinical studies and research expenses based on the services performed, pursuant to contracts with research institutions that conduct and manage preclinical and clinical studies and research services on its behalf. We estimate the amount of work completed through review of detailed budgets and timelines included in our contracts and agreements, and update these estimates with information obtained from third-party service providers and internal personnel on a quarterly basis. If the actual timing of the performance of services or the level of effort varies from the original estimates, the Company will adjust the accrual accordingly. Payments made to third parties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under these arrangements in advance of the performance of the related services are recorded as prepaid expenses and are expensed as services are rendered.</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Payments associated with licensing agreements to acquire exclusive licenses to develop, use, manufacture and commercialize products that have not reached technological feasibility and do not have alternate commercial use are expensed as incurred.</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stock-based equity awards include restricted stock awards, stock options, restricted stock units ("RSUs") and performance-based restricted stock units ("PSUs"), issued under the Company's 2020 Stock Option and Incentive Plan (the "2020 Plan"), 2022 Inducement Plan ("Inducement Plan") and shares issued under the Company’s 2020 Employee Stock Purchase Plan ("ESPP"). Stock-based compensation for awards that are granted to employees is accounted at fair value on the award grant date and the expense is recognized over the period the employee is required to provide service in exchange for the award, which is generally on a straight-line basis over the vesting period of the award. The expense is recorded in either research and development or general and administrative expenses in the statements of operations and comprehensive loss based on the function to which the related services are provided. Forfeitures are accounted for as they occur.</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utilizes the Monte Carlo simulation model with significant inputs including volatility and closing price of stock on grant for estimating the fair value of equity awards with market-based vesting conditions and uses the closing price of common stock on the date of grant for PSUs and RSUs with a performance or service-based vesting condition. </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Black-Scholes option-pricing model, used to estimate fair value of stock options with service-based vesting conditions, requires the use of the following assumptions: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i/>
          <w:color w:val="000000"/>
          <w:sz w:val="20"/>
        </w:rPr>
        <w:t>Expected term</w:t>
      </w:r>
      <w:r>
        <w:rPr>
          <w:color w:val="000000"/>
        </w:rPr>
        <w:t>—</w:t>
      </w:r>
      <w:r>
        <w:rPr>
          <w:rFonts w:ascii="Times New Roman;sans-serif" w:hAnsi="Times New Roman;sans-serif"/>
          <w:b w:val="false"/>
          <w:color w:val="000000"/>
          <w:sz w:val="20"/>
        </w:rPr>
        <w:t>The expected term represents the period that the stock-based awards are expected to be outstanding. The expected term for the Company’s stock options was calculated utilizing the simplified method, which represents the average of the weighted-average vesting term and the contract period of the awards. The expected term for the ESPP is the offering period.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i/>
          <w:color w:val="000000"/>
          <w:sz w:val="20"/>
        </w:rPr>
        <w:t>Expected volatility</w:t>
      </w:r>
      <w:r>
        <w:rPr>
          <w:color w:val="000000"/>
        </w:rPr>
        <w:t>—</w:t>
      </w:r>
      <w:r>
        <w:rPr>
          <w:rFonts w:ascii="Times New Roman;sans-serif" w:hAnsi="Times New Roman;sans-serif"/>
          <w:b w:val="false"/>
          <w:color w:val="000000"/>
          <w:sz w:val="20"/>
        </w:rPr>
        <w:t>Prior to the Company being public, the Company did not have any trading history for its common stock, the expected volatility was estimated based on the average historical volatilities of common stock of comparable publicly traded entities over a period equal to the expected term of the stock option grants. The comparable companies were chosen based on their size, stage in the life cycle or area of specialty. As the Company went public in June 2020, the Company will continue to apply this process for stock options and ESPP awards until enough historical information regarding the volatility of its stock price becomes available.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i/>
          <w:color w:val="000000"/>
          <w:sz w:val="20"/>
        </w:rPr>
        <w:t>Risk-free interest rate</w:t>
      </w:r>
      <w:r>
        <w:rPr>
          <w:color w:val="000000"/>
        </w:rPr>
        <w:t>—</w:t>
      </w:r>
      <w:r>
        <w:rPr>
          <w:rFonts w:ascii="Times New Roman;sans-serif" w:hAnsi="Times New Roman;sans-serif"/>
          <w:b w:val="false"/>
          <w:color w:val="000000"/>
          <w:sz w:val="20"/>
        </w:rPr>
        <w:t>The risk-free interest rate is based on the U.S. Treasury yield in effect at the time of grant for zero-coupon U.S. Treasury notes with maturities approximately equal to the expected term of the awards.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i/>
          <w:color w:val="000000"/>
          <w:sz w:val="20"/>
        </w:rPr>
        <w:t>Expected dividend</w:t>
      </w:r>
      <w:r>
        <w:rPr>
          <w:color w:val="000000"/>
        </w:rPr>
        <w:t>—</w:t>
      </w:r>
      <w:r>
        <w:rPr>
          <w:rFonts w:ascii="Times New Roman;sans-serif" w:hAnsi="Times New Roman;sans-serif"/>
          <w:b w:val="false"/>
          <w:color w:val="000000"/>
          <w:sz w:val="20"/>
        </w:rPr>
        <w:t>The Company has never paid dividends on the common stock and has no plans to pay dividends on the common stock. Therefore, the Company used an expected dividend yield of zero.</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provides for income taxes under the asset and liability method. Current income tax expense or benefit represents the amount of income taxes expected to be payable or refundable for the current year. Deferred income tax assets and liabilities are determined based on differences between the financial statement reporting and tax basis of assets and liabilities and net operating loss and credit carryforwards and are measured using the enacted tax rates and laws that will be in effect when such items are expected to reverse. Deferred income tax assets are reduced, as necessary, by a valuation allowance when management determines it is more likely than not that some or all the tax benefits will not be realized.</w:t>
      </w:r>
    </w:p>
    <w:p>
      <w:pPr>
        <w:pStyle w:val="TextBody"/>
        <w:bidi w:val="0"/>
        <w:spacing w:lineRule="auto" w:line="288" w:before="120" w:after="120"/>
        <w:ind w:left="0" w:right="0" w:firstLine="450"/>
        <w:jc w:val="left"/>
        <w:rPr/>
      </w:pPr>
      <w:r>
        <w:rPr>
          <w:rFonts w:ascii="Times New Roman;sans-serif" w:hAnsi="Times New Roman;sans-serif"/>
          <w:b w:val="false"/>
          <w:color w:val="000000"/>
          <w:sz w:val="20"/>
        </w:rPr>
        <w:t>The Company accounts for uncertain tax positions in accordance with ASC 740</w:t>
      </w:r>
      <w:r>
        <w:rPr>
          <w:rFonts w:ascii="Times New Roman;sans-serif" w:hAnsi="Times New Roman;sans-serif"/>
          <w:b w:val="false"/>
          <w:i/>
          <w:color w:val="000000"/>
          <w:sz w:val="20"/>
        </w:rPr>
        <w:t>, Income Taxes</w:t>
      </w:r>
      <w:r>
        <w:rPr>
          <w:rFonts w:ascii="Times New Roman;sans-serif" w:hAnsi="Times New Roman;sans-serif"/>
          <w:b w:val="false"/>
          <w:color w:val="000000"/>
          <w:sz w:val="20"/>
        </w:rPr>
        <w:t xml:space="preserve">. The Company assesses all material positions taken in any income tax return, including all significant uncertain positions, in all tax years that are still subject to assessment or challenge by relevant taxing authorities. Assessing an uncertain tax position begins with the initial determination of the position’s sustainability and is measured at the largest amount of benefit that is greater than fifty percent likely of being realized upon ultimate settlement. As of each balance sheet date, unresolved uncertain tax positions must be reassessed, and the Company will determine whether (i) the factors underlying the sustainability assertion have changed and (ii) the amount of the recognized tax benefit is still appropriate. The recognition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measurement of tax benefits requires significant judgment. Judgments concerning the recognition and measurement of a tax benefit might change as new information becomes available.</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includes any penalties and interest expense related to income taxes as a component of income tax expense, as necessary.</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Comprehensive Loss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Comprehensive loss includes net loss as well as other changes in stockholders' equity that result from transactions and economic events other than those with stockholders. The Company's comprehensive gain (loss) represents unrealized losses and gains on short-term investments.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Interest and other income (expense)</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includes interest income from our short-term investment portfolio.</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Net Loss Per Share</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Basic net loss per share is computed by dividing net loss attributed to common stockholders by the weighted-average number of shares of common stock outstanding during the period. Diluted net loss per share is computed using the weighted-average number of shares of common stock outstanding during the period and, if dilutive, the weighted-average number of potential shares of common stock.</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equivalent shares are excluded from the computation of diluted net loss or income per share if their effect is antidilutive. In periods in which the Company reports a net loss attributable to common stockholders, diluted net loss per share attributable to common stockholders is generally the same as basic net loss per share attributable to common stockholders since dilutive common shares are not assumed to have been issued if their effect is antidilutive. The Company reported a net loss attributable to common stockholders during the years ended December 31, 2024, 2023 and 2022.</w:t>
      </w:r>
    </w:p>
    <w:p>
      <w:pPr>
        <w:pStyle w:val="TextBody"/>
        <w:bidi w:val="0"/>
        <w:spacing w:lineRule="auto" w:line="288" w:before="18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Recently Adopted Accounting Pronouncements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2023, the FASB issued ASU 2023-07 “Segment Reporting - Improvements to Reportable Segment Disclosures”, which updates reportable segment disclosure requirements, primarily through enhanced disclosures about significant segment expenses and information used to assess segment performance. The guidance is effective for the Company's annual periods beginning in 2024 and interim periods beginning in the first quarter of fiscal year 2025. The Company adopted the standard on December 31, 2024. The adoption of this standard did not have a material impact on the Company's consolidated financial statements. See Note 13, Segment, for the updated segment disclosures as a result of adopting this ASU.</w:t>
      </w:r>
    </w:p>
    <w:p>
      <w:pPr>
        <w:pStyle w:val="TextBody"/>
        <w:bidi w:val="0"/>
        <w:spacing w:lineRule="auto" w:line="288" w:before="18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Accounting Pronouncements Not Yet Adopted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2023-09, Income Taxes (Topic 740): "Improvements to Income Tax Disclosures", which expands disclosures in an entity’s income tax rate reconciliation table and regarding cash taxes paid both in the U.S. and foreign jurisdictions. ASU 2023-09 is effective for fiscal years beginning after December 15, 2024 on a prospective basis and retrospective application is permitted. The Company is currently evaluating the impact of this standard on its disclosures and will adopt the ASU for its 2025 10-K.</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2024, the FASB issued ASU 2024-03 “Disaggregation of Income Statement Expenses,” which aims to improve the disclosures about a public business entity’s expenses and address requests from investors for more detailed information about the types of expenses in commonly presented expense captions. The guidance is effective for the Company's annual periods beginning in 2027 and interim periods beginning in the first quarter of fiscal year 2028. The Company is currently evaluating the impact of the new guidance.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3.    Financial Instruments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short-term investments consist of U.S. Treasury securities, U.S. Government agency securities and highly rated, investment-grade corporate debt securities with original maturities beyond three months at the date of purchase. The Company has classified and accounted for its short-term investments as available-for-sale securities as the Company may sell these securities at any time even prior to maturity and such investments represent cash available for current operations. As a result, short-term investments may include securities with maturities beyond twelve months that are classified within current assets in the Balance Sheets. The Company’s short-term investments classified as available-for-sale are carried at fair market value with unrealized gain or loss recognized in other comprehensive gain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Assets and liabilities recorded at fair value on a recurring basis in the Balance Sheets and assets and liabilities measured at fair value on a non-recurring basis or disclosed at fair value, are categorized based upon the level of judgment associated with inputs used to measure their fair values. Fair value is defined as the price that would be received upon the sale of an asset or paid to transfer a liability (an exit price) in an orderly transaction between market participants at the measurement date. Accounting guidance establishes a three-level valuation hierarchy that prioritizes the inputs to valuation techniques used to measure fair value based upon whether such inputs are observable or unobservable. Observable inputs reflect market data obtained from independent sources, while unobservable inputs reflect market assumptions made by the reporting entity. The three-level hierarchy for the inputs to valuation techniques is briefly summarized as follows: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i/>
          <w:color w:val="000000"/>
          <w:sz w:val="20"/>
        </w:rPr>
        <w:t>Level 1</w:t>
      </w:r>
      <w:r>
        <w:rPr>
          <w:color w:val="000000"/>
        </w:rPr>
        <w:t>—</w:t>
      </w:r>
      <w:r>
        <w:rPr>
          <w:rFonts w:ascii="Times New Roman;sans-serif" w:hAnsi="Times New Roman;sans-serif"/>
          <w:b w:val="false"/>
          <w:color w:val="000000"/>
          <w:sz w:val="20"/>
        </w:rPr>
        <w:t>Inputs are unadjusted, quoted prices in active markets for identical assets or liabilities at the measurement date;</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i/>
          <w:color w:val="000000"/>
          <w:sz w:val="20"/>
        </w:rPr>
        <w:t>Level 2</w:t>
      </w:r>
      <w:r>
        <w:rPr>
          <w:color w:val="000000"/>
        </w:rPr>
        <w:t>—</w:t>
      </w:r>
      <w:r>
        <w:rPr>
          <w:rFonts w:ascii="Times New Roman;sans-serif" w:hAnsi="Times New Roman;sans-serif"/>
          <w:b w:val="false"/>
          <w:color w:val="000000"/>
          <w:sz w:val="20"/>
        </w:rPr>
        <w:t>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i/>
          <w:color w:val="000000"/>
          <w:sz w:val="20"/>
        </w:rPr>
        <w:t>Level 3</w:t>
      </w:r>
      <w:r>
        <w:rPr>
          <w:color w:val="000000"/>
        </w:rPr>
        <w:t>—</w:t>
      </w:r>
      <w:r>
        <w:rPr>
          <w:rFonts w:ascii="Times New Roman;sans-serif" w:hAnsi="Times New Roman;sans-serif"/>
          <w:b w:val="false"/>
          <w:color w:val="000000"/>
          <w:sz w:val="20"/>
        </w:rPr>
        <w:t>Unobservable inputs that are significant to the measurement of the fair value of the assets or liabilities that are supported by little or no market data.</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Company’s cash equivalent Money Market Funds are classified as Level 1 because they are valued using quoted market prices. The fair value of the Company’s U.S. Treasury securities, U.S. government agency securities and corporate debt securities are classified as Level 2 because they are valued using observable inputs to quoted market prices, benchmark yields, reported trades, broker/dealer quotes or alternative pricing sources with reasonable levels of price transparency. These Level 2 instruments require more management judgment and subjectivity compared to Level 1 instruments which include determining which instruments are most similar to the instrument being priced, determining whether the market is active and determining which model-derived valuations are to be used when calculating fair value. The Company performs its analysis with the assistance of investment advisors.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assets or liabilities recorded at fair value using Level 3 inputs as of December 31, 2024 and 2023.</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show the Company’s cash and cash equivalents and short-term investments by significant investment category as of December 31, 2024 and 2023 (in thousands):</w:t>
      </w:r>
    </w:p>
    <w:tbl>
      <w:tblPr>
        <w:tblW w:w="11331" w:type="dxa"/>
        <w:jc w:val="left"/>
        <w:tblInd w:w="0" w:type="dxa"/>
        <w:tblLayout w:type="fixed"/>
        <w:tblCellMar>
          <w:top w:w="28" w:type="dxa"/>
          <w:left w:w="28" w:type="dxa"/>
          <w:bottom w:w="28" w:type="dxa"/>
          <w:right w:w="28" w:type="dxa"/>
        </w:tblCellMar>
      </w:tblPr>
      <w:tblGrid>
        <w:gridCol w:w="603"/>
        <w:gridCol w:w="201"/>
        <w:gridCol w:w="202"/>
        <w:gridCol w:w="165"/>
        <w:gridCol w:w="165"/>
        <w:gridCol w:w="166"/>
        <w:gridCol w:w="109"/>
        <w:gridCol w:w="109"/>
        <w:gridCol w:w="109"/>
        <w:gridCol w:w="196"/>
        <w:gridCol w:w="736"/>
        <w:gridCol w:w="109"/>
        <w:gridCol w:w="109"/>
        <w:gridCol w:w="109"/>
        <w:gridCol w:w="109"/>
        <w:gridCol w:w="202"/>
        <w:gridCol w:w="435"/>
        <w:gridCol w:w="114"/>
        <w:gridCol w:w="109"/>
        <w:gridCol w:w="109"/>
        <w:gridCol w:w="109"/>
        <w:gridCol w:w="207"/>
        <w:gridCol w:w="428"/>
        <w:gridCol w:w="116"/>
        <w:gridCol w:w="109"/>
        <w:gridCol w:w="109"/>
        <w:gridCol w:w="109"/>
        <w:gridCol w:w="196"/>
        <w:gridCol w:w="736"/>
        <w:gridCol w:w="109"/>
        <w:gridCol w:w="109"/>
        <w:gridCol w:w="109"/>
        <w:gridCol w:w="109"/>
        <w:gridCol w:w="196"/>
        <w:gridCol w:w="736"/>
        <w:gridCol w:w="109"/>
        <w:gridCol w:w="109"/>
        <w:gridCol w:w="109"/>
        <w:gridCol w:w="109"/>
        <w:gridCol w:w="202"/>
        <w:gridCol w:w="435"/>
        <w:gridCol w:w="114"/>
        <w:gridCol w:w="109"/>
        <w:gridCol w:w="109"/>
        <w:gridCol w:w="109"/>
        <w:gridCol w:w="196"/>
        <w:gridCol w:w="446"/>
        <w:gridCol w:w="109"/>
        <w:gridCol w:w="109"/>
        <w:gridCol w:w="109"/>
        <w:gridCol w:w="109"/>
        <w:gridCol w:w="196"/>
        <w:gridCol w:w="736"/>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2023</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Adjusted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Market</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Adjusted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Market</w:t>
              <w:br/>
              <w:t>Value</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 Funds</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U.S. Treasury securities </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27,288 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Agency Securities</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134,086 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debt securities</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269,637 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financial assets</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339,041 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339,361 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487,907 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488,252 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790" w:type="dxa"/>
        <w:jc w:val="left"/>
        <w:tblInd w:w="0" w:type="dxa"/>
        <w:tblLayout w:type="fixed"/>
        <w:tblCellMar>
          <w:top w:w="28" w:type="dxa"/>
          <w:left w:w="28" w:type="dxa"/>
          <w:bottom w:w="28" w:type="dxa"/>
          <w:right w:w="28" w:type="dxa"/>
        </w:tblCellMar>
      </w:tblPr>
      <w:tblGrid>
        <w:gridCol w:w="430"/>
        <w:gridCol w:w="267"/>
        <w:gridCol w:w="264"/>
        <w:gridCol w:w="109"/>
        <w:gridCol w:w="109"/>
        <w:gridCol w:w="109"/>
        <w:gridCol w:w="196"/>
        <w:gridCol w:w="736"/>
        <w:gridCol w:w="109"/>
        <w:gridCol w:w="109"/>
        <w:gridCol w:w="109"/>
        <w:gridCol w:w="109"/>
        <w:gridCol w:w="202"/>
        <w:gridCol w:w="435"/>
        <w:gridCol w:w="114"/>
        <w:gridCol w:w="109"/>
        <w:gridCol w:w="109"/>
        <w:gridCol w:w="109"/>
        <w:gridCol w:w="207"/>
        <w:gridCol w:w="428"/>
        <w:gridCol w:w="116"/>
        <w:gridCol w:w="109"/>
        <w:gridCol w:w="109"/>
        <w:gridCol w:w="109"/>
        <w:gridCol w:w="196"/>
        <w:gridCol w:w="736"/>
        <w:gridCol w:w="109"/>
        <w:gridCol w:w="109"/>
        <w:gridCol w:w="109"/>
        <w:gridCol w:w="109"/>
        <w:gridCol w:w="196"/>
        <w:gridCol w:w="736"/>
        <w:gridCol w:w="109"/>
        <w:gridCol w:w="109"/>
        <w:gridCol w:w="109"/>
        <w:gridCol w:w="109"/>
        <w:gridCol w:w="202"/>
        <w:gridCol w:w="435"/>
        <w:gridCol w:w="114"/>
        <w:gridCol w:w="109"/>
        <w:gridCol w:w="109"/>
        <w:gridCol w:w="109"/>
        <w:gridCol w:w="196"/>
        <w:gridCol w:w="446"/>
        <w:gridCol w:w="109"/>
        <w:gridCol w:w="109"/>
        <w:gridCol w:w="109"/>
        <w:gridCol w:w="109"/>
        <w:gridCol w:w="196"/>
        <w:gridCol w:w="736"/>
        <w:gridCol w:w="154"/>
      </w:tblGrid>
      <w:tr>
        <w:trPr/>
        <w:tc>
          <w:tcPr>
            <w:tcW w:w="43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2023</w:t>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Classified 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Adjusted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Market</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Adjusted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Market</w:t>
              <w:br/>
              <w:t>Value</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431,011 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339,041 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339,361 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487,907 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488,252 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may sell certain of its short-term securities prior to their stated maturities for reasons including, but not limited to, managing liquidity, credit risk, duration and asset allocation.</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the remaining contractual maturities of the Company’s short-term investments as of December 31, 2024:</w:t>
      </w:r>
    </w:p>
    <w:tbl>
      <w:tblPr>
        <w:tblW w:w="4961" w:type="dxa"/>
        <w:jc w:val="left"/>
        <w:tblInd w:w="0" w:type="dxa"/>
        <w:tblLayout w:type="fixed"/>
        <w:tblCellMar>
          <w:top w:w="28" w:type="dxa"/>
          <w:left w:w="28" w:type="dxa"/>
          <w:bottom w:w="28" w:type="dxa"/>
          <w:right w:w="28" w:type="dxa"/>
        </w:tblCellMar>
      </w:tblPr>
      <w:tblGrid>
        <w:gridCol w:w="726"/>
        <w:gridCol w:w="640"/>
        <w:gridCol w:w="643"/>
        <w:gridCol w:w="240"/>
        <w:gridCol w:w="941"/>
        <w:gridCol w:w="124"/>
        <w:gridCol w:w="109"/>
        <w:gridCol w:w="109"/>
        <w:gridCol w:w="109"/>
        <w:gridCol w:w="234"/>
        <w:gridCol w:w="916"/>
        <w:gridCol w:w="170"/>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Adjusted Cost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Market Value</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Mature in 1 year or less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276,666 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277,008 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Mature in 1 to 2 years</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284,216 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284,536 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liabilities measured at fair value on a recurring basis as of December 31, 2024 and 2023. There have been no transfers between fair value measurement levels during the years ended December 31, 2024 and 2023. In addition, there were no assets or liabilities measured at fair value on a non-recurring basis as of December 31, 2024 and 2023.</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records interest income and accretion income earned on Money Market Funds and U.S. Treasury, U.S. government agency and corporate debt securities to interest and other income (expense), net in its statement of operations and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4.    Property and Equipment, net</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consisted of the following (in thousands):</w:t>
      </w:r>
    </w:p>
    <w:tbl>
      <w:tblPr>
        <w:tblW w:w="5308" w:type="dxa"/>
        <w:jc w:val="left"/>
        <w:tblInd w:w="0" w:type="dxa"/>
        <w:tblLayout w:type="fixed"/>
        <w:tblCellMar>
          <w:top w:w="28" w:type="dxa"/>
          <w:left w:w="28" w:type="dxa"/>
          <w:bottom w:w="28" w:type="dxa"/>
          <w:right w:w="28" w:type="dxa"/>
        </w:tblCellMar>
      </w:tblPr>
      <w:tblGrid>
        <w:gridCol w:w="1108"/>
        <w:gridCol w:w="974"/>
        <w:gridCol w:w="978"/>
        <w:gridCol w:w="396"/>
        <w:gridCol w:w="399"/>
        <w:gridCol w:w="156"/>
        <w:gridCol w:w="121"/>
        <w:gridCol w:w="121"/>
        <w:gridCol w:w="121"/>
        <w:gridCol w:w="360"/>
        <w:gridCol w:w="361"/>
        <w:gridCol w:w="213"/>
      </w:tblGrid>
      <w:tr>
        <w:trPr/>
        <w:tc>
          <w:tcPr>
            <w:tcW w:w="110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Laboratory equipment</w:t>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10,410 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 and software</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Construction-in-progress</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gross</w:t>
            </w:r>
          </w:p>
        </w:tc>
        <w:tc>
          <w:tcPr>
            <w:tcW w:w="7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12,249 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(8,682)</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net</w:t>
            </w:r>
          </w:p>
        </w:tc>
        <w:tc>
          <w:tcPr>
            <w:tcW w:w="795"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5,525 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3,567 </w:t>
            </w:r>
          </w:p>
        </w:tc>
        <w:tc>
          <w:tcPr>
            <w:tcW w:w="2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 during the year ended December 31, 2024 was $2.1 million and for each of the years ended December 31, 2023 and 2022 was $1.8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5.    Prepaid Expenses and Other Current Assets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 consisted of the following (in thousands):</w:t>
      </w:r>
    </w:p>
    <w:tbl>
      <w:tblPr>
        <w:tblW w:w="6278" w:type="dxa"/>
        <w:jc w:val="left"/>
        <w:tblInd w:w="0" w:type="dxa"/>
        <w:tblLayout w:type="fixed"/>
        <w:tblCellMar>
          <w:top w:w="28" w:type="dxa"/>
          <w:left w:w="28" w:type="dxa"/>
          <w:bottom w:w="28" w:type="dxa"/>
          <w:right w:w="28" w:type="dxa"/>
        </w:tblCellMar>
      </w:tblPr>
      <w:tblGrid>
        <w:gridCol w:w="1424"/>
        <w:gridCol w:w="1249"/>
        <w:gridCol w:w="1256"/>
        <w:gridCol w:w="211"/>
        <w:gridCol w:w="616"/>
        <w:gridCol w:w="109"/>
        <w:gridCol w:w="109"/>
        <w:gridCol w:w="109"/>
        <w:gridCol w:w="109"/>
        <w:gridCol w:w="211"/>
        <w:gridCol w:w="721"/>
        <w:gridCol w:w="154"/>
      </w:tblGrid>
      <w:tr>
        <w:trPr/>
        <w:tc>
          <w:tcPr>
            <w:tcW w:w="1424"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insurance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licenses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receivable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prepaid expenses and other current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ind w:left="0" w:right="0" w:hanging="720"/>
        <w:jc w:val="left"/>
        <w:rPr/>
      </w:pPr>
      <w:r>
        <w:rPr/>
      </w:r>
    </w:p>
    <w:p>
      <w:pPr>
        <w:pStyle w:val="TextBody"/>
        <w:bidi w:val="0"/>
        <w:spacing w:lineRule="auto" w:line="28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6.    Accrued Liabilities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consisted of the following (in thousands):</w:t>
      </w:r>
    </w:p>
    <w:tbl>
      <w:tblPr>
        <w:tblW w:w="5469" w:type="dxa"/>
        <w:jc w:val="left"/>
        <w:tblInd w:w="0" w:type="dxa"/>
        <w:tblLayout w:type="fixed"/>
        <w:tblCellMar>
          <w:top w:w="28" w:type="dxa"/>
          <w:left w:w="28" w:type="dxa"/>
          <w:bottom w:w="28" w:type="dxa"/>
          <w:right w:w="28" w:type="dxa"/>
        </w:tblCellMar>
      </w:tblPr>
      <w:tblGrid>
        <w:gridCol w:w="1093"/>
        <w:gridCol w:w="959"/>
        <w:gridCol w:w="963"/>
        <w:gridCol w:w="211"/>
        <w:gridCol w:w="721"/>
        <w:gridCol w:w="109"/>
        <w:gridCol w:w="109"/>
        <w:gridCol w:w="109"/>
        <w:gridCol w:w="109"/>
        <w:gridCol w:w="211"/>
        <w:gridCol w:w="721"/>
        <w:gridCol w:w="154"/>
      </w:tblGrid>
      <w:tr>
        <w:trPr/>
        <w:tc>
          <w:tcPr>
            <w:tcW w:w="1093"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 consist primarily of accrued bonuses and accrued vacation.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7.    Debt</w:t>
      </w:r>
    </w:p>
    <w:p>
      <w:pPr>
        <w:pStyle w:val="TextBody"/>
        <w:bidi w:val="0"/>
        <w:spacing w:lineRule="auto" w:line="26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2022, as amended in October 2022, we entered into a term loan facility (the “Oxford Loan Agreement”) with Oxford Finance LLC (the "Lender") for up to $100.0 million. In connection with the Oxford Loan Agreement, we granted a security interest in substantially all of our current and future assets. At closing, we entered into a term loan for $10.0 million and we decided not to draw upon the additional $65.0 million that became available to us over the course of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certain conditions related to the development of bexotegrast and one of our preclinical product candidates were satisfied. As of December 31, 2023, the time period to draw upon the additional $65.0 million had lapsed. </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11, 2024, we entered into an Amended and Restated Loan and Security Agreement (the “Amended Loan Agreement”) with the Lender to borrow a series of term loans up to an aggregate principal amount of $150.0 million (the “Term Loans”), of which $50.0 million is subject to the Lender’s sole discretion. The availability of additional term loans is dependent upon the status of BEACON-IPF, a global Phase 2b trial in patients with idiopathic pulmonary fibrosis (IPF).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Amended Loan Agreement, we drew an initial Term Loan of $30.0 million, inclusive of $10.0 million in principal amount previously outstanding under the Oxford Loan Agreement. Under the agreement, additional borrowing of up to an additional $70.0 million of Term Loans would be available at our option, $35.0 million being available commencing October 1, 2025 contingent upon the continued operation of the BEACON-IPF study and a further $35.0 million being available upon demonstrating that BEACON-IPF had achieved positive Phase 2b data sufficient to support continued development, in the sole discretion of Oxford. Given the discontinuation of the BEACON-IPF trial, we do not expect to have access to additional borrowing under the Oxford Agreement. Refer to Note 19 for further discussion regarding the discontinuation of BEACON-IPF.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Amended Loan Agreement, the Company granted the Lender a security interest in substantially all of the Company’s assets now owned or hereafter acquired, excluding intellectual property to the extent the aggregate amount of Term Loans advanced and outstanding does not exceed $50.0 million (but including the right to payments and proceeds of intellectual property) and certain customary exceptions. There are no warrants or current financial covenants associated with the Amended Loan Agreement, however, if the aggregate original principal amount of Term Loans exceeds $30.0 million and, in Oxford’s sole discretion, bexotegrast demonstrates negative Phase 2b or Phase 3 data in IPF, or the Company has been issued a complete response letter by the FDA for its IPF new drug application submission, the Company is required to maintain a cash balance of at least 50% of the aggregate outstanding principal of Term Loans then outstanding.</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principal amount outstanding under the Term Loans will accrue interest at a floating per annum rate equal to (i) the greater of (a) 1-month term Chicago Mercantile Exchange (“CME”) Term Secured Overnight Financing Rate (“SOFR”) on the last business day of the month that immediately precedes the month in which the interest will accrue and (b) three and one-half percent (3.50%) plus (ii) five and one-quarter percent (5.25%), subject to an agreed upon floor of 8.75%. Beginning on July 1, 2028, which may be extended to July 1, 2029 (subject to certain conditions set forth in the Amended Loan Agreement), the Company is required to repay the Term Loans in consecutive equal monthly payments of principal, together with applicable interest, in arrears. Interest on the Term Loans is paid on a monthly basis. All unpaid principal and accrued and unpaid interest with respect to each Term Loan will be due and payable in full on March 1, 2029, which may be extended to March 1, 2030 (subject to certain conditions set forth in the Amended Loan Agreement). Accrued interest as of December 31, 2024 and December 31, 2023 is included in other accrued liabilities.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will be required to make a final payment of 5.50% (or 7.25% if the amortization date of the Term Loans has been extended to July 1, 2029 (as discussed above)) of the original principal amount of the Term Loans that were drawn, payable at maturity or upon any earlier acceleration or prepayment of the Term Loans. The Company may prepay the Term Loans in whole or in part, subject to a prepayment fee equal to (i) if prepaid on or before the first anniversary date of the funding date of such Term Loan, 3.00% of the principal amount of the applicable Term Loan prepaid, (ii) if prepaid after the first anniversary and on or before the second anniversary of the funding date of such Term Loan, 2.00% of the principal amount of the applicable Term Loan prepaid, and (iii) if prepaid after the second anniversary and on or before the third anniversary of the funding date of such Term Loan prepaid, 1.00% of the principal amount of the applicable Term Loan prepaid.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Agreement contains representations and warranties, affirmative, and negative covenants, and events of default that are customary for loans of this type. The occurrence of an event of default could result in the acceleration of the obligations under the Amended Loan Agreement, termination of the Term Loan commitments and the right by the Lender to foreclose on the collateral securing the obligations. During the existence of an event of default, the Term Loans would accrue interest at a rate per annum equal to 5.00% above the otherwise applicable interest rate.</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estimated fair value of the term loan as of December 31, 2024 was measured using Level 3 inputs and approximates the carrying value recorded to the balance sheet. The effective interest rate for the term loan is 11.51% for December 31, 2024 and 12.69% for the years ended December 31, 2023 and 2022, respectively. Interest expense during the years ended December 31, 2024, 2023 and 2022 was $3.0 million, $1.3 million and $0.8 million, respectively. </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Future maturities of debt as of December 31, 2024 are as follows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before="0" w:after="0"/>
        <w:jc w:val="left"/>
        <w:rPr/>
      </w:pPr>
      <w:r>
        <w:rPr/>
      </w:r>
    </w:p>
    <w:tbl>
      <w:tblPr>
        <w:tblW w:w="5430" w:type="dxa"/>
        <w:jc w:val="center"/>
        <w:tblInd w:w="0" w:type="dxa"/>
        <w:tblLayout w:type="fixed"/>
        <w:tblCellMar>
          <w:top w:w="28" w:type="dxa"/>
          <w:left w:w="28" w:type="dxa"/>
          <w:bottom w:w="28" w:type="dxa"/>
          <w:right w:w="28" w:type="dxa"/>
        </w:tblCellMar>
      </w:tblPr>
      <w:tblGrid>
        <w:gridCol w:w="1155"/>
        <w:gridCol w:w="1013"/>
        <w:gridCol w:w="1027"/>
        <w:gridCol w:w="434"/>
        <w:gridCol w:w="1484"/>
        <w:gridCol w:w="317"/>
      </w:tblGrid>
      <w:tr>
        <w:trPr/>
        <w:tc>
          <w:tcPr>
            <w:tcW w:w="1155"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2024</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9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debt issuance costs</w:t>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final payment</w:t>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30,211 </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8.    Novartis Collaboration and License Agreement (the "Novartis Agreement")</w:t>
      </w:r>
    </w:p>
    <w:p>
      <w:pPr>
        <w:pStyle w:val="TextBody"/>
        <w:bidi w:val="0"/>
        <w:spacing w:lineRule="auto" w:line="26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2019, we entered into the Novartis Agreement with Novartis Institutes for BioMedical Research, Inc. (“Novartis”) for the development and commercialization of our preclinical product candidate, PLN-1474, and up to three additional integrin research targets. We assessed the Novartis Agreement in accordance with ASC 606 and determined that Novartis was a customer and identified the following performance obligations: (1) to provide worldwide license rights to PLN-1474, (2) to provide research and development services for PLN-1474, (3) to provide non-exclusive license rights to integrin research targets, and (4) to provide research and development services on integrin research targets.</w:t>
      </w:r>
    </w:p>
    <w:p>
      <w:pPr>
        <w:pStyle w:val="TextBody"/>
        <w:bidi w:val="0"/>
        <w:spacing w:lineRule="auto" w:line="26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17, 2023, Novartis exercised their right to terminate the Novartis Agreement. The termination took effect on April 18, 2023, and effective upon the termination, all rights and licenses granted to Novartis under the Novartis Agreement, including PLN-1474, the related investigational new drug (“IND”), and the validated research target, reverted back to us. The payment obligations of Novartis with respect to future milestones, royalties and research and development funding were also terminated.</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Revenues associated with the Novartis Agreement for the years ended December 31, 2024, 2023 and 2022, were nil, $1.6 million and $9.7 million, respectively, which consisted of revenue generated from research and development services and a $4.0 million contingent payment received in 2022 associated with the integrin research target program.</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2023, there were no receivables, contract assets or contract liabilities related to the Novartis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9. Preferred Stock</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Under the Company’s Amended and Restated Certificate of Incorporation, the Company is authorized to issue two classes of shares: preferred stock and common stock. The preferred stock may be issued in series, and the Company’s board of directors is authorized to determine the rights, preferences, and terms of each series. These rights, preferences and terms could include dividend rights, conversion rights, voting rights, terms of redemptions, liquidation preferences and sinking fund terms. As of December 31, 2024 and 2023, the Company was authorized to issue 10,000,000 shares of preferred stock and there was no preferred stock outstanding as of December 31,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10. Common Stock</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2023, the Company had 300,000,000 authorized shares of common stock, at a par value of $0.0001 per share. The common stock has the following rights and privileges: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Voting</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holders of shares of common stock are entitled to one vote for each share of common stock held at any meeting of stockholders and at the time of any written action in lieu of a meeting.</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Dividends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holders of shares of common stock are entitled to receive dividends, when declared by the Company’s Board of Directors. Cash dividends may not be declared or paid to holders of shares of common stock until all unpaid dividends on the Preferred Stock have been paid in accordance with their terms. No dividends have been declared or paid by the Company since its inception. The terms of the Amended Loan Agreement restrict our ability to declare and pay dividends.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Liquidation</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holders of shares of common stock are entitled to share ratably in the Company’s remaining assets available for distribution to its stockholders in the event of any voluntary or involuntary liquidation, dissolution or winding up of the Company or upon occurrence of a deemed liquidation event.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Shares reserved for future issuance</w:t>
      </w:r>
    </w:p>
    <w:tbl>
      <w:tblPr>
        <w:tblW w:w="10205" w:type="dxa"/>
        <w:jc w:val="left"/>
        <w:tblInd w:w="0" w:type="dxa"/>
        <w:tblLayout w:type="fixed"/>
        <w:tblCellMar>
          <w:top w:w="28" w:type="dxa"/>
          <w:left w:w="28" w:type="dxa"/>
          <w:bottom w:w="28" w:type="dxa"/>
          <w:right w:w="28" w:type="dxa"/>
        </w:tblCellMar>
      </w:tblPr>
      <w:tblGrid>
        <w:gridCol w:w="2651"/>
        <w:gridCol w:w="2325"/>
        <w:gridCol w:w="2338"/>
        <w:gridCol w:w="540"/>
        <w:gridCol w:w="541"/>
        <w:gridCol w:w="156"/>
        <w:gridCol w:w="119"/>
        <w:gridCol w:w="119"/>
        <w:gridCol w:w="119"/>
        <w:gridCol w:w="540"/>
        <w:gridCol w:w="541"/>
        <w:gridCol w:w="216"/>
      </w:tblGrid>
      <w:tr>
        <w:trPr/>
        <w:tc>
          <w:tcPr>
            <w:tcW w:w="2651" w:type="dxa"/>
            <w:tcBorders/>
            <w:vAlign w:val="center"/>
          </w:tcPr>
          <w:p>
            <w:pPr>
              <w:pStyle w:val="TableContents"/>
              <w:bidi w:val="0"/>
              <w:spacing w:before="0" w:after="283"/>
              <w:jc w:val="left"/>
              <w:rPr>
                <w:sz w:val="4"/>
                <w:szCs w:val="4"/>
              </w:rPr>
            </w:pPr>
            <w:r>
              <w:rPr>
                <w:sz w:val="4"/>
                <w:szCs w:val="4"/>
              </w:rPr>
            </w:r>
          </w:p>
        </w:tc>
        <w:tc>
          <w:tcPr>
            <w:tcW w:w="2325" w:type="dxa"/>
            <w:tcBorders/>
            <w:vAlign w:val="center"/>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7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stock options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8,300,804 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6,953,487 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RSUs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932,634 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874,748 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PSUs*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328,752 </w:t>
            </w:r>
          </w:p>
        </w:tc>
        <w:tc>
          <w:tcPr>
            <w:tcW w:w="216"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common stock available for future grants under the 2020 Stock Option and Incentive Plan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4,212,229 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2,882,239 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common stock available for future issuance under the 2020 ESPP</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1,294,745 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805,756 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common stock available for future issuance under the 2022 Inducement Plan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reserved for future issuance</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16,200,412 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12,544,982 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4" w:type="dxa"/>
            <w:gridSpan w:val="3"/>
            <w:tcBorders/>
            <w:shd w:fill="FFFFFF" w:val="clear"/>
            <w:tcMar>
              <w:top w:w="0" w:type="dxa"/>
              <w:left w:w="0" w:type="dxa"/>
              <w:bottom w:w="0" w:type="dxa"/>
              <w:right w:w="0" w:type="dxa"/>
            </w:tcMar>
            <w:vAlign w:val="center"/>
          </w:tcPr>
          <w:p>
            <w:pPr>
              <w:pStyle w:val="TableContents"/>
              <w:bidi w:val="0"/>
              <w:spacing w:lineRule="auto" w:line="288" w:before="1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*PSUs granted and outstanding based on target level of achievement of 100%.</w:t>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11.Stock-Based Compensation</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Equity Incentive Plans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2015, the Company's Board of Directors adopted the 2015 Equity Incentive Plan, as amended in 2018, 2019 and 2020 (the “2015 Plan”), which provided for the grant of incentive stock options, nonqualified stock options or other awards including stock appreciation rights and restricted stock awards to the Company’s employees, officers, directors, advisors, and consultants. In May 2020, the Board of Directors adopted the 2020 Stock Option and Incentive Plan (the “2020 Plan”) and suspended the 2015 Plan. Awards outstanding under either the 2015 Plan or 2020 Plan that are cancelled, expire or otherwise terminated subsequent to May 2020 will become available for issuance as common stock under the 2020 Plan. Additionally, the 2020 Plan is subject to automatic increases on January 1 of each year beginning January 1, 2021. The number of shares added each January 1 will be equal to the lesser of: (i) 5% of the outstanding shares on the immediately preceding December 31 or (ii) such amount as determined by the compensation committee of the Board of Directors.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2020 Plan provides for the grant of incentive stock options, nonqualified stock options or other awards including stock appreciation rights, restricted stock awards and restricted stock units to the Company’s employees, officers, directors, advisors and consultants. As of December 31, 2024, the 2020 Plan had 4,212,229 shares of common stock available for future issuance. </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2022, the Board of Directors adopted the 2022 Inducement Plan ("Inducement Plan"), under which the Company may grant nonqualified stock options or other awards including stock appreciation rights and restricted stock awards. As of December 31, 2024, 1,460,000 shares of common stock were available for issuance.</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Options under the 2020 Plan and Inducement Plan may be granted for periods of up to 10 years and at prices no less than the market price of the Company’s common stock on the date of grant, provided, however, that the exercise price of an incentive stock option granted to a 10% shareholder shall not be less than 110% of the fair value of the shares on the date of grant and the option is not exercisable after the expiration of five years from the date of grant.</w:t>
      </w:r>
    </w:p>
    <w:p>
      <w:pPr>
        <w:pStyle w:val="TextBody"/>
        <w:bidi w:val="0"/>
        <w:spacing w:lineRule="auto" w:line="288" w:before="80" w:after="283"/>
        <w:jc w:val="left"/>
        <w:rPr>
          <w:rFonts w:ascii="Times New Roman;sans-serif" w:hAnsi="Times New Roman;sans-serif"/>
          <w:b/>
          <w:i/>
          <w:color w:val="000000"/>
          <w:sz w:val="20"/>
        </w:rPr>
      </w:pPr>
      <w:r>
        <w:rPr>
          <w:rFonts w:ascii="Times New Roman;sans-serif" w:hAnsi="Times New Roman;sans-serif"/>
          <w:b/>
          <w:i/>
          <w:color w:val="000000"/>
          <w:sz w:val="20"/>
        </w:rPr>
        <w:t>Incentive Stock Options and Nonqualified Stock Options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issued under either the 2015 Plan, the 2020 Plan or the Inducement Plan generally vest over four years and expire ten years from the date of grant. Certain options provide for accelerated vesting if there is a change in control, as defined in the respective plans.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used Black-Scholes option pricing model to estimate stock-based compensation expense for stock option awards with the following assumptions:</w:t>
      </w:r>
    </w:p>
    <w:tbl>
      <w:tblPr>
        <w:tblW w:w="9174" w:type="dxa"/>
        <w:jc w:val="center"/>
        <w:tblInd w:w="0" w:type="dxa"/>
        <w:tblLayout w:type="fixed"/>
        <w:tblCellMar>
          <w:top w:w="28" w:type="dxa"/>
          <w:left w:w="28" w:type="dxa"/>
          <w:bottom w:w="28" w:type="dxa"/>
          <w:right w:w="28" w:type="dxa"/>
        </w:tblCellMar>
      </w:tblPr>
      <w:tblGrid>
        <w:gridCol w:w="1121"/>
        <w:gridCol w:w="983"/>
        <w:gridCol w:w="986"/>
        <w:gridCol w:w="243"/>
        <w:gridCol w:w="243"/>
        <w:gridCol w:w="248"/>
        <w:gridCol w:w="109"/>
        <w:gridCol w:w="109"/>
        <w:gridCol w:w="109"/>
        <w:gridCol w:w="243"/>
        <w:gridCol w:w="243"/>
        <w:gridCol w:w="248"/>
        <w:gridCol w:w="109"/>
        <w:gridCol w:w="109"/>
        <w:gridCol w:w="109"/>
        <w:gridCol w:w="243"/>
        <w:gridCol w:w="243"/>
        <w:gridCol w:w="248"/>
        <w:gridCol w:w="109"/>
        <w:gridCol w:w="109"/>
        <w:gridCol w:w="109"/>
        <w:gridCol w:w="243"/>
        <w:gridCol w:w="243"/>
        <w:gridCol w:w="248"/>
        <w:gridCol w:w="109"/>
        <w:gridCol w:w="109"/>
        <w:gridCol w:w="109"/>
        <w:gridCol w:w="243"/>
        <w:gridCol w:w="243"/>
        <w:gridCol w:w="248"/>
        <w:gridCol w:w="109"/>
        <w:gridCol w:w="109"/>
        <w:gridCol w:w="109"/>
        <w:gridCol w:w="226"/>
        <w:gridCol w:w="226"/>
        <w:gridCol w:w="327"/>
      </w:tblGrid>
      <w:tr>
        <w:trPr/>
        <w:tc>
          <w:tcPr>
            <w:tcW w:w="1121"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Max</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85.02%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88.02%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80.97%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83.28%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80.64%</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4.16%</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w:t>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6.08</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Underlying common stock fair value</w:t>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$24.23</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option activity under the 2015 Plan and the 2020 Plan is as follows:</w:t>
      </w:r>
    </w:p>
    <w:tbl>
      <w:tblPr>
        <w:tblW w:w="10205" w:type="dxa"/>
        <w:jc w:val="left"/>
        <w:tblInd w:w="0" w:type="dxa"/>
        <w:tblLayout w:type="fixed"/>
        <w:tblCellMar>
          <w:top w:w="28" w:type="dxa"/>
          <w:left w:w="28" w:type="dxa"/>
          <w:bottom w:w="28" w:type="dxa"/>
          <w:right w:w="28" w:type="dxa"/>
        </w:tblCellMar>
      </w:tblPr>
      <w:tblGrid>
        <w:gridCol w:w="1399"/>
        <w:gridCol w:w="1227"/>
        <w:gridCol w:w="1235"/>
        <w:gridCol w:w="488"/>
        <w:gridCol w:w="488"/>
        <w:gridCol w:w="231"/>
        <w:gridCol w:w="109"/>
        <w:gridCol w:w="109"/>
        <w:gridCol w:w="109"/>
        <w:gridCol w:w="307"/>
        <w:gridCol w:w="898"/>
        <w:gridCol w:w="161"/>
        <w:gridCol w:w="109"/>
        <w:gridCol w:w="109"/>
        <w:gridCol w:w="109"/>
        <w:gridCol w:w="415"/>
        <w:gridCol w:w="415"/>
        <w:gridCol w:w="417"/>
        <w:gridCol w:w="109"/>
        <w:gridCol w:w="109"/>
        <w:gridCol w:w="109"/>
        <w:gridCol w:w="298"/>
        <w:gridCol w:w="1023"/>
        <w:gridCol w:w="222"/>
      </w:tblGrid>
      <w:tr>
        <w:trPr/>
        <w:tc>
          <w:tcPr>
            <w:tcW w:w="1399"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3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w:t>
              <w:br/>
              <w:t>of</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 Exercise</w:t>
              <w:br/>
              <w:t>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Contractual</w:t>
              <w:br/>
              <w:t>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br/>
              <w:t>Intrinsic</w:t>
              <w:br/>
              <w:t>Value (in thousands)</w:t>
            </w:r>
          </w:p>
        </w:tc>
      </w:tr>
      <w:tr>
        <w:trPr/>
        <w:tc>
          <w:tcPr>
            <w:tcW w:w="3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2023</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6,953,487 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32,646 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2,541,819 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(248,343)</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(946,159)</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2024</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8,300,804 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13,769 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as of December 31, 2024</w:t>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4,733,737 </w:t>
            </w:r>
          </w:p>
        </w:tc>
        <w:tc>
          <w:tcPr>
            <w:tcW w:w="23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11,734 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 as of December 31, 2024</w:t>
            </w:r>
          </w:p>
        </w:tc>
        <w:tc>
          <w:tcPr>
            <w:tcW w:w="97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8,300,804 </w:t>
            </w:r>
          </w:p>
        </w:tc>
        <w:tc>
          <w:tcPr>
            <w:tcW w:w="23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13,769 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there was $42.2 million of unrecognized compensation costs that is expected to be recognized over the weighted-average periods of 2.5 years related to stock options. The total intrinsic value of stock options exercised was $1.9 million, $11.4 million and $2.0 million for December 31, 2024, 2023 and 2022, respectively. Intrinsic value represents the difference between the current fair value of the underlying stock and the exercise price of the stock option at the respective balance sheet dates. The weighted-average grant date fair value of options granted during the years ended December 31, 2024, 2023 and 2022 was $15.00, $27.22 and $7.82 per share, respectively.</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service-based condition for restricted stock units ("RSUs") is generally satisfied over two or three years. The following table sets forth the outstanding RSUs and related activity for the year ended December 31, 2024:</w:t>
      </w:r>
    </w:p>
    <w:tbl>
      <w:tblPr>
        <w:tblW w:w="9536" w:type="dxa"/>
        <w:jc w:val="left"/>
        <w:tblInd w:w="0" w:type="dxa"/>
        <w:tblLayout w:type="fixed"/>
        <w:tblCellMar>
          <w:top w:w="28" w:type="dxa"/>
          <w:left w:w="28" w:type="dxa"/>
          <w:bottom w:w="28" w:type="dxa"/>
          <w:right w:w="28" w:type="dxa"/>
        </w:tblCellMar>
      </w:tblPr>
      <w:tblGrid>
        <w:gridCol w:w="1554"/>
        <w:gridCol w:w="1366"/>
        <w:gridCol w:w="1370"/>
        <w:gridCol w:w="569"/>
        <w:gridCol w:w="569"/>
        <w:gridCol w:w="571"/>
        <w:gridCol w:w="109"/>
        <w:gridCol w:w="109"/>
        <w:gridCol w:w="109"/>
        <w:gridCol w:w="690"/>
        <w:gridCol w:w="2016"/>
        <w:gridCol w:w="504"/>
      </w:tblGrid>
      <w:tr>
        <w:trPr/>
        <w:tc>
          <w:tcPr>
            <w:tcW w:w="1554"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Grant Date Fair Value</w:t>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and outstanding as of December 31, 2023</w:t>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874,748 </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29.85 </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599,011 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Released</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(425,979)</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25.93 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(115,146)</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24.63 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and outstanding as of December 31, 2024</w:t>
            </w:r>
          </w:p>
        </w:tc>
        <w:tc>
          <w:tcPr>
            <w:tcW w:w="11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932,634 </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Company had $13.4 million of unrecognized stock-based compensation expense related to outstanding RSUs expected to be recognized over a weighted-average period of 1.6 years.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Performance-Based Restricted Stock Units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2022 the Company granted performance-based restricted stock units ("PSUs") that vest upon the achievement of market and performance conditions. Market conditions include the Company's total shareholder return ("TSR") relative to the NASDAQ Biotechnology Index over the term of the award ending on June 30, 2024, and performance conditions consist of multiple clinical development milestones associated with bexotegrast. The performance vesting conditions generally must be satisfied within a two-year period and are forfeited if the vesting conditions are not met. Additionally, the number of shares of common stock issued upon vesting will range from 0% to 200% of the PSUs based on achievement of certain targets. </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PSUs with clinical development vesting conditions were determined to be equal to the fair market value of the Company's share price on the date of grant. The fair value of the TSR PSUs were derived from a Monte Carlo simulation model that used the following key assumptions: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before="0" w:after="0"/>
        <w:jc w:val="left"/>
        <w:rPr/>
      </w:pPr>
      <w:r>
        <w:rPr/>
      </w:r>
    </w:p>
    <w:tbl>
      <w:tblPr>
        <w:tblW w:w="4697" w:type="dxa"/>
        <w:jc w:val="left"/>
        <w:tblInd w:w="0" w:type="dxa"/>
        <w:tblLayout w:type="fixed"/>
        <w:tblCellMar>
          <w:top w:w="28" w:type="dxa"/>
          <w:left w:w="28" w:type="dxa"/>
          <w:bottom w:w="28" w:type="dxa"/>
          <w:right w:w="28" w:type="dxa"/>
        </w:tblCellMar>
      </w:tblPr>
      <w:tblGrid>
        <w:gridCol w:w="1287"/>
        <w:gridCol w:w="1130"/>
        <w:gridCol w:w="1137"/>
        <w:gridCol w:w="211"/>
        <w:gridCol w:w="616"/>
        <w:gridCol w:w="316"/>
      </w:tblGrid>
      <w:tr>
        <w:trPr/>
        <w:tc>
          <w:tcPr>
            <w:tcW w:w="1287"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date share price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 term (years)</w:t>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w:t>
            </w:r>
          </w:p>
        </w:tc>
      </w:tr>
      <w:tr>
        <w:trPr/>
        <w:tc>
          <w:tcPr>
            <w:tcW w:w="355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Correlation coefficient</w:t>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0.3508</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peer group volatility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peer group correlation coefficient</w:t>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0.4397</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free interest rate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outstanding PSUs associated with the TSR goal and related activity for the years ended December 31, 2024 and 2023:</w:t>
      </w:r>
    </w:p>
    <w:tbl>
      <w:tblPr>
        <w:tblW w:w="8904" w:type="dxa"/>
        <w:jc w:val="left"/>
        <w:tblInd w:w="0" w:type="dxa"/>
        <w:tblLayout w:type="fixed"/>
        <w:tblCellMar>
          <w:top w:w="28" w:type="dxa"/>
          <w:left w:w="28" w:type="dxa"/>
          <w:bottom w:w="28" w:type="dxa"/>
          <w:right w:w="28" w:type="dxa"/>
        </w:tblCellMar>
      </w:tblPr>
      <w:tblGrid>
        <w:gridCol w:w="1303"/>
        <w:gridCol w:w="1144"/>
        <w:gridCol w:w="1152"/>
        <w:gridCol w:w="629"/>
        <w:gridCol w:w="629"/>
        <w:gridCol w:w="631"/>
        <w:gridCol w:w="109"/>
        <w:gridCol w:w="109"/>
        <w:gridCol w:w="109"/>
        <w:gridCol w:w="664"/>
        <w:gridCol w:w="1940"/>
        <w:gridCol w:w="485"/>
      </w:tblGrid>
      <w:tr>
        <w:trPr/>
        <w:tc>
          <w:tcPr>
            <w:tcW w:w="1303"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Performance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Weighted Average Grant Date Fair Value</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balance as of December 31, 2022</w:t>
            </w:r>
          </w:p>
        </w:tc>
        <w:tc>
          <w:tcPr>
            <w:tcW w:w="12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354,532 </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29.15 </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(25,782)</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29.15 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balance at December 31, 2023</w:t>
            </w:r>
          </w:p>
        </w:tc>
        <w:tc>
          <w:tcPr>
            <w:tcW w:w="12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328,750 </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29.15 </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(155,290)</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29.15 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(173,460)</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29.15 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balance at December 31, 2024</w:t>
            </w:r>
          </w:p>
        </w:tc>
        <w:tc>
          <w:tcPr>
            <w:tcW w:w="125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2022, 177,266 PSUs, with a weighted average grant date fair value of $17.57, associated with clinical development milestones met their vesting conditions. In March and July 2023 the second and the third clinical development vesting conditions were achieved and the remaining 531,792 PSUs relating to clinical development vesting conditions vested. There are no remaining PSUs outstanding as of December 31, 2024.</w:t>
      </w:r>
    </w:p>
    <w:p>
      <w:pPr>
        <w:pStyle w:val="TextBody"/>
        <w:bidi w:val="0"/>
        <w:spacing w:lineRule="auto" w:line="288" w:before="200" w:after="120"/>
        <w:jc w:val="left"/>
        <w:rPr>
          <w:rFonts w:ascii="Times New Roman;sans-serif" w:hAnsi="Times New Roman;sans-serif"/>
          <w:b/>
          <w:i/>
          <w:color w:val="000000"/>
          <w:sz w:val="20"/>
        </w:rPr>
      </w:pPr>
      <w:r>
        <w:rPr>
          <w:rFonts w:ascii="Times New Roman;sans-serif" w:hAnsi="Times New Roman;sans-serif"/>
          <w:b/>
          <w:i/>
          <w:color w:val="000000"/>
          <w:sz w:val="20"/>
        </w:rPr>
        <w:t>2020 Employee Stock Purchase Plan</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June 2020, the Company adopted the 2020 Employee Stock Purchase Plan (the "2020 ESPP") and reserved 700,000 shares of common stock for future issuance under the plan. The 2020 ESPP is subject to automatic increases on January 1 of each calendar year, beginning January 1, 2021, by the lesser of (i) 1% of the outstanding shares on the immediately preceding December 31, (ii) 700,000 shares or (iii) such lesser amount as determined by, the compensation committee of the Board of Directors.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2020 ESPP, eligible employees may purchase shares of our common stock through payroll deductions that cannot exceed 15% of the employee’s salary. The 2020 ESPP provides for a six-month offering period. At the end of the purchase period, eligible employees are permitted to purchase shares of common stock at the lower of 85% of the fair market value at the beginning or end of the offering period subject to tax limitations on the total value of the purchase. The 2020 ESPP is considered a compensatory plan, and the Company recorded $0.5 million, $0.6 million and $0.4 million in stock-based compensation expense for years ended December 31, 2024, 2023 and 2022, respectively. During the years ended December 31, 2024, 2023 and 2022, 110,222 shares, 82,428 shares and 85,969 shares, respectively, of common stock were issued under the 2020 ESPP. </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used the Black-Scholes option pricing model to estimate stock-based compensation expense for the 2020 ESPP with the following assumptions:</w:t>
      </w:r>
    </w:p>
    <w:tbl>
      <w:tblPr>
        <w:tblW w:w="8383" w:type="dxa"/>
        <w:jc w:val="center"/>
        <w:tblInd w:w="0" w:type="dxa"/>
        <w:tblLayout w:type="fixed"/>
        <w:tblCellMar>
          <w:top w:w="28" w:type="dxa"/>
          <w:left w:w="28" w:type="dxa"/>
          <w:bottom w:w="28" w:type="dxa"/>
          <w:right w:w="28" w:type="dxa"/>
        </w:tblCellMar>
      </w:tblPr>
      <w:tblGrid>
        <w:gridCol w:w="1070"/>
        <w:gridCol w:w="939"/>
        <w:gridCol w:w="945"/>
        <w:gridCol w:w="502"/>
        <w:gridCol w:w="502"/>
        <w:gridCol w:w="511"/>
        <w:gridCol w:w="140"/>
        <w:gridCol w:w="140"/>
        <w:gridCol w:w="140"/>
        <w:gridCol w:w="502"/>
        <w:gridCol w:w="502"/>
        <w:gridCol w:w="511"/>
        <w:gridCol w:w="140"/>
        <w:gridCol w:w="140"/>
        <w:gridCol w:w="140"/>
        <w:gridCol w:w="454"/>
        <w:gridCol w:w="454"/>
        <w:gridCol w:w="651"/>
      </w:tblGrid>
      <w:tr>
        <w:trPr/>
        <w:tc>
          <w:tcPr>
            <w:tcW w:w="1070"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95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5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4.80% - 5.27%</w:t>
            </w:r>
          </w:p>
        </w:tc>
        <w:tc>
          <w:tcPr>
            <w:tcW w:w="42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5.20% -5.47%</w:t>
            </w:r>
          </w:p>
        </w:tc>
        <w:tc>
          <w:tcPr>
            <w:tcW w:w="42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0.60% -3.34%</w:t>
            </w:r>
          </w:p>
        </w:tc>
      </w:tr>
      <w:tr>
        <w:trPr/>
        <w:tc>
          <w:tcPr>
            <w:tcW w:w="29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of options (in years)</w:t>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0.50</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0.50</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0.50</w:t>
            </w:r>
          </w:p>
        </w:tc>
      </w:tr>
      <w:tr>
        <w:trPr/>
        <w:tc>
          <w:tcPr>
            <w:tcW w:w="295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stock price volatility</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50.95% - 63.92%</w:t>
            </w:r>
          </w:p>
        </w:tc>
        <w:tc>
          <w:tcPr>
            <w:tcW w:w="42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54.78% - 69.15%</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63.17% - 82.02%</w:t>
            </w:r>
          </w:p>
        </w:tc>
      </w:tr>
      <w:tr>
        <w:trPr/>
        <w:tc>
          <w:tcPr>
            <w:tcW w:w="29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dividends</w:t>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Stock-Based Compensation Expense</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classification of stock-based compensation expense during the years ended December 31, 2024, 2023 and 2022 (in thousands):</w:t>
      </w:r>
    </w:p>
    <w:tbl>
      <w:tblPr>
        <w:tblW w:w="7271" w:type="dxa"/>
        <w:jc w:val="center"/>
        <w:tblInd w:w="0" w:type="dxa"/>
        <w:tblLayout w:type="fixed"/>
        <w:tblCellMar>
          <w:top w:w="28" w:type="dxa"/>
          <w:left w:w="28" w:type="dxa"/>
          <w:bottom w:w="28" w:type="dxa"/>
          <w:right w:w="28" w:type="dxa"/>
        </w:tblCellMar>
      </w:tblPr>
      <w:tblGrid>
        <w:gridCol w:w="1247"/>
        <w:gridCol w:w="1097"/>
        <w:gridCol w:w="1105"/>
        <w:gridCol w:w="211"/>
        <w:gridCol w:w="721"/>
        <w:gridCol w:w="109"/>
        <w:gridCol w:w="109"/>
        <w:gridCol w:w="109"/>
        <w:gridCol w:w="109"/>
        <w:gridCol w:w="211"/>
        <w:gridCol w:w="721"/>
        <w:gridCol w:w="109"/>
        <w:gridCol w:w="109"/>
        <w:gridCol w:w="109"/>
        <w:gridCol w:w="109"/>
        <w:gridCol w:w="211"/>
        <w:gridCol w:w="721"/>
        <w:gridCol w:w="154"/>
      </w:tblGrid>
      <w:tr>
        <w:trPr/>
        <w:tc>
          <w:tcPr>
            <w:tcW w:w="1247"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awards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and ESPP</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Performance-based restricted stock units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8,730 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12.    Income Taxes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had a pre-tax U.S. book loss of $210.3 million, $161.3 million, and $123.3 million, for the years ended December 31, 2024, 2023 and 2022, respectively. During the years ended December 31, 2024, 2023 and 2022, the Company did not record an income tax provision. The Company will continue to maintain a 100% valuation allowance on total deferred tax assets. The Company believes it is more likely than not that the related deferred tax assets will not be realized.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reconciliation of the U.S. federal statutory income tax rate to the Company’s effective income tax rate is as follows:</w:t>
      </w:r>
    </w:p>
    <w:tbl>
      <w:tblPr>
        <w:tblW w:w="7047" w:type="dxa"/>
        <w:jc w:val="left"/>
        <w:tblInd w:w="0" w:type="dxa"/>
        <w:tblLayout w:type="fixed"/>
        <w:tblCellMar>
          <w:top w:w="28" w:type="dxa"/>
          <w:left w:w="28" w:type="dxa"/>
          <w:bottom w:w="28" w:type="dxa"/>
          <w:right w:w="28" w:type="dxa"/>
        </w:tblCellMar>
      </w:tblPr>
      <w:tblGrid>
        <w:gridCol w:w="1368"/>
        <w:gridCol w:w="1202"/>
        <w:gridCol w:w="1210"/>
        <w:gridCol w:w="291"/>
        <w:gridCol w:w="294"/>
        <w:gridCol w:w="271"/>
        <w:gridCol w:w="109"/>
        <w:gridCol w:w="109"/>
        <w:gridCol w:w="109"/>
        <w:gridCol w:w="291"/>
        <w:gridCol w:w="294"/>
        <w:gridCol w:w="271"/>
        <w:gridCol w:w="109"/>
        <w:gridCol w:w="109"/>
        <w:gridCol w:w="109"/>
        <w:gridCol w:w="291"/>
        <w:gridCol w:w="294"/>
        <w:gridCol w:w="316"/>
      </w:tblGrid>
      <w:tr>
        <w:trPr/>
        <w:tc>
          <w:tcPr>
            <w:tcW w:w="1368"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computed at federal statutory rate</w:t>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taxes, net of federal tax benefit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business credit—federal</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permanent differences</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162(m)</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income tax rate</w:t>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 and liabilities consisted of the following (in thousands):</w:t>
      </w:r>
    </w:p>
    <w:tbl>
      <w:tblPr>
        <w:tblW w:w="5679" w:type="dxa"/>
        <w:jc w:val="left"/>
        <w:tblInd w:w="0" w:type="dxa"/>
        <w:tblLayout w:type="fixed"/>
        <w:tblCellMar>
          <w:top w:w="28" w:type="dxa"/>
          <w:left w:w="28" w:type="dxa"/>
          <w:bottom w:w="28" w:type="dxa"/>
          <w:right w:w="28" w:type="dxa"/>
        </w:tblCellMar>
      </w:tblPr>
      <w:tblGrid>
        <w:gridCol w:w="1170"/>
        <w:gridCol w:w="1026"/>
        <w:gridCol w:w="1029"/>
        <w:gridCol w:w="211"/>
        <w:gridCol w:w="721"/>
        <w:gridCol w:w="109"/>
        <w:gridCol w:w="109"/>
        <w:gridCol w:w="109"/>
        <w:gridCol w:w="109"/>
        <w:gridCol w:w="211"/>
        <w:gridCol w:w="721"/>
        <w:gridCol w:w="154"/>
      </w:tblGrid>
      <w:tr>
        <w:trPr/>
        <w:tc>
          <w:tcPr>
            <w:tcW w:w="117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2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credits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204,554 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asset basis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losses and tax credit carryforwards were as follows (in thousands):</w:t>
      </w:r>
    </w:p>
    <w:tbl>
      <w:tblPr>
        <w:tblW w:w="8231" w:type="dxa"/>
        <w:jc w:val="left"/>
        <w:tblInd w:w="0" w:type="dxa"/>
        <w:tblLayout w:type="fixed"/>
        <w:tblCellMar>
          <w:top w:w="28" w:type="dxa"/>
          <w:left w:w="28" w:type="dxa"/>
          <w:bottom w:w="28" w:type="dxa"/>
          <w:right w:w="28" w:type="dxa"/>
        </w:tblCellMar>
      </w:tblPr>
      <w:tblGrid>
        <w:gridCol w:w="1785"/>
        <w:gridCol w:w="1572"/>
        <w:gridCol w:w="1577"/>
        <w:gridCol w:w="284"/>
        <w:gridCol w:w="1114"/>
        <w:gridCol w:w="147"/>
        <w:gridCol w:w="109"/>
        <w:gridCol w:w="109"/>
        <w:gridCol w:w="109"/>
        <w:gridCol w:w="416"/>
        <w:gridCol w:w="416"/>
        <w:gridCol w:w="593"/>
      </w:tblGrid>
      <w:tr>
        <w:trPr/>
        <w:tc>
          <w:tcPr>
            <w:tcW w:w="1785"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Expiration Year</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losses, federal (starting from January 1, 2018)</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289,189 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Does not expire</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losses, federal (before January 1, 2018)</w:t>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29,486 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2035-2037</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losses, state</w:t>
            </w:r>
          </w:p>
        </w:tc>
        <w:tc>
          <w:tcPr>
            <w:tcW w:w="2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397,900 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2035-2044</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credits, federal</w:t>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40,517 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2036-2044</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credits, state</w:t>
            </w:r>
          </w:p>
        </w:tc>
        <w:tc>
          <w:tcPr>
            <w:tcW w:w="2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Does not expire</w:t>
            </w:r>
          </w:p>
        </w:tc>
      </w:tr>
    </w:tbl>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Utilization of the net operating loss carryforwards and research credit carryforwards may be subject to an annual limitation due to the ownership percentage change limitations provided by the Internal Revenue Code (“IRC”) and similar state provisions. Annual limitations may result in the expiration of the net operating losses and tax credit carryforwards before they are utilized. The Company performed a IRC Section 382 analysis through December 31, 2024 and does not expect any previous ownership changes to result in a limitation that will reduce the total amount of net operating loss and tax credit carryforwards disclosed that can be utilized. Subsequent ownership changes may affect the limitation in future years.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years ended December 31, 2024 and 2023, the Company recorded a full valuation allowance on federal and state deferred balances since management does not forecast the Company to be in a profitable position in the near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future. Changes in the valuation allowance for deferred tax assets during the years ended December 31, 2024 and 2023 related primarily to the increases in net operating loss carryforwards and research and development tax credit carryforwards and were as follows (in thousands):</w:t>
      </w:r>
    </w:p>
    <w:tbl>
      <w:tblPr>
        <w:tblW w:w="6743" w:type="dxa"/>
        <w:jc w:val="left"/>
        <w:tblInd w:w="0" w:type="dxa"/>
        <w:tblLayout w:type="fixed"/>
        <w:tblCellMar>
          <w:top w:w="28" w:type="dxa"/>
          <w:left w:w="28" w:type="dxa"/>
          <w:bottom w:w="28" w:type="dxa"/>
          <w:right w:w="28" w:type="dxa"/>
        </w:tblCellMar>
      </w:tblPr>
      <w:tblGrid>
        <w:gridCol w:w="1477"/>
        <w:gridCol w:w="1299"/>
        <w:gridCol w:w="1303"/>
        <w:gridCol w:w="211"/>
        <w:gridCol w:w="826"/>
        <w:gridCol w:w="109"/>
        <w:gridCol w:w="109"/>
        <w:gridCol w:w="109"/>
        <w:gridCol w:w="109"/>
        <w:gridCol w:w="211"/>
        <w:gridCol w:w="826"/>
        <w:gridCol w:w="154"/>
      </w:tblGrid>
      <w:tr>
        <w:trPr/>
        <w:tc>
          <w:tcPr>
            <w:tcW w:w="1477"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 at the beginning of the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Increases recorded to income tax provision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 at the end of the year</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153,941 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U.S. federal and state income tax returns are generally subject to tax examinations for the tax years ended December 31, 2018 through December 31, 2023. There are currently no pending income tax examinations. To the extent the Company has tax attribute carryforwards, the tax years in which the attribute was generated may still be adjusted upon examination by the Internal Revenue Service and state tax authorities to the extent utilized in a future period.</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entire amount of the unrecognized tax benefits would not impact the Company’s effective tax rate if recognized. The Company's accounting policy is to include interest and penalties as a component of tax expense. During the years ended December 31, 2024 and 2023, the Company did not recognize accrued interest and penalties related to unrecognized tax benefits. The Company does not anticipate that the amount of existing unrecognized tax benefits will significantly increase or decrease during the next 12 months.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of the beginning and ending amount of unrecognized tax benefits is as follows (in thousands):</w:t>
      </w:r>
    </w:p>
    <w:tbl>
      <w:tblPr>
        <w:tblW w:w="6954" w:type="dxa"/>
        <w:jc w:val="center"/>
        <w:tblInd w:w="0" w:type="dxa"/>
        <w:tblLayout w:type="fixed"/>
        <w:tblCellMar>
          <w:top w:w="28" w:type="dxa"/>
          <w:left w:w="28" w:type="dxa"/>
          <w:bottom w:w="28" w:type="dxa"/>
          <w:right w:w="28" w:type="dxa"/>
        </w:tblCellMar>
      </w:tblPr>
      <w:tblGrid>
        <w:gridCol w:w="1667"/>
        <w:gridCol w:w="1464"/>
        <w:gridCol w:w="1474"/>
        <w:gridCol w:w="211"/>
        <w:gridCol w:w="721"/>
        <w:gridCol w:w="109"/>
        <w:gridCol w:w="109"/>
        <w:gridCol w:w="109"/>
        <w:gridCol w:w="109"/>
        <w:gridCol w:w="211"/>
        <w:gridCol w:w="616"/>
        <w:gridCol w:w="154"/>
      </w:tblGrid>
      <w:tr>
        <w:trPr/>
        <w:tc>
          <w:tcPr>
            <w:tcW w:w="1667"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based on tax positions related to current year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(Reductions) additions for tax positions of prior year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Effective January 1, 2022, we are subject to mandatory capitalization of Section 174 research and development expenditures. The capitalized expenses are subject to amortization over five and fifteen years for expenses incurred within the U.S. and outside of U.S., respectively.</w:t>
      </w:r>
    </w:p>
    <w:p>
      <w:pPr>
        <w:pStyle w:val="TextBody"/>
        <w:bidi w:val="0"/>
        <w:spacing w:before="120" w:after="12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13.    Segment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operates and manages its business as one reportable and operating segment, which is the business of developing and commercializing novel therapies for patients. The CODM reviews financial information on an aggregate basis for allocating and evaluating financial performance. The Company defines its segments based on the way in which internally reported financial information is regularly reviewed by the CODM to analyze financial performance, make decisions, and allocate resources. The CODM assesses performance for the segment and decides how to allocate resources based on net loss which is also reported on the Statement of Operations and Comprehensive Loss as consolidated net loss.</w:t>
      </w:r>
    </w:p>
    <w:p>
      <w:pPr>
        <w:pStyle w:val="TextBody"/>
        <w:bidi w:val="0"/>
        <w:spacing w:lineRule="auto" w:line="288" w:before="120" w:after="283"/>
        <w:ind w:left="0" w:right="0" w:firstLine="450"/>
        <w:jc w:val="left"/>
        <w:rPr>
          <w:rFonts w:ascii="Times New Roman;sans-serif" w:hAnsi="Times New Roman;sans-serif"/>
          <w:b w:val="false"/>
          <w:color w:val="231F20"/>
          <w:sz w:val="20"/>
        </w:rPr>
      </w:pPr>
      <w:r>
        <w:rPr>
          <w:rFonts w:ascii="Times New Roman;sans-serif" w:hAnsi="Times New Roman;sans-serif"/>
          <w:b w:val="false"/>
          <w:color w:val="231F20"/>
          <w:sz w:val="20"/>
        </w:rPr>
        <w:t>All long-lived assets are maintained in the United States of America.</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CODM is regularly provided with more detailed expense information than what is included in our Statement of Operations and Comprehensive Loss. The table below shows a reconciliation of the Company’s net loss, including the significant expense categories regularly provided to and reviewed by the CODM, as computed under U.S. GAAP to the Company’s total net loss in the statements of operations (in thousands)</w:t>
      </w:r>
    </w:p>
    <w:p>
      <w:pPr>
        <w:pStyle w:val="TextBody"/>
        <w:bidi w:val="0"/>
        <w:spacing w:before="120" w:after="283"/>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207"/>
        <w:gridCol w:w="1759"/>
        <w:gridCol w:w="1774"/>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2207"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Year Ended </w:t>
            </w:r>
          </w:p>
        </w:tc>
      </w:tr>
      <w:tr>
        <w:trPr/>
        <w:tc>
          <w:tcPr>
            <w:tcW w:w="5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Bexotegrast - clinical trial and outside service third party contracting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Employee-related expenses - research and development (excluding stock-based compensation)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costs (excluding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segment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228,365 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Reconciliation of segment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123,321 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Other segment items include total stock-based compensation and research and development costs related to other pipeline programs and other non-program costs (excluding employee-related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14.    Commitments and Contingencies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Purchase Commitments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contractual arrangements with research and development organizations and suppliers; however, these contracts are generally cancellable on 30 days’ notice and the obligations under these contracts are largely based on services performed.</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Legal Proceedings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may become involved in legal proceedings arising from the ordinary course of business. The Company record a liability for such matters when it is probable that future losses will be incurred and that such losses can be reasonably estimated. Significant judgment by us is required to determine both probability and the estimated amount. Management is currently not aware of any legal matters that could have a material adverse effect on our financial position, results of operations or cash flows.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Indemnification</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 party actions. In some cases, the indemnification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The Company has also entered into indemnification agreements with its directors and officers that may require the Company to indemnify its directors and officers against liabilities that may arise by reason of their status or service as directors or officers to the fullest extent permitted by Delaware corporate law. The Company currently has directors’ and officers’ insurance.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15.    Leases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28, 2023, the Company entered into a lease agreement for premises consisting of approximately 100,904 square feet of office and laboratory space located at Oyster Point Blvd, South San Francisco, California (the "Oyster Point Lease"), which is being used as a single unified the Company headquarters. The lease term of approximately seven years started in the second quarter of 2024 when the Landlord substantially completed tenant improvements, and may be extended for a period of eight years at then prevailing market rates for a comparable property. Future lease payments are approximately $41.9 million which represent payments due for the initial term of the lease. We excluded extension options that are not reasonably certain to be exercised from our lease terms. Our lease payments consist primarily of fixed rental payments for the right to use the underlying leased assets over the lease term. Additionally,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provided a letter of credit to the Landlord in the amount of $1.4 million in connection with the Oyster Point Lease, which is classified as restricted cash as of December 31, 2024. </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Though the Oyster Point Lease is accounted for as a single contract, the office space was occupied in March 2024 while the laboratory space was occupied in June 2024. Accordingly, the Company measured and allocated consideration to each lease component. Upon commencement of each lease component the Company recognized an aggregate right-of-use asset ("ROU") and lease liability of $23.7 million and $6.1 million during the quarters ended March 31, 2024 and June 30, 2024, respectively. </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ROU assets and liabilities on our balance sheets represent the present value of our remaining lease payments over the remaining lease terms. We use our incremental borrowing rate to calculate the present value of our lease payments, as the implicit rates in our leases are not readily determinable. Operating lease liabilities are based on the net present value of the remaining lease payments over the remaining lease term. In determining the present value of lease payments, the Company used its incremental borrowing rate based on the information available at the date of the commencement of the new lease. </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undiscounted future non-cancellable lease payments of the Company's operating lease liability as of December 31, 2024 were as follows (in thousands):</w:t>
      </w:r>
    </w:p>
    <w:tbl>
      <w:tblPr>
        <w:tblW w:w="5382" w:type="dxa"/>
        <w:jc w:val="left"/>
        <w:tblInd w:w="0" w:type="dxa"/>
        <w:tblLayout w:type="fixed"/>
        <w:tblCellMar>
          <w:top w:w="28" w:type="dxa"/>
          <w:left w:w="28" w:type="dxa"/>
          <w:bottom w:w="28" w:type="dxa"/>
          <w:right w:w="28" w:type="dxa"/>
        </w:tblCellMar>
      </w:tblPr>
      <w:tblGrid>
        <w:gridCol w:w="1318"/>
        <w:gridCol w:w="1162"/>
        <w:gridCol w:w="1165"/>
        <w:gridCol w:w="109"/>
        <w:gridCol w:w="109"/>
        <w:gridCol w:w="109"/>
        <w:gridCol w:w="274"/>
        <w:gridCol w:w="936"/>
        <w:gridCol w:w="200"/>
      </w:tblGrid>
      <w:tr>
        <w:trPr/>
        <w:tc>
          <w:tcPr>
            <w:tcW w:w="131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12,693 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undiscounted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41,881 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Present value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(11,900)</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discounted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29,981 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non-current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29,439 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29,981 </w:t>
            </w:r>
          </w:p>
        </w:tc>
        <w:tc>
          <w:tcPr>
            <w:tcW w:w="20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weighted-average remaining lease terms and discount rates related to the Company's operating leases were as follows:</w:t>
      </w:r>
    </w:p>
    <w:tbl>
      <w:tblPr>
        <w:tblW w:w="6474" w:type="dxa"/>
        <w:jc w:val="left"/>
        <w:tblInd w:w="0" w:type="dxa"/>
        <w:tblLayout w:type="fixed"/>
        <w:tblCellMar>
          <w:top w:w="28" w:type="dxa"/>
          <w:left w:w="28" w:type="dxa"/>
          <w:bottom w:w="28" w:type="dxa"/>
          <w:right w:w="28" w:type="dxa"/>
        </w:tblCellMar>
      </w:tblPr>
      <w:tblGrid>
        <w:gridCol w:w="1495"/>
        <w:gridCol w:w="1312"/>
        <w:gridCol w:w="1317"/>
        <w:gridCol w:w="109"/>
        <w:gridCol w:w="109"/>
        <w:gridCol w:w="109"/>
        <w:gridCol w:w="203"/>
        <w:gridCol w:w="203"/>
        <w:gridCol w:w="328"/>
        <w:gridCol w:w="132"/>
        <w:gridCol w:w="132"/>
        <w:gridCol w:w="132"/>
        <w:gridCol w:w="255"/>
        <w:gridCol w:w="256"/>
        <w:gridCol w:w="382"/>
      </w:tblGrid>
      <w:tr>
        <w:trPr/>
        <w:tc>
          <w:tcPr>
            <w:tcW w:w="1495"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39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costs comprise primarily of the Company's proportionate share of operating expenses, property taxes, and insurance. Short-term lease expense and variable lease payments recorded in operating expenses were immaterial for the years ended December 31, 2024, 2023 and 2022. Lease expenses are as follows (in thousands)</w:t>
      </w:r>
    </w:p>
    <w:tbl>
      <w:tblPr>
        <w:tblW w:w="5664" w:type="dxa"/>
        <w:jc w:val="left"/>
        <w:tblInd w:w="0" w:type="dxa"/>
        <w:tblLayout w:type="fixed"/>
        <w:tblCellMar>
          <w:top w:w="28" w:type="dxa"/>
          <w:left w:w="28" w:type="dxa"/>
          <w:bottom w:w="28" w:type="dxa"/>
          <w:right w:w="28" w:type="dxa"/>
        </w:tblCellMar>
      </w:tblPr>
      <w:tblGrid>
        <w:gridCol w:w="662"/>
        <w:gridCol w:w="582"/>
        <w:gridCol w:w="586"/>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variable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16.     Related Party Transactions</w:t>
      </w:r>
    </w:p>
    <w:p>
      <w:pPr>
        <w:pStyle w:val="TextBody"/>
        <w:bidi w:val="0"/>
        <w:spacing w:lineRule="auto" w:line="288" w:before="120" w:after="120"/>
        <w:ind w:left="0" w:right="0" w:firstLine="450"/>
        <w:jc w:val="left"/>
        <w:rPr/>
      </w:pPr>
      <w:r>
        <w:rPr>
          <w:rFonts w:ascii="Times New Roman;sans-serif" w:hAnsi="Times New Roman;sans-serif"/>
          <w:b w:val="false"/>
          <w:color w:val="000000"/>
          <w:sz w:val="20"/>
        </w:rPr>
        <w:t xml:space="preserve">In June 2022 and 2021, the Company granted 15,000 and 26,572 stock options with a grant date fair value of $0.1 million and $0.5 million to partners of Third Rock Ventures who were also serving as non-employee directors on the Company's Board of Directors. Both of the non-employee directors resigned from the Company's Board of Directors in 2022. The shares of common stock subject to these options </w:t>
      </w:r>
      <w:r>
        <w:rPr>
          <w:rFonts w:ascii="Times New Roman;sans-serif" w:hAnsi="Times New Roman;sans-serif"/>
          <w:b w:val="false"/>
          <w:color w:val="000000"/>
          <w:sz w:val="20"/>
          <w:shd w:fill="FFFFFF" w:val="clear"/>
        </w:rPr>
        <w:t>have all vested</w:t>
      </w:r>
      <w:r>
        <w:rPr>
          <w:rFonts w:ascii="Times New Roman;sans-serif" w:hAnsi="Times New Roman;sans-serif"/>
          <w:b w:val="false"/>
          <w:color w:val="000000"/>
          <w:sz w:val="20"/>
        </w:rPr>
        <w:t xml:space="preserve">. The stock-based compensation expense related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to these options was immaterial during the year ended December 31, 2022. There were no related party transactions during the years ended December 31,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17. Defined Contribution Plan</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sponsors a defined contribution plan under Section 401(k) of the Internal Revenue Code covering substantially all full-time U.S. employees. Employee contributions are voluntary and are determined on an individual basis subject to the maximum allowable under federal tax regulations. The Company made contributions to the plan of $1.3 million, $1.0 million and $0.8 million during the years ended December 31, 2024,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18. Net Loss Per Share Attributable to Common Stockholders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common share equivalents were excluded from the computation of diluted net loss per share attributable to common stockholders for the periods presented, because including them would have been antidilutive:</w:t>
      </w:r>
    </w:p>
    <w:tbl>
      <w:tblPr>
        <w:tblW w:w="9705" w:type="dxa"/>
        <w:jc w:val="center"/>
        <w:tblInd w:w="0" w:type="dxa"/>
        <w:tblLayout w:type="fixed"/>
        <w:tblCellMar>
          <w:top w:w="28" w:type="dxa"/>
          <w:left w:w="28" w:type="dxa"/>
          <w:bottom w:w="28" w:type="dxa"/>
          <w:right w:w="28" w:type="dxa"/>
        </w:tblCellMar>
      </w:tblPr>
      <w:tblGrid>
        <w:gridCol w:w="1974"/>
        <w:gridCol w:w="1740"/>
        <w:gridCol w:w="1746"/>
        <w:gridCol w:w="488"/>
        <w:gridCol w:w="488"/>
        <w:gridCol w:w="156"/>
        <w:gridCol w:w="132"/>
        <w:gridCol w:w="132"/>
        <w:gridCol w:w="132"/>
        <w:gridCol w:w="488"/>
        <w:gridCol w:w="488"/>
        <w:gridCol w:w="156"/>
        <w:gridCol w:w="132"/>
        <w:gridCol w:w="132"/>
        <w:gridCol w:w="132"/>
        <w:gridCol w:w="488"/>
        <w:gridCol w:w="488"/>
        <w:gridCol w:w="213"/>
      </w:tblGrid>
      <w:tr>
        <w:trPr/>
        <w:tc>
          <w:tcPr>
            <w:tcW w:w="1974"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to purchase common stock</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8,300,804 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6,953,487 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5,569,567 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932,634 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874,748 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507,925 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Performance-based restricted stock units*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328,750 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354,532 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9,233,438 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8,156,985 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6,432,024 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*PSUs outstanding based on target level of achievement of 100%.</w:t>
            </w:r>
          </w:p>
        </w:tc>
        <w:tc>
          <w:tcPr>
            <w:tcW w:w="11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450"/>
        <w:jc w:val="left"/>
        <w:rPr/>
      </w:pPr>
      <w:r>
        <w:rPr/>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19. Subsequent Event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2025, we announced that we were discontinuing the BEACON-IPF Phase 2b trial following a prespecified data review and recommendation by the trial’s independent DSMB, as well as a secondary review and recommendation by an outside expert panel, due to an imbalance in safety events between the treatment and placebo groups. The Company plans to analyze the complete data from the BEACON-IPF trial and evaluate next steps for bexotegrast’s development.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that are designed to ensure that information required to be disclosed in our reports under the Securities Exchange Act of 1934, as amended, or the Exchange Act, and the rules and regulations thereunder,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required by Rule 13a-15(b) under the Exchange Act, our management, under the supervision and with the participation of our principal executive officer and principal financial officer, has evaluated the effectiveness of the design and operation of our disclosure controls and procedures (as such term is defined in Rules 13a-15(e) and 15d-15(e) under the Exchange Act) as of December 31, 2024. Based on such evaluation, our Chief Executive Officer and Chief Financial Officer have concluded that, as of December 31, 2024, our disclosure controls and procedures were effective at the reasonable assurance level.</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Management's Annual Report on Internal Control Over Financial Reporting</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is responsible for establishing and maintaining adequate internal control over financial reporting. Internal control over financial reporting is a process designed by, or under the supervision of, our Chief Executive Officer and Chief Financial Officer to provide reasonable assurance regarding the reliability of financial reporting and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preparation of financial statements for external purposes in accordance with generally accepted accounting principles and includes those policies and procedures that </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pertain to the maintenance of records that in reasonable detail accurately and fairly reflect the transactions and dispositions of our assets; </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(3) provide reasonable assurance regarding prevention or timely detection of unauthorized acquisition, use or disposition of our assets that could have a material effect on the financial statements.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Under the supervision and with the participation of our management, including our Chief Executive Officer and Chief Financial Officer, we conducted an evaluation of the effectiveness of our internal control over financial reporting based on criteria established in “Internal Control—Integrated Framework (2013)” issued by the Committee of Sponsoring Organizations of the Treadway Commission (COSO). Our management concluded that our internal control over financial reporting was effective as of December 31, 2024.</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independent registered public accounting firm, Deloitte &amp; Touche LLP, issued an attestation report on our internal control over financial reporting. See below.</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Limitations on Effectiveness of Controls and Procedures and Internal Control over Financial Reporting</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continuously seek to improve the efficiency and effectiveness of our internal controls. This results in refinements to processes throughout our company. There were no changes in our internal controls over financial reporting identified in connection with the evaluation required by Rule 13a-15(d) and 15d-15(d) of the Exchange Act that occurred during the quarter ended December 31, 2024 that have materially affected, or are reasonably likely to materially affect, our internal control over financial reporting. </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 xml:space="preserve">REPORT OF INDEPENDENT REGISTERED PUBLIC ACCOUNTING FIRM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the stockholders and the Board of Directors of Pliant Therapeutics, Inc. </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Opinion on Internal Control over Financial Reporting</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 xml:space="preserve">We have audited the internal control over financial reporting of Pliant Therapeutics, Inc. (the “Company”) as of December 31, 2024,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 xml:space="preserve">issued by the Committee of Sponsoring Organizations of the Treadway Commission (COSO). In our opinion, the Company maintained, in all material respects, effective internal control over financial reporting as of December 31, 2024,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issued by COSO.</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also audited, in accordance with the standards of the Public Company Accounting Oversight Board (United States) (PCAOB), the financial statements as of and for the year ended December 31, 2024, of the Company and our report dated March 3, 2025, expressed an unqualified opinion on those financial statements.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Basis for Opinion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Definition and Limitations of Internal Control over Financial Reporting</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76"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San Francisco, California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March 3,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Rule 10b5-1 Trading Arrangements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Other than those listed below, none of the Company’s directors or officers adopted, modified or terminated a Rule 10b5-1 trading arrangement or a non-Rule 10b5-1 trading arrangement during the three months ended December 31, 2024, as such terms are defined under Item 408(a) of Regulation S-K.</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27, 2024, Eric Lefebvre, our Chief Medical Officer, entered into a trading plan, or the Lefebvre 10b5-1 Sales Plan, intended to satisfy the affirmative defense of Rule 10b5-1(c) under the Exchange Act. Under the Lefebvre 10b5-1 Sales Plan, which goes into effect on March 10, 2025, an aggregate of 111,781 shares of the Company’s common stock may be sold (such aggregate amount, which may be reduced by any shares sold prior pursuant to a prior trading plan adopted by Dr. Lefebvre on December 7, 2023 and prior to initiation of sales pursuant to the Lefebvre 10b5-1 Sales Plan, the “Lefebvre Authorized Shares”). The Lefebvre 10b5-1 Sales Plan, which was entered into during an open trading window under the Company’s insider trading policy, will be in effect until the earlier of (1) March 7, 2026, or (2) the date on which all Lefebvre Authorized Shares have been sold under the Lefebvre 10b5-1 Sales Plan.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will be set forth in our Proxy Statement for our 2025 Annual Meeting of Stockholders and is incorporated herein by reference. Information required by this item regarding compliance with Section 16(a) of the Exchange Act will be set forth in our Proxy Statement and is incorporated herein by reference.</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written code of business conduct and ethics (the “Code of Conduct”) applies to all of our employees, officers and directors, including our principal executive officer, principal financial officer and principal accounting officer or controller. The Code of Conduct is available on our corporate website at https://pliantrx.com. If we make any substantive amendments to our Code of Conduct or grant any of our directors or executive officers any waiver, including any implicit waiver, from a provision of our Code of Conduct, we will disclose the nature of the amendment or waiver on our website or in a Current Report on Form 8-K.</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an insider trading policy governing the purchase, sale and other dispositions of our securities that applies to all personnel of Pliant and its subsidiaries, including directors, officers, employees and other covered persons. We believe that our insider trading policy is reasonably designed to promote compliance with insider trading laws, rules and regulations, as well as applicable listing standards. A copy of our insider trading policy is filed as Exhibit 19.1 to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will be set forth in our Proxy Statement and is incorporated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will be set forth in our Proxy Statement and is incorporated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will be set forth in our Proxy Statement and is incorporated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14. Principal Accounting Fees and Services.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will be set forth in our Proxy Statement and is incorporated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15. Exhibits, Financial Statement Schedules.</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(a)The following documents are filed as part of this Annual Report:</w:t>
      </w:r>
    </w:p>
    <w:p>
      <w:pPr>
        <w:pStyle w:val="TextBody"/>
        <w:bidi w:val="0"/>
        <w:spacing w:lineRule="auto" w:line="288" w:before="200" w:after="283"/>
        <w:ind w:left="0" w:right="0" w:hanging="720"/>
        <w:jc w:val="left"/>
        <w:rPr/>
      </w:pPr>
      <w:r>
        <w:rPr>
          <w:rFonts w:ascii="Times New Roman;sans-serif" w:hAnsi="Times New Roman;sans-serif"/>
          <w:b w:val="false"/>
          <w:color w:val="000000"/>
          <w:sz w:val="20"/>
        </w:rPr>
        <w:t>1.</w:t>
      </w:r>
      <w:r>
        <w:rPr>
          <w:rFonts w:ascii="Times New Roman;sans-serif" w:hAnsi="Times New Roman;sans-serif"/>
          <w:b w:val="false"/>
          <w:i/>
          <w:color w:val="000000"/>
          <w:sz w:val="20"/>
        </w:rPr>
        <w:t>Financial Statements. </w:t>
      </w:r>
      <w:r>
        <w:rPr>
          <w:rFonts w:ascii="Times New Roman;sans-serif" w:hAnsi="Times New Roman;sans-serif"/>
          <w:b w:val="false"/>
          <w:color w:val="000000"/>
          <w:sz w:val="20"/>
        </w:rPr>
        <w:t>See Index to Financial Statements in Part II Item 8 of this Annual Report on Form 10-K.</w:t>
      </w:r>
    </w:p>
    <w:p>
      <w:pPr>
        <w:pStyle w:val="TextBody"/>
        <w:bidi w:val="0"/>
        <w:spacing w:lineRule="auto" w:line="288" w:before="200" w:after="283"/>
        <w:ind w:left="0" w:right="0" w:hanging="720"/>
        <w:jc w:val="left"/>
        <w:rPr/>
      </w:pPr>
      <w:r>
        <w:rPr>
          <w:rFonts w:ascii="Times New Roman;sans-serif" w:hAnsi="Times New Roman;sans-serif"/>
          <w:b w:val="false"/>
          <w:color w:val="000000"/>
          <w:sz w:val="20"/>
        </w:rPr>
        <w:t>2.</w:t>
      </w:r>
      <w:r>
        <w:rPr>
          <w:rFonts w:ascii="Times New Roman;sans-serif" w:hAnsi="Times New Roman;sans-serif"/>
          <w:b w:val="false"/>
          <w:i/>
          <w:color w:val="000000"/>
          <w:sz w:val="20"/>
        </w:rPr>
        <w:t>Financial Statement Schedules</w:t>
      </w:r>
      <w:r>
        <w:rPr>
          <w:rFonts w:ascii="Times New Roman;sans-serif" w:hAnsi="Times New Roman;sans-serif"/>
          <w:b w:val="false"/>
          <w:color w:val="000000"/>
          <w:sz w:val="20"/>
        </w:rPr>
        <w:t>. None. All financial statement schedules are omitted because they are not applicable, not</w:t>
      </w:r>
      <w:r>
        <w:rPr>
          <w:color w:val="000000"/>
        </w:rPr>
        <w:t> </w:t>
      </w:r>
      <w:r>
        <w:rPr>
          <w:rFonts w:ascii="Times New Roman;sans-serif" w:hAnsi="Times New Roman;sans-serif"/>
          <w:b w:val="false"/>
          <w:color w:val="000000"/>
          <w:sz w:val="20"/>
        </w:rPr>
        <w:t>required under the instructions, or the requested information is included in the financial statements or notes thereto.</w:t>
      </w:r>
    </w:p>
    <w:p>
      <w:pPr>
        <w:pStyle w:val="TextBody"/>
        <w:bidi w:val="0"/>
        <w:spacing w:lineRule="auto" w:line="288" w:before="200" w:after="283"/>
        <w:ind w:left="0" w:right="0" w:hanging="720"/>
        <w:jc w:val="left"/>
        <w:rPr/>
      </w:pPr>
      <w:r>
        <w:rPr>
          <w:rFonts w:ascii="Times New Roman;sans-serif" w:hAnsi="Times New Roman;sans-serif"/>
          <w:b w:val="false"/>
          <w:color w:val="000000"/>
          <w:sz w:val="20"/>
        </w:rPr>
        <w:t>3.</w:t>
      </w:r>
      <w:r>
        <w:rPr>
          <w:rFonts w:ascii="Times New Roman;sans-serif" w:hAnsi="Times New Roman;sans-serif"/>
          <w:b w:val="false"/>
          <w:i/>
          <w:color w:val="000000"/>
          <w:sz w:val="20"/>
        </w:rPr>
        <w:t>Exhibits</w:t>
      </w:r>
      <w:r>
        <w:rPr>
          <w:rFonts w:ascii="Times New Roman;sans-serif" w:hAnsi="Times New Roman;sans-serif"/>
          <w:b w:val="false"/>
          <w:color w:val="000000"/>
          <w:sz w:val="20"/>
        </w:rPr>
        <w:t>. The following is a list of exhibits filed with this Annual Report or incorporated herein by reference:</w:t>
      </w:r>
    </w:p>
    <w:tbl>
      <w:tblPr>
        <w:tblW w:w="10205" w:type="dxa"/>
        <w:jc w:val="left"/>
        <w:tblInd w:w="0" w:type="dxa"/>
        <w:tblLayout w:type="fixed"/>
        <w:tblCellMar>
          <w:top w:w="28" w:type="dxa"/>
          <w:left w:w="28" w:type="dxa"/>
          <w:bottom w:w="28" w:type="dxa"/>
          <w:right w:w="28" w:type="dxa"/>
        </w:tblCellMar>
      </w:tblPr>
      <w:tblGrid>
        <w:gridCol w:w="277"/>
        <w:gridCol w:w="244"/>
        <w:gridCol w:w="245"/>
        <w:gridCol w:w="109"/>
        <w:gridCol w:w="109"/>
        <w:gridCol w:w="109"/>
        <w:gridCol w:w="1347"/>
        <w:gridCol w:w="1171"/>
        <w:gridCol w:w="1175"/>
        <w:gridCol w:w="109"/>
        <w:gridCol w:w="109"/>
        <w:gridCol w:w="109"/>
        <w:gridCol w:w="175"/>
        <w:gridCol w:w="175"/>
        <w:gridCol w:w="177"/>
        <w:gridCol w:w="109"/>
        <w:gridCol w:w="109"/>
        <w:gridCol w:w="109"/>
        <w:gridCol w:w="300"/>
        <w:gridCol w:w="247"/>
        <w:gridCol w:w="169"/>
        <w:gridCol w:w="109"/>
        <w:gridCol w:w="109"/>
        <w:gridCol w:w="109"/>
        <w:gridCol w:w="225"/>
        <w:gridCol w:w="225"/>
        <w:gridCol w:w="226"/>
        <w:gridCol w:w="109"/>
        <w:gridCol w:w="109"/>
        <w:gridCol w:w="109"/>
        <w:gridCol w:w="448"/>
        <w:gridCol w:w="275"/>
        <w:gridCol w:w="279"/>
        <w:gridCol w:w="109"/>
        <w:gridCol w:w="109"/>
        <w:gridCol w:w="109"/>
        <w:gridCol w:w="250"/>
        <w:gridCol w:w="250"/>
        <w:gridCol w:w="363"/>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2"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Incorporated by Reference</w:t>
            </w:r>
          </w:p>
        </w:tc>
      </w:tr>
      <w:tr>
        <w:trPr/>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Filing</w:t>
              <w:br/>
              <w:t>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File</w:t>
              <w:br/>
              <w:t>Herewith</w:t>
            </w:r>
          </w:p>
        </w:tc>
      </w:tr>
      <w:tr>
        <w:trPr/>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ans-serif" w:hAnsi="Times New Roman;sans-serif"/>
                  <w:b w:val="false"/>
                  <w:color w:val="0000FF"/>
                  <w:sz w:val="18"/>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Times New Roman;sans-serif" w:hAnsi="Times New Roman;sans-serif"/>
                  <w:b w:val="false"/>
                  <w:color w:val="0000FF"/>
                  <w:sz w:val="18"/>
                  <w:u w:val="single"/>
                </w:rPr>
                <w:t>Amended and Restated Certificate of Incorporation of the Registrant, as currently in effect.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001-39303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August 11,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Times New Roman;sans-serif" w:hAnsi="Times New Roman;sans-serif"/>
                  <w:b w:val="false"/>
                  <w:color w:val="0000FF"/>
                  <w:sz w:val="18"/>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Times New Roman;sans-serif" w:hAnsi="Times New Roman;sans-serif"/>
                  <w:b w:val="false"/>
                  <w:color w:val="0000FF"/>
                  <w:sz w:val="18"/>
                  <w:u w:val="single"/>
                </w:rPr>
                <w:t>Third Amended and Restated Bylaws of the Registrant, as currently in effect.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001-39303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24,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Times New Roman;sans-serif" w:hAnsi="Times New Roman;sans-serif"/>
                  <w:b w:val="false"/>
                  <w:color w:val="0000FF"/>
                  <w:sz w:val="18"/>
                  <w:u w:val="single"/>
                </w:rPr>
                <w:t>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2">
              <w:r>
                <w:rPr>
                  <w:rStyle w:val="InternetLink"/>
                  <w:rFonts w:ascii="Times New Roman;sans-serif" w:hAnsi="Times New Roman;sans-serif"/>
                  <w:b w:val="false"/>
                  <w:color w:val="0000FF"/>
                  <w:sz w:val="18"/>
                  <w:u w:val="single"/>
                </w:rPr>
                <w:t>Specimen Common Stock Certificate of the Registrant</w:t>
              </w:r>
            </w:hyperlink>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333-238146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26,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3">
              <w:r>
                <w:rPr>
                  <w:rStyle w:val="InternetLink"/>
                  <w:rFonts w:ascii="Times New Roman;sans-serif" w:hAnsi="Times New Roman;sans-serif"/>
                  <w:b w:val="false"/>
                  <w:color w:val="0000FF"/>
                  <w:sz w:val="18"/>
                  <w:u w:val="single"/>
                </w:rPr>
                <w:t>4.2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4">
              <w:r>
                <w:rPr>
                  <w:rStyle w:val="InternetLink"/>
                  <w:rFonts w:ascii="Times New Roman;sans-serif" w:hAnsi="Times New Roman;sans-serif"/>
                  <w:b w:val="false"/>
                  <w:color w:val="0000FF"/>
                  <w:sz w:val="18"/>
                  <w:u w:val="single"/>
                </w:rPr>
                <w:t>Description of the Registrant’s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001-39303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16,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5">
              <w:r>
                <w:rPr>
                  <w:rStyle w:val="InternetLink"/>
                  <w:rFonts w:ascii="Times New Roman;sans-serif" w:hAnsi="Times New Roman;sans-serif"/>
                  <w:b w:val="false"/>
                  <w:color w:val="0000FF"/>
                  <w:sz w:val="18"/>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6">
              <w:r>
                <w:rPr>
                  <w:rStyle w:val="InternetLink"/>
                  <w:rFonts w:ascii="Times New Roman;sans-serif" w:hAnsi="Times New Roman;sans-serif"/>
                  <w:b w:val="false"/>
                  <w:color w:val="0000FF"/>
                  <w:sz w:val="18"/>
                  <w:u w:val="single"/>
                </w:rPr>
                <w:t>2020 Stock Option and Incentive Plan and forms of award agreement</w:t>
              </w:r>
            </w:hyperlink>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333-238146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26,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7">
              <w:r>
                <w:rPr>
                  <w:rStyle w:val="InternetLink"/>
                  <w:rFonts w:ascii="Times New Roman;sans-serif" w:hAnsi="Times New Roman;sans-serif"/>
                  <w:b w:val="false"/>
                  <w:color w:val="0000FF"/>
                  <w:sz w:val="18"/>
                  <w:u w:val="single"/>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8">
              <w:r>
                <w:rPr>
                  <w:rStyle w:val="InternetLink"/>
                  <w:rFonts w:ascii="Times New Roman;sans-serif" w:hAnsi="Times New Roman;sans-serif"/>
                  <w:b w:val="false"/>
                  <w:color w:val="0000FF"/>
                  <w:sz w:val="18"/>
                  <w:u w:val="single"/>
                </w:rPr>
                <w:t>2015 Equity Incentive Plan and forms of award agreements thereunder.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333-238146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11,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9">
              <w:r>
                <w:rPr>
                  <w:rStyle w:val="InternetLink"/>
                  <w:rFonts w:ascii="Times New Roman;sans-serif" w:hAnsi="Times New Roman;sans-serif"/>
                  <w:b w:val="false"/>
                  <w:color w:val="0000FF"/>
                  <w:sz w:val="18"/>
                  <w:u w:val="single"/>
                </w:rPr>
                <w:t>10.3</w:t>
              </w:r>
            </w:hyperlink>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0">
              <w:r>
                <w:rPr>
                  <w:rStyle w:val="InternetLink"/>
                  <w:rFonts w:ascii="Times New Roman;sans-serif" w:hAnsi="Times New Roman;sans-serif"/>
                  <w:b w:val="false"/>
                  <w:color w:val="0000FF"/>
                  <w:sz w:val="18"/>
                  <w:u w:val="single"/>
                </w:rPr>
                <w:t>2020 Employee Stock Purchase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333-238146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26,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1">
              <w:r>
                <w:rPr>
                  <w:rStyle w:val="InternetLink"/>
                  <w:rFonts w:ascii="Times New Roman;sans-serif" w:hAnsi="Times New Roman;sans-serif"/>
                  <w:b w:val="false"/>
                  <w:color w:val="0000FF"/>
                  <w:sz w:val="18"/>
                  <w:u w:val="single"/>
                </w:rPr>
                <w:t>10.4#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2">
              <w:r>
                <w:rPr>
                  <w:rStyle w:val="InternetLink"/>
                  <w:rFonts w:ascii="Times New Roman;sans-serif" w:hAnsi="Times New Roman;sans-serif"/>
                  <w:b w:val="false"/>
                  <w:color w:val="0000FF"/>
                  <w:sz w:val="18"/>
                  <w:u w:val="single"/>
                </w:rPr>
                <w:t>Senior Executive Cash Incentive Bonus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333-238146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11,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3">
              <w:r>
                <w:rPr>
                  <w:rStyle w:val="InternetLink"/>
                  <w:rFonts w:ascii="Times New Roman;sans-serif" w:hAnsi="Times New Roman;sans-serif"/>
                  <w:b w:val="false"/>
                  <w:color w:val="0000FF"/>
                  <w:sz w:val="18"/>
                  <w:u w:val="single"/>
                </w:rPr>
                <w:t>10.5</w:t>
              </w:r>
            </w:hyperlink>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4">
              <w:r>
                <w:rPr>
                  <w:rStyle w:val="InternetLink"/>
                  <w:rFonts w:ascii="Times New Roman;sans-serif" w:hAnsi="Times New Roman;sans-serif"/>
                  <w:b w:val="false"/>
                  <w:color w:val="0000FF"/>
                  <w:sz w:val="18"/>
                  <w:u w:val="single"/>
                </w:rPr>
                <w:t>Non-Employee Director Compensation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333-238146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26,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5">
              <w:r>
                <w:rPr>
                  <w:rStyle w:val="InternetLink"/>
                  <w:rFonts w:ascii="Times New Roman;sans-serif" w:hAnsi="Times New Roman;sans-serif"/>
                  <w:b w:val="false"/>
                  <w:color w:val="0000FF"/>
                  <w:sz w:val="18"/>
                  <w:u w:val="single"/>
                </w:rPr>
                <w:t>10.6</w:t>
              </w:r>
            </w:hyperlink>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6">
              <w:r>
                <w:rPr>
                  <w:rStyle w:val="InternetLink"/>
                  <w:rFonts w:ascii="Times New Roman;sans-serif" w:hAnsi="Times New Roman;sans-serif"/>
                  <w:b w:val="false"/>
                  <w:color w:val="0000FF"/>
                  <w:sz w:val="18"/>
                  <w:u w:val="single"/>
                </w:rPr>
                <w:t>Executive Severance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333-238146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11,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7">
              <w:r>
                <w:rPr>
                  <w:rStyle w:val="InternetLink"/>
                  <w:rFonts w:ascii="Times New Roman;sans-serif" w:hAnsi="Times New Roman;sans-serif"/>
                  <w:b w:val="false"/>
                  <w:color w:val="0000FF"/>
                  <w:sz w:val="18"/>
                  <w:u w:val="single"/>
                </w:rPr>
                <w:t>10.7#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8">
              <w:r>
                <w:rPr>
                  <w:rStyle w:val="InternetLink"/>
                  <w:rFonts w:ascii="Times New Roman;sans-serif" w:hAnsi="Times New Roman;sans-serif"/>
                  <w:b w:val="false"/>
                  <w:color w:val="0000FF"/>
                  <w:sz w:val="18"/>
                  <w:u w:val="single"/>
                </w:rPr>
                <w:t>Offer Letter, by and between the Registrant and Mike Ouimette, dated August 17, 2020.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001-39303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November 10.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9">
              <w:r>
                <w:rPr>
                  <w:rStyle w:val="InternetLink"/>
                  <w:rFonts w:ascii="Times New Roman;sans-serif" w:hAnsi="Times New Roman;sans-serif"/>
                  <w:b w:val="false"/>
                  <w:color w:val="0000FF"/>
                  <w:sz w:val="18"/>
                  <w:u w:val="single"/>
                </w:rPr>
                <w:t>10.8#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0">
              <w:r>
                <w:rPr>
                  <w:rStyle w:val="InternetLink"/>
                  <w:rFonts w:ascii="Times New Roman;sans-serif" w:hAnsi="Times New Roman;sans-serif"/>
                  <w:b w:val="false"/>
                  <w:color w:val="0000FF"/>
                  <w:sz w:val="18"/>
                  <w:u w:val="single"/>
                </w:rPr>
                <w:t>Offer Letter, by and between the Registrant and Éric Lefebvre, M.D., dated February 28, 2018.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333-238146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11,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1">
              <w:r>
                <w:rPr>
                  <w:rStyle w:val="InternetLink"/>
                  <w:rFonts w:ascii="Times New Roman;sans-serif" w:hAnsi="Times New Roman;sans-serif"/>
                  <w:b w:val="false"/>
                  <w:color w:val="0000FF"/>
                  <w:sz w:val="18"/>
                  <w:u w:val="single"/>
                </w:rPr>
                <w:t>10.9#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2">
              <w:r>
                <w:rPr>
                  <w:rStyle w:val="InternetLink"/>
                  <w:rFonts w:ascii="Times New Roman;sans-serif" w:hAnsi="Times New Roman;sans-serif"/>
                  <w:b w:val="false"/>
                  <w:color w:val="0000FF"/>
                  <w:sz w:val="18"/>
                  <w:u w:val="single"/>
                </w:rPr>
                <w:t>Offer Letter, by and between the Registrant and Keith Cummings, M.D., MBA, dated November 29, 2018.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333-238146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11,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3">
              <w:r>
                <w:rPr>
                  <w:rStyle w:val="InternetLink"/>
                  <w:rFonts w:ascii="Times New Roman;sans-serif" w:hAnsi="Times New Roman;sans-serif"/>
                  <w:b w:val="false"/>
                  <w:color w:val="0000FF"/>
                  <w:sz w:val="18"/>
                  <w:u w:val="single"/>
                </w:rPr>
                <w:t>10.10#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4">
              <w:r>
                <w:rPr>
                  <w:rStyle w:val="InternetLink"/>
                  <w:rFonts w:ascii="Times New Roman;sans-serif" w:hAnsi="Times New Roman;sans-serif"/>
                  <w:b w:val="false"/>
                  <w:color w:val="0000FF"/>
                  <w:sz w:val="18"/>
                  <w:u w:val="single"/>
                </w:rPr>
                <w:t>Offer Letter, by and between the Registrant and Hans Hull, J.D., dated February 10, 2016.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333-238146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11,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5">
              <w:r>
                <w:rPr>
                  <w:rStyle w:val="InternetLink"/>
                  <w:rFonts w:ascii="Times New Roman;sans-serif" w:hAnsi="Times New Roman;sans-serif"/>
                  <w:b w:val="false"/>
                  <w:color w:val="0000FF"/>
                  <w:sz w:val="18"/>
                  <w:u w:val="single"/>
                </w:rPr>
                <w:t>10.11#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ans-serif" w:hAnsi="Times New Roman;sans-serif"/>
                  <w:b w:val="false"/>
                  <w:color w:val="0000FF"/>
                  <w:sz w:val="18"/>
                  <w:u w:val="single"/>
                </w:rPr>
                <w:t>Offer Letter, by and between the Registrant and Bernard Coulie, M.D., Ph.D., dated October 12, 2015.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333-238146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11,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7">
              <w:r>
                <w:rPr>
                  <w:rStyle w:val="InternetLink"/>
                  <w:rFonts w:ascii="Times New Roman;sans-serif" w:hAnsi="Times New Roman;sans-serif"/>
                  <w:b w:val="false"/>
                  <w:color w:val="0000FF"/>
                  <w:sz w:val="18"/>
                  <w:u w:val="single"/>
                </w:rPr>
                <w:t>10.12#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8">
              <w:r>
                <w:rPr>
                  <w:rStyle w:val="InternetLink"/>
                  <w:rFonts w:ascii="Times New Roman;sans-serif" w:hAnsi="Times New Roman;sans-serif"/>
                  <w:b w:val="false"/>
                  <w:color w:val="0000FF"/>
                  <w:sz w:val="18"/>
                  <w:u w:val="single"/>
                </w:rPr>
                <w:t>Form of Indemnification Agreement, by and between the Registrant and each of its directors and certain 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333-238146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11,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142022inducementp.htm">
              <w:r>
                <w:rPr>
                  <w:rStyle w:val="InternetLink"/>
                  <w:rFonts w:ascii="Times New Roman;sans-serif" w:hAnsi="Times New Roman;sans-serif"/>
                  <w:b w:val="false"/>
                  <w:color w:val="0000FF"/>
                  <w:sz w:val="18"/>
                  <w:u w:val="single"/>
                </w:rPr>
                <w:t>10.14</w:t>
              </w:r>
            </w:hyperlink>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42022inducementp.htm">
              <w:r>
                <w:rPr>
                  <w:rStyle w:val="InternetLink"/>
                  <w:rFonts w:ascii="Times New Roman;sans-serif" w:hAnsi="Times New Roman;sans-serif"/>
                  <w:b w:val="false"/>
                  <w:color w:val="0000FF"/>
                  <w:sz w:val="18"/>
                  <w:u w:val="single"/>
                </w:rPr>
                <w:t>2022 Inducement Plan dated September 14,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9">
              <w:r>
                <w:rPr>
                  <w:rStyle w:val="InternetLink"/>
                  <w:rFonts w:ascii="Times New Roman;sans-serif" w:hAnsi="Times New Roman;sans-serif"/>
                  <w:b w:val="false"/>
                  <w:color w:val="0000FF"/>
                  <w:sz w:val="18"/>
                  <w:u w:val="single"/>
                </w:rPr>
                <w:t>10.15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0">
              <w:r>
                <w:rPr>
                  <w:rStyle w:val="InternetLink"/>
                  <w:rFonts w:ascii="Times New Roman;sans-serif" w:hAnsi="Times New Roman;sans-serif"/>
                  <w:b w:val="false"/>
                  <w:color w:val="0000FF"/>
                  <w:sz w:val="18"/>
                  <w:u w:val="single"/>
                </w:rPr>
                <w:t>Amended and Restated Loan and Security Agreement, by and among the Registrant, the lenders from time to time party thereto and Oxford Finance LLC, dated March 11,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001-39303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6,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1">
              <w:r>
                <w:rPr>
                  <w:rStyle w:val="InternetLink"/>
                  <w:rFonts w:ascii="Times New Roman;sans-serif" w:hAnsi="Times New Roman;sans-serif"/>
                  <w:b w:val="false"/>
                  <w:color w:val="0000FF"/>
                  <w:sz w:val="18"/>
                  <w:u w:val="single"/>
                </w:rPr>
                <w:t>10.16#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2">
              <w:r>
                <w:rPr>
                  <w:rStyle w:val="InternetLink"/>
                  <w:rFonts w:ascii="Times New Roman;sans-serif" w:hAnsi="Times New Roman;sans-serif"/>
                  <w:b w:val="false"/>
                  <w:color w:val="0000FF"/>
                  <w:sz w:val="18"/>
                  <w:u w:val="single"/>
                </w:rPr>
                <w:t>Amended and Restated Non-Employee Director Compensation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001-39303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9"/>
        <w:gridCol w:w="245"/>
        <w:gridCol w:w="246"/>
        <w:gridCol w:w="109"/>
        <w:gridCol w:w="109"/>
        <w:gridCol w:w="109"/>
        <w:gridCol w:w="1433"/>
        <w:gridCol w:w="1230"/>
        <w:gridCol w:w="1235"/>
        <w:gridCol w:w="109"/>
        <w:gridCol w:w="109"/>
        <w:gridCol w:w="109"/>
        <w:gridCol w:w="175"/>
        <w:gridCol w:w="175"/>
        <w:gridCol w:w="176"/>
        <w:gridCol w:w="109"/>
        <w:gridCol w:w="109"/>
        <w:gridCol w:w="109"/>
        <w:gridCol w:w="242"/>
        <w:gridCol w:w="220"/>
        <w:gridCol w:w="161"/>
        <w:gridCol w:w="109"/>
        <w:gridCol w:w="109"/>
        <w:gridCol w:w="109"/>
        <w:gridCol w:w="225"/>
        <w:gridCol w:w="225"/>
        <w:gridCol w:w="226"/>
        <w:gridCol w:w="109"/>
        <w:gridCol w:w="109"/>
        <w:gridCol w:w="109"/>
        <w:gridCol w:w="390"/>
        <w:gridCol w:w="247"/>
        <w:gridCol w:w="252"/>
        <w:gridCol w:w="109"/>
        <w:gridCol w:w="109"/>
        <w:gridCol w:w="109"/>
        <w:gridCol w:w="250"/>
        <w:gridCol w:w="250"/>
        <w:gridCol w:w="361"/>
      </w:tblGrid>
      <w:tr>
        <w:trPr/>
        <w:tc>
          <w:tcPr>
            <w:tcW w:w="27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Incorporated by Reference</w:t>
            </w:r>
          </w:p>
        </w:tc>
      </w:tr>
      <w:tr>
        <w:trPr/>
        <w:tc>
          <w:tcPr>
            <w:tcW w:w="7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Filing</w:t>
              <w:br/>
              <w:t>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File</w:t>
              <w:br/>
              <w:t>Herewith</w:t>
            </w:r>
          </w:p>
        </w:tc>
      </w:tr>
      <w:tr>
        <w:trPr/>
        <w:tc>
          <w:tcPr>
            <w:tcW w:w="7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3">
              <w:r>
                <w:rPr>
                  <w:rStyle w:val="InternetLink"/>
                  <w:rFonts w:ascii="Times New Roman;sans-serif" w:hAnsi="Times New Roman;sans-serif"/>
                  <w:b w:val="false"/>
                  <w:color w:val="0000FF"/>
                  <w:sz w:val="18"/>
                  <w:u w:val="single"/>
                </w:rPr>
                <w:t xml:space="preserve">10.17#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ans-serif" w:hAnsi="Times New Roman;sans-serif"/>
                  <w:b w:val="false"/>
                  <w:color w:val="0000FF"/>
                  <w:sz w:val="18"/>
                  <w:u w:val="single"/>
                </w:rPr>
                <w:t>Offer Letter, by and between the Registrant and Lily Cheung, dated December 21,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001-39303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5">
              <w:r>
                <w:rPr>
                  <w:rStyle w:val="InternetLink"/>
                  <w:rFonts w:ascii="Times New Roman;sans-serif" w:hAnsi="Times New Roman;sans-serif"/>
                  <w:b w:val="false"/>
                  <w:color w:val="0000FF"/>
                  <w:sz w:val="18"/>
                  <w:u w:val="single"/>
                </w:rPr>
                <w:t>10.18</w:t>
              </w:r>
            </w:hyperlink>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6">
              <w:r>
                <w:rPr>
                  <w:rStyle w:val="InternetLink"/>
                  <w:rFonts w:ascii="Times New Roman;sans-serif" w:hAnsi="Times New Roman;sans-serif"/>
                  <w:b w:val="false"/>
                  <w:color w:val="0000FF"/>
                  <w:sz w:val="18"/>
                  <w:u w:val="single"/>
                </w:rPr>
                <w:t>Lease Agreement by and between the Registrant and HCP BTC, LLC, dated September 28,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001-39303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October 23,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19non-employeedir.htm">
              <w:r>
                <w:rPr>
                  <w:rStyle w:val="InternetLink"/>
                  <w:rFonts w:ascii="Times New Roman;sans-serif" w:hAnsi="Times New Roman;sans-serif"/>
                  <w:b w:val="false"/>
                  <w:color w:val="0000FF"/>
                  <w:sz w:val="18"/>
                  <w:u w:val="single"/>
                </w:rPr>
                <w:t>10.19</w:t>
              </w:r>
            </w:hyperlink>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19non-employeedir.htm">
              <w:r>
                <w:rPr>
                  <w:rStyle w:val="InternetLink"/>
                  <w:rFonts w:ascii="Times New Roman;sans-serif" w:hAnsi="Times New Roman;sans-serif"/>
                  <w:b w:val="false"/>
                  <w:color w:val="0000FF"/>
                  <w:sz w:val="18"/>
                  <w:u w:val="single"/>
                </w:rPr>
                <w:t>Amended and Restated Non-Employee Director Compensation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91insidertradingco.htm">
              <w:r>
                <w:rPr>
                  <w:rStyle w:val="InternetLink"/>
                  <w:rFonts w:ascii="Times New Roman;sans-serif" w:hAnsi="Times New Roman;sans-serif"/>
                  <w:b w:val="false"/>
                  <w:color w:val="0000FF"/>
                  <w:sz w:val="18"/>
                  <w:u w:val="single"/>
                </w:rPr>
                <w:t>19.1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91insidertradingco.htm">
              <w:r>
                <w:rPr>
                  <w:rStyle w:val="InternetLink"/>
                  <w:rFonts w:ascii="Times New Roman;sans-serif" w:hAnsi="Times New Roman;sans-serif"/>
                  <w:b w:val="false"/>
                  <w:color w:val="0000FF"/>
                  <w:sz w:val="18"/>
                  <w:u w:val="single"/>
                </w:rPr>
                <w:t>Insider Trading</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231auditorsconsent.htm">
              <w:r>
                <w:rPr>
                  <w:rStyle w:val="InternetLink"/>
                  <w:rFonts w:ascii="Times New Roman;sans-serif" w:hAnsi="Times New Roman;sans-serif"/>
                  <w:b w:val="false"/>
                  <w:color w:val="0000FF"/>
                  <w:sz w:val="18"/>
                  <w:u w:val="single"/>
                </w:rPr>
                <w:t xml:space="preserve">23.1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231auditorsconsent.htm">
              <w:r>
                <w:rPr>
                  <w:rStyle w:val="InternetLink"/>
                  <w:rFonts w:ascii="Times New Roman;sans-serif" w:hAnsi="Times New Roman;sans-serif"/>
                  <w:b w:val="false"/>
                  <w:color w:val="0000FF"/>
                  <w:sz w:val="18"/>
                  <w:u w:val="single"/>
                </w:rPr>
                <w:t>Consent of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11ceocertification.htm">
              <w:r>
                <w:rPr>
                  <w:rStyle w:val="InternetLink"/>
                  <w:rFonts w:ascii="Times New Roman;sans-serif" w:hAnsi="Times New Roman;sans-serif"/>
                  <w:b w:val="false"/>
                  <w:color w:val="0000FF"/>
                  <w:sz w:val="18"/>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11ceocertification.htm">
              <w:r>
                <w:rPr>
                  <w:rStyle w:val="InternetLink"/>
                  <w:rFonts w:ascii="Times New Roman;sans-serif" w:hAnsi="Times New Roman;sans-serif"/>
                  <w:b w:val="false"/>
                  <w:color w:val="0000FF"/>
                  <w:sz w:val="18"/>
                  <w:u w:val="single"/>
                </w:rPr>
                <w:t>Certification of Chief Executive Officer required by Rule 13a-14(a) or Rule 15d-14(a) of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12cfocertification.htm">
              <w:r>
                <w:rPr>
                  <w:rStyle w:val="InternetLink"/>
                  <w:rFonts w:ascii="Times New Roman;sans-serif" w:hAnsi="Times New Roman;sans-serif"/>
                  <w:b w:val="false"/>
                  <w:color w:val="0000FF"/>
                  <w:sz w:val="18"/>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12cfocertification.htm">
              <w:r>
                <w:rPr>
                  <w:rStyle w:val="InternetLink"/>
                  <w:rFonts w:ascii="Times New Roman;sans-serif" w:hAnsi="Times New Roman;sans-serif"/>
                  <w:b w:val="false"/>
                  <w:color w:val="0000FF"/>
                  <w:sz w:val="18"/>
                  <w:u w:val="single"/>
                </w:rPr>
                <w:t>Certification of Chief Financial Officer required by Rule 13a-14(a) or Rule 15d-14(a) of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21ceoandcfocertifi.htm">
              <w:r>
                <w:rPr>
                  <w:rStyle w:val="InternetLink"/>
                  <w:rFonts w:ascii="Times New Roman;sans-serif" w:hAnsi="Times New Roman;sans-serif"/>
                  <w:b w:val="false"/>
                  <w:color w:val="0000FF"/>
                  <w:sz w:val="18"/>
                  <w:u w:val="single"/>
                </w:rPr>
                <w:t>32.1</w:t>
              </w:r>
            </w:hyperlink>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21ceoandcfocertifi.htm">
              <w:r>
                <w:rPr>
                  <w:rStyle w:val="InternetLink"/>
                  <w:rFonts w:ascii="Times New Roman;sans-serif" w:hAnsi="Times New Roman;sans-serif"/>
                  <w:b w:val="false"/>
                  <w:color w:val="0000FF"/>
                  <w:sz w:val="18"/>
                  <w:u w:val="single"/>
                </w:rPr>
                <w:t>Certification of Chief Executive Officer and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7">
              <w:r>
                <w:rPr>
                  <w:rStyle w:val="InternetLink"/>
                  <w:rFonts w:ascii="Times New Roman;sans-serif" w:hAnsi="Times New Roman;sans-serif"/>
                  <w:b w:val="false"/>
                  <w:color w:val="0000FF"/>
                  <w:sz w:val="18"/>
                  <w:u w:val="single"/>
                </w:rPr>
                <w:t>97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Times New Roman;sans-serif" w:hAnsi="Times New Roman;sans-serif"/>
                  <w:b w:val="false"/>
                  <w:color w:val="0000FF"/>
                  <w:sz w:val="18"/>
                  <w:u w:val="single"/>
                </w:rPr>
                <w:t>Clawback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001-39303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Extension Definition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w:t>
      </w:r>
    </w:p>
    <w:p>
      <w:pPr>
        <w:pStyle w:val="TextBody"/>
        <w:bidi w:val="0"/>
        <w:spacing w:lineRule="auto" w:line="288" w:before="120" w:after="12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    The certifications furnished in Exhibit 32.1 hereto are deemed to be furnished with this Annual Report on Form 10-K and will not be deemed to be “filed” for purposes of Section 18 of the Securities Exchange Act of 1934, as amended, except to the extent that the Registrant specifically incorporates them by reference</w:t>
      </w:r>
    </w:p>
    <w:p>
      <w:pPr>
        <w:pStyle w:val="TextBody"/>
        <w:bidi w:val="0"/>
        <w:spacing w:lineRule="auto" w:line="288" w:before="120" w:after="12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    Represents management compensation plan, contract or arrangement.</w:t>
      </w:r>
    </w:p>
    <w:p>
      <w:pPr>
        <w:pStyle w:val="TextBody"/>
        <w:bidi w:val="0"/>
        <w:spacing w:before="120" w:after="120"/>
        <w:ind w:left="0" w:right="0" w:hanging="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Pursuant to the requirements of Section 13 or 15(d) of the Securities Exchange Act of 1934, as amended, the Registrant has duly caused this Report to be signed on its behalf by the undersigned, thereunto duly authorized</w:t>
      </w:r>
      <w:r>
        <w:rPr>
          <w:rFonts w:ascii="Times New Roman;sans-serif" w:hAnsi="Times New Roman;sans-serif"/>
          <w:b/>
          <w:color w:val="000000"/>
          <w:sz w:val="20"/>
        </w:rPr>
        <w: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Date: March 3, 2025</w:t>
      </w:r>
    </w:p>
    <w:tbl>
      <w:tblPr>
        <w:tblW w:w="4917" w:type="dxa"/>
        <w:jc w:val="left"/>
        <w:tblInd w:w="0" w:type="dxa"/>
        <w:tblLayout w:type="fixed"/>
        <w:tblCellMar>
          <w:top w:w="28" w:type="dxa"/>
          <w:left w:w="28" w:type="dxa"/>
          <w:bottom w:w="28" w:type="dxa"/>
          <w:right w:w="28" w:type="dxa"/>
        </w:tblCellMar>
      </w:tblPr>
      <w:tblGrid>
        <w:gridCol w:w="151"/>
        <w:gridCol w:w="134"/>
        <w:gridCol w:w="135"/>
        <w:gridCol w:w="429"/>
        <w:gridCol w:w="429"/>
        <w:gridCol w:w="429"/>
        <w:gridCol w:w="935"/>
        <w:gridCol w:w="935"/>
        <w:gridCol w:w="1340"/>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PLIANT THERAPEUTICS, INC.</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Bernard Coulie</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Bernard Coulie, M.D., Ph.D.</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Keith Cummings</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Keith Cummings, M.D., M.B.A.</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KNOW ALL PERSONS BY THESE PRESENTS, that each person whose signature appears below constitutes and appoints, Bernard Coulie and Keith Cummings and each of them, as his or her true and lawful attorneys-in-fact and agents, with full power of substitution for him or her, and in his or her name in any and all capacities, to sign any and all amendments to this Annual Report on Form 10-K, and to file the same, with exhibits thereto and other documents in connection therewith, with the U.S. Securities and Exchange Commission, granting unto said attorneys-in-fact and agents, and each of them, full power and authority to do and perform each and every act and thing requisite and necessary to be done therewith, as fully to all intents and purposes as he or she might or could do in person, hereby ratifying and confirming all that said attorneys-in-fact and agents, and either of them, his or her substitute or substitutes, may lawfully do or cause to be done by virtue hereof.</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this Report has been signed below by the following persons on behalf of the Registrant in the capacities and on the dates indicated.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v:textbox>
                <w10:wrap type="none"/>
              </v:rect>
            </w:pict>
          </mc:Fallback>
        </mc:AlternateContent>
      </w:r>
    </w:p>
    <w:p>
      <w:pPr>
        <w:pStyle w:val="TextBody"/>
        <w:bidi w:val="0"/>
        <w:spacing w:before="0" w:after="0"/>
        <w:jc w:val="left"/>
        <w:rPr/>
      </w:pPr>
      <w:r>
        <w:rPr/>
      </w:r>
    </w:p>
    <w:tbl>
      <w:tblPr>
        <w:tblW w:w="8573" w:type="dxa"/>
        <w:jc w:val="left"/>
        <w:tblInd w:w="0" w:type="dxa"/>
        <w:tblLayout w:type="fixed"/>
        <w:tblCellMar>
          <w:top w:w="28" w:type="dxa"/>
          <w:left w:w="28" w:type="dxa"/>
          <w:bottom w:w="28" w:type="dxa"/>
          <w:right w:w="28" w:type="dxa"/>
        </w:tblCellMar>
      </w:tblPr>
      <w:tblGrid>
        <w:gridCol w:w="964"/>
        <w:gridCol w:w="845"/>
        <w:gridCol w:w="861"/>
        <w:gridCol w:w="109"/>
        <w:gridCol w:w="109"/>
        <w:gridCol w:w="109"/>
        <w:gridCol w:w="1299"/>
        <w:gridCol w:w="1299"/>
        <w:gridCol w:w="1316"/>
        <w:gridCol w:w="109"/>
        <w:gridCol w:w="109"/>
        <w:gridCol w:w="109"/>
        <w:gridCol w:w="389"/>
        <w:gridCol w:w="389"/>
        <w:gridCol w:w="557"/>
      </w:tblGrid>
      <w:tr>
        <w:trPr/>
        <w:tc>
          <w:tcPr>
            <w:tcW w:w="964"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Date</w:t>
            </w:r>
          </w:p>
        </w:tc>
      </w:tr>
      <w:tr>
        <w:trPr/>
        <w:tc>
          <w:tcPr>
            <w:tcW w:w="26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Bernard Coulie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 2025</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Bernard Coulie, M.D.,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Keith Cummings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 2025</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Keith Cummings, M.D., M.B.A.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Hoyoung Huh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of the Board,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 2025</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Hoyoung Huh, M.D.,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Suzanne Bruhn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 2025</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Suzanne Bruhn,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Darren Cline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 2025</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Darren Cline, M.B.A.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Pyott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 2025</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David Pyott, M.A, M.B.A.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Gayle Crowell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 2025</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Gayle Crowell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John Curnutte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 2025</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John Curnutte, M.D.,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Katharine Knobil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 2025</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Katharine Knobil,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Thomas McCourt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 2025</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Thomas McCourt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/s/Steve Krognes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 2025</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Steve Krognes, M.B.A.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Smital Shah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 2025</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Smital Shah, M.B.A.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v:textbox>
                <w10:wrap type="none"/>
              </v:rect>
            </w:pict>
          </mc:Fallback>
        </mc:AlternateContent>
      </w:r>
    </w:p>
    <w:p>
      <w:pPr>
        <w:pStyle w:val="TextBody"/>
        <w:bidi w:val="0"/>
        <w:spacing w:lineRule="auto" w:line="300" w:before="0" w:after="160"/>
        <w:jc w:val="center"/>
        <w:rPr>
          <w:rFonts w:ascii="Aptos;san-serif" w:hAnsi="Aptos;san-serif"/>
          <w:b w:val="false"/>
          <w:color w:val="000000"/>
          <w:sz w:val="22"/>
        </w:rPr>
      </w:pPr>
      <w:r>
        <w:rPr>
          <w:rFonts w:ascii="Aptos;san-serif" w:hAnsi="Aptos;san-serif"/>
          <w:b w:val="false"/>
          <w:color w:val="000000"/>
          <w:sz w:val="22"/>
        </w:rPr>
        <w:t>PLIANT THERAPEUTICS, INC.</w:t>
      </w:r>
    </w:p>
    <w:p>
      <w:pPr>
        <w:pStyle w:val="TextBody"/>
        <w:bidi w:val="0"/>
        <w:spacing w:lineRule="auto" w:line="300" w:before="0" w:after="160"/>
        <w:jc w:val="center"/>
        <w:rPr>
          <w:rFonts w:ascii="Aptos;san-serif" w:hAnsi="Aptos;san-serif"/>
          <w:b w:val="false"/>
          <w:color w:val="000000"/>
          <w:sz w:val="22"/>
        </w:rPr>
      </w:pPr>
      <w:r>
        <w:rPr>
          <w:rFonts w:ascii="Aptos;san-serif" w:hAnsi="Aptos;san-serif"/>
          <w:b w:val="false"/>
          <w:color w:val="000000"/>
          <w:sz w:val="22"/>
        </w:rPr>
        <w:t>2022 INDUCEMENT PLAN</w:t>
      </w:r>
    </w:p>
    <w:p>
      <w:pPr>
        <w:pStyle w:val="TextBody"/>
        <w:bidi w:val="0"/>
        <w:spacing w:lineRule="auto" w:line="300" w:before="0" w:after="0"/>
        <w:ind w:left="0" w:right="0" w:hanging="360"/>
        <w:jc w:val="left"/>
        <w:rPr>
          <w:rFonts w:ascii="Aptos;san-serif" w:hAnsi="Aptos;san-serif"/>
          <w:b w:val="false"/>
          <w:color w:val="000000"/>
          <w:sz w:val="22"/>
        </w:rPr>
      </w:pPr>
      <w:r>
        <w:rPr>
          <w:rFonts w:ascii="Aptos;san-serif" w:hAnsi="Aptos;san-serif"/>
          <w:b w:val="false"/>
          <w:color w:val="000000"/>
          <w:sz w:val="22"/>
        </w:rPr>
        <w:t>1.PURPOSE OF PLAN</w:t>
      </w:r>
    </w:p>
    <w:p>
      <w:pPr>
        <w:pStyle w:val="TextBody"/>
        <w:bidi w:val="0"/>
        <w:spacing w:lineRule="auto" w:line="300" w:before="0" w:after="0"/>
        <w:ind w:left="0" w:right="0" w:firstLine="360"/>
        <w:jc w:val="left"/>
        <w:rPr>
          <w:rFonts w:ascii="Aptos;san-serif" w:hAnsi="Aptos;san-serif"/>
          <w:b w:val="false"/>
          <w:color w:val="000000"/>
          <w:sz w:val="22"/>
        </w:rPr>
      </w:pPr>
      <w:r>
        <w:rPr>
          <w:rFonts w:ascii="Aptos;san-serif" w:hAnsi="Aptos;san-serif"/>
          <w:b w:val="false"/>
          <w:color w:val="000000"/>
          <w:sz w:val="22"/>
        </w:rPr>
        <w:t xml:space="preserve">The purpose of this Pliant Therapeutics, Inc. 2022 Inducement Plan (this “Plan”) of Pliant Therapeutics, Inc., a Delaware corporation (the “Company”), is to advance the interests of the Company by providing a material inducement for the best available individuals to join the Company and its Subsidiaries as employees by affording such individuals an opportunity to acquire a proprietary interest in the Company. </w:t>
      </w:r>
    </w:p>
    <w:p>
      <w:pPr>
        <w:pStyle w:val="TextBody"/>
        <w:bidi w:val="0"/>
        <w:spacing w:before="0" w:after="0"/>
        <w:ind w:left="0" w:right="0" w:firstLine="360"/>
        <w:jc w:val="left"/>
        <w:rPr/>
      </w:pPr>
      <w:r>
        <w:rPr/>
      </w:r>
    </w:p>
    <w:p>
      <w:pPr>
        <w:pStyle w:val="TextBody"/>
        <w:bidi w:val="0"/>
        <w:spacing w:lineRule="auto" w:line="300" w:before="0" w:after="0"/>
        <w:ind w:left="0" w:right="0" w:hanging="360"/>
        <w:jc w:val="left"/>
        <w:rPr>
          <w:rFonts w:ascii="Aptos;san-serif" w:hAnsi="Aptos;san-serif"/>
          <w:b w:val="false"/>
          <w:color w:val="000000"/>
          <w:sz w:val="22"/>
        </w:rPr>
      </w:pPr>
      <w:r>
        <w:rPr>
          <w:rFonts w:ascii="Aptos;san-serif" w:hAnsi="Aptos;san-serif"/>
          <w:b w:val="false"/>
          <w:color w:val="000000"/>
          <w:sz w:val="22"/>
        </w:rPr>
        <w:t>2.ELIGIBILITY</w:t>
      </w:r>
    </w:p>
    <w:p>
      <w:pPr>
        <w:pStyle w:val="TextBody"/>
        <w:bidi w:val="0"/>
        <w:spacing w:lineRule="auto" w:line="300" w:before="0" w:after="0"/>
        <w:ind w:left="0" w:right="0" w:firstLine="360"/>
        <w:jc w:val="left"/>
        <w:rPr>
          <w:rFonts w:ascii="Aptos;san-serif" w:hAnsi="Aptos;san-serif"/>
          <w:b w:val="false"/>
          <w:color w:val="000000"/>
          <w:sz w:val="22"/>
        </w:rPr>
      </w:pPr>
      <w:r>
        <w:rPr>
          <w:rFonts w:ascii="Aptos;san-serif" w:hAnsi="Aptos;san-serif"/>
          <w:b w:val="false"/>
          <w:color w:val="000000"/>
          <w:sz w:val="22"/>
        </w:rPr>
        <w:t xml:space="preserve">The Plan will be reserved solely for awards to persons whom the Company may issue shares of common stock, par value $0.0001 per share, of the Company (“Common Stock”) without stockholder approval pursuant to Rule 5635(c)(4) of the NASDAQ Listing Rules, or any successor rule relating to inducement awards (the “Inducement Rules”). </w:t>
      </w:r>
    </w:p>
    <w:p>
      <w:pPr>
        <w:pStyle w:val="TextBody"/>
        <w:bidi w:val="0"/>
        <w:spacing w:before="0" w:after="0"/>
        <w:jc w:val="left"/>
        <w:rPr/>
      </w:pPr>
      <w:r>
        <w:rPr/>
      </w:r>
    </w:p>
    <w:p>
      <w:pPr>
        <w:pStyle w:val="TextBody"/>
        <w:bidi w:val="0"/>
        <w:spacing w:lineRule="auto" w:line="300" w:before="0" w:after="0"/>
        <w:ind w:left="0" w:right="0" w:hanging="360"/>
        <w:jc w:val="left"/>
        <w:rPr>
          <w:rFonts w:ascii="Aptos;san-serif" w:hAnsi="Aptos;san-serif"/>
          <w:b w:val="false"/>
          <w:color w:val="000000"/>
          <w:sz w:val="22"/>
        </w:rPr>
      </w:pPr>
      <w:r>
        <w:rPr>
          <w:rFonts w:ascii="Aptos;san-serif" w:hAnsi="Aptos;san-serif"/>
          <w:b w:val="false"/>
          <w:color w:val="000000"/>
          <w:sz w:val="22"/>
        </w:rPr>
        <w:t>3.SHARE LIMITS; GRANT OF AWARDS</w:t>
      </w:r>
    </w:p>
    <w:p>
      <w:pPr>
        <w:pStyle w:val="TextBody"/>
        <w:bidi w:val="0"/>
        <w:spacing w:lineRule="auto" w:line="300" w:before="0" w:after="0"/>
        <w:ind w:left="0" w:right="0" w:firstLine="360"/>
        <w:jc w:val="left"/>
        <w:rPr>
          <w:rFonts w:ascii="Aptos;san-serif" w:hAnsi="Aptos;san-serif"/>
          <w:b w:val="false"/>
          <w:color w:val="000000"/>
          <w:sz w:val="22"/>
        </w:rPr>
      </w:pPr>
      <w:r>
        <w:rPr>
          <w:rFonts w:ascii="Aptos;san-serif" w:hAnsi="Aptos;san-serif"/>
          <w:b w:val="false"/>
          <w:color w:val="000000"/>
          <w:sz w:val="22"/>
        </w:rPr>
        <w:t xml:space="preserve">The maximum number of shares of Common Stock that may be delivered pursuant to awards granted to Eligible Persons under this Plan is 2,000,000 shares (the “Share Limit”), such limit subject to adjustment as contemplated by Section 3 of the 2020 Plan. </w:t>
      </w:r>
    </w:p>
    <w:p>
      <w:pPr>
        <w:pStyle w:val="TextBody"/>
        <w:bidi w:val="0"/>
        <w:spacing w:before="0" w:after="0"/>
        <w:ind w:left="0" w:right="0" w:firstLine="360"/>
        <w:jc w:val="left"/>
        <w:rPr/>
      </w:pPr>
      <w:r>
        <w:rPr/>
      </w:r>
    </w:p>
    <w:p>
      <w:pPr>
        <w:pStyle w:val="TextBody"/>
        <w:bidi w:val="0"/>
        <w:spacing w:lineRule="auto" w:line="300" w:before="0" w:after="0"/>
        <w:ind w:left="0" w:right="0" w:hanging="360"/>
        <w:jc w:val="left"/>
        <w:rPr>
          <w:rFonts w:ascii="Aptos;san-serif" w:hAnsi="Aptos;san-serif"/>
          <w:b w:val="false"/>
          <w:color w:val="000000"/>
          <w:sz w:val="22"/>
        </w:rPr>
      </w:pPr>
      <w:r>
        <w:rPr>
          <w:rFonts w:ascii="Aptos;san-serif" w:hAnsi="Aptos;san-serif"/>
          <w:b w:val="false"/>
          <w:color w:val="000000"/>
          <w:sz w:val="22"/>
        </w:rPr>
        <w:t>4.EFFECTIVE DATE</w:t>
      </w:r>
    </w:p>
    <w:p>
      <w:pPr>
        <w:pStyle w:val="TextBody"/>
        <w:bidi w:val="0"/>
        <w:spacing w:lineRule="auto" w:line="300" w:before="0" w:after="0"/>
        <w:ind w:left="0" w:right="0" w:firstLine="360"/>
        <w:jc w:val="left"/>
        <w:rPr>
          <w:rFonts w:ascii="Aptos;san-serif" w:hAnsi="Aptos;san-serif"/>
          <w:b w:val="false"/>
          <w:color w:val="000000"/>
          <w:sz w:val="22"/>
        </w:rPr>
      </w:pPr>
      <w:r>
        <w:rPr>
          <w:rFonts w:ascii="Aptos;san-serif" w:hAnsi="Aptos;san-serif"/>
          <w:b w:val="false"/>
          <w:color w:val="000000"/>
          <w:sz w:val="22"/>
        </w:rPr>
        <w:t xml:space="preserve">This Plan was established effective as of September 14, 2022, the date of its original approval by the Board (the “Effective Date”) and was amended on December 10, 2024 for the sole purpose of amending Section 3 of this Plan by adding an additional 1,000,000 shares of Common Stock to the Share Limit. Unless earlier terminated by the Board, this Plan shall terminate at the close of business on the day before the tenth anniversary of the Effective Date. After the termination of this Plan either upon such stated expiration date or its earlier termination by the Board, no additional awards may be granted under this Plan, but previously granted awards (and the authority of the Committee with respect thereto, including the authority to amend such awards to the extent permitted by the Inducement Rules) shall remain outstanding in accordance with their applicable terms and conditions and the terms and conditions of this Plan. </w:t>
      </w:r>
    </w:p>
    <w:p>
      <w:pPr>
        <w:pStyle w:val="TextBody"/>
        <w:bidi w:val="0"/>
        <w:spacing w:before="0" w:after="0"/>
        <w:jc w:val="left"/>
        <w:rPr/>
      </w:pPr>
      <w:r>
        <w:rPr/>
      </w:r>
    </w:p>
    <w:p>
      <w:pPr>
        <w:pStyle w:val="TextBody"/>
        <w:bidi w:val="0"/>
        <w:spacing w:lineRule="auto" w:line="300" w:before="0" w:after="0"/>
        <w:ind w:left="0" w:right="0" w:hanging="360"/>
        <w:jc w:val="left"/>
        <w:rPr>
          <w:rFonts w:ascii="Aptos;san-serif" w:hAnsi="Aptos;san-serif"/>
          <w:b w:val="false"/>
          <w:color w:val="000000"/>
          <w:sz w:val="22"/>
        </w:rPr>
      </w:pPr>
      <w:r>
        <w:rPr>
          <w:rFonts w:ascii="Aptos;san-serif" w:hAnsi="Aptos;san-serif"/>
          <w:b w:val="false"/>
          <w:color w:val="000000"/>
          <w:sz w:val="22"/>
        </w:rPr>
        <w:t>5.OTHER TERMS</w:t>
      </w:r>
    </w:p>
    <w:p>
      <w:pPr>
        <w:pStyle w:val="TextBody"/>
        <w:bidi w:val="0"/>
        <w:spacing w:lineRule="auto" w:line="300" w:before="0" w:after="0"/>
        <w:ind w:left="0" w:right="0" w:firstLine="360"/>
        <w:jc w:val="left"/>
        <w:rPr>
          <w:rFonts w:ascii="Aptos;san-serif" w:hAnsi="Aptos;san-serif"/>
          <w:b w:val="false"/>
          <w:color w:val="000000"/>
          <w:sz w:val="22"/>
        </w:rPr>
      </w:pPr>
      <w:r>
        <w:rPr>
          <w:rFonts w:ascii="Aptos;san-serif" w:hAnsi="Aptos;san-serif"/>
          <w:b w:val="false"/>
          <w:color w:val="000000"/>
          <w:sz w:val="22"/>
        </w:rPr>
        <w:t xml:space="preserve">Except as expressly set forth herein, the terms of the Plan shall be identical to the terms of the 2020 Plan, and such terms are incorporated by reference into this Plan (with such non-substantive changes as are necessary to reflect their usage in this Plan instead of the 2020 Plan); provided, however, that no Incentive Stock Options shall be awards under this Plan. In the event of any conflict between the provisions in this Plan and those of the 2020 Plan, the provisions of this Plan shall govern. </w:t>
      </w:r>
    </w:p>
    <w:p>
      <w:pPr>
        <w:pStyle w:val="TextBody"/>
        <w:bidi w:val="0"/>
        <w:spacing w:before="0" w:after="0"/>
        <w:jc w:val="left"/>
        <w:rPr/>
      </w:pPr>
      <w:r>
        <w:rPr/>
      </w:r>
    </w:p>
    <w:p>
      <w:pPr>
        <w:pStyle w:val="TextBody"/>
        <w:bidi w:val="0"/>
        <w:spacing w:lineRule="auto" w:line="300" w:before="0" w:after="0"/>
        <w:ind w:left="0" w:right="0" w:hanging="360"/>
        <w:jc w:val="left"/>
        <w:rPr>
          <w:rFonts w:ascii="Aptos;san-serif" w:hAnsi="Aptos;san-serif"/>
          <w:b w:val="false"/>
          <w:color w:val="000000"/>
          <w:sz w:val="22"/>
        </w:rPr>
      </w:pPr>
      <w:r>
        <w:rPr>
          <w:rFonts w:ascii="Aptos;san-serif" w:hAnsi="Aptos;san-serif"/>
          <w:b w:val="false"/>
          <w:color w:val="000000"/>
          <w:sz w:val="22"/>
        </w:rPr>
        <w:t>6.DEFINED TERMS</w:t>
      </w:r>
    </w:p>
    <w:p>
      <w:pPr>
        <w:pStyle w:val="TextBody"/>
        <w:bidi w:val="0"/>
        <w:spacing w:lineRule="auto" w:line="300"/>
        <w:ind w:left="0" w:right="0" w:firstLine="360"/>
        <w:jc w:val="left"/>
        <w:rPr/>
      </w:pPr>
      <w:r>
        <w:rPr>
          <w:rFonts w:ascii="Aptos;san-serif" w:hAnsi="Aptos;san-serif"/>
          <w:b w:val="false"/>
          <w:color w:val="000000"/>
          <w:sz w:val="22"/>
        </w:rPr>
        <w:t>6.1</w:t>
      </w:r>
      <w:r>
        <w:rPr>
          <w:color w:val="000000"/>
        </w:rPr>
        <w:t>“</w:t>
      </w:r>
      <w:r>
        <w:rPr>
          <w:rFonts w:ascii="Aptos;san-serif" w:hAnsi="Aptos;san-serif"/>
          <w:b w:val="false"/>
          <w:color w:val="000000"/>
          <w:sz w:val="22"/>
        </w:rPr>
        <w:t xml:space="preserve">2020 Plan” means the Pliant Therapeutics, Inc. 2020 Stock Option and Incentive Plan, as may be amended from time to time. </w:t>
      </w:r>
    </w:p>
    <w:p>
      <w:pPr>
        <w:pStyle w:val="TextBody"/>
        <w:bidi w:val="0"/>
        <w:spacing w:before="0" w:after="16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00" w:before="0" w:after="0"/>
        <w:ind w:left="0" w:right="0" w:firstLine="360"/>
        <w:jc w:val="left"/>
        <w:rPr/>
      </w:pPr>
      <w:r>
        <w:rPr>
          <w:rFonts w:ascii="Aptos;san-serif" w:hAnsi="Aptos;san-serif"/>
          <w:b w:val="false"/>
          <w:color w:val="000000"/>
          <w:sz w:val="22"/>
        </w:rPr>
        <w:t>6.2</w:t>
      </w:r>
      <w:r>
        <w:rPr>
          <w:color w:val="000000"/>
        </w:rPr>
        <w:t>“</w:t>
      </w:r>
      <w:r>
        <w:rPr>
          <w:rFonts w:ascii="Aptos;san-serif" w:hAnsi="Aptos;san-serif"/>
          <w:b w:val="false"/>
          <w:color w:val="000000"/>
          <w:sz w:val="22"/>
        </w:rPr>
        <w:t xml:space="preserve">Eligible Person” means persons expected to become officers and other employees of the Company and its Subsidiaries as the Committee in its sole discretion may select from time to time and who is eligible to receive an award under this Plan pursuant to the Inducement Rules. </w:t>
      </w:r>
    </w:p>
    <w:p>
      <w:pPr>
        <w:pStyle w:val="TextBody"/>
        <w:bidi w:val="0"/>
        <w:spacing w:lineRule="auto" w:line="300" w:before="0" w:after="160"/>
        <w:ind w:left="0" w:right="0" w:hanging="360"/>
        <w:jc w:val="left"/>
        <w:rPr>
          <w:rFonts w:ascii="Aptos;san-serif" w:hAnsi="Aptos;san-serif"/>
          <w:b w:val="false"/>
          <w:color w:val="000000"/>
          <w:sz w:val="22"/>
        </w:rPr>
      </w:pPr>
      <w:r>
        <w:rPr>
          <w:rFonts w:ascii="Aptos;san-serif" w:hAnsi="Aptos;san-serif"/>
          <w:b w:val="false"/>
          <w:color w:val="000000"/>
          <w:sz w:val="22"/>
        </w:rPr>
        <w:t xml:space="preserve">6.3Defined terms not defined herein shall have the meaning set forth in the 2020 Plan.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75" w:after="283"/>
        <w:jc w:val="center"/>
        <w:rPr>
          <w:rFonts w:ascii="Times New Roman;sans-serif" w:hAnsi="Times New Roman;sans-serif"/>
          <w:b/>
          <w:color w:val="000000"/>
          <w:sz w:val="28"/>
        </w:rPr>
      </w:pPr>
      <w:r>
        <w:rPr>
          <w:rFonts w:ascii="Times New Roman;sans-serif" w:hAnsi="Times New Roman;sans-serif"/>
          <w:b/>
          <w:color w:val="000000"/>
          <w:sz w:val="28"/>
        </w:rPr>
        <w:t>PLIANT THERAPEUTICS, INC.</w:t>
      </w:r>
    </w:p>
    <w:p>
      <w:pPr>
        <w:pStyle w:val="TextBody"/>
        <w:bidi w:val="0"/>
        <w:spacing w:lineRule="auto" w:line="288" w:before="5" w:after="283"/>
        <w:jc w:val="center"/>
        <w:rPr>
          <w:rFonts w:ascii="Times New Roman;sans-serif" w:hAnsi="Times New Roman;sans-serif"/>
          <w:b/>
          <w:color w:val="000000"/>
          <w:sz w:val="28"/>
        </w:rPr>
      </w:pPr>
      <w:r>
        <w:rPr>
          <w:rFonts w:ascii="Times New Roman;sans-serif" w:hAnsi="Times New Roman;sans-serif"/>
          <w:b/>
          <w:color w:val="000000"/>
          <w:sz w:val="28"/>
        </w:rPr>
        <w:t>NON-EMPLOYEE DIRECTOR COMPENSATION POLICY</w:t>
      </w:r>
    </w:p>
    <w:p>
      <w:pPr>
        <w:pStyle w:val="TextBody"/>
        <w:bidi w:val="0"/>
        <w:spacing w:lineRule="auto" w:line="288" w:before="274" w:after="283"/>
        <w:jc w:val="both"/>
        <w:rPr/>
      </w:pPr>
      <w:r>
        <w:rPr>
          <w:rFonts w:ascii="Times New Roman;sans-serif" w:hAnsi="Times New Roman;sans-serif"/>
          <w:b w:val="false"/>
          <w:color w:val="000000"/>
          <w:sz w:val="24"/>
        </w:rPr>
        <w:t>The purpose of this Non-Employee Director Compensation Policy (the “</w:t>
      </w:r>
      <w:r>
        <w:rPr>
          <w:rFonts w:ascii="Times New Roman;sans-serif" w:hAnsi="Times New Roman;sans-serif"/>
          <w:b w:val="false"/>
          <w:color w:val="000000"/>
          <w:sz w:val="24"/>
          <w:u w:val="single"/>
        </w:rPr>
        <w:t>Policy</w:t>
      </w:r>
      <w:r>
        <w:rPr>
          <w:color w:val="000000"/>
        </w:rPr>
        <w:t>”</w:t>
      </w:r>
      <w:r>
        <w:rPr>
          <w:rFonts w:ascii="Times New Roman;sans-serif" w:hAnsi="Times New Roman;sans-serif"/>
          <w:b w:val="false"/>
          <w:color w:val="000000"/>
          <w:sz w:val="24"/>
        </w:rPr>
        <w:t>) of Pliant Therapeutics, Inc., a Delaware corporation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is to provide a total compensation package that enables the Company to attract and retain, on a long-term basis, high-caliber directors who are not employees or officers of the Company or its subsidiaries (“</w:t>
      </w:r>
      <w:r>
        <w:rPr>
          <w:color w:val="000000"/>
          <w:u w:val="single"/>
        </w:rPr>
        <w:t xml:space="preserve"> </w:t>
      </w:r>
      <w:r>
        <w:rPr>
          <w:rFonts w:ascii="Times New Roman;sans-serif" w:hAnsi="Times New Roman;sans-serif"/>
          <w:b w:val="false"/>
          <w:color w:val="000000"/>
          <w:sz w:val="24"/>
          <w:u w:val="single"/>
        </w:rPr>
        <w:t>Outside Director</w:t>
      </w:r>
      <w:r>
        <w:rPr>
          <w:rFonts w:ascii="Times New Roman;sans-serif" w:hAnsi="Times New Roman;sans-serif"/>
          <w:b w:val="false"/>
          <w:color w:val="000000"/>
          <w:sz w:val="24"/>
        </w:rPr>
        <w:t xml:space="preserve">s”). </w:t>
      </w:r>
      <w:r>
        <w:rPr>
          <w:rFonts w:ascii="Times New Roman;sans-serif" w:hAnsi="Times New Roman;sans-serif"/>
          <w:b w:val="false"/>
          <w:color w:val="000000"/>
          <w:sz w:val="23"/>
        </w:rPr>
        <w:t xml:space="preserve">This Policy was reviewed and updated by the Board of Directors of the Company on December 10, 2024 and shall be effective for all Outside Director compensation after January 1, 2025. </w:t>
      </w:r>
      <w:r>
        <w:rPr>
          <w:rFonts w:ascii="Times New Roman;sans-serif" w:hAnsi="Times New Roman;sans-serif"/>
          <w:b w:val="false"/>
          <w:color w:val="000000"/>
          <w:sz w:val="24"/>
        </w:rPr>
        <w:t>In furtherance of the purpose stated above, all Outside Directors shall be paid compensation for services provided to the Company as set forth below:</w:t>
      </w:r>
    </w:p>
    <w:p>
      <w:pPr>
        <w:pStyle w:val="TextBody"/>
        <w:bidi w:val="0"/>
        <w:spacing w:lineRule="auto" w:line="288" w:before="240" w:after="283"/>
        <w:ind w:left="0" w:right="0" w:hanging="722"/>
        <w:jc w:val="left"/>
        <w:rPr/>
      </w:pPr>
      <w:r>
        <w:rPr>
          <w:rFonts w:ascii="Times New Roman;sans-serif" w:hAnsi="Times New Roman;sans-serif"/>
          <w:b/>
          <w:color w:val="000000"/>
          <w:sz w:val="24"/>
        </w:rPr>
        <w:t>I.</w:t>
      </w:r>
      <w:r>
        <w:rPr>
          <w:rFonts w:ascii="Times New Roman;sans-serif" w:hAnsi="Times New Roman;sans-serif"/>
          <w:b/>
          <w:color w:val="000000"/>
          <w:sz w:val="24"/>
          <w:u w:val="single"/>
        </w:rPr>
        <w:t>Cash Retainers</w:t>
      </w:r>
    </w:p>
    <w:p>
      <w:pPr>
        <w:pStyle w:val="TextBody"/>
        <w:bidi w:val="0"/>
        <w:spacing w:lineRule="auto" w:line="288" w:before="243" w:after="283"/>
        <w:ind w:left="0" w:right="0" w:firstLine="717"/>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Annual Retainer for Board Membership</w:t>
      </w:r>
      <w:r>
        <w:rPr>
          <w:rFonts w:ascii="Times New Roman;sans-serif" w:hAnsi="Times New Roman;sans-serif"/>
          <w:b w:val="false"/>
          <w:color w:val="000000"/>
          <w:sz w:val="24"/>
        </w:rPr>
        <w:t>: $40,000 for general availability and participation in meetings and conference calls of our Board of Directors, to be paid quarterly in arrears, pro-rated based on the number of actual days served by the director during such calendar quarter. No additional compensation for attending individual Board meetings.</w:t>
      </w:r>
    </w:p>
    <w:p>
      <w:pPr>
        <w:pStyle w:val="TextBody"/>
        <w:bidi w:val="0"/>
        <w:spacing w:lineRule="auto" w:line="288" w:before="240" w:after="283"/>
        <w:ind w:left="0" w:right="0" w:hanging="722"/>
        <w:jc w:val="left"/>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Additional Annual Retainers for Committee Membership</w:t>
      </w:r>
      <w:r>
        <w:rPr>
          <w:rFonts w:ascii="Times New Roman;sans-serif" w:hAnsi="Times New Roman;sans-serif"/>
          <w:b w:val="false"/>
          <w:color w:val="000000"/>
          <w:sz w:val="24"/>
        </w:rPr>
        <w:t>:</w:t>
      </w:r>
    </w:p>
    <w:p>
      <w:pPr>
        <w:pStyle w:val="TextBody"/>
        <w:bidi w:val="0"/>
        <w:spacing w:lineRule="auto" w:line="288"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Audit Committee Chairperson:    $20,000</w:t>
      </w:r>
    </w:p>
    <w:p>
      <w:pPr>
        <w:pStyle w:val="TextBody"/>
        <w:bidi w:val="0"/>
        <w:spacing w:lineRule="auto" w:line="288"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Audit Committee member:    $10,000</w:t>
      </w:r>
    </w:p>
    <w:p>
      <w:pPr>
        <w:pStyle w:val="TextBody"/>
        <w:bidi w:val="0"/>
        <w:spacing w:lineRule="auto" w:line="288" w:before="242"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Compensation Committee Chairperson:    $15,000</w:t>
      </w:r>
    </w:p>
    <w:p>
      <w:pPr>
        <w:pStyle w:val="TextBody"/>
        <w:bidi w:val="0"/>
        <w:spacing w:lineRule="auto" w:line="520" w:before="239"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Compensation Committee member:    $7,500 Nominating and Corporate Governance Committee Chairperson:    $10,000 Nominating and Corporate Governance Committee member:    $5,000 Research and Development Committee Chairperson:    $15,000</w:t>
      </w:r>
    </w:p>
    <w:p>
      <w:pPr>
        <w:pStyle w:val="TextBody"/>
        <w:bidi w:val="0"/>
        <w:spacing w:lineRule="atLeast" w:line="271"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Research and Development Committee member:    $7,500</w:t>
      </w:r>
    </w:p>
    <w:p>
      <w:pPr>
        <w:pStyle w:val="TextBody"/>
        <w:bidi w:val="0"/>
        <w:spacing w:lineRule="auto" w:line="288" w:before="237" w:after="283"/>
        <w:ind w:left="0" w:right="0" w:firstLine="717"/>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Additional Retainer for Non-Executive Chairperson or Lead Director of the Board</w:t>
      </w:r>
      <w:r>
        <w:rPr>
          <w:color w:val="000000"/>
        </w:rPr>
        <w:t xml:space="preserve"> </w:t>
      </w:r>
      <w:r>
        <w:rPr>
          <w:rFonts w:ascii="Times New Roman;sans-serif" w:hAnsi="Times New Roman;sans-serif"/>
          <w:b w:val="false"/>
          <w:color w:val="000000"/>
          <w:sz w:val="24"/>
          <w:u w:val="single"/>
        </w:rPr>
        <w:t>of Directors</w:t>
      </w:r>
      <w:r>
        <w:rPr>
          <w:rFonts w:ascii="Times New Roman;sans-serif" w:hAnsi="Times New Roman;sans-serif"/>
          <w:b w:val="false"/>
          <w:color w:val="000000"/>
          <w:sz w:val="24"/>
        </w:rPr>
        <w:t>: $30,000 to acknowledge the additional responsibilities and time commitment of the Chairperson role, or in the absence of a Chairperson, of the Outside Director designated Lead Director.</w:t>
      </w:r>
    </w:p>
    <w:p>
      <w:pPr>
        <w:pStyle w:val="TextBody"/>
        <w:bidi w:val="0"/>
        <w:spacing w:lineRule="auto" w:line="288" w:before="244" w:after="283"/>
        <w:ind w:left="0" w:right="0" w:hanging="722"/>
        <w:jc w:val="left"/>
        <w:rPr/>
      </w:pPr>
      <w:r>
        <w:rPr>
          <w:rFonts w:ascii="Times New Roman;sans-serif" w:hAnsi="Times New Roman;sans-serif"/>
          <w:b/>
          <w:color w:val="000000"/>
          <w:sz w:val="24"/>
        </w:rPr>
        <w:t>II.</w:t>
      </w:r>
      <w:r>
        <w:rPr>
          <w:rFonts w:ascii="Times New Roman;sans-serif" w:hAnsi="Times New Roman;sans-serif"/>
          <w:b/>
          <w:color w:val="000000"/>
          <w:sz w:val="24"/>
          <w:u w:val="single"/>
        </w:rPr>
        <w:t>Equity Retainers</w:t>
      </w:r>
    </w:p>
    <w:p>
      <w:pPr>
        <w:pStyle w:val="TextBody"/>
        <w:bidi w:val="0"/>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All grants of equity retainer awards to Outside Directors pursuant to this Policy will be automatic and nondiscretionary and will be made in accordance with the following provisions: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748030"/>
                <wp:effectExtent l="0" t="0" r="0" b="0"/>
                <wp:wrapNone/>
                <wp:docPr id="123" name="Frame121"/>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tbl>
                            <w:tblPr>
                              <w:tblW w:w="1769" w:type="dxa"/>
                              <w:jc w:val="left"/>
                              <w:tblInd w:w="0" w:type="dxa"/>
                              <w:tblLayout w:type="fixed"/>
                              <w:tblCellMar>
                                <w:top w:w="28" w:type="dxa"/>
                                <w:left w:w="28" w:type="dxa"/>
                                <w:bottom w:w="28" w:type="dxa"/>
                                <w:right w:w="28" w:type="dxa"/>
                              </w:tblCellMar>
                            </w:tblPr>
                            <w:tblGrid>
                              <w:gridCol w:w="565"/>
                              <w:gridCol w:w="497"/>
                              <w:gridCol w:w="707"/>
                            </w:tblGrid>
                            <w:tr>
                              <w:trPr/>
                              <w:tc>
                                <w:tcPr>
                                  <w:tcW w:w="565" w:type="dxa"/>
                                  <w:tcBorders/>
                                  <w:vAlign w:val="center"/>
                                </w:tcPr>
                                <w:p>
                                  <w:pPr>
                                    <w:pStyle w:val="TableContents"/>
                                    <w:bidi w:val="0"/>
                                    <w:spacing w:before="0" w:after="283"/>
                                    <w:jc w:val="left"/>
                                    <w:rPr>
                                      <w:sz w:val="4"/>
                                      <w:szCs w:val="4"/>
                                    </w:rPr>
                                  </w:pPr>
                                  <w:r>
                                    <w:rPr>
                                      <w:sz w:val="4"/>
                                      <w:szCs w:val="4"/>
                                    </w:rPr>
                                  </w:r>
                                  <w:r>
                                    <w:br w:type="page"/>
                                  </w:r>
                                </w:p>
                              </w:tc>
                              <w:tc>
                                <w:tcPr>
                                  <w:tcW w:w="49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ACTIVE/106239414.4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tbl>
                      <w:tblPr>
                        <w:tblW w:w="1769" w:type="dxa"/>
                        <w:jc w:val="left"/>
                        <w:tblInd w:w="0" w:type="dxa"/>
                        <w:tblLayout w:type="fixed"/>
                        <w:tblCellMar>
                          <w:top w:w="28" w:type="dxa"/>
                          <w:left w:w="28" w:type="dxa"/>
                          <w:bottom w:w="28" w:type="dxa"/>
                          <w:right w:w="28" w:type="dxa"/>
                        </w:tblCellMar>
                      </w:tblPr>
                      <w:tblGrid>
                        <w:gridCol w:w="565"/>
                        <w:gridCol w:w="497"/>
                        <w:gridCol w:w="707"/>
                      </w:tblGrid>
                      <w:tr>
                        <w:trPr/>
                        <w:tc>
                          <w:tcPr>
                            <w:tcW w:w="56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ACTIVE/106239414.4</w:t>
                            </w:r>
                          </w:p>
                        </w:tc>
                      </w:tr>
                    </w:tbl>
                    <w:p>
                      <w:pPr>
                        <w:pStyle w:val="TextBody"/>
                        <w:bidi w:val="0"/>
                        <w:spacing w:before="0" w:after="283"/>
                        <w:jc w:val="left"/>
                        <w:rPr/>
                      </w:pPr>
                      <w:r>
                        <w:rPr/>
                      </w:r>
                    </w:p>
                  </w:txbxContent>
                </v:textbox>
                <w10:wrap type="none"/>
              </v:rect>
            </w:pict>
          </mc:Fallback>
        </mc:AlternateContent>
      </w:r>
    </w:p>
    <w:tbl>
      <w:tblPr>
        <w:tblW w:w="794" w:type="dxa"/>
        <w:jc w:val="left"/>
        <w:tblInd w:w="0" w:type="dxa"/>
        <w:tblLayout w:type="fixed"/>
        <w:tblCellMar>
          <w:top w:w="28" w:type="dxa"/>
          <w:left w:w="28" w:type="dxa"/>
          <w:bottom w:w="28" w:type="dxa"/>
          <w:right w:w="28" w:type="dxa"/>
        </w:tblCellMar>
      </w:tblPr>
      <w:tblGrid>
        <w:gridCol w:w="254"/>
        <w:gridCol w:w="223"/>
        <w:gridCol w:w="317"/>
      </w:tblGrid>
      <w:tr>
        <w:trPr/>
        <w:tc>
          <w:tcPr>
            <w:tcW w:w="2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94"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Page 2</w:t>
            </w:r>
          </w:p>
        </w:tc>
      </w:tr>
    </w:tbl>
    <w:p>
      <w:pPr>
        <w:pStyle w:val="TextBody"/>
        <w:bidi w:val="0"/>
        <w:spacing w:lineRule="auto" w:line="288" w:before="163" w:after="283"/>
        <w:ind w:left="0" w:right="0" w:firstLine="717"/>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Value</w:t>
      </w:r>
      <w:r>
        <w:rPr>
          <w:rFonts w:ascii="Times New Roman;sans-serif" w:hAnsi="Times New Roman;sans-serif"/>
          <w:b w:val="false"/>
          <w:color w:val="000000"/>
          <w:sz w:val="24"/>
        </w:rPr>
        <w:t>. For purposes of this Policy, “</w:t>
      </w:r>
      <w:r>
        <w:rPr>
          <w:rFonts w:ascii="Times New Roman;sans-serif" w:hAnsi="Times New Roman;sans-serif"/>
          <w:b w:val="false"/>
          <w:color w:val="000000"/>
          <w:sz w:val="24"/>
          <w:u w:val="single"/>
        </w:rPr>
        <w:t>Value</w:t>
      </w:r>
      <w:r>
        <w:rPr>
          <w:color w:val="000000"/>
        </w:rPr>
        <w:t xml:space="preserve">” </w:t>
      </w:r>
      <w:r>
        <w:rPr>
          <w:rFonts w:ascii="Times New Roman;sans-serif" w:hAnsi="Times New Roman;sans-serif"/>
          <w:b w:val="false"/>
          <w:color w:val="000000"/>
          <w:sz w:val="24"/>
        </w:rPr>
        <w:t>means with respect to (i) any award of stock options the grant date fair value of the option (i.e., Black-Scholes Value) determined in accordance with the reasonable assumptions and methodologies employed by the Company for calculating the fair value of options under ASC 718; and (ii) any award of restricted stock and restricted stock units the product of (A) the closing market price on The Nasdaq Global Market (or such other market on which the Company’s Common Stock is then principally listed) of one share of the Company’s Common Stock on the effective date of grant, or if no closing price is reported for such date, the closing price on the last date preceding such date for which a closing price is reported and (B) the aggregate number of shares pursuant to such award.</w:t>
      </w:r>
    </w:p>
    <w:p>
      <w:pPr>
        <w:pStyle w:val="TextBody"/>
        <w:bidi w:val="0"/>
        <w:spacing w:lineRule="auto" w:line="288" w:before="238" w:after="283"/>
        <w:ind w:left="0" w:right="0" w:firstLine="717"/>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Sale Event Acceleration</w:t>
      </w:r>
      <w:r>
        <w:rPr>
          <w:rFonts w:ascii="Times New Roman;sans-serif" w:hAnsi="Times New Roman;sans-serif"/>
          <w:b w:val="false"/>
          <w:color w:val="000000"/>
          <w:sz w:val="24"/>
        </w:rPr>
        <w:t>. In the event of a Sale Event (as defined in the Company’s 2020 Stock Option and Incentive Plan (the “</w:t>
      </w:r>
      <w:r>
        <w:rPr>
          <w:rFonts w:ascii="Times New Roman;sans-serif" w:hAnsi="Times New Roman;sans-serif"/>
          <w:b w:val="false"/>
          <w:color w:val="000000"/>
          <w:sz w:val="24"/>
          <w:u w:val="single"/>
        </w:rPr>
        <w:t>2020 Plan</w:t>
      </w:r>
      <w:r>
        <w:rPr>
          <w:color w:val="000000"/>
        </w:rPr>
        <w:t>”</w:t>
      </w:r>
      <w:r>
        <w:rPr>
          <w:rFonts w:ascii="Times New Roman;sans-serif" w:hAnsi="Times New Roman;sans-serif"/>
          <w:b w:val="false"/>
          <w:color w:val="000000"/>
          <w:sz w:val="24"/>
        </w:rPr>
        <w:t>)), the equity retainer awards granted to Outside Directors pursuant to this Policy shall become 100% vested and exercisable.</w:t>
      </w:r>
    </w:p>
    <w:p>
      <w:pPr>
        <w:pStyle w:val="TextBody"/>
        <w:bidi w:val="0"/>
        <w:spacing w:lineRule="auto" w:line="288" w:before="243" w:after="283"/>
        <w:ind w:left="0" w:right="0" w:firstLine="717"/>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Initial Grant</w:t>
      </w:r>
      <w:r>
        <w:rPr>
          <w:rFonts w:ascii="Times New Roman;sans-serif" w:hAnsi="Times New Roman;sans-serif"/>
          <w:b w:val="false"/>
          <w:color w:val="000000"/>
          <w:sz w:val="24"/>
        </w:rPr>
        <w:t>. Upon initial election or appointment to the Board of Directors, each new Outside Director will receive an initial, one-time grant of a non-statutory stock option to purchase shares of the Company’s Common Stock with a grant date Value of $500,000, based on the average closing market price calculated over a trailing 30 day period (the “</w:t>
      </w:r>
      <w:r>
        <w:rPr>
          <w:rFonts w:ascii="Times New Roman;sans-serif" w:hAnsi="Times New Roman;sans-serif"/>
          <w:b w:val="false"/>
          <w:color w:val="000000"/>
          <w:sz w:val="24"/>
          <w:u w:val="single"/>
        </w:rPr>
        <w:t>Initial Grant</w:t>
      </w:r>
      <w:r>
        <w:rPr>
          <w:color w:val="000000"/>
        </w:rPr>
        <w:t>”</w:t>
      </w:r>
      <w:r>
        <w:rPr>
          <w:rFonts w:ascii="Times New Roman;sans-serif" w:hAnsi="Times New Roman;sans-serif"/>
          <w:b w:val="false"/>
          <w:color w:val="000000"/>
          <w:sz w:val="24"/>
        </w:rPr>
        <w:t>) with an exercise price per share equal to the closing price of a share of the Company’s Common Stock on the date of grant and a term of ten years, that vests substantially equal monthly installments over three years beginning on the grant date; provided, however, that all vesting ceases if the director resigns from our Board of Directors or otherwise ceases to serve as a director, unless the Board of Directors determines that the circumstances warrant continuation of vesting. If any Initial Grant to an Outside Director is to become effective as of the date of the Company’s initial public offering, it shall have an exercise price per share equal to the per share “price to the public” (or equivalent) set forth on the cover page for the final prospectus relating to the Company’s initial public offering. This Initial Grant applies to Outside Directors who are first elected or appointed to, and who were not previously serving on, the Board of Directors effective as of or subsequent to the Company’s initial public offering.</w:t>
      </w:r>
    </w:p>
    <w:p>
      <w:pPr>
        <w:pStyle w:val="TextBody"/>
        <w:bidi w:val="0"/>
        <w:spacing w:lineRule="auto" w:line="288" w:before="241" w:after="283"/>
        <w:ind w:left="0" w:right="0" w:firstLine="717"/>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Annual Grant</w:t>
      </w:r>
      <w:r>
        <w:rPr>
          <w:rFonts w:ascii="Times New Roman;sans-serif" w:hAnsi="Times New Roman;sans-serif"/>
          <w:b w:val="false"/>
          <w:color w:val="000000"/>
          <w:sz w:val="24"/>
        </w:rPr>
        <w:t>. On the date of the Company’s Annual Meeting of Stockholders, each Outside Director who will continue as a member of the Board of Directors following such Annual Meeting of Stockholders will receive a grant of a non-statutory stock option to purchase shares of the Company’s Common Stock with a grant date Value of $250,000, based on the average closing market price calculated over a trailing 30 day period (the “</w:t>
      </w:r>
      <w:r>
        <w:rPr>
          <w:rFonts w:ascii="Times New Roman;sans-serif" w:hAnsi="Times New Roman;sans-serif"/>
          <w:b w:val="false"/>
          <w:color w:val="000000"/>
          <w:sz w:val="24"/>
          <w:u w:val="single"/>
        </w:rPr>
        <w:t>Annual Grant</w:t>
      </w:r>
      <w:r>
        <w:rPr>
          <w:color w:val="000000"/>
        </w:rPr>
        <w:t>”</w:t>
      </w:r>
      <w:r>
        <w:rPr>
          <w:rFonts w:ascii="Times New Roman;sans-serif" w:hAnsi="Times New Roman;sans-serif"/>
          <w:b w:val="false"/>
          <w:color w:val="000000"/>
          <w:sz w:val="24"/>
        </w:rPr>
        <w:t>) on the date of such Annual Meeting with an exercise price per share equal to the closing price of a share of the Company’s Common Stock on the date of grant and a term of ten years, with 25% of the Annual Grant vesting on the first day of each calendar quarter following the grant date for three calendar quarters and the remaining 25% of the Annual Grant vesting on the earlier of (i) the one-year anniversary of the grant date or (ii) the next Annual Meeting of Stockholders; provided, however, that all vesting ceases if the director resigns from our Board of Directors or otherwise ceases to serve as a director, unless the Board of Directors determines that the circumstances warrant continuation of vesting.</w:t>
      </w:r>
    </w:p>
    <w:p>
      <w:pPr>
        <w:pStyle w:val="TextBody"/>
        <w:bidi w:val="0"/>
        <w:spacing w:lineRule="auto" w:line="288" w:before="241" w:after="283"/>
        <w:ind w:left="0" w:right="0" w:hanging="722"/>
        <w:jc w:val="left"/>
        <w:rPr/>
      </w:pPr>
      <w:r>
        <w:rPr>
          <w:rFonts w:ascii="Times New Roman;sans-serif" w:hAnsi="Times New Roman;sans-serif"/>
          <w:b/>
          <w:color w:val="000000"/>
          <w:sz w:val="24"/>
        </w:rPr>
        <w:t>III.</w:t>
      </w:r>
      <w:r>
        <w:rPr>
          <w:rFonts w:ascii="Times New Roman;sans-serif" w:hAnsi="Times New Roman;sans-serif"/>
          <w:b/>
          <w:color w:val="000000"/>
          <w:sz w:val="24"/>
          <w:u w:val="single"/>
        </w:rPr>
        <w:t>Expenses</w:t>
      </w:r>
    </w:p>
    <w:p>
      <w:pPr>
        <w:pStyle w:val="TextBody"/>
        <w:bidi w:val="0"/>
        <w:spacing w:lineRule="auto" w:line="288"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The Company will reimburse all reasonable out-of-pocket expenses incurred by Outside Directors in attending meetings of the Board of Directors or any Committee thereof.</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748030"/>
                <wp:effectExtent l="0" t="0" r="0" b="0"/>
                <wp:wrapNone/>
                <wp:docPr id="124" name="Frame122"/>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tbl>
                            <w:tblPr>
                              <w:tblW w:w="1769" w:type="dxa"/>
                              <w:jc w:val="left"/>
                              <w:tblInd w:w="0" w:type="dxa"/>
                              <w:tblLayout w:type="fixed"/>
                              <w:tblCellMar>
                                <w:top w:w="28" w:type="dxa"/>
                                <w:left w:w="28" w:type="dxa"/>
                                <w:bottom w:w="28" w:type="dxa"/>
                                <w:right w:w="28" w:type="dxa"/>
                              </w:tblCellMar>
                            </w:tblPr>
                            <w:tblGrid>
                              <w:gridCol w:w="565"/>
                              <w:gridCol w:w="497"/>
                              <w:gridCol w:w="707"/>
                            </w:tblGrid>
                            <w:tr>
                              <w:trPr/>
                              <w:tc>
                                <w:tcPr>
                                  <w:tcW w:w="565" w:type="dxa"/>
                                  <w:tcBorders/>
                                  <w:vAlign w:val="center"/>
                                </w:tcPr>
                                <w:p>
                                  <w:pPr>
                                    <w:pStyle w:val="TableContents"/>
                                    <w:bidi w:val="0"/>
                                    <w:spacing w:before="0" w:after="283"/>
                                    <w:jc w:val="left"/>
                                    <w:rPr>
                                      <w:sz w:val="4"/>
                                      <w:szCs w:val="4"/>
                                    </w:rPr>
                                  </w:pPr>
                                  <w:r>
                                    <w:rPr>
                                      <w:sz w:val="4"/>
                                      <w:szCs w:val="4"/>
                                    </w:rPr>
                                  </w:r>
                                  <w:r>
                                    <w:br w:type="page"/>
                                  </w:r>
                                </w:p>
                              </w:tc>
                              <w:tc>
                                <w:tcPr>
                                  <w:tcW w:w="49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ACTIVE/106239414.4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tbl>
                      <w:tblPr>
                        <w:tblW w:w="1769" w:type="dxa"/>
                        <w:jc w:val="left"/>
                        <w:tblInd w:w="0" w:type="dxa"/>
                        <w:tblLayout w:type="fixed"/>
                        <w:tblCellMar>
                          <w:top w:w="28" w:type="dxa"/>
                          <w:left w:w="28" w:type="dxa"/>
                          <w:bottom w:w="28" w:type="dxa"/>
                          <w:right w:w="28" w:type="dxa"/>
                        </w:tblCellMar>
                      </w:tblPr>
                      <w:tblGrid>
                        <w:gridCol w:w="565"/>
                        <w:gridCol w:w="497"/>
                        <w:gridCol w:w="707"/>
                      </w:tblGrid>
                      <w:tr>
                        <w:trPr/>
                        <w:tc>
                          <w:tcPr>
                            <w:tcW w:w="56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ACTIVE/106239414.4</w:t>
                            </w:r>
                          </w:p>
                        </w:tc>
                      </w:tr>
                    </w:tbl>
                    <w:p>
                      <w:pPr>
                        <w:pStyle w:val="TextBody"/>
                        <w:bidi w:val="0"/>
                        <w:spacing w:before="0" w:after="283"/>
                        <w:jc w:val="left"/>
                        <w:rPr/>
                      </w:pPr>
                      <w:r>
                        <w:rPr/>
                      </w:r>
                    </w:p>
                  </w:txbxContent>
                </v:textbox>
                <w10:wrap type="none"/>
              </v:rect>
            </w:pict>
          </mc:Fallback>
        </mc:AlternateContent>
      </w:r>
    </w:p>
    <w:tbl>
      <w:tblPr>
        <w:tblW w:w="794" w:type="dxa"/>
        <w:jc w:val="left"/>
        <w:tblInd w:w="0" w:type="dxa"/>
        <w:tblLayout w:type="fixed"/>
        <w:tblCellMar>
          <w:top w:w="28" w:type="dxa"/>
          <w:left w:w="28" w:type="dxa"/>
          <w:bottom w:w="28" w:type="dxa"/>
          <w:right w:w="28" w:type="dxa"/>
        </w:tblCellMar>
      </w:tblPr>
      <w:tblGrid>
        <w:gridCol w:w="254"/>
        <w:gridCol w:w="223"/>
        <w:gridCol w:w="317"/>
      </w:tblGrid>
      <w:tr>
        <w:trPr/>
        <w:tc>
          <w:tcPr>
            <w:tcW w:w="2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94"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Page 3</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748030"/>
                <wp:effectExtent l="0" t="0" r="0" b="0"/>
                <wp:wrapNone/>
                <wp:docPr id="125" name="Frame123"/>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tbl>
                            <w:tblPr>
                              <w:tblW w:w="1769" w:type="dxa"/>
                              <w:jc w:val="left"/>
                              <w:tblInd w:w="0" w:type="dxa"/>
                              <w:tblLayout w:type="fixed"/>
                              <w:tblCellMar>
                                <w:top w:w="28" w:type="dxa"/>
                                <w:left w:w="28" w:type="dxa"/>
                                <w:bottom w:w="28" w:type="dxa"/>
                                <w:right w:w="28" w:type="dxa"/>
                              </w:tblCellMar>
                            </w:tblPr>
                            <w:tblGrid>
                              <w:gridCol w:w="565"/>
                              <w:gridCol w:w="497"/>
                              <w:gridCol w:w="707"/>
                            </w:tblGrid>
                            <w:tr>
                              <w:trPr/>
                              <w:tc>
                                <w:tcPr>
                                  <w:tcW w:w="565" w:type="dxa"/>
                                  <w:tcBorders/>
                                  <w:vAlign w:val="center"/>
                                </w:tcPr>
                                <w:p>
                                  <w:pPr>
                                    <w:pStyle w:val="TableContents"/>
                                    <w:bidi w:val="0"/>
                                    <w:spacing w:before="0" w:after="283"/>
                                    <w:jc w:val="left"/>
                                    <w:rPr>
                                      <w:sz w:val="4"/>
                                      <w:szCs w:val="4"/>
                                    </w:rPr>
                                  </w:pPr>
                                  <w:r>
                                    <w:rPr>
                                      <w:sz w:val="4"/>
                                      <w:szCs w:val="4"/>
                                    </w:rPr>
                                  </w:r>
                                  <w:r>
                                    <w:br w:type="page"/>
                                  </w:r>
                                </w:p>
                              </w:tc>
                              <w:tc>
                                <w:tcPr>
                                  <w:tcW w:w="49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ACTIVE/106239414.4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tbl>
                      <w:tblPr>
                        <w:tblW w:w="1769" w:type="dxa"/>
                        <w:jc w:val="left"/>
                        <w:tblInd w:w="0" w:type="dxa"/>
                        <w:tblLayout w:type="fixed"/>
                        <w:tblCellMar>
                          <w:top w:w="28" w:type="dxa"/>
                          <w:left w:w="28" w:type="dxa"/>
                          <w:bottom w:w="28" w:type="dxa"/>
                          <w:right w:w="28" w:type="dxa"/>
                        </w:tblCellMar>
                      </w:tblPr>
                      <w:tblGrid>
                        <w:gridCol w:w="565"/>
                        <w:gridCol w:w="497"/>
                        <w:gridCol w:w="707"/>
                      </w:tblGrid>
                      <w:tr>
                        <w:trPr/>
                        <w:tc>
                          <w:tcPr>
                            <w:tcW w:w="56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ACTIVE/106239414.4</w:t>
                            </w:r>
                          </w:p>
                        </w:tc>
                      </w:tr>
                    </w:tbl>
                    <w:p>
                      <w:pPr>
                        <w:pStyle w:val="TextBody"/>
                        <w:bidi w:val="0"/>
                        <w:spacing w:before="0" w:after="283"/>
                        <w:jc w:val="left"/>
                        <w:rPr/>
                      </w:pPr>
                      <w:r>
                        <w:rPr/>
                      </w:r>
                    </w:p>
                  </w:txbxContent>
                </v:textbox>
                <w10:wrap type="none"/>
              </v:rect>
            </w:pict>
          </mc:Fallback>
        </mc:AlternateContent>
      </w:r>
    </w:p>
    <w:tbl>
      <w:tblPr>
        <w:tblW w:w="794" w:type="dxa"/>
        <w:jc w:val="left"/>
        <w:tblInd w:w="0" w:type="dxa"/>
        <w:tblLayout w:type="fixed"/>
        <w:tblCellMar>
          <w:top w:w="28" w:type="dxa"/>
          <w:left w:w="28" w:type="dxa"/>
          <w:bottom w:w="28" w:type="dxa"/>
          <w:right w:w="28" w:type="dxa"/>
        </w:tblCellMar>
      </w:tblPr>
      <w:tblGrid>
        <w:gridCol w:w="254"/>
        <w:gridCol w:w="223"/>
        <w:gridCol w:w="317"/>
      </w:tblGrid>
      <w:tr>
        <w:trPr/>
        <w:tc>
          <w:tcPr>
            <w:tcW w:w="2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94"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Page 4</w:t>
            </w:r>
          </w:p>
        </w:tc>
      </w:tr>
    </w:tbl>
    <w:p>
      <w:pPr>
        <w:pStyle w:val="TextBody"/>
        <w:bidi w:val="0"/>
        <w:spacing w:before="0" w:after="0"/>
        <w:jc w:val="left"/>
        <w:rPr/>
      </w:pPr>
      <w:r>
        <w:rPr/>
      </w:r>
    </w:p>
    <w:p>
      <w:pPr>
        <w:pStyle w:val="TextBody"/>
        <w:bidi w:val="0"/>
        <w:spacing w:lineRule="auto" w:line="288" w:before="163" w:after="283"/>
        <w:ind w:left="0" w:right="0" w:hanging="722"/>
        <w:jc w:val="left"/>
        <w:rPr/>
      </w:pPr>
      <w:r>
        <w:rPr>
          <w:rFonts w:ascii="Times New Roman;sans-serif" w:hAnsi="Times New Roman;sans-serif"/>
          <w:b/>
          <w:color w:val="000000"/>
          <w:sz w:val="24"/>
        </w:rPr>
        <w:t>IV.</w:t>
      </w:r>
      <w:r>
        <w:rPr>
          <w:rFonts w:ascii="Times New Roman;sans-serif" w:hAnsi="Times New Roman;sans-serif"/>
          <w:b/>
          <w:color w:val="000000"/>
          <w:sz w:val="24"/>
          <w:u w:val="single"/>
        </w:rPr>
        <w:t>Maximum Annual Compensation</w:t>
      </w:r>
    </w:p>
    <w:p>
      <w:pPr>
        <w:pStyle w:val="TextBody"/>
        <w:bidi w:val="0"/>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aggregate amount of compensation, including both equity compensation and cash compensation, paid to any Outside Director in a calendar year period shall not exceed (i)</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$1,000,000 in the first calendar year an individual becomes an Outside Director and (ii) $750,000 in any other year (or in each case, such other limits as may be set forth in Section 3(b) of the 2020 Plan or any similar provision of a successor plan). For this purpose, the “amount” of equity compensation paid in a calendar year shall be determined based on the grant date fair value thereof, as determined in accordance with ASC 718 or its successor provision, but excluding the impact of estimated forfeitures related to service-based vesting conditions.</w:t>
      </w:r>
    </w:p>
    <w:p>
      <w:pPr>
        <w:pStyle w:val="TextBody"/>
        <w:bidi w:val="0"/>
        <w:spacing w:lineRule="auto" w:line="288" w:before="238" w:after="283"/>
        <w:jc w:val="both"/>
        <w:rPr/>
      </w:pPr>
      <w:r>
        <w:rPr>
          <w:rFonts w:ascii="Times New Roman;sans-serif" w:hAnsi="Times New Roman;sans-serif"/>
          <w:b/>
          <w:color w:val="000000"/>
          <w:sz w:val="24"/>
        </w:rPr>
        <w:t>Date Policy Approved</w:t>
      </w:r>
      <w:r>
        <w:rPr>
          <w:rFonts w:ascii="Times New Roman;sans-serif" w:hAnsi="Times New Roman;sans-serif"/>
          <w:b w:val="false"/>
          <w:color w:val="000000"/>
          <w:sz w:val="24"/>
        </w:rPr>
        <w:t>: December 10,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748030"/>
                <wp:effectExtent l="0" t="0" r="0" b="0"/>
                <wp:wrapNone/>
                <wp:docPr id="126" name="Frame124"/>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tbl>
                            <w:tblPr>
                              <w:tblW w:w="1769" w:type="dxa"/>
                              <w:jc w:val="left"/>
                              <w:tblInd w:w="0" w:type="dxa"/>
                              <w:tblLayout w:type="fixed"/>
                              <w:tblCellMar>
                                <w:top w:w="28" w:type="dxa"/>
                                <w:left w:w="28" w:type="dxa"/>
                                <w:bottom w:w="28" w:type="dxa"/>
                                <w:right w:w="28" w:type="dxa"/>
                              </w:tblCellMar>
                            </w:tblPr>
                            <w:tblGrid>
                              <w:gridCol w:w="565"/>
                              <w:gridCol w:w="497"/>
                              <w:gridCol w:w="707"/>
                            </w:tblGrid>
                            <w:tr>
                              <w:trPr/>
                              <w:tc>
                                <w:tcPr>
                                  <w:tcW w:w="56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ACTIVE/106239414.4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tbl>
                      <w:tblPr>
                        <w:tblW w:w="1769" w:type="dxa"/>
                        <w:jc w:val="left"/>
                        <w:tblInd w:w="0" w:type="dxa"/>
                        <w:tblLayout w:type="fixed"/>
                        <w:tblCellMar>
                          <w:top w:w="28" w:type="dxa"/>
                          <w:left w:w="28" w:type="dxa"/>
                          <w:bottom w:w="28" w:type="dxa"/>
                          <w:right w:w="28" w:type="dxa"/>
                        </w:tblCellMar>
                      </w:tblPr>
                      <w:tblGrid>
                        <w:gridCol w:w="565"/>
                        <w:gridCol w:w="497"/>
                        <w:gridCol w:w="707"/>
                      </w:tblGrid>
                      <w:tr>
                        <w:trPr/>
                        <w:tc>
                          <w:tcPr>
                            <w:tcW w:w="56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ACTIVE/106239414.4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520" w:before="79" w:after="283"/>
        <w:ind w:left="0" w:right="0" w:firstLine="717"/>
        <w:jc w:val="left"/>
        <w:rPr>
          <w:rFonts w:ascii="Times New Roman;sans-serif" w:hAnsi="Times New Roman;sans-serif"/>
          <w:b/>
          <w:color w:val="000000"/>
          <w:sz w:val="24"/>
        </w:rPr>
      </w:pPr>
      <w:r>
        <w:rPr>
          <w:rFonts w:ascii="Times New Roman;sans-serif" w:hAnsi="Times New Roman;sans-serif"/>
          <w:b/>
          <w:color w:val="000000"/>
          <w:sz w:val="24"/>
        </w:rPr>
        <w:t>PLIANT THERAPEUTICS, INC. INSIDER TRADING COMPLIANCE POLICY</w:t>
      </w:r>
    </w:p>
    <w:p>
      <w:pPr>
        <w:pStyle w:val="TextBody"/>
        <w:bidi w:val="0"/>
        <w:spacing w:before="7" w:after="283"/>
        <w:jc w:val="left"/>
        <w:rPr/>
      </w:pPr>
      <w:r>
        <w:rPr/>
      </w:r>
    </w:p>
    <w:p>
      <w:pPr>
        <w:pStyle w:val="TextBody"/>
        <w:bidi w:val="0"/>
        <w:spacing w:lineRule="auto" w:line="288" w:before="0" w:after="0"/>
        <w:jc w:val="left"/>
        <w:rPr/>
      </w:pPr>
      <w:r>
        <w:rPr>
          <w:rFonts w:ascii="Times New Roman;sans-serif" w:hAnsi="Times New Roman;sans-serif"/>
          <w:b w:val="false"/>
          <w:color w:val="000000"/>
          <w:sz w:val="24"/>
        </w:rPr>
        <w:t>Pliant Therapeutics, Inc., a Delaware corporation (the “</w:t>
      </w:r>
      <w:r>
        <w:rPr>
          <w:rFonts w:ascii="Times New Roman;sans-serif" w:hAnsi="Times New Roman;sans-serif"/>
          <w:b/>
          <w:color w:val="000000"/>
          <w:sz w:val="24"/>
        </w:rPr>
        <w:t>Company</w:t>
      </w:r>
      <w:r>
        <w:rPr>
          <w:color w:val="000000"/>
        </w:rPr>
        <w:t>”</w:t>
      </w:r>
      <w:r>
        <w:rPr>
          <w:rFonts w:ascii="Times New Roman;sans-serif" w:hAnsi="Times New Roman;sans-serif"/>
          <w:b w:val="false"/>
          <w:color w:val="000000"/>
          <w:sz w:val="24"/>
        </w:rPr>
        <w:t>) prohibits:</w:t>
      </w:r>
    </w:p>
    <w:p>
      <w:pPr>
        <w:pStyle w:val="TextBody"/>
        <w:bidi w:val="0"/>
        <w:spacing w:before="3" w:after="283"/>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insider trading in the Company’s securities or stock (collectively, “</w:t>
      </w:r>
      <w:r>
        <w:rPr>
          <w:rFonts w:ascii="Times New Roman;sans-serif" w:hAnsi="Times New Roman;sans-serif"/>
          <w:b/>
          <w:color w:val="000000"/>
          <w:sz w:val="24"/>
        </w:rPr>
        <w:t>Securities</w:t>
      </w:r>
      <w:r>
        <w:rPr>
          <w:color w:val="000000"/>
        </w:rPr>
        <w:t>”</w:t>
      </w:r>
      <w:r>
        <w:rPr>
          <w:rFonts w:ascii="Times New Roman;sans-serif" w:hAnsi="Times New Roman;sans-serif"/>
          <w:b w:val="false"/>
          <w:color w:val="000000"/>
          <w:sz w:val="24"/>
        </w:rPr>
        <w:t>); and</w:t>
      </w:r>
    </w:p>
    <w:p>
      <w:pPr>
        <w:pStyle w:val="TextBody"/>
        <w:bidi w:val="0"/>
        <w:spacing w:before="1" w:after="283"/>
        <w:jc w:val="left"/>
        <w:rPr/>
      </w:pPr>
      <w:r>
        <w:rPr/>
      </w:r>
    </w:p>
    <w:p>
      <w:pPr>
        <w:pStyle w:val="TextBody"/>
        <w:bidi w:val="0"/>
        <w:spacing w:lineRule="auto" w:line="288" w:before="0" w:after="0"/>
        <w:ind w:left="0" w:right="0" w:hanging="300"/>
        <w:jc w:val="left"/>
        <w:rPr/>
      </w:pPr>
      <w:r>
        <w:rPr>
          <w:color w:val="000000"/>
        </w:rPr>
        <w:t>•</w:t>
      </w:r>
      <w:r>
        <w:rPr>
          <w:rFonts w:ascii="Times New Roman;sans-serif" w:hAnsi="Times New Roman;sans-serif"/>
          <w:b w:val="false"/>
          <w:color w:val="000000"/>
          <w:sz w:val="24"/>
        </w:rPr>
        <w:t>the unauthorized disclosure of the Company’s confidential information that might enable others to engage in insider trading in the Securities.</w:t>
      </w:r>
    </w:p>
    <w:p>
      <w:pPr>
        <w:pStyle w:val="TextBody"/>
        <w:bidi w:val="0"/>
        <w:spacing w:before="4" w:after="283"/>
        <w:jc w:val="left"/>
        <w:rPr/>
      </w:pPr>
      <w:r>
        <w:rPr/>
      </w:r>
    </w:p>
    <w:p>
      <w:pPr>
        <w:pStyle w:val="TextBody"/>
        <w:bidi w:val="0"/>
        <w:spacing w:lineRule="auto" w:line="288" w:before="0" w:after="0"/>
        <w:ind w:left="0" w:right="0" w:firstLine="631"/>
        <w:jc w:val="left"/>
        <w:rPr/>
      </w:pPr>
      <w:r>
        <w:rPr>
          <w:rFonts w:ascii="Times New Roman;sans-serif" w:hAnsi="Times New Roman;sans-serif"/>
          <w:b w:val="false"/>
          <w:color w:val="000000"/>
          <w:sz w:val="24"/>
        </w:rPr>
        <w:t>The Company designed this Insider Trading Compliance Policy (the “</w:t>
      </w:r>
      <w:r>
        <w:rPr>
          <w:rFonts w:ascii="Times New Roman;sans-serif" w:hAnsi="Times New Roman;sans-serif"/>
          <w:b/>
          <w:color w:val="000000"/>
          <w:sz w:val="24"/>
        </w:rPr>
        <w:t>Insider Trading Compliance Policy</w:t>
      </w:r>
      <w:r>
        <w:rPr>
          <w:color w:val="000000"/>
        </w:rPr>
        <w:t>”</w:t>
      </w:r>
      <w:r>
        <w:rPr>
          <w:rFonts w:ascii="Times New Roman;sans-serif" w:hAnsi="Times New Roman;sans-serif"/>
          <w:b w:val="false"/>
          <w:color w:val="000000"/>
          <w:sz w:val="24"/>
        </w:rPr>
        <w:t>) to prevent insider trading. In this Insider Trading Compliance Policy, we will discuss how you must comply with the laws against insider trading to avoid the serious penalties that could accompany a violation. We also seek to fulfill our obligation to educate and reasonably supervise the activities of employees, officers, directors and consultants who own or trade in the Company’s stock as part of our corporate compliance program. There are severe civil and criminal penalties associated with violations by you, your colleagues or the Company under the insider trading laws. It is your obligation to review, understand and comply with this Insider Trading Compliance Policy. Please take the time to become familiar with its content. If you have questions about this Insider Trading Compliance Policy or your stock ownership or trading, please speak with our General Counsel and Corporate Secretary who has been designated as the Chief Compliance Officer under this Insider Trading Compliance Policy or his or her designee (such officer or designee, the “</w:t>
      </w:r>
      <w:r>
        <w:rPr>
          <w:rFonts w:ascii="Times New Roman;sans-serif" w:hAnsi="Times New Roman;sans-serif"/>
          <w:b/>
          <w:color w:val="000000"/>
          <w:sz w:val="24"/>
        </w:rPr>
        <w:t>Chief Compliance Officer</w:t>
      </w:r>
      <w:r>
        <w:rPr>
          <w:color w:val="000000"/>
        </w:rPr>
        <w:t>”</w:t>
      </w:r>
      <w:r>
        <w:rPr>
          <w:rFonts w:ascii="Times New Roman;sans-serif" w:hAnsi="Times New Roman;sans-serif"/>
          <w:b w:val="false"/>
          <w:color w:val="000000"/>
          <w:sz w:val="24"/>
        </w:rPr>
        <w:t>).</w:t>
      </w:r>
    </w:p>
    <w:p>
      <w:pPr>
        <w:pStyle w:val="TextBody"/>
        <w:bidi w:val="0"/>
        <w:spacing w:before="1" w:after="283"/>
        <w:jc w:val="left"/>
        <w:rPr/>
      </w:pPr>
      <w:r>
        <w:rPr/>
      </w:r>
    </w:p>
    <w:p>
      <w:pPr>
        <w:pStyle w:val="TextBody"/>
        <w:bidi w:val="0"/>
        <w:spacing w:lineRule="auto" w:line="288" w:before="0" w:after="0"/>
        <w:ind w:left="0" w:right="0" w:firstLine="631"/>
        <w:jc w:val="left"/>
        <w:rPr>
          <w:rFonts w:ascii="Times New Roman;sans-serif" w:hAnsi="Times New Roman;sans-serif"/>
          <w:b w:val="false"/>
          <w:color w:val="000000"/>
          <w:sz w:val="24"/>
        </w:rPr>
      </w:pPr>
      <w:r>
        <w:rPr>
          <w:rFonts w:ascii="Times New Roman;sans-serif" w:hAnsi="Times New Roman;sans-serif"/>
          <w:b w:val="false"/>
          <w:color w:val="000000"/>
          <w:sz w:val="24"/>
        </w:rPr>
        <w:t>THESE ARE VERY SERIOUS MATTERS. INSIDER TRADING IS ILLEGAL AND CAN RESULT IN JAIL SENTENCES AS WELL AS CIVIL PENALTIES, INCLUDING TREBLE DAMAGES. EMPLOYEES WHO VIOLATE THIS INSIDER TRADING COMPLIANCE POLICY MAY BE SUBJECT TO DISCIPLINARY ACTION BY THE COMPANY, INCLUDING DISMISSAL FOR CAUSE. IF YOU HAVE ANY QUESTION OR DOUBT ABOUT THE APPLICABILITY OR INTERPRETATION OF THIS INSIDER TRADING COMPLIANCE POLICY OR THE PROPRIETY OF ANY DESIRED ACTION, PLEASE SEEK CLARIFICATION FROM OUR CHIEF COMPLIANCE OFFICER. DO NOT TRY TO RESOLVE UNCERTAINTIES ON YOUR OWN.</w:t>
      </w:r>
    </w:p>
    <w:p>
      <w:pPr>
        <w:pStyle w:val="TextBody"/>
        <w:bidi w:val="0"/>
        <w:spacing w:before="3" w:after="283"/>
        <w:jc w:val="left"/>
        <w:rPr/>
      </w:pPr>
      <w:r>
        <w:rPr/>
      </w:r>
    </w:p>
    <w:p>
      <w:pPr>
        <w:pStyle w:val="TextBody"/>
        <w:bidi w:val="0"/>
        <w:spacing w:lineRule="auto" w:line="288" w:before="1" w:after="283"/>
        <w:jc w:val="left"/>
        <w:rPr>
          <w:rFonts w:ascii="Times New Roman;sans-serif" w:hAnsi="Times New Roman;sans-serif"/>
          <w:b/>
          <w:color w:val="000000"/>
          <w:sz w:val="24"/>
        </w:rPr>
      </w:pPr>
      <w:r>
        <w:rPr>
          <w:rFonts w:ascii="Times New Roman;sans-serif" w:hAnsi="Times New Roman;sans-serif"/>
          <w:b/>
          <w:color w:val="000000"/>
          <w:sz w:val="24"/>
        </w:rPr>
        <w:t>PART I. OVERVIEW</w:t>
      </w:r>
    </w:p>
    <w:p>
      <w:pPr>
        <w:pStyle w:val="TextBody"/>
        <w:bidi w:val="0"/>
        <w:spacing w:lineRule="auto" w:line="288" w:before="276" w:after="283"/>
        <w:ind w:left="0" w:right="0" w:hanging="720"/>
        <w:jc w:val="left"/>
        <w:rPr>
          <w:rFonts w:ascii="Times New Roman;sans-serif" w:hAnsi="Times New Roman;sans-serif"/>
          <w:b/>
          <w:i/>
          <w:color w:val="000000"/>
          <w:sz w:val="24"/>
        </w:rPr>
      </w:pPr>
      <w:r>
        <w:rPr>
          <w:rFonts w:ascii="Times New Roman;sans-serif" w:hAnsi="Times New Roman;sans-serif"/>
          <w:b/>
          <w:i/>
          <w:color w:val="000000"/>
          <w:sz w:val="24"/>
        </w:rPr>
        <w:t>A.To Whom does this Insider Trading Compliance Policy Apply?</w:t>
      </w:r>
    </w:p>
    <w:p>
      <w:pPr>
        <w:pStyle w:val="TextBody"/>
        <w:bidi w:val="0"/>
        <w:spacing w:before="10" w:after="283"/>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4"/>
        </w:rPr>
        <w:t>This Insider Trading Compliance Policy applies to all of us, i.e., the Company’s board of directors (the “</w:t>
      </w:r>
      <w:r>
        <w:rPr>
          <w:rFonts w:ascii="Times New Roman;sans-serif" w:hAnsi="Times New Roman;sans-serif"/>
          <w:b/>
          <w:color w:val="000000"/>
          <w:sz w:val="24"/>
        </w:rPr>
        <w:t>Board</w:t>
      </w:r>
      <w:r>
        <w:rPr>
          <w:color w:val="000000"/>
        </w:rPr>
        <w:t>”</w:t>
      </w:r>
      <w:r>
        <w:rPr>
          <w:rFonts w:ascii="Times New Roman;sans-serif" w:hAnsi="Times New Roman;sans-serif"/>
          <w:b w:val="false"/>
          <w:color w:val="000000"/>
          <w:sz w:val="24"/>
        </w:rPr>
        <w:t>), officers, employees and consultants, as well as our Affiliates as discussed below, and to multiple methods of trading in the Securities, such as purchases, sales 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798195"/>
                <wp:effectExtent l="0" t="0" r="0" b="0"/>
                <wp:wrapNone/>
                <wp:docPr id="127" name="Frame125"/>
                <a:graphic xmlns:a="http://schemas.openxmlformats.org/drawingml/2006/main">
                  <a:graphicData uri="http://schemas.microsoft.com/office/word/2010/wordprocessingShape">
                    <wps:wsp>
                      <wps:cNvSpPr txBox="1"/>
                      <wps:spPr>
                        <a:xfrm>
                          <a:off x="0" y="0"/>
                          <a:ext cx="6480175" cy="7981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80" w:after="283"/>
        <w:jc w:val="left"/>
        <w:rPr/>
      </w:pPr>
      <w:r>
        <w:rPr>
          <w:rFonts w:ascii="Times New Roman;sans-serif" w:hAnsi="Times New Roman;sans-serif"/>
          <w:b w:val="false"/>
          <w:color w:val="000000"/>
          <w:sz w:val="24"/>
        </w:rPr>
        <w:t>gifts of stock, options or other forms of equity.</w:t>
      </w:r>
      <w:r>
        <w:rPr>
          <w:rFonts w:ascii="Times New Roman;sans-serif" w:hAnsi="Times New Roman;sans-serif"/>
          <w:b w:val="false"/>
          <w:color w:val="000000"/>
          <w:sz w:val="16"/>
        </w:rPr>
        <w:t>1</w:t>
      </w:r>
      <w:r>
        <w:rPr>
          <w:color w:val="000000"/>
        </w:rPr>
        <w:t xml:space="preserve"> </w:t>
      </w:r>
      <w:r>
        <w:rPr>
          <w:rFonts w:ascii="Times New Roman;sans-serif" w:hAnsi="Times New Roman;sans-serif"/>
          <w:b w:val="false"/>
          <w:color w:val="000000"/>
          <w:sz w:val="24"/>
        </w:rPr>
        <w:t>This Insider Trading Compliance Policy applies not only to you but to your “</w:t>
      </w:r>
      <w:r>
        <w:rPr>
          <w:rFonts w:ascii="Times New Roman;sans-serif" w:hAnsi="Times New Roman;sans-serif"/>
          <w:b/>
          <w:color w:val="000000"/>
          <w:sz w:val="24"/>
        </w:rPr>
        <w:t>Affiliates</w:t>
      </w:r>
      <w:r>
        <w:rPr>
          <w:color w:val="000000"/>
        </w:rPr>
        <w:t xml:space="preserve">” </w:t>
      </w:r>
      <w:r>
        <w:rPr>
          <w:rFonts w:ascii="Times New Roman;sans-serif" w:hAnsi="Times New Roman;sans-serif"/>
          <w:b w:val="false"/>
          <w:color w:val="000000"/>
          <w:sz w:val="24"/>
        </w:rPr>
        <w:t>(as defined by the securities laws), which include:</w:t>
      </w:r>
    </w:p>
    <w:p>
      <w:pPr>
        <w:pStyle w:val="TextBody"/>
        <w:bidi w:val="0"/>
        <w:spacing w:lineRule="auto" w:line="288" w:before="237" w:after="283"/>
        <w:ind w:left="0" w:right="0" w:hanging="720"/>
        <w:jc w:val="left"/>
        <w:rPr/>
      </w:pPr>
      <w:r>
        <w:rPr>
          <w:color w:val="000000"/>
        </w:rPr>
        <w:t>•</w:t>
      </w:r>
      <w:r>
        <w:rPr>
          <w:rFonts w:ascii="Times New Roman;sans-serif" w:hAnsi="Times New Roman;sans-serif"/>
          <w:b w:val="false"/>
          <w:color w:val="000000"/>
          <w:sz w:val="24"/>
        </w:rPr>
        <w:t>your spouse, child, parent, significant other or other family member, in each case, living in the same household;</w:t>
      </w:r>
    </w:p>
    <w:p>
      <w:pPr>
        <w:pStyle w:val="TextBody"/>
        <w:bidi w:val="0"/>
        <w:spacing w:lineRule="auto" w:line="288" w:before="239" w:after="283"/>
        <w:ind w:left="0" w:right="0" w:hanging="720"/>
        <w:jc w:val="left"/>
        <w:rPr/>
      </w:pPr>
      <w:r>
        <w:rPr>
          <w:color w:val="000000"/>
        </w:rPr>
        <w:t>•</w:t>
      </w:r>
      <w:r>
        <w:rPr>
          <w:rFonts w:ascii="Times New Roman;sans-serif" w:hAnsi="Times New Roman;sans-serif"/>
          <w:b w:val="false"/>
          <w:color w:val="000000"/>
          <w:sz w:val="24"/>
        </w:rPr>
        <w:t>all trusts, family partnerships and other types of entities formed for your benefit of the Insider (as defined below) or for the benefit of a member of your family over which you have the ability to influence or direct investment decisions concerning securities;</w:t>
      </w:r>
    </w:p>
    <w:p>
      <w:pPr>
        <w:pStyle w:val="TextBody"/>
        <w:bidi w:val="0"/>
        <w:spacing w:lineRule="auto" w:line="288" w:before="237" w:after="283"/>
        <w:ind w:left="0" w:right="0" w:hanging="718"/>
        <w:jc w:val="left"/>
        <w:rPr/>
      </w:pPr>
      <w:r>
        <w:rPr>
          <w:color w:val="000000"/>
        </w:rPr>
        <w:t>•</w:t>
      </w:r>
      <w:r>
        <w:rPr>
          <w:rFonts w:ascii="Times New Roman;sans-serif" w:hAnsi="Times New Roman;sans-serif"/>
          <w:b w:val="false"/>
          <w:color w:val="000000"/>
          <w:sz w:val="24"/>
        </w:rPr>
        <w:t>all persons who execute trades on your behalf, e.g., your stockbroker; and</w:t>
      </w:r>
    </w:p>
    <w:p>
      <w:pPr>
        <w:pStyle w:val="TextBody"/>
        <w:bidi w:val="0"/>
        <w:spacing w:lineRule="auto" w:line="288" w:before="238" w:after="283"/>
        <w:ind w:left="0" w:right="0" w:hanging="720"/>
        <w:jc w:val="both"/>
        <w:rPr/>
      </w:pPr>
      <w:r>
        <w:rPr>
          <w:color w:val="000000"/>
        </w:rPr>
        <w:t>•</w:t>
      </w:r>
      <w:r>
        <w:rPr>
          <w:rFonts w:ascii="Times New Roman;sans-serif" w:hAnsi="Times New Roman;sans-serif"/>
          <w:b w:val="false"/>
          <w:color w:val="000000"/>
          <w:sz w:val="24"/>
        </w:rPr>
        <w:t>all investment funds, trusts, retirement plans, partnerships, corporations and other types of entities over which you have the ability to influence or direct investment decisions concerning securities.</w:t>
      </w:r>
    </w:p>
    <w:p>
      <w:pPr>
        <w:pStyle w:val="TextBody"/>
        <w:bidi w:val="0"/>
        <w:spacing w:before="11" w:after="283"/>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You are responsible for ensuring compliance with this Insider Trading Compliance Policy, including the Insider Trading Procedures contained herein, by all of your Affiliates. We recommend you obtain advice from your legal and financial advisors regarding trading in Company Securities by your Affiliates.</w:t>
      </w:r>
    </w:p>
    <w:p>
      <w:pPr>
        <w:pStyle w:val="TextBody"/>
        <w:bidi w:val="0"/>
        <w:spacing w:before="10" w:after="283"/>
        <w:jc w:val="left"/>
        <w:rPr/>
      </w:pPr>
      <w:r>
        <w:rPr/>
      </w:r>
    </w:p>
    <w:p>
      <w:pPr>
        <w:pStyle w:val="TextBody"/>
        <w:bidi w:val="0"/>
        <w:spacing w:lineRule="auto" w:line="288" w:before="0" w:after="0"/>
        <w:jc w:val="left"/>
        <w:rPr>
          <w:rFonts w:ascii="Times New Roman;sans-serif" w:hAnsi="Times New Roman;sans-serif"/>
          <w:b w:val="false"/>
          <w:i/>
          <w:color w:val="000000"/>
          <w:sz w:val="24"/>
        </w:rPr>
      </w:pPr>
      <w:r>
        <w:rPr>
          <w:rFonts w:ascii="Times New Roman;sans-serif" w:hAnsi="Times New Roman;sans-serif"/>
          <w:b w:val="false"/>
          <w:i/>
          <w:color w:val="000000"/>
          <w:sz w:val="24"/>
        </w:rPr>
        <w:t>Special Procedures for Persons with Regular Access to Inside Information:</w:t>
      </w:r>
    </w:p>
    <w:p>
      <w:pPr>
        <w:pStyle w:val="TextBody"/>
        <w:bidi w:val="0"/>
        <w:spacing w:before="89" w:after="283"/>
        <w:jc w:val="left"/>
        <w:rPr/>
      </w:pPr>
      <w:r>
        <w:rPr/>
      </w:r>
    </w:p>
    <w:p>
      <w:pPr>
        <w:pStyle w:val="TextBody"/>
        <w:bidi w:val="0"/>
        <w:spacing w:lineRule="auto" w:line="288" w:before="0" w:after="0"/>
        <w:jc w:val="left"/>
        <w:rPr/>
      </w:pPr>
      <w:r>
        <w:rPr>
          <w:rFonts w:ascii="Times New Roman;sans-serif" w:hAnsi="Times New Roman;sans-serif"/>
          <w:b w:val="false"/>
          <w:color w:val="000000"/>
          <w:sz w:val="24"/>
        </w:rPr>
        <w:t xml:space="preserve">Members of our Board and our executive officers are deemed to have access to all “inside information” under the insider trading laws. Other officers, employees and consultants may also require regular access to “inside information” in performing their work. For this reason and for their protection, additional trading procedures apply to these directors, officers, employees and consultants. We will notify all members of the Board, officers and </w:t>
      </w:r>
      <w:r>
        <w:rPr>
          <w:rFonts w:ascii="Times New Roman;sans-serif" w:hAnsi="Times New Roman;sans-serif"/>
          <w:b w:val="false"/>
          <w:i/>
          <w:color w:val="000000"/>
          <w:sz w:val="24"/>
        </w:rPr>
        <w:t xml:space="preserve">designated </w:t>
      </w:r>
      <w:r>
        <w:rPr>
          <w:rFonts w:ascii="Times New Roman;sans-serif" w:hAnsi="Times New Roman;sans-serif"/>
          <w:b w:val="false"/>
          <w:color w:val="000000"/>
          <w:sz w:val="24"/>
        </w:rPr>
        <w:t>employees and consultants (collectively, and solely for the purpose of the Insider Trading Compliance Policy, “</w:t>
      </w:r>
      <w:r>
        <w:rPr>
          <w:rFonts w:ascii="Times New Roman;sans-serif" w:hAnsi="Times New Roman;sans-serif"/>
          <w:b/>
          <w:color w:val="000000"/>
          <w:sz w:val="24"/>
        </w:rPr>
        <w:t>Insiders</w:t>
      </w:r>
      <w:r>
        <w:rPr>
          <w:color w:val="000000"/>
        </w:rPr>
        <w:t>”</w:t>
      </w:r>
      <w:r>
        <w:rPr>
          <w:rFonts w:ascii="Times New Roman;sans-serif" w:hAnsi="Times New Roman;sans-serif"/>
          <w:b w:val="false"/>
          <w:color w:val="000000"/>
          <w:sz w:val="24"/>
        </w:rPr>
        <w:t>) that they are subject to these additional trading procedures (the “</w:t>
      </w:r>
      <w:r>
        <w:rPr>
          <w:rFonts w:ascii="Times New Roman;sans-serif" w:hAnsi="Times New Roman;sans-serif"/>
          <w:b/>
          <w:color w:val="000000"/>
          <w:sz w:val="24"/>
        </w:rPr>
        <w:t>Insider Trading Procedures</w:t>
      </w:r>
      <w:r>
        <w:rPr>
          <w:color w:val="000000"/>
        </w:rPr>
        <w:t>”</w:t>
      </w:r>
      <w:r>
        <w:rPr>
          <w:rFonts w:ascii="Times New Roman;sans-serif" w:hAnsi="Times New Roman;sans-serif"/>
          <w:b w:val="false"/>
          <w:color w:val="000000"/>
          <w:sz w:val="24"/>
        </w:rPr>
        <w:t>), which are set forth in Part II of this Insider Trading Compliance Policy.</w:t>
      </w:r>
    </w:p>
    <w:p>
      <w:pPr>
        <w:pStyle w:val="TextBody"/>
        <w:bidi w:val="0"/>
        <w:spacing w:before="79" w:after="283"/>
        <w:jc w:val="left"/>
        <w:rPr/>
      </w:pPr>
      <w:r>
        <w:rPr/>
      </w:r>
    </w:p>
    <w:p>
      <w:pPr>
        <w:pStyle w:val="TextBody"/>
        <w:bidi w:val="0"/>
        <w:spacing w:lineRule="auto" w:line="288" w:before="0" w:after="0"/>
        <w:jc w:val="left"/>
        <w:rPr>
          <w:rFonts w:ascii="Times New Roman;sans-serif" w:hAnsi="Times New Roman;sans-serif"/>
          <w:b w:val="false"/>
          <w:i/>
          <w:color w:val="000000"/>
          <w:sz w:val="24"/>
        </w:rPr>
      </w:pPr>
      <w:r>
        <w:rPr>
          <w:rFonts w:ascii="Times New Roman;sans-serif" w:hAnsi="Times New Roman;sans-serif"/>
          <w:b w:val="false"/>
          <w:i/>
          <w:color w:val="000000"/>
          <w:sz w:val="24"/>
        </w:rPr>
        <w:t>Post-Termination Responsibilities:</w:t>
      </w:r>
    </w:p>
    <w:p>
      <w:pPr>
        <w:pStyle w:val="TextBody"/>
        <w:bidi w:val="0"/>
        <w:spacing w:before="10" w:after="283"/>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In the event that you leave the Company for any reason, this Insider Trading Compliance Policy, including, if applicable, the Insider Trading Procedures, will continue to apply to you and your Affiliates until the completion of one full trading day after any material nonpublic information known to you has become public or is no longer material.</w:t>
      </w:r>
    </w:p>
    <w:p>
      <w:pPr>
        <w:pStyle w:val="TextBody"/>
        <w:bidi w:val="0"/>
        <w:spacing w:before="0" w:after="0"/>
        <w:jc w:val="left"/>
        <w:rPr/>
      </w:pPr>
      <w:r>
        <w:rPr/>
      </w:r>
    </w:p>
    <w:p>
      <w:pPr>
        <w:pStyle w:val="TextBody"/>
        <w:bidi w:val="0"/>
        <w:spacing w:before="208"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798195"/>
                <wp:effectExtent l="0" t="0" r="0" b="0"/>
                <wp:wrapNone/>
                <wp:docPr id="128" name="Frame126"/>
                <a:graphic xmlns:a="http://schemas.openxmlformats.org/drawingml/2006/main">
                  <a:graphicData uri="http://schemas.microsoft.com/office/word/2010/wordprocessingShape">
                    <wps:wsp>
                      <wps:cNvSpPr txBox="1"/>
                      <wps:spPr>
                        <a:xfrm>
                          <a:off x="0" y="0"/>
                          <a:ext cx="6480175" cy="7981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94" w:after="283"/>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The law defines securities broadly to include the Company’s common stock, options to purchase common stock, any other type of securities that the Company may issue (such as preferred stock, convertible debentures, warrants, exchange- traded options or other derivative securities), and any derivative securities that provide the economic equivalent of ownership of any of the Company’s securities or an opportunity, direct or indirect, to profit from any change in the value of the Company’s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798195"/>
                <wp:effectExtent l="0" t="0" r="0" b="0"/>
                <wp:wrapNone/>
                <wp:docPr id="129" name="Frame127"/>
                <a:graphic xmlns:a="http://schemas.openxmlformats.org/drawingml/2006/main">
                  <a:graphicData uri="http://schemas.microsoft.com/office/word/2010/wordprocessingShape">
                    <wps:wsp>
                      <wps:cNvSpPr txBox="1"/>
                      <wps:spPr>
                        <a:xfrm>
                          <a:off x="0" y="0"/>
                          <a:ext cx="6480175" cy="7981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0" w:after="283"/>
        <w:ind w:left="0" w:right="0" w:hanging="719"/>
        <w:jc w:val="left"/>
        <w:rPr>
          <w:rFonts w:ascii="Times New Roman;sans-serif" w:hAnsi="Times New Roman;sans-serif"/>
          <w:b/>
          <w:i/>
          <w:color w:val="000000"/>
          <w:sz w:val="24"/>
        </w:rPr>
      </w:pPr>
      <w:r>
        <w:rPr>
          <w:rFonts w:ascii="Times New Roman;sans-serif" w:hAnsi="Times New Roman;sans-serif"/>
          <w:b/>
          <w:i/>
          <w:color w:val="000000"/>
          <w:sz w:val="24"/>
        </w:rPr>
        <w:t>B.What is Prohibited by this Insider Trading Compliance Policy?</w:t>
      </w:r>
    </w:p>
    <w:p>
      <w:pPr>
        <w:pStyle w:val="TextBody"/>
        <w:bidi w:val="0"/>
        <w:spacing w:before="10" w:after="283"/>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4"/>
        </w:rPr>
        <w:t>It is generally illegal for you to trade in the Securities of the Company, whether for your account or for the account of another, while in the possession of material, nonpublic information about the Company or its business activities. It is also generally illegal for you to disclose material, nonpublic information about the Company or its business to others who may trade on the basis of that information. In addition, if we receive material, non-public information from collaborators or from other companies that do business with the Company, then these same prohibitions would apply to trading in the securities of these other companies. These illegal activities are commonly referred to as “</w:t>
      </w:r>
      <w:r>
        <w:rPr>
          <w:rFonts w:ascii="Times New Roman;sans-serif" w:hAnsi="Times New Roman;sans-serif"/>
          <w:b w:val="false"/>
          <w:i/>
          <w:color w:val="000000"/>
          <w:sz w:val="24"/>
        </w:rPr>
        <w:t>insider trading</w:t>
      </w:r>
      <w:r>
        <w:rPr>
          <w:rFonts w:ascii="Times New Roman;sans-serif" w:hAnsi="Times New Roman;sans-serif"/>
          <w:b w:val="false"/>
          <w:color w:val="000000"/>
          <w:sz w:val="24"/>
        </w:rPr>
        <w:t>.”</w:t>
      </w:r>
    </w:p>
    <w:p>
      <w:pPr>
        <w:pStyle w:val="TextBody"/>
        <w:bidi w:val="0"/>
        <w:spacing w:before="10" w:after="283"/>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When you know or are in possession of material, nonpublic information about the Company, whether positive or negative, you are prohibited from the following activities:</w:t>
      </w:r>
    </w:p>
    <w:p>
      <w:pPr>
        <w:pStyle w:val="TextBody"/>
        <w:bidi w:val="0"/>
        <w:spacing w:before="9" w:after="283"/>
        <w:jc w:val="left"/>
        <w:rPr/>
      </w:pPr>
      <w:r>
        <w:rPr/>
      </w:r>
    </w:p>
    <w:p>
      <w:pPr>
        <w:pStyle w:val="TextBody"/>
        <w:bidi w:val="0"/>
        <w:spacing w:lineRule="auto" w:line="288" w:before="1" w:after="283"/>
        <w:ind w:left="0" w:right="0" w:hanging="360"/>
        <w:jc w:val="both"/>
        <w:rPr/>
      </w:pPr>
      <w:r>
        <w:rPr>
          <w:color w:val="000000"/>
        </w:rPr>
        <w:t>•</w:t>
      </w:r>
      <w:r>
        <w:rPr>
          <w:rFonts w:ascii="Times New Roman;sans-serif" w:hAnsi="Times New Roman;sans-serif"/>
          <w:b w:val="false"/>
          <w:color w:val="000000"/>
          <w:sz w:val="24"/>
        </w:rPr>
        <w:t>trading (whether for your account of for the account of another) in the Company’s Securities, except for trades made pursuant to a trading plan that meets the requirements of Rule 10b5-1(c) and this Policy (referred to herein as a “</w:t>
      </w:r>
      <w:r>
        <w:rPr>
          <w:rFonts w:ascii="Times New Roman;sans-serif" w:hAnsi="Times New Roman;sans-serif"/>
          <w:b/>
          <w:color w:val="000000"/>
          <w:sz w:val="24"/>
        </w:rPr>
        <w:t>Trading Plan</w:t>
      </w:r>
      <w:r>
        <w:rPr>
          <w:color w:val="000000"/>
        </w:rPr>
        <w:t>”</w:t>
      </w:r>
      <w:r>
        <w:rPr>
          <w:rFonts w:ascii="Times New Roman;sans-serif" w:hAnsi="Times New Roman;sans-serif"/>
          <w:b w:val="false"/>
          <w:color w:val="000000"/>
          <w:sz w:val="24"/>
        </w:rPr>
        <w:t>);</w:t>
      </w:r>
    </w:p>
    <w:p>
      <w:pPr>
        <w:pStyle w:val="TextBody"/>
        <w:bidi w:val="0"/>
        <w:spacing w:lineRule="auto" w:line="288" w:before="118" w:after="283"/>
        <w:ind w:left="0" w:right="0" w:hanging="359"/>
        <w:jc w:val="both"/>
        <w:rPr/>
      </w:pPr>
      <w:r>
        <w:rPr>
          <w:color w:val="000000"/>
        </w:rPr>
        <w:t>•</w:t>
      </w:r>
      <w:r>
        <w:rPr>
          <w:rFonts w:ascii="Times New Roman;sans-serif" w:hAnsi="Times New Roman;sans-serif"/>
          <w:b w:val="false"/>
          <w:color w:val="000000"/>
          <w:sz w:val="24"/>
        </w:rPr>
        <w:t>giving trading advice of any kind about the Company; and</w:t>
      </w:r>
    </w:p>
    <w:p>
      <w:pPr>
        <w:pStyle w:val="TextBody"/>
        <w:bidi w:val="0"/>
        <w:spacing w:lineRule="auto" w:line="288" w:before="117" w:after="283"/>
        <w:ind w:left="0" w:right="0" w:hanging="360"/>
        <w:jc w:val="both"/>
        <w:rPr/>
      </w:pPr>
      <w:r>
        <w:rPr>
          <w:color w:val="000000"/>
        </w:rPr>
        <w:t>•</w:t>
      </w:r>
      <w:r>
        <w:rPr>
          <w:rFonts w:ascii="Times New Roman;sans-serif" w:hAnsi="Times New Roman;sans-serif"/>
          <w:b w:val="false"/>
          <w:color w:val="000000"/>
          <w:sz w:val="24"/>
        </w:rPr>
        <w:t>disclosing such material, nonpublic information about the Company, whether positive or negative, to anyone else (commonly known as “</w:t>
      </w:r>
      <w:r>
        <w:rPr>
          <w:rFonts w:ascii="Times New Roman;sans-serif" w:hAnsi="Times New Roman;sans-serif"/>
          <w:b w:val="false"/>
          <w:i/>
          <w:color w:val="000000"/>
          <w:sz w:val="24"/>
        </w:rPr>
        <w:t>tipping</w:t>
      </w:r>
      <w:r>
        <w:rPr>
          <w:color w:val="000000"/>
        </w:rPr>
        <w:t>”</w:t>
      </w:r>
      <w:r>
        <w:rPr>
          <w:rFonts w:ascii="Times New Roman;sans-serif" w:hAnsi="Times New Roman;sans-serif"/>
          <w:b w:val="false"/>
          <w:color w:val="000000"/>
          <w:sz w:val="24"/>
        </w:rPr>
        <w:t>).</w:t>
      </w:r>
    </w:p>
    <w:p>
      <w:pPr>
        <w:pStyle w:val="TextBody"/>
        <w:bidi w:val="0"/>
        <w:spacing w:before="8" w:after="283"/>
        <w:jc w:val="left"/>
        <w:rPr/>
      </w:pPr>
      <w:r>
        <w:rPr/>
      </w:r>
    </w:p>
    <w:p>
      <w:pPr>
        <w:pStyle w:val="TextBody"/>
        <w:bidi w:val="0"/>
        <w:spacing w:lineRule="auto" w:line="288" w:before="1" w:after="283"/>
        <w:jc w:val="left"/>
        <w:rPr/>
      </w:pPr>
      <w:r>
        <w:rPr>
          <w:rFonts w:ascii="Times New Roman;sans-serif" w:hAnsi="Times New Roman;sans-serif"/>
          <w:b w:val="false"/>
          <w:color w:val="000000"/>
          <w:sz w:val="24"/>
        </w:rPr>
        <w:t xml:space="preserve">The Insider Trading Compliance Policy prohibitions on insider trading </w:t>
      </w:r>
      <w:r>
        <w:rPr>
          <w:rFonts w:ascii="Times New Roman;sans-serif" w:hAnsi="Times New Roman;sans-serif"/>
          <w:b w:val="false"/>
          <w:i/>
          <w:color w:val="000000"/>
          <w:sz w:val="24"/>
        </w:rPr>
        <w:t xml:space="preserve">do not </w:t>
      </w:r>
      <w:r>
        <w:rPr>
          <w:rFonts w:ascii="Times New Roman;sans-serif" w:hAnsi="Times New Roman;sans-serif"/>
          <w:b w:val="false"/>
          <w:color w:val="000000"/>
          <w:sz w:val="24"/>
        </w:rPr>
        <w:t>apply to:</w:t>
      </w:r>
    </w:p>
    <w:p>
      <w:pPr>
        <w:pStyle w:val="TextBody"/>
        <w:bidi w:val="0"/>
        <w:spacing w:before="10" w:after="283"/>
        <w:jc w:val="left"/>
        <w:rPr/>
      </w:pPr>
      <w:r>
        <w:rPr/>
      </w:r>
    </w:p>
    <w:p>
      <w:pPr>
        <w:pStyle w:val="TextBody"/>
        <w:bidi w:val="0"/>
        <w:spacing w:lineRule="auto" w:line="288" w:before="0" w:after="0"/>
        <w:ind w:left="0" w:right="0" w:firstLine="780"/>
        <w:jc w:val="left"/>
        <w:rPr/>
      </w:pPr>
      <w:r>
        <w:rPr>
          <w:rFonts w:ascii="Times New Roman;sans-serif" w:hAnsi="Times New Roman;sans-serif"/>
          <w:b w:val="false"/>
          <w:color w:val="000000"/>
          <w:sz w:val="24"/>
        </w:rPr>
        <w:t xml:space="preserve">(1)an </w:t>
      </w:r>
      <w:r>
        <w:rPr>
          <w:rFonts w:ascii="Times New Roman;sans-serif" w:hAnsi="Times New Roman;sans-serif"/>
          <w:b w:val="false"/>
          <w:i/>
          <w:color w:val="000000"/>
          <w:sz w:val="24"/>
        </w:rPr>
        <w:t xml:space="preserve">exercise </w:t>
      </w:r>
      <w:r>
        <w:rPr>
          <w:rFonts w:ascii="Times New Roman;sans-serif" w:hAnsi="Times New Roman;sans-serif"/>
          <w:b w:val="false"/>
          <w:color w:val="000000"/>
          <w:sz w:val="24"/>
        </w:rPr>
        <w:t>of an employee stock option when payment of the exercise price is made solely in cash to the Company;</w:t>
      </w:r>
    </w:p>
    <w:p>
      <w:pPr>
        <w:pStyle w:val="TextBody"/>
        <w:bidi w:val="0"/>
        <w:spacing w:before="11" w:after="283"/>
        <w:jc w:val="left"/>
        <w:rPr/>
      </w:pPr>
      <w:r>
        <w:rPr/>
      </w:r>
    </w:p>
    <w:p>
      <w:pPr>
        <w:pStyle w:val="TextBody"/>
        <w:bidi w:val="0"/>
        <w:spacing w:lineRule="auto" w:line="288" w:before="0" w:after="0"/>
        <w:ind w:left="0" w:right="0" w:firstLine="780"/>
        <w:jc w:val="left"/>
        <w:rPr/>
      </w:pPr>
      <w:r>
        <w:rPr>
          <w:rFonts w:ascii="Times New Roman;sans-serif" w:hAnsi="Times New Roman;sans-serif"/>
          <w:b w:val="false"/>
          <w:color w:val="000000"/>
          <w:sz w:val="24"/>
        </w:rPr>
        <w:t xml:space="preserve">(2)the </w:t>
      </w:r>
      <w:r>
        <w:rPr>
          <w:rFonts w:ascii="Times New Roman;sans-serif" w:hAnsi="Times New Roman;sans-serif"/>
          <w:b w:val="false"/>
          <w:i/>
          <w:color w:val="000000"/>
          <w:sz w:val="24"/>
        </w:rPr>
        <w:t xml:space="preserve">purchase </w:t>
      </w:r>
      <w:r>
        <w:rPr>
          <w:rFonts w:ascii="Times New Roman;sans-serif" w:hAnsi="Times New Roman;sans-serif"/>
          <w:b w:val="false"/>
          <w:color w:val="000000"/>
          <w:sz w:val="24"/>
        </w:rPr>
        <w:t>of shares from the Company of stock under the Company’s Employee Stock Purchase Plan; or</w:t>
      </w:r>
    </w:p>
    <w:p>
      <w:pPr>
        <w:pStyle w:val="TextBody"/>
        <w:bidi w:val="0"/>
        <w:spacing w:before="55" w:after="283"/>
        <w:jc w:val="left"/>
        <w:rPr/>
      </w:pPr>
      <w:r>
        <w:rPr/>
      </w:r>
    </w:p>
    <w:p>
      <w:pPr>
        <w:pStyle w:val="TextBody"/>
        <w:bidi w:val="0"/>
        <w:spacing w:lineRule="auto" w:line="288" w:before="1" w:after="283"/>
        <w:ind w:left="0" w:right="0" w:firstLine="780"/>
        <w:jc w:val="left"/>
        <w:rPr/>
      </w:pPr>
      <w:r>
        <w:rPr>
          <w:rFonts w:ascii="Times New Roman;sans-serif" w:hAnsi="Times New Roman;sans-serif"/>
          <w:b w:val="false"/>
          <w:color w:val="000000"/>
          <w:sz w:val="24"/>
        </w:rPr>
        <w:t xml:space="preserve">(3)the </w:t>
      </w:r>
      <w:r>
        <w:rPr>
          <w:rFonts w:ascii="Times New Roman;sans-serif" w:hAnsi="Times New Roman;sans-serif"/>
          <w:b w:val="false"/>
          <w:i/>
          <w:color w:val="000000"/>
          <w:sz w:val="24"/>
        </w:rPr>
        <w:t xml:space="preserve">withholding </w:t>
      </w:r>
      <w:r>
        <w:rPr>
          <w:rFonts w:ascii="Times New Roman;sans-serif" w:hAnsi="Times New Roman;sans-serif"/>
          <w:b w:val="false"/>
          <w:color w:val="000000"/>
          <w:sz w:val="24"/>
        </w:rPr>
        <w:t>by the Company of shares of stock upon vesting of restricted stock or upon settlement of restricted stock units to satisfy applicable tax withholding requirements if (a) such withholding is required by the applicable plan or award agreement or (b) the election to exercise such tax withholding right was made by the Insider in compliance with the Insider Trading Procedures.</w:t>
      </w:r>
    </w:p>
    <w:p>
      <w:pPr>
        <w:pStyle w:val="TextBody"/>
        <w:bidi w:val="0"/>
        <w:spacing w:before="10" w:after="283"/>
        <w:jc w:val="left"/>
        <w:rPr/>
      </w:pPr>
      <w:r>
        <w:rPr/>
      </w:r>
    </w:p>
    <w:p>
      <w:pPr>
        <w:pStyle w:val="TextBody"/>
        <w:bidi w:val="0"/>
        <w:spacing w:lineRule="auto" w:line="288" w:before="1" w:after="283"/>
        <w:jc w:val="left"/>
        <w:rPr/>
      </w:pPr>
      <w:r>
        <w:rPr>
          <w:rFonts w:ascii="Times New Roman;sans-serif" w:hAnsi="Times New Roman;sans-serif"/>
          <w:b w:val="false"/>
          <w:color w:val="000000"/>
          <w:sz w:val="24"/>
        </w:rPr>
        <w:t xml:space="preserve">The Insider Trading Compliance Policy prohibitions on insider trading </w:t>
      </w:r>
      <w:r>
        <w:rPr>
          <w:rFonts w:ascii="Times New Roman;sans-serif" w:hAnsi="Times New Roman;sans-serif"/>
          <w:b w:val="false"/>
          <w:i/>
          <w:color w:val="000000"/>
          <w:sz w:val="24"/>
        </w:rPr>
        <w:t xml:space="preserve">do </w:t>
      </w:r>
      <w:r>
        <w:rPr>
          <w:rFonts w:ascii="Times New Roman;sans-serif" w:hAnsi="Times New Roman;sans-serif"/>
          <w:b w:val="false"/>
          <w:color w:val="000000"/>
          <w:sz w:val="24"/>
        </w:rPr>
        <w:t>apply to:</w:t>
      </w:r>
    </w:p>
    <w:p>
      <w:pPr>
        <w:pStyle w:val="TextBody"/>
        <w:bidi w:val="0"/>
        <w:spacing w:before="9" w:after="283"/>
        <w:jc w:val="left"/>
        <w:rPr/>
      </w:pPr>
      <w:r>
        <w:rPr/>
      </w:r>
    </w:p>
    <w:p>
      <w:pPr>
        <w:pStyle w:val="TextBody"/>
        <w:bidi w:val="0"/>
        <w:spacing w:lineRule="auto" w:line="288" w:before="0" w:after="0"/>
        <w:ind w:left="0" w:right="0" w:hanging="359"/>
        <w:jc w:val="both"/>
        <w:rPr/>
      </w:pPr>
      <w:r>
        <w:rPr>
          <w:rFonts w:ascii="Times New Roman;sans-serif" w:hAnsi="Times New Roman;sans-serif"/>
          <w:b w:val="false"/>
          <w:color w:val="000000"/>
          <w:sz w:val="24"/>
        </w:rPr>
        <w:t xml:space="preserve">(1)the </w:t>
      </w:r>
      <w:r>
        <w:rPr>
          <w:rFonts w:ascii="Times New Roman;sans-serif" w:hAnsi="Times New Roman;sans-serif"/>
          <w:b w:val="false"/>
          <w:i/>
          <w:color w:val="000000"/>
          <w:sz w:val="24"/>
        </w:rPr>
        <w:t xml:space="preserve">sale </w:t>
      </w:r>
      <w:r>
        <w:rPr>
          <w:rFonts w:ascii="Times New Roman;sans-serif" w:hAnsi="Times New Roman;sans-serif"/>
          <w:b w:val="false"/>
          <w:color w:val="000000"/>
          <w:sz w:val="24"/>
        </w:rPr>
        <w:t xml:space="preserve">or </w:t>
      </w:r>
      <w:r>
        <w:rPr>
          <w:rFonts w:ascii="Times New Roman;sans-serif" w:hAnsi="Times New Roman;sans-serif"/>
          <w:b w:val="false"/>
          <w:i/>
          <w:color w:val="000000"/>
          <w:sz w:val="24"/>
        </w:rPr>
        <w:t xml:space="preserve">gift </w:t>
      </w:r>
      <w:r>
        <w:rPr>
          <w:rFonts w:ascii="Times New Roman;sans-serif" w:hAnsi="Times New Roman;sans-serif"/>
          <w:b w:val="false"/>
          <w:color w:val="000000"/>
          <w:sz w:val="24"/>
        </w:rPr>
        <w:t>of Securities on or after the exercise of an employee stock option;</w:t>
      </w:r>
    </w:p>
    <w:p>
      <w:pPr>
        <w:pStyle w:val="TextBody"/>
        <w:bidi w:val="0"/>
        <w:spacing w:before="10" w:after="283"/>
        <w:jc w:val="left"/>
        <w:rPr/>
      </w:pPr>
      <w:r>
        <w:rPr/>
      </w:r>
    </w:p>
    <w:p>
      <w:pPr>
        <w:pStyle w:val="TextBody"/>
        <w:bidi w:val="0"/>
        <w:spacing w:lineRule="auto" w:line="288" w:before="0" w:after="0"/>
        <w:ind w:left="0" w:right="0" w:hanging="360"/>
        <w:jc w:val="left"/>
        <w:rPr/>
      </w:pPr>
      <w:r>
        <w:rPr>
          <w:rFonts w:ascii="Times New Roman;sans-serif" w:hAnsi="Times New Roman;sans-serif"/>
          <w:b w:val="false"/>
          <w:color w:val="000000"/>
          <w:sz w:val="24"/>
        </w:rPr>
        <w:t xml:space="preserve">(2)the </w:t>
      </w:r>
      <w:r>
        <w:rPr>
          <w:rFonts w:ascii="Times New Roman;sans-serif" w:hAnsi="Times New Roman;sans-serif"/>
          <w:b w:val="false"/>
          <w:i/>
          <w:color w:val="000000"/>
          <w:sz w:val="24"/>
        </w:rPr>
        <w:t xml:space="preserve">sale </w:t>
      </w:r>
      <w:r>
        <w:rPr>
          <w:rFonts w:ascii="Times New Roman;sans-serif" w:hAnsi="Times New Roman;sans-serif"/>
          <w:b w:val="false"/>
          <w:color w:val="000000"/>
          <w:sz w:val="24"/>
        </w:rPr>
        <w:t xml:space="preserve">or </w:t>
      </w:r>
      <w:r>
        <w:rPr>
          <w:rFonts w:ascii="Times New Roman;sans-serif" w:hAnsi="Times New Roman;sans-serif"/>
          <w:b w:val="false"/>
          <w:i/>
          <w:color w:val="000000"/>
          <w:sz w:val="24"/>
        </w:rPr>
        <w:t xml:space="preserve">gift </w:t>
      </w:r>
      <w:r>
        <w:rPr>
          <w:rFonts w:ascii="Times New Roman;sans-serif" w:hAnsi="Times New Roman;sans-serif"/>
          <w:b w:val="false"/>
          <w:color w:val="000000"/>
          <w:sz w:val="24"/>
        </w:rPr>
        <w:t>of Securities on or after the purchase of Employee Stock Purchase Plan shares;</w:t>
      </w:r>
    </w:p>
    <w:p>
      <w:pPr>
        <w:pStyle w:val="TextBody"/>
        <w:bidi w:val="0"/>
        <w:spacing w:before="9"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798195"/>
                <wp:effectExtent l="0" t="0" r="0" b="0"/>
                <wp:wrapNone/>
                <wp:docPr id="130" name="Frame128"/>
                <a:graphic xmlns:a="http://schemas.openxmlformats.org/drawingml/2006/main">
                  <a:graphicData uri="http://schemas.microsoft.com/office/word/2010/wordprocessingShape">
                    <wps:wsp>
                      <wps:cNvSpPr txBox="1"/>
                      <wps:spPr>
                        <a:xfrm>
                          <a:off x="0" y="0"/>
                          <a:ext cx="6480175" cy="7981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2"/>
                                    </w:rPr>
                                  </w:pPr>
                                  <w:r>
                                    <w:rPr>
                                      <w:rFonts w:ascii="Times New Roman;sans-serif" w:hAnsi="Times New Roman;sans-serif"/>
                                      <w:b w:val="false"/>
                                      <w:color w:val="000000"/>
                                      <w:sz w:val="22"/>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2"/>
                              </w:rPr>
                            </w:pPr>
                            <w:r>
                              <w:rPr>
                                <w:rFonts w:ascii="Times New Roman;sans-serif" w:hAnsi="Times New Roman;sans-serif"/>
                                <w:b w:val="false"/>
                                <w:color w:val="000000"/>
                                <w:sz w:val="22"/>
                              </w:rPr>
                              <w:t>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 w:after="283"/>
        <w:ind w:left="0" w:right="0" w:hanging="419"/>
        <w:jc w:val="left"/>
        <w:rPr/>
      </w:pPr>
      <w:r>
        <w:rPr>
          <w:rFonts w:ascii="Times New Roman;sans-serif" w:hAnsi="Times New Roman;sans-serif"/>
          <w:b w:val="false"/>
          <w:color w:val="000000"/>
          <w:sz w:val="24"/>
        </w:rPr>
        <w:t xml:space="preserve">(3)the </w:t>
      </w:r>
      <w:r>
        <w:rPr>
          <w:rFonts w:ascii="Times New Roman;sans-serif" w:hAnsi="Times New Roman;sans-serif"/>
          <w:b w:val="false"/>
          <w:i/>
          <w:color w:val="000000"/>
          <w:sz w:val="24"/>
        </w:rPr>
        <w:t xml:space="preserve">use </w:t>
      </w:r>
      <w:r>
        <w:rPr>
          <w:rFonts w:ascii="Times New Roman;sans-serif" w:hAnsi="Times New Roman;sans-serif"/>
          <w:b w:val="false"/>
          <w:color w:val="000000"/>
          <w:sz w:val="24"/>
        </w:rPr>
        <w:t>of outstanding Company Securities to pay part or all of the exercise price of</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798195"/>
                <wp:effectExtent l="0" t="0" r="0" b="0"/>
                <wp:wrapNone/>
                <wp:docPr id="131" name="Frame129"/>
                <a:graphic xmlns:a="http://schemas.openxmlformats.org/drawingml/2006/main">
                  <a:graphicData uri="http://schemas.microsoft.com/office/word/2010/wordprocessingShape">
                    <wps:wsp>
                      <wps:cNvSpPr txBox="1"/>
                      <wps:spPr>
                        <a:xfrm>
                          <a:off x="0" y="0"/>
                          <a:ext cx="6480175" cy="7981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2"/>
                                    </w:rPr>
                                  </w:pPr>
                                  <w:r>
                                    <w:rPr>
                                      <w:rFonts w:ascii="Times New Roman;sans-serif" w:hAnsi="Times New Roman;sans-serif"/>
                                      <w:b w:val="false"/>
                                      <w:color w:val="000000"/>
                                      <w:sz w:val="22"/>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2"/>
                              </w:rPr>
                            </w:pPr>
                            <w:r>
                              <w:rPr>
                                <w:rFonts w:ascii="Times New Roman;sans-serif" w:hAnsi="Times New Roman;sans-serif"/>
                                <w:b w:val="false"/>
                                <w:color w:val="000000"/>
                                <w:sz w:val="22"/>
                              </w:rPr>
                              <w:t>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an option; and</w:t>
      </w:r>
    </w:p>
    <w:p>
      <w:pPr>
        <w:pStyle w:val="TextBody"/>
        <w:bidi w:val="0"/>
        <w:spacing w:before="10" w:after="283"/>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4"/>
        </w:rPr>
        <w:t xml:space="preserve">(4)any </w:t>
      </w:r>
      <w:r>
        <w:rPr>
          <w:rFonts w:ascii="Times New Roman;sans-serif" w:hAnsi="Times New Roman;sans-serif"/>
          <w:b w:val="false"/>
          <w:i/>
          <w:color w:val="000000"/>
          <w:sz w:val="24"/>
        </w:rPr>
        <w:t xml:space="preserve">sale </w:t>
      </w:r>
      <w:r>
        <w:rPr>
          <w:rFonts w:ascii="Times New Roman;sans-serif" w:hAnsi="Times New Roman;sans-serif"/>
          <w:b w:val="false"/>
          <w:color w:val="000000"/>
          <w:sz w:val="24"/>
        </w:rPr>
        <w:t>of stock as part of a broker-assisted cashless exercise of an option or any other market sale for the purpose of generating the cash needed to pay the exercise price of an option.</w:t>
      </w:r>
    </w:p>
    <w:p>
      <w:pPr>
        <w:pStyle w:val="TextBody"/>
        <w:bidi w:val="0"/>
        <w:spacing w:before="10" w:after="283"/>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above discussion is a summary; please read further below for additional details on the precise circumstances under which this Insider Trading Compliance Policy applies. These prohibitions continue whenever and for as long as you know or are in possession of material, nonpublic information. Remember, anyone scrutinizing your transactions will be doing so after the fact, with the benefit of hindsight, and often with access to stock trading records and your communications regarding the transactions. As a practical matter, before engaging in any transaction, you should carefully consider how enforcement authorities and others might view the transaction in hindsight.</w:t>
      </w:r>
    </w:p>
    <w:p>
      <w:pPr>
        <w:pStyle w:val="TextBody"/>
        <w:bidi w:val="0"/>
        <w:spacing w:before="10" w:after="283"/>
        <w:jc w:val="left"/>
        <w:rPr/>
      </w:pPr>
      <w:r>
        <w:rPr/>
      </w:r>
    </w:p>
    <w:p>
      <w:pPr>
        <w:pStyle w:val="TextBody"/>
        <w:bidi w:val="0"/>
        <w:spacing w:lineRule="auto" w:line="288" w:before="0" w:after="0"/>
        <w:ind w:left="0" w:right="0" w:hanging="720"/>
        <w:jc w:val="left"/>
        <w:rPr>
          <w:rFonts w:ascii="Times New Roman;sans-serif" w:hAnsi="Times New Roman;sans-serif"/>
          <w:b/>
          <w:i/>
          <w:color w:val="000000"/>
          <w:sz w:val="24"/>
        </w:rPr>
      </w:pPr>
      <w:r>
        <w:rPr>
          <w:rFonts w:ascii="Times New Roman;sans-serif" w:hAnsi="Times New Roman;sans-serif"/>
          <w:b/>
          <w:i/>
          <w:color w:val="000000"/>
          <w:sz w:val="24"/>
        </w:rPr>
        <w:t>C.What is Material, Nonpublic Information?</w:t>
      </w:r>
    </w:p>
    <w:p>
      <w:pPr>
        <w:pStyle w:val="TextBody"/>
        <w:bidi w:val="0"/>
        <w:spacing w:before="11" w:after="283"/>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4"/>
        </w:rPr>
        <w:t>This Insider Trading Compliance Policy prohibits you from trading in the Company’s Securities if you are in possession of information about the Company or its business that is both “</w:t>
      </w:r>
      <w:r>
        <w:rPr>
          <w:rFonts w:ascii="Times New Roman;sans-serif" w:hAnsi="Times New Roman;sans-serif"/>
          <w:b w:val="false"/>
          <w:i/>
          <w:color w:val="000000"/>
          <w:sz w:val="24"/>
        </w:rPr>
        <w:t>material</w:t>
      </w:r>
      <w:r>
        <w:rPr>
          <w:color w:val="000000"/>
        </w:rPr>
        <w:t xml:space="preserve">” </w:t>
      </w:r>
      <w:r>
        <w:rPr>
          <w:rFonts w:ascii="Times New Roman;sans-serif" w:hAnsi="Times New Roman;sans-serif"/>
          <w:b w:val="false"/>
          <w:color w:val="000000"/>
          <w:sz w:val="24"/>
        </w:rPr>
        <w:t>and “</w:t>
      </w:r>
      <w:r>
        <w:rPr>
          <w:rFonts w:ascii="Times New Roman;sans-serif" w:hAnsi="Times New Roman;sans-serif"/>
          <w:b w:val="false"/>
          <w:i/>
          <w:color w:val="000000"/>
          <w:sz w:val="24"/>
        </w:rPr>
        <w:t>nonpublic</w:t>
      </w:r>
      <w:r>
        <w:rPr>
          <w:rFonts w:ascii="Times New Roman;sans-serif" w:hAnsi="Times New Roman;sans-serif"/>
          <w:b w:val="false"/>
          <w:color w:val="000000"/>
          <w:sz w:val="24"/>
        </w:rPr>
        <w:t>.” If you have a question whether certain information you are aware of is material or has been made public, you are encouraged to consult with the Chief Compliance Officer.</w:t>
      </w:r>
    </w:p>
    <w:p>
      <w:pPr>
        <w:pStyle w:val="TextBody"/>
        <w:bidi w:val="0"/>
        <w:spacing w:before="7" w:after="283"/>
        <w:jc w:val="left"/>
        <w:rPr/>
      </w:pPr>
      <w:r>
        <w:rPr/>
      </w:r>
    </w:p>
    <w:p>
      <w:pPr>
        <w:pStyle w:val="TextBody"/>
        <w:bidi w:val="0"/>
        <w:spacing w:lineRule="auto" w:line="288" w:before="0" w:after="0"/>
        <w:jc w:val="right"/>
        <w:rPr>
          <w:color w:val="000000"/>
        </w:rPr>
      </w:pPr>
      <w:r>
        <w:rPr>
          <w:color w:val="000000"/>
        </w:rPr>
        <w:t>“</w:t>
      </w:r>
      <w:r>
        <w:rPr>
          <w:rFonts w:ascii="Times New Roman;sans-serif" w:hAnsi="Times New Roman;sans-serif"/>
          <w:b/>
          <w:color w:val="000000"/>
          <w:sz w:val="24"/>
        </w:rPr>
        <w:t>Material” Information</w:t>
      </w:r>
    </w:p>
    <w:p>
      <w:pPr>
        <w:pStyle w:val="TextBody"/>
        <w:bidi w:val="0"/>
        <w:spacing w:before="10" w:after="283"/>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4"/>
        </w:rPr>
        <w:t xml:space="preserve">Information about the Company is “material” if it could reasonably be expected to affect the investment or voting decisions of a stockholder or investor. Similarly, if the disclosure of the information could reasonably be expected to significantly alter the total mix of information in the marketplace about the Company and affect investor views. In simple terms, material information is any type of information that could reasonably be expected to affect the stock price of the Company’s Securities. Both positive and negative information may be material. While it is not possible to identify all information that would be deemed “material,” the following items are types of information that should be considered carefully </w:t>
      </w:r>
      <w:r>
        <w:rPr>
          <w:rFonts w:ascii="Times New Roman;sans-serif" w:hAnsi="Times New Roman;sans-serif"/>
          <w:b w:val="false"/>
          <w:i/>
          <w:color w:val="000000"/>
          <w:sz w:val="24"/>
        </w:rPr>
        <w:t xml:space="preserve">to determine </w:t>
      </w:r>
      <w:r>
        <w:rPr>
          <w:rFonts w:ascii="Times New Roman;sans-serif" w:hAnsi="Times New Roman;sans-serif"/>
          <w:b w:val="false"/>
          <w:color w:val="000000"/>
          <w:sz w:val="24"/>
        </w:rPr>
        <w:t>whether they are material:</w:t>
      </w:r>
    </w:p>
    <w:p>
      <w:pPr>
        <w:pStyle w:val="TextBody"/>
        <w:bidi w:val="0"/>
        <w:spacing w:lineRule="auto" w:line="288" w:before="78" w:after="283"/>
        <w:ind w:left="0" w:right="0" w:hanging="720"/>
        <w:jc w:val="left"/>
        <w:rPr/>
      </w:pPr>
      <w:r>
        <w:rPr>
          <w:color w:val="000000"/>
        </w:rPr>
        <w:t>•</w:t>
      </w:r>
      <w:r>
        <w:rPr>
          <w:rFonts w:ascii="Times New Roman;sans-serif" w:hAnsi="Times New Roman;sans-serif"/>
          <w:b w:val="false"/>
          <w:color w:val="000000"/>
          <w:sz w:val="24"/>
        </w:rPr>
        <w:t>program developments, regulatory or clinical status or updates, including communications with regulatory authorities, prior to issuance of a press release or public update;</w:t>
      </w:r>
    </w:p>
    <w:p>
      <w:pPr>
        <w:pStyle w:val="TextBody"/>
        <w:bidi w:val="0"/>
        <w:spacing w:lineRule="auto" w:line="288" w:before="117" w:after="283"/>
        <w:ind w:left="0" w:right="0" w:hanging="720"/>
        <w:jc w:val="left"/>
        <w:rPr/>
      </w:pPr>
      <w:r>
        <w:rPr>
          <w:color w:val="000000"/>
        </w:rPr>
        <w:t>•</w:t>
      </w:r>
      <w:r>
        <w:rPr>
          <w:rFonts w:ascii="Times New Roman;sans-serif" w:hAnsi="Times New Roman;sans-serif"/>
          <w:b w:val="false"/>
          <w:color w:val="000000"/>
          <w:sz w:val="24"/>
        </w:rPr>
        <w:t>significant developments regarding collaborations, products, customers, suppliers, orders, contracts or financing sources (e.g., the acquisition or loss of a contract);</w:t>
      </w:r>
    </w:p>
    <w:p>
      <w:pPr>
        <w:pStyle w:val="TextBody"/>
        <w:bidi w:val="0"/>
        <w:spacing w:lineRule="auto" w:line="288" w:before="119" w:after="283"/>
        <w:ind w:left="0" w:right="0" w:hanging="720"/>
        <w:jc w:val="left"/>
        <w:rPr/>
      </w:pPr>
      <w:r>
        <w:rPr>
          <w:color w:val="000000"/>
        </w:rPr>
        <w:t>•</w:t>
      </w:r>
      <w:r>
        <w:rPr>
          <w:rFonts w:ascii="Times New Roman;sans-serif" w:hAnsi="Times New Roman;sans-serif"/>
          <w:b w:val="false"/>
          <w:color w:val="000000"/>
          <w:sz w:val="24"/>
        </w:rPr>
        <w:t>potential collaboration discussions or information about an unannounced new collaboration, financing or other similar deals;</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798195"/>
                <wp:effectExtent l="0" t="0" r="0" b="0"/>
                <wp:wrapNone/>
                <wp:docPr id="132" name="Frame130"/>
                <a:graphic xmlns:a="http://schemas.openxmlformats.org/drawingml/2006/main">
                  <a:graphicData uri="http://schemas.microsoft.com/office/word/2010/wordprocessingShape">
                    <wps:wsp>
                      <wps:cNvSpPr txBox="1"/>
                      <wps:spPr>
                        <a:xfrm>
                          <a:off x="0" y="0"/>
                          <a:ext cx="6480175" cy="7981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2"/>
                                    </w:rPr>
                                  </w:pPr>
                                  <w:r>
                                    <w:rPr>
                                      <w:rFonts w:ascii="Times New Roman;sans-serif" w:hAnsi="Times New Roman;sans-serif"/>
                                      <w:b w:val="false"/>
                                      <w:color w:val="000000"/>
                                      <w:sz w:val="22"/>
                                    </w:rPr>
                                    <w:t>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2"/>
                              </w:rPr>
                            </w:pPr>
                            <w:r>
                              <w:rPr>
                                <w:rFonts w:ascii="Times New Roman;sans-serif" w:hAnsi="Times New Roman;sans-serif"/>
                                <w:b w:val="false"/>
                                <w:color w:val="000000"/>
                                <w:sz w:val="22"/>
                              </w:rPr>
                              <w:t>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18" w:after="283"/>
        <w:ind w:left="0" w:right="0" w:hanging="720"/>
        <w:jc w:val="left"/>
        <w:rPr/>
      </w:pPr>
      <w:r>
        <w:rPr>
          <w:color w:val="000000"/>
        </w:rPr>
        <w:t>•</w:t>
      </w:r>
      <w:r>
        <w:rPr>
          <w:rFonts w:ascii="Times New Roman;sans-serif" w:hAnsi="Times New Roman;sans-serif"/>
          <w:b w:val="false"/>
          <w:color w:val="000000"/>
          <w:sz w:val="24"/>
        </w:rPr>
        <w:t>projections of future earnings or losses, or other earnings guidance;</w:t>
      </w:r>
    </w:p>
    <w:p>
      <w:pPr>
        <w:pStyle w:val="TextBody"/>
        <w:bidi w:val="0"/>
        <w:spacing w:lineRule="auto" w:line="288" w:before="118" w:after="283"/>
        <w:ind w:left="0" w:right="0" w:hanging="720"/>
        <w:jc w:val="left"/>
        <w:rPr/>
      </w:pPr>
      <w:r>
        <w:rPr>
          <w:color w:val="000000"/>
        </w:rPr>
        <w:t>•</w:t>
      </w:r>
      <w:r>
        <w:rPr>
          <w:rFonts w:ascii="Times New Roman;sans-serif" w:hAnsi="Times New Roman;sans-serif"/>
          <w:b w:val="false"/>
          <w:color w:val="000000"/>
          <w:sz w:val="24"/>
        </w:rPr>
        <w:t>earnings or revenue;</w:t>
      </w:r>
    </w:p>
    <w:p>
      <w:pPr>
        <w:pStyle w:val="TextBody"/>
        <w:bidi w:val="0"/>
        <w:spacing w:lineRule="auto" w:line="288" w:before="119" w:after="283"/>
        <w:ind w:left="0" w:right="0" w:hanging="720"/>
        <w:jc w:val="left"/>
        <w:rPr/>
      </w:pPr>
      <w:r>
        <w:rPr>
          <w:color w:val="000000"/>
        </w:rPr>
        <w:t>•</w:t>
      </w:r>
      <w:r>
        <w:rPr>
          <w:rFonts w:ascii="Times New Roman;sans-serif" w:hAnsi="Times New Roman;sans-serif"/>
          <w:b w:val="false"/>
          <w:color w:val="000000"/>
          <w:sz w:val="24"/>
        </w:rPr>
        <w:t>potential restatements of the Company’s financial statements, changes in auditors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798195"/>
                <wp:effectExtent l="0" t="0" r="0" b="0"/>
                <wp:wrapNone/>
                <wp:docPr id="133" name="Frame131"/>
                <a:graphic xmlns:a="http://schemas.openxmlformats.org/drawingml/2006/main">
                  <a:graphicData uri="http://schemas.microsoft.com/office/word/2010/wordprocessingShape">
                    <wps:wsp>
                      <wps:cNvSpPr txBox="1"/>
                      <wps:spPr>
                        <a:xfrm>
                          <a:off x="0" y="0"/>
                          <a:ext cx="6480175" cy="7981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2"/>
                                    </w:rPr>
                                  </w:pPr>
                                  <w:r>
                                    <w:rPr>
                                      <w:rFonts w:ascii="Times New Roman;sans-serif" w:hAnsi="Times New Roman;sans-serif"/>
                                      <w:b w:val="false"/>
                                      <w:color w:val="000000"/>
                                      <w:sz w:val="22"/>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2"/>
                              </w:rPr>
                            </w:pPr>
                            <w:r>
                              <w:rPr>
                                <w:rFonts w:ascii="Times New Roman;sans-serif" w:hAnsi="Times New Roman;sans-serif"/>
                                <w:b w:val="false"/>
                                <w:color w:val="000000"/>
                                <w:sz w:val="22"/>
                              </w:rPr>
                              <w:t>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or auditor notification that the Company may no longer rely on an auditor’s audit report;</w:t>
      </w:r>
    </w:p>
    <w:p>
      <w:pPr>
        <w:pStyle w:val="TextBody"/>
        <w:bidi w:val="0"/>
        <w:spacing w:lineRule="auto" w:line="288" w:before="118" w:after="283"/>
        <w:ind w:left="0" w:right="0" w:hanging="720"/>
        <w:jc w:val="left"/>
        <w:rPr/>
      </w:pPr>
      <w:r>
        <w:rPr>
          <w:color w:val="000000"/>
        </w:rPr>
        <w:t>•</w:t>
      </w:r>
      <w:r>
        <w:rPr>
          <w:rFonts w:ascii="Times New Roman;sans-serif" w:hAnsi="Times New Roman;sans-serif"/>
          <w:b w:val="false"/>
          <w:color w:val="000000"/>
          <w:sz w:val="24"/>
        </w:rPr>
        <w:t>pending or proposed corporate mergers, acquisitions, tender offers, joint ventures or dispositions of significant assets;</w:t>
      </w:r>
    </w:p>
    <w:p>
      <w:pPr>
        <w:pStyle w:val="TextBody"/>
        <w:bidi w:val="0"/>
        <w:spacing w:lineRule="auto" w:line="288" w:before="119" w:after="283"/>
        <w:ind w:left="0" w:right="0" w:hanging="721"/>
        <w:jc w:val="left"/>
        <w:rPr/>
      </w:pPr>
      <w:r>
        <w:rPr>
          <w:color w:val="000000"/>
        </w:rPr>
        <w:t>•</w:t>
      </w:r>
      <w:r>
        <w:rPr>
          <w:rFonts w:ascii="Times New Roman;sans-serif" w:hAnsi="Times New Roman;sans-serif"/>
          <w:b w:val="false"/>
          <w:color w:val="000000"/>
          <w:sz w:val="24"/>
        </w:rPr>
        <w:t>changes in senior management or the Board;</w:t>
      </w:r>
    </w:p>
    <w:p>
      <w:pPr>
        <w:pStyle w:val="TextBody"/>
        <w:bidi w:val="0"/>
        <w:spacing w:lineRule="auto" w:line="288" w:before="119" w:after="283"/>
        <w:ind w:left="0" w:right="0" w:hanging="720"/>
        <w:jc w:val="left"/>
        <w:rPr/>
      </w:pPr>
      <w:r>
        <w:rPr>
          <w:color w:val="000000"/>
        </w:rPr>
        <w:t>•</w:t>
      </w:r>
      <w:r>
        <w:rPr>
          <w:rFonts w:ascii="Times New Roman;sans-serif" w:hAnsi="Times New Roman;sans-serif"/>
          <w:b w:val="false"/>
          <w:color w:val="000000"/>
          <w:sz w:val="24"/>
        </w:rPr>
        <w:t>significant actual or threatened litigation or governmental investigations or major developments in such matters;</w:t>
      </w:r>
    </w:p>
    <w:p>
      <w:pPr>
        <w:pStyle w:val="TextBody"/>
        <w:bidi w:val="0"/>
        <w:spacing w:lineRule="auto" w:line="288" w:before="116" w:after="283"/>
        <w:ind w:left="0" w:right="0" w:hanging="721"/>
        <w:jc w:val="left"/>
        <w:rPr/>
      </w:pPr>
      <w:r>
        <w:rPr>
          <w:color w:val="000000"/>
        </w:rPr>
        <w:t>•</w:t>
      </w:r>
      <w:r>
        <w:rPr>
          <w:rFonts w:ascii="Times New Roman;sans-serif" w:hAnsi="Times New Roman;sans-serif"/>
          <w:b w:val="false"/>
          <w:color w:val="000000"/>
          <w:sz w:val="24"/>
        </w:rPr>
        <w:t>a cybersecurity incident;</w:t>
      </w:r>
    </w:p>
    <w:p>
      <w:pPr>
        <w:pStyle w:val="TextBody"/>
        <w:bidi w:val="0"/>
        <w:spacing w:lineRule="auto" w:line="288" w:before="119" w:after="283"/>
        <w:ind w:left="0" w:right="0" w:hanging="720"/>
        <w:jc w:val="left"/>
        <w:rPr/>
      </w:pPr>
      <w:r>
        <w:rPr>
          <w:color w:val="000000"/>
        </w:rPr>
        <w:t>•</w:t>
      </w:r>
      <w:r>
        <w:rPr>
          <w:rFonts w:ascii="Times New Roman;sans-serif" w:hAnsi="Times New Roman;sans-serif"/>
          <w:b w:val="false"/>
          <w:color w:val="000000"/>
          <w:sz w:val="24"/>
        </w:rPr>
        <w:t>changes in dividend policy, declarations of stock splits, or public or private sales of additional securities;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4"/>
        </w:rPr>
        <w:t>the existence of a special blackout period (as described below);</w:t>
      </w:r>
    </w:p>
    <w:p>
      <w:pPr>
        <w:pStyle w:val="TextBody"/>
        <w:bidi w:val="0"/>
        <w:spacing w:lineRule="auto" w:line="288" w:before="117" w:after="283"/>
        <w:ind w:left="0" w:right="0" w:hanging="720"/>
        <w:jc w:val="left"/>
        <w:rPr/>
      </w:pPr>
      <w:r>
        <w:rPr>
          <w:color w:val="000000"/>
        </w:rPr>
        <w:t>•</w:t>
      </w:r>
      <w:r>
        <w:rPr>
          <w:rFonts w:ascii="Times New Roman;sans-serif" w:hAnsi="Times New Roman;sans-serif"/>
          <w:b w:val="false"/>
          <w:color w:val="000000"/>
          <w:sz w:val="24"/>
        </w:rPr>
        <w:t>potential defaults under the Company’s credit agreements or indentures, or the existence of material liquidity deficiencies; and</w:t>
      </w:r>
    </w:p>
    <w:p>
      <w:pPr>
        <w:pStyle w:val="TextBody"/>
        <w:bidi w:val="0"/>
        <w:spacing w:lineRule="auto" w:line="288" w:before="119" w:after="283"/>
        <w:ind w:left="0" w:right="0" w:hanging="720"/>
        <w:jc w:val="left"/>
        <w:rPr/>
      </w:pPr>
      <w:r>
        <w:rPr>
          <w:color w:val="000000"/>
        </w:rPr>
        <w:t>•</w:t>
      </w:r>
      <w:r>
        <w:rPr>
          <w:rFonts w:ascii="Times New Roman;sans-serif" w:hAnsi="Times New Roman;sans-serif"/>
          <w:b w:val="false"/>
          <w:color w:val="000000"/>
          <w:sz w:val="24"/>
        </w:rPr>
        <w:t>bankruptcies or receiverships.</w:t>
      </w:r>
    </w:p>
    <w:p>
      <w:pPr>
        <w:pStyle w:val="TextBody"/>
        <w:bidi w:val="0"/>
        <w:spacing w:lineRule="auto" w:line="288" w:before="237"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In some situations, the above events may not be material and in others, consultation with the Chief Compliance Officer may help you determine that it has been publicly disclosed. In each situation, you should carefully consider and seek advice to determine their materiality (although some determinations will be reached more easily than others). For example, some new products or contracts may clearly be material to one company and not to a much larger company with multiple products; yet that does not mean that all product developments or contracts will be material. This demonstrates, in our view, why no “bright-line” standard or list of items can adequately address the range of situations that may arise. Furthermore, the Company cannot create an exclusive list of events and information that have a higher probability of being considered material.</w:t>
      </w:r>
    </w:p>
    <w:p>
      <w:pPr>
        <w:pStyle w:val="TextBody"/>
        <w:bidi w:val="0"/>
        <w:spacing w:before="11" w:after="283"/>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4"/>
        </w:rPr>
        <w:t>The Securities and Exchange Commission (the “</w:t>
      </w:r>
      <w:r>
        <w:rPr>
          <w:rFonts w:ascii="Times New Roman;sans-serif" w:hAnsi="Times New Roman;sans-serif"/>
          <w:b/>
          <w:color w:val="000000"/>
          <w:sz w:val="24"/>
        </w:rPr>
        <w:t>SEC</w:t>
      </w:r>
      <w:r>
        <w:rPr>
          <w:color w:val="000000"/>
        </w:rPr>
        <w:t>”</w:t>
      </w:r>
      <w:r>
        <w:rPr>
          <w:rFonts w:ascii="Times New Roman;sans-serif" w:hAnsi="Times New Roman;sans-serif"/>
          <w:b w:val="false"/>
          <w:color w:val="000000"/>
          <w:sz w:val="24"/>
        </w:rPr>
        <w:t>) has stated that there is no fixed quantitative threshold amount for determining materiality, and that even very small quantitative changes can be qualitatively material if they would result in a movement in the price of the Company’s Securities.</w:t>
      </w:r>
    </w:p>
    <w:p>
      <w:pPr>
        <w:pStyle w:val="TextBody"/>
        <w:bidi w:val="0"/>
        <w:spacing w:before="158" w:after="283"/>
        <w:jc w:val="left"/>
        <w:rPr/>
      </w:pPr>
      <w:r>
        <w:rPr/>
      </w:r>
    </w:p>
    <w:p>
      <w:pPr>
        <w:pStyle w:val="TextBody"/>
        <w:bidi w:val="0"/>
        <w:spacing w:lineRule="auto" w:line="288" w:before="1" w:after="283"/>
        <w:jc w:val="left"/>
        <w:rPr>
          <w:color w:val="000000"/>
        </w:rPr>
      </w:pPr>
      <w:r>
        <w:rPr>
          <w:color w:val="000000"/>
        </w:rPr>
        <w:t>“</w:t>
      </w:r>
      <w:r>
        <w:rPr>
          <w:rFonts w:ascii="Times New Roman;sans-serif" w:hAnsi="Times New Roman;sans-serif"/>
          <w:b/>
          <w:color w:val="000000"/>
          <w:sz w:val="24"/>
        </w:rPr>
        <w:t>Nonpublic” Information</w:t>
      </w:r>
    </w:p>
    <w:p>
      <w:pPr>
        <w:pStyle w:val="TextBody"/>
        <w:bidi w:val="0"/>
        <w:spacing w:lineRule="auto" w:line="288" w:before="236"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Material information is “nonpublic” when it is not generally available to investors. The rationale is to provide all investors with an equal opportunity to access material information when making investment decisions. To claim information is “public,” we have to be able to point to some fact that establishes that the information has become publicly available, such as the filing of a report with the SEC, the distribution of a press release through a widely disseminated news or wire service, or by other means (such as a pre-announced webcast presentation) that are reasonably designed to provide broad public access. You can look to our </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798195"/>
                <wp:effectExtent l="0" t="0" r="0" b="0"/>
                <wp:wrapNone/>
                <wp:docPr id="134" name="Frame132"/>
                <a:graphic xmlns:a="http://schemas.openxmlformats.org/drawingml/2006/main">
                  <a:graphicData uri="http://schemas.microsoft.com/office/word/2010/wordprocessingShape">
                    <wps:wsp>
                      <wps:cNvSpPr txBox="1"/>
                      <wps:spPr>
                        <a:xfrm>
                          <a:off x="0" y="0"/>
                          <a:ext cx="6480175" cy="7981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2"/>
                                    </w:rPr>
                                  </w:pPr>
                                  <w:r>
                                    <w:rPr>
                                      <w:rFonts w:ascii="Times New Roman;sans-serif" w:hAnsi="Times New Roman;sans-serif"/>
                                      <w:b w:val="false"/>
                                      <w:color w:val="000000"/>
                                      <w:sz w:val="22"/>
                                    </w:rPr>
                                    <w:t>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2"/>
                              </w:rPr>
                            </w:pPr>
                            <w:r>
                              <w:rPr>
                                <w:rFonts w:ascii="Times New Roman;sans-serif" w:hAnsi="Times New Roman;sans-serif"/>
                                <w:b w:val="false"/>
                                <w:color w:val="000000"/>
                                <w:sz w:val="22"/>
                              </w:rPr>
                              <w:t>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36" w:after="283"/>
        <w:jc w:val="left"/>
        <w:rPr>
          <w:rFonts w:ascii="Times New Roman;sans-serif" w:hAnsi="Times New Roman;sans-serif"/>
          <w:b w:val="false"/>
          <w:color w:val="000000"/>
          <w:sz w:val="24"/>
        </w:rPr>
      </w:pPr>
      <w:r>
        <w:rPr>
          <w:rFonts w:ascii="Times New Roman;sans-serif" w:hAnsi="Times New Roman;sans-serif"/>
          <w:b w:val="false"/>
          <w:color w:val="000000"/>
          <w:sz w:val="24"/>
        </w:rPr>
        <w:t>public press releases and recent SEC filings on the Company’s website (https://pliantrx.com/news/) to confirm recent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798195"/>
                <wp:effectExtent l="0" t="0" r="0" b="0"/>
                <wp:wrapNone/>
                <wp:docPr id="135" name="Frame133"/>
                <a:graphic xmlns:a="http://schemas.openxmlformats.org/drawingml/2006/main">
                  <a:graphicData uri="http://schemas.microsoft.com/office/word/2010/wordprocessingShape">
                    <wps:wsp>
                      <wps:cNvSpPr txBox="1"/>
                      <wps:spPr>
                        <a:xfrm>
                          <a:off x="0" y="0"/>
                          <a:ext cx="6480175" cy="7981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2"/>
                                    </w:rPr>
                                  </w:pPr>
                                  <w:r>
                                    <w:rPr>
                                      <w:rFonts w:ascii="Times New Roman;sans-serif" w:hAnsi="Times New Roman;sans-serif"/>
                                      <w:b w:val="false"/>
                                      <w:color w:val="000000"/>
                                      <w:sz w:val="22"/>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2"/>
                              </w:rPr>
                            </w:pPr>
                            <w:r>
                              <w:rPr>
                                <w:rFonts w:ascii="Times New Roman;sans-serif" w:hAnsi="Times New Roman;sans-serif"/>
                                <w:b w:val="false"/>
                                <w:color w:val="000000"/>
                                <w:sz w:val="22"/>
                              </w:rPr>
                              <w:t>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76" w:after="283"/>
        <w:ind w:left="0" w:right="0" w:firstLine="720"/>
        <w:jc w:val="left"/>
        <w:rPr/>
      </w:pPr>
      <w:r>
        <w:rPr>
          <w:rFonts w:ascii="Times New Roman;sans-serif" w:hAnsi="Times New Roman;sans-serif"/>
          <w:b w:val="false"/>
          <w:color w:val="000000"/>
          <w:sz w:val="24"/>
        </w:rPr>
        <w:t xml:space="preserve">Information is not considered public at the moment it is disclosed. Before a person who possesses material, nonpublic information can trade, there also must be adequate time for the market as a whole to access and absorb the information that has been disclosed. For the purposes of this Insider Trading Compliance Policy, information will be considered public </w:t>
      </w:r>
      <w:r>
        <w:rPr>
          <w:rFonts w:ascii="Times New Roman;sans-serif" w:hAnsi="Times New Roman;sans-serif"/>
          <w:b w:val="false"/>
          <w:i/>
          <w:color w:val="000000"/>
          <w:sz w:val="24"/>
        </w:rPr>
        <w:t xml:space="preserve">one full Trading Day after </w:t>
      </w:r>
      <w:r>
        <w:rPr>
          <w:rFonts w:ascii="Times New Roman;sans-serif" w:hAnsi="Times New Roman;sans-serif"/>
          <w:b w:val="false"/>
          <w:color w:val="000000"/>
          <w:sz w:val="24"/>
        </w:rPr>
        <w:t>the close of the stock market following the Company’s public release of the information. For purposes of this Insider Trading Compliance Policy, a “</w:t>
      </w:r>
      <w:r>
        <w:rPr>
          <w:rFonts w:ascii="Times New Roman;sans-serif" w:hAnsi="Times New Roman;sans-serif"/>
          <w:b/>
          <w:color w:val="000000"/>
          <w:sz w:val="24"/>
        </w:rPr>
        <w:t>Trading Day</w:t>
      </w:r>
      <w:r>
        <w:rPr>
          <w:color w:val="000000"/>
        </w:rPr>
        <w:t xml:space="preserve">” </w:t>
      </w:r>
      <w:r>
        <w:rPr>
          <w:rFonts w:ascii="Times New Roman;sans-serif" w:hAnsi="Times New Roman;sans-serif"/>
          <w:b w:val="false"/>
          <w:color w:val="000000"/>
          <w:sz w:val="24"/>
        </w:rPr>
        <w:t xml:space="preserve">shall mean any day on which the Nasdaq Stock Market is open for trading. For example, if the Company announces material nonpublic information of which you are aware </w:t>
      </w:r>
      <w:r>
        <w:rPr>
          <w:rFonts w:ascii="Times New Roman;sans-serif" w:hAnsi="Times New Roman;sans-serif"/>
          <w:b w:val="false"/>
          <w:i/>
          <w:color w:val="000000"/>
          <w:sz w:val="24"/>
        </w:rPr>
        <w:t xml:space="preserve">before </w:t>
      </w:r>
      <w:r>
        <w:rPr>
          <w:rFonts w:ascii="Times New Roman;sans-serif" w:hAnsi="Times New Roman;sans-serif"/>
          <w:b w:val="false"/>
          <w:color w:val="000000"/>
          <w:sz w:val="24"/>
        </w:rPr>
        <w:t>trading begins on a Tuesday, the first time you can buy or sell Company Securities is the opening of the market on Wednesday. However, if the Company announces this material information after trading begins on that Tuesday, the first time that you can buy or sell Company Securities is the opening of the market on Thursday. If the Company announces material information at 6:00 p.m. on a Friday, and the Nasdaq Stock Market is open for trading on Monday, persons subject to this Insider Trading Compliance Policy shall not be permitted to trade in Company Securities until Tuesday.</w:t>
      </w:r>
    </w:p>
    <w:p>
      <w:pPr>
        <w:pStyle w:val="TextBody"/>
        <w:bidi w:val="0"/>
        <w:spacing w:before="181" w:after="283"/>
        <w:jc w:val="left"/>
        <w:rPr/>
      </w:pPr>
      <w:r>
        <w:rPr/>
      </w:r>
    </w:p>
    <w:p>
      <w:pPr>
        <w:pStyle w:val="TextBody"/>
        <w:bidi w:val="0"/>
        <w:spacing w:lineRule="auto" w:line="288" w:before="0" w:after="0"/>
        <w:ind w:left="0" w:right="0" w:hanging="720"/>
        <w:jc w:val="left"/>
        <w:rPr>
          <w:rFonts w:ascii="Times New Roman;sans-serif" w:hAnsi="Times New Roman;sans-serif"/>
          <w:b/>
          <w:i/>
          <w:color w:val="000000"/>
          <w:sz w:val="24"/>
        </w:rPr>
      </w:pPr>
      <w:r>
        <w:rPr>
          <w:rFonts w:ascii="Times New Roman;sans-serif" w:hAnsi="Times New Roman;sans-serif"/>
          <w:b/>
          <w:i/>
          <w:color w:val="000000"/>
          <w:sz w:val="24"/>
        </w:rPr>
        <w:t>D.What are the Penalties for Insider Trading and Noncompliance with this Insider Trading Compliance Policy?</w:t>
      </w:r>
    </w:p>
    <w:p>
      <w:pPr>
        <w:pStyle w:val="TextBody"/>
        <w:bidi w:val="0"/>
        <w:spacing w:before="10" w:after="283"/>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Both the SEC and the national securities exchanges, through the Financial Industry Regulatory Authority, or FINRA, investigate and are very effective at detecting insider trading. They have direct access to examine all trades and typically request names of employees and Insiders from Companies following a public announcement (positive or negative) that impacts a company’s stock price to determine whether suspect insider trading has occurred. The SEC, together with the U.S. Attorneys, pursue insider trading violations vigorously. For instance, cases have been successfully prosecuted against trading by employees in foreign accounts, trading by family members and friends, and trading involving only a small number of shares.</w:t>
      </w:r>
    </w:p>
    <w:p>
      <w:pPr>
        <w:pStyle w:val="TextBody"/>
        <w:bidi w:val="0"/>
        <w:spacing w:before="8" w:after="283"/>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 penalties for violating insider trading or tipping rules can be severe and include, among other civil and criminal remedies:</w:t>
      </w:r>
    </w:p>
    <w:p>
      <w:pPr>
        <w:pStyle w:val="TextBody"/>
        <w:bidi w:val="0"/>
        <w:spacing w:before="10" w:after="283"/>
        <w:jc w:val="left"/>
        <w:rPr/>
      </w:pPr>
      <w:r>
        <w:rPr/>
      </w:r>
    </w:p>
    <w:p>
      <w:pPr>
        <w:pStyle w:val="TextBody"/>
        <w:bidi w:val="0"/>
        <w:spacing w:lineRule="auto" w:line="288" w:before="0" w:after="0"/>
        <w:ind w:left="0" w:right="0" w:hanging="359"/>
        <w:jc w:val="left"/>
        <w:rPr/>
      </w:pPr>
      <w:r>
        <w:rPr>
          <w:color w:val="000000"/>
        </w:rPr>
        <w:t>•</w:t>
      </w:r>
      <w:r>
        <w:rPr>
          <w:rFonts w:ascii="Times New Roman;sans-serif" w:hAnsi="Times New Roman;sans-serif"/>
          <w:b w:val="false"/>
          <w:color w:val="000000"/>
          <w:sz w:val="24"/>
        </w:rPr>
        <w:t>disgorgement of the profit gained or loss avoided by the trading;</w:t>
      </w:r>
    </w:p>
    <w:p>
      <w:pPr>
        <w:pStyle w:val="TextBody"/>
        <w:bidi w:val="0"/>
        <w:spacing w:lineRule="auto" w:line="288" w:before="117" w:after="283"/>
        <w:ind w:left="0" w:right="0" w:hanging="359"/>
        <w:jc w:val="left"/>
        <w:rPr/>
      </w:pPr>
      <w:r>
        <w:rPr>
          <w:color w:val="000000"/>
        </w:rPr>
        <w:t>•</w:t>
      </w:r>
      <w:r>
        <w:rPr>
          <w:rFonts w:ascii="Times New Roman;sans-serif" w:hAnsi="Times New Roman;sans-serif"/>
          <w:b w:val="false"/>
          <w:color w:val="000000"/>
          <w:sz w:val="24"/>
        </w:rPr>
        <w:t>payment of criminal penalties;</w:t>
      </w:r>
    </w:p>
    <w:p>
      <w:pPr>
        <w:pStyle w:val="TextBody"/>
        <w:bidi w:val="0"/>
        <w:spacing w:lineRule="auto" w:line="288" w:before="119" w:after="283"/>
        <w:ind w:left="0" w:right="0" w:hanging="358"/>
        <w:jc w:val="left"/>
        <w:rPr/>
      </w:pPr>
      <w:r>
        <w:rPr>
          <w:color w:val="000000"/>
        </w:rPr>
        <w:t>•</w:t>
      </w:r>
      <w:r>
        <w:rPr>
          <w:rFonts w:ascii="Times New Roman;sans-serif" w:hAnsi="Times New Roman;sans-serif"/>
          <w:b w:val="false"/>
          <w:color w:val="000000"/>
          <w:sz w:val="24"/>
        </w:rPr>
        <w:t>payment of civil penalties of up to three times the profit made or loss avoided; and</w:t>
      </w:r>
    </w:p>
    <w:p>
      <w:pPr>
        <w:pStyle w:val="TextBody"/>
        <w:bidi w:val="0"/>
        <w:spacing w:lineRule="auto" w:line="288" w:before="119" w:after="283"/>
        <w:ind w:left="0" w:right="0" w:hanging="358"/>
        <w:jc w:val="left"/>
        <w:rPr/>
      </w:pPr>
      <w:r>
        <w:rPr>
          <w:color w:val="000000"/>
        </w:rPr>
        <w:t>•</w:t>
      </w:r>
      <w:r>
        <w:rPr>
          <w:rFonts w:ascii="Times New Roman;sans-serif" w:hAnsi="Times New Roman;sans-serif"/>
          <w:b w:val="false"/>
          <w:color w:val="000000"/>
          <w:sz w:val="24"/>
        </w:rPr>
        <w:t>imprisonment.</w:t>
      </w:r>
    </w:p>
    <w:p>
      <w:pPr>
        <w:pStyle w:val="TextBody"/>
        <w:bidi w:val="0"/>
        <w:spacing w:before="159" w:after="283"/>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Company and/or the supervisors of the person engaged in insider trading may also be required to pay civil penalties, pay criminal penalties and other relief and be subject to private lawsuits.</w:t>
      </w:r>
    </w:p>
    <w:p>
      <w:pPr>
        <w:pStyle w:val="TextBody"/>
        <w:bidi w:val="0"/>
        <w:spacing w:before="9"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798195"/>
                <wp:effectExtent l="0" t="0" r="0" b="0"/>
                <wp:wrapNone/>
                <wp:docPr id="136" name="Frame134"/>
                <a:graphic xmlns:a="http://schemas.openxmlformats.org/drawingml/2006/main">
                  <a:graphicData uri="http://schemas.microsoft.com/office/word/2010/wordprocessingShape">
                    <wps:wsp>
                      <wps:cNvSpPr txBox="1"/>
                      <wps:spPr>
                        <a:xfrm>
                          <a:off x="0" y="0"/>
                          <a:ext cx="6480175" cy="79819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8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Violation of this Insider Trading Compliance Policy or any federal or state insider trading laws may subject the person violating such policy or laws to disciplinary action by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798195"/>
                <wp:effectExtent l="0" t="0" r="0" b="0"/>
                <wp:wrapNone/>
                <wp:docPr id="137" name="Frame135"/>
                <a:graphic xmlns:a="http://schemas.openxmlformats.org/drawingml/2006/main">
                  <a:graphicData uri="http://schemas.microsoft.com/office/word/2010/wordprocessingShape">
                    <wps:wsp>
                      <wps:cNvSpPr txBox="1"/>
                      <wps:spPr>
                        <a:xfrm>
                          <a:off x="0" y="0"/>
                          <a:ext cx="6480175" cy="79819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8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up to and including termination. The Company reserves the right to determine, in its own discretion and on the basis of the information available to it, whether this Insider Trading Compliance Policy has been violated. The Company may determine that specific conduct violates this Insider Trading Compliance Policy, whether or not the conduct also violates the law. It is not necessary for the Company to await the filing or conclusion of a civil or criminal action against the alleged violator before taking disciplinary action.</w:t>
      </w:r>
    </w:p>
    <w:p>
      <w:pPr>
        <w:pStyle w:val="TextBody"/>
        <w:bidi w:val="0"/>
        <w:spacing w:before="178" w:after="283"/>
        <w:jc w:val="left"/>
        <w:rPr/>
      </w:pPr>
      <w:r>
        <w:rPr/>
      </w:r>
    </w:p>
    <w:p>
      <w:pPr>
        <w:pStyle w:val="TextBody"/>
        <w:bidi w:val="0"/>
        <w:spacing w:lineRule="auto" w:line="288" w:before="1" w:after="283"/>
        <w:ind w:left="0" w:right="0" w:hanging="720"/>
        <w:jc w:val="left"/>
        <w:rPr>
          <w:rFonts w:ascii="Times New Roman;sans-serif" w:hAnsi="Times New Roman;sans-serif"/>
          <w:b/>
          <w:i/>
          <w:color w:val="000000"/>
          <w:sz w:val="24"/>
        </w:rPr>
      </w:pPr>
      <w:r>
        <w:rPr>
          <w:rFonts w:ascii="Times New Roman;sans-serif" w:hAnsi="Times New Roman;sans-serif"/>
          <w:b/>
          <w:i/>
          <w:color w:val="000000"/>
          <w:sz w:val="24"/>
        </w:rPr>
        <w:t>E.How Do You Report a Violation of this Insider Trading Compliance Policy?</w:t>
      </w:r>
    </w:p>
    <w:p>
      <w:pPr>
        <w:pStyle w:val="TextBody"/>
        <w:bidi w:val="0"/>
        <w:spacing w:before="1" w:after="283"/>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If you have a question about this Insider Trading Compliance Policy, including whether certain information you are aware of is material or has been made public, you are encouraged to consult with the Chief Compliance Officer. In addition, if you violate this Insider Trading Compliance Policy or any federal or state laws governing insider trading, or know of any such violation by any director, officer, employee or consultant of the Company, you should report the violation immediately to the Chief Compliance Officer.</w:t>
      </w:r>
    </w:p>
    <w:p>
      <w:pPr>
        <w:pStyle w:val="TextBody"/>
        <w:bidi w:val="0"/>
        <w:spacing w:before="2" w:after="283"/>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PART II. INSIDER TRADING PROCEDURES FOR INSIDERS</w:t>
      </w:r>
    </w:p>
    <w:p>
      <w:pPr>
        <w:pStyle w:val="TextBody"/>
        <w:bidi w:val="0"/>
        <w:spacing w:before="11" w:after="283"/>
        <w:jc w:val="left"/>
        <w:rPr/>
      </w:pPr>
      <w:r>
        <w:rPr/>
      </w:r>
    </w:p>
    <w:p>
      <w:pPr>
        <w:pStyle w:val="TextBody"/>
        <w:bidi w:val="0"/>
        <w:spacing w:lineRule="auto" w:line="288" w:before="0" w:after="0"/>
        <w:ind w:left="0" w:right="0" w:hanging="719"/>
        <w:jc w:val="left"/>
        <w:rPr>
          <w:rFonts w:ascii="Times New Roman;sans-serif" w:hAnsi="Times New Roman;sans-serif"/>
          <w:b/>
          <w:i/>
          <w:color w:val="000000"/>
          <w:sz w:val="24"/>
        </w:rPr>
      </w:pPr>
      <w:r>
        <w:rPr>
          <w:rFonts w:ascii="Times New Roman;sans-serif" w:hAnsi="Times New Roman;sans-serif"/>
          <w:b/>
          <w:i/>
          <w:color w:val="000000"/>
          <w:sz w:val="24"/>
        </w:rPr>
        <w:t>A.Special Trading Restrictions Applicable to Insiders</w:t>
      </w:r>
    </w:p>
    <w:p>
      <w:pPr>
        <w:pStyle w:val="TextBody"/>
        <w:bidi w:val="0"/>
        <w:spacing w:before="10" w:after="283"/>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In addition to the restrictions on trading in Company Securities set forth above, Insiders and their Affiliates are subject to the following special trading restrictions:</w:t>
      </w:r>
    </w:p>
    <w:p>
      <w:pPr>
        <w:pStyle w:val="TextBody"/>
        <w:bidi w:val="0"/>
        <w:spacing w:before="8" w:after="283"/>
        <w:jc w:val="left"/>
        <w:rPr/>
      </w:pPr>
      <w:r>
        <w:rPr/>
      </w:r>
    </w:p>
    <w:p>
      <w:pPr>
        <w:pStyle w:val="TextBody"/>
        <w:bidi w:val="0"/>
        <w:spacing w:lineRule="auto" w:line="288" w:before="0" w:after="0"/>
        <w:ind w:left="0" w:right="0" w:hanging="718"/>
        <w:jc w:val="left"/>
        <w:rPr>
          <w:rFonts w:ascii="Times New Roman;sans-serif" w:hAnsi="Times New Roman;sans-serif"/>
          <w:b/>
          <w:color w:val="000000"/>
          <w:sz w:val="24"/>
        </w:rPr>
      </w:pPr>
      <w:r>
        <w:rPr>
          <w:rFonts w:ascii="Times New Roman;sans-serif" w:hAnsi="Times New Roman;sans-serif"/>
          <w:b/>
          <w:color w:val="000000"/>
          <w:sz w:val="24"/>
        </w:rPr>
        <w:t>1.Valid Rule 10b5-1 Trading Plan.</w:t>
      </w:r>
    </w:p>
    <w:p>
      <w:pPr>
        <w:pStyle w:val="TextBody"/>
        <w:bidi w:val="0"/>
        <w:spacing w:before="10" w:after="283"/>
        <w:jc w:val="left"/>
        <w:rPr/>
      </w:pPr>
      <w:r>
        <w:rPr/>
      </w:r>
    </w:p>
    <w:p>
      <w:pPr>
        <w:pStyle w:val="TextBody"/>
        <w:bidi w:val="0"/>
        <w:spacing w:lineRule="auto" w:line="288" w:before="0" w:after="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Insiders may only engage in sales of Company Securities pursuant to Trading Plans, the requirements for which are set forth in Part III.A of this Insider Trading Compliance Policy. Any purchases of Company Securities by Insiders, other than the exercise of an employee stock option when the payment of the exercise price is made solely in cash to the Company and purchases of shares under the Company’s Employee Stock Purchase Plan, require pre-clearance in writing by our Chief Financial Officer or a designee.</w:t>
      </w:r>
    </w:p>
    <w:p>
      <w:pPr>
        <w:pStyle w:val="TextBody"/>
        <w:bidi w:val="0"/>
        <w:spacing w:before="0" w:after="0"/>
        <w:jc w:val="left"/>
        <w:rPr/>
      </w:pPr>
      <w:r>
        <w:rPr/>
      </w:r>
    </w:p>
    <w:p>
      <w:pPr>
        <w:pStyle w:val="TextBody"/>
        <w:bidi w:val="0"/>
        <w:spacing w:lineRule="auto" w:line="288" w:before="0" w:after="0"/>
        <w:ind w:left="0" w:right="0" w:hanging="718"/>
        <w:jc w:val="left"/>
        <w:rPr>
          <w:rFonts w:ascii="Times New Roman;sans-serif" w:hAnsi="Times New Roman;sans-serif"/>
          <w:b/>
          <w:color w:val="000000"/>
          <w:sz w:val="24"/>
        </w:rPr>
      </w:pPr>
      <w:r>
        <w:rPr>
          <w:rFonts w:ascii="Times New Roman;sans-serif" w:hAnsi="Times New Roman;sans-serif"/>
          <w:b/>
          <w:color w:val="000000"/>
          <w:sz w:val="24"/>
        </w:rPr>
        <w:t>2.Prohibited Transactions At Any Time.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i/>
          <w:color w:val="000000"/>
          <w:sz w:val="24"/>
        </w:rPr>
        <w:t>No Short Sales</w:t>
      </w:r>
      <w:r>
        <w:rPr>
          <w:rFonts w:ascii="Times New Roman;sans-serif" w:hAnsi="Times New Roman;sans-serif"/>
          <w:b w:val="false"/>
          <w:color w:val="000000"/>
          <w:sz w:val="24"/>
        </w:rPr>
        <w:t>. No Insider may at any time sell any Securities of the Company that are not owned by such Insider at the time of the sale (a “</w:t>
      </w:r>
      <w:r>
        <w:rPr>
          <w:rFonts w:ascii="Times New Roman;sans-serif" w:hAnsi="Times New Roman;sans-serif"/>
          <w:b/>
          <w:color w:val="000000"/>
          <w:sz w:val="24"/>
        </w:rPr>
        <w:t>short sale</w:t>
      </w:r>
      <w:r>
        <w:rPr>
          <w:color w:val="000000"/>
        </w:rPr>
        <w:t>”</w:t>
      </w:r>
      <w:r>
        <w:rPr>
          <w:rFonts w:ascii="Times New Roman;sans-serif" w:hAnsi="Times New Roman;sans-serif"/>
          <w:b w:val="false"/>
          <w:color w:val="000000"/>
          <w:sz w:val="24"/>
        </w:rPr>
        <w:t>).</w:t>
      </w:r>
    </w:p>
    <w:p>
      <w:pPr>
        <w:pStyle w:val="TextBody"/>
        <w:bidi w:val="0"/>
        <w:spacing w:before="6" w:after="283"/>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i/>
          <w:color w:val="000000"/>
          <w:sz w:val="24"/>
        </w:rPr>
        <w:t>No Purchases or Sales of Derivative Securities or Hedging Transactions</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rPr>
        <w:t xml:space="preserve">No Insider may buy or sell puts, calls, other derivative securities of the Company or any derivative securities that provide the economic equivalent of ownership of any of the Company’s Securities or an opportunity, direct or indirect, to profit from any change in the value of the Company’s Securities </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798195"/>
                <wp:effectExtent l="0" t="0" r="0" b="0"/>
                <wp:wrapNone/>
                <wp:docPr id="138" name="Frame136"/>
                <a:graphic xmlns:a="http://schemas.openxmlformats.org/drawingml/2006/main">
                  <a:graphicData uri="http://schemas.microsoft.com/office/word/2010/wordprocessingShape">
                    <wps:wsp>
                      <wps:cNvSpPr txBox="1"/>
                      <wps:spPr>
                        <a:xfrm>
                          <a:off x="0" y="0"/>
                          <a:ext cx="6480175" cy="79819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8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or engage in any other hedging transaction with respect to the Company’s Securities, at any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798195"/>
                <wp:effectExtent l="0" t="0" r="0" b="0"/>
                <wp:wrapNone/>
                <wp:docPr id="139" name="Frame137"/>
                <a:graphic xmlns:a="http://schemas.openxmlformats.org/drawingml/2006/main">
                  <a:graphicData uri="http://schemas.microsoft.com/office/word/2010/wordprocessingShape">
                    <wps:wsp>
                      <wps:cNvSpPr txBox="1"/>
                      <wps:spPr>
                        <a:xfrm>
                          <a:off x="0" y="0"/>
                          <a:ext cx="6480175" cy="79819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8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76" w:after="283"/>
        <w:ind w:left="0" w:right="0" w:hanging="360"/>
        <w:jc w:val="left"/>
        <w:rPr/>
      </w:pPr>
      <w:r>
        <w:rPr>
          <w:color w:val="000000"/>
        </w:rPr>
        <w:t>•</w:t>
      </w:r>
      <w:r>
        <w:rPr>
          <w:rFonts w:ascii="Times New Roman;sans-serif" w:hAnsi="Times New Roman;sans-serif"/>
          <w:b/>
          <w:i/>
          <w:color w:val="000000"/>
          <w:sz w:val="24"/>
        </w:rPr>
        <w:t>No Company Securities Subject to Margin Calls</w:t>
      </w:r>
      <w:r>
        <w:rPr>
          <w:rFonts w:ascii="Times New Roman;sans-serif" w:hAnsi="Times New Roman;sans-serif"/>
          <w:b w:val="false"/>
          <w:color w:val="000000"/>
          <w:sz w:val="24"/>
        </w:rPr>
        <w:t>. No Insider may use the Company’s Securities as collateral in a margin account.</w:t>
      </w:r>
    </w:p>
    <w:p>
      <w:pPr>
        <w:pStyle w:val="TextBody"/>
        <w:bidi w:val="0"/>
        <w:spacing w:before="6" w:after="283"/>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i/>
          <w:color w:val="000000"/>
          <w:sz w:val="24"/>
        </w:rPr>
        <w:t>No Pledges</w:t>
      </w:r>
      <w:r>
        <w:rPr>
          <w:rFonts w:ascii="Times New Roman;sans-serif" w:hAnsi="Times New Roman;sans-serif"/>
          <w:b w:val="false"/>
          <w:color w:val="000000"/>
          <w:sz w:val="24"/>
        </w:rPr>
        <w:t>. No Insider may pledge Company Securities as collateral for a loan (or modify an existing pledge).</w:t>
      </w:r>
    </w:p>
    <w:p>
      <w:pPr>
        <w:pStyle w:val="TextBody"/>
        <w:bidi w:val="0"/>
        <w:spacing w:before="10" w:after="283"/>
        <w:jc w:val="left"/>
        <w:rPr/>
      </w:pPr>
      <w:r>
        <w:rPr/>
      </w:r>
    </w:p>
    <w:p>
      <w:pPr>
        <w:pStyle w:val="TextBody"/>
        <w:bidi w:val="0"/>
        <w:spacing w:lineRule="auto" w:line="288" w:before="0" w:after="0"/>
        <w:ind w:left="0" w:right="0" w:hanging="719"/>
        <w:jc w:val="left"/>
        <w:rPr/>
      </w:pPr>
      <w:r>
        <w:rPr>
          <w:rFonts w:ascii="Times New Roman;sans-serif" w:hAnsi="Times New Roman;sans-serif"/>
          <w:b/>
          <w:color w:val="000000"/>
          <w:sz w:val="24"/>
        </w:rPr>
        <w:t>3.Gifts</w:t>
      </w:r>
      <w:r>
        <w:rPr>
          <w:rFonts w:ascii="Times New Roman;sans-serif" w:hAnsi="Times New Roman;sans-serif"/>
          <w:b w:val="false"/>
          <w:color w:val="000000"/>
          <w:sz w:val="24"/>
        </w:rPr>
        <w:t>.</w:t>
      </w:r>
    </w:p>
    <w:p>
      <w:pPr>
        <w:pStyle w:val="TextBody"/>
        <w:bidi w:val="0"/>
        <w:spacing w:before="11" w:after="283"/>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No Insider may give or make any other transfer of Company Securities without consideration (e.g., a gift or limited partner distribution, in the case of a fund) when the Insider is in possession of material, nonpublic information that has not been disseminated to the public market for at least one full Trading Day. All gifts of Company Securities are subject to pre- clearance in writing by our Chief Financial Officer or a designee.</w:t>
      </w:r>
    </w:p>
    <w:p>
      <w:pPr>
        <w:pStyle w:val="TextBody"/>
        <w:bidi w:val="0"/>
        <w:spacing w:before="10" w:after="283"/>
        <w:jc w:val="left"/>
        <w:rPr/>
      </w:pPr>
      <w:r>
        <w:rPr/>
      </w:r>
    </w:p>
    <w:p>
      <w:pPr>
        <w:pStyle w:val="TextBody"/>
        <w:bidi w:val="0"/>
        <w:spacing w:lineRule="auto" w:line="288" w:before="0" w:after="0"/>
        <w:ind w:left="0" w:right="0" w:hanging="718"/>
        <w:jc w:val="left"/>
        <w:rPr>
          <w:rFonts w:ascii="Times New Roman;sans-serif" w:hAnsi="Times New Roman;sans-serif"/>
          <w:b/>
          <w:color w:val="000000"/>
          <w:sz w:val="24"/>
        </w:rPr>
      </w:pPr>
      <w:r>
        <w:rPr>
          <w:rFonts w:ascii="Times New Roman;sans-serif" w:hAnsi="Times New Roman;sans-serif"/>
          <w:b/>
          <w:color w:val="000000"/>
          <w:sz w:val="24"/>
        </w:rPr>
        <w:t>4.Post-Trade Reporting.</w:t>
      </w:r>
    </w:p>
    <w:p>
      <w:pPr>
        <w:pStyle w:val="TextBody"/>
        <w:bidi w:val="0"/>
        <w:spacing w:before="10" w:after="283"/>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Any transactions in the Company’s Securities by an Insider (including gifts) must be reported to the Chief Compliance Officer on the same day in which such a transaction occurs. This reporting requirement may be satisfied by sending (or having such Insider’s broker send) duplicate confirmations of trades to the Chief Compliance Officer if such information is received by the Chief Compliance Officer on or before the required date, as described in Item 11 of Part</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III.A of this Insider Trading Compliance Policy. Compliance by directors and executive officers with this provision is imperative given the requirement of Section 16 of the Exchange Act that these persons generally must report changes in ownership of Company Securities within two (2) business days. The sanctions for noncompliance with this reporting deadline include mandatory disclosure in the Company’s proxy statement for the next annual meeting of stockholders, as well as possible civil or criminal sanctions for chronic or egregious violators.</w:t>
      </w:r>
    </w:p>
    <w:p>
      <w:pPr>
        <w:pStyle w:val="TextBody"/>
        <w:bidi w:val="0"/>
        <w:spacing w:before="79" w:after="283"/>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PART III. EXEMPTIONS FROM INSIDER TRADING RESTRICTIONS (ALL DIRECTORS, OFFICERS, EMPLOYEES AND CONSULTANTS)</w:t>
      </w:r>
    </w:p>
    <w:p>
      <w:pPr>
        <w:pStyle w:val="TextBody"/>
        <w:bidi w:val="0"/>
        <w:spacing w:before="10" w:after="283"/>
        <w:jc w:val="left"/>
        <w:rPr/>
      </w:pPr>
      <w:r>
        <w:rPr/>
      </w:r>
    </w:p>
    <w:p>
      <w:pPr>
        <w:pStyle w:val="TextBody"/>
        <w:bidi w:val="0"/>
        <w:spacing w:lineRule="auto" w:line="288" w:before="0" w:after="0"/>
        <w:ind w:left="0" w:right="0" w:hanging="718"/>
        <w:jc w:val="left"/>
        <w:rPr/>
      </w:pPr>
      <w:r>
        <w:rPr>
          <w:rFonts w:ascii="Times New Roman;sans-serif" w:hAnsi="Times New Roman;sans-serif"/>
          <w:b/>
          <w:i/>
          <w:color w:val="000000"/>
          <w:sz w:val="22"/>
        </w:rPr>
        <w:t>A.Pre-</w:t>
      </w:r>
      <w:r>
        <w:rPr>
          <w:rFonts w:ascii="Times New Roman;sans-serif" w:hAnsi="Times New Roman;sans-serif"/>
          <w:b/>
          <w:i/>
          <w:color w:val="000000"/>
          <w:sz w:val="24"/>
        </w:rPr>
        <w:t xml:space="preserve">Approved </w:t>
      </w:r>
      <w:r>
        <w:rPr>
          <w:rFonts w:ascii="Times New Roman;sans-serif" w:hAnsi="Times New Roman;sans-serif"/>
          <w:b/>
          <w:i/>
          <w:color w:val="000000"/>
          <w:sz w:val="22"/>
        </w:rPr>
        <w:t>Rule 10b5-1 Plan.</w:t>
      </w:r>
    </w:p>
    <w:p>
      <w:pPr>
        <w:pStyle w:val="TextBody"/>
        <w:bidi w:val="0"/>
        <w:spacing w:before="23" w:after="283"/>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securities law permits establishment of Trading Plans under Rule 10b5-1(c) of the Exchange Act that allow for persons to authorize future trading when they are not in possession of material, nonpublic information. Employees, officers, and directors may enter into a Trading Plan in compliance with applicable law and this Policy. Under a Trading Plan, a trade will not be subject to trading windows, retirement plan blackout periods or pre-clearance procedures. In certain limited circumstances, the Company may permit trading by Insiders pursuant to other</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pre-established trading arrangements. Any such trading arrangement must be expressly authorized in advance of adoption by the Chief Financial Officer or a designee.</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798195"/>
                <wp:effectExtent l="0" t="0" r="0" b="0"/>
                <wp:wrapNone/>
                <wp:docPr id="140" name="Frame138"/>
                <a:graphic xmlns:a="http://schemas.openxmlformats.org/drawingml/2006/main">
                  <a:graphicData uri="http://schemas.microsoft.com/office/word/2010/wordprocessingShape">
                    <wps:wsp>
                      <wps:cNvSpPr txBox="1"/>
                      <wps:spPr>
                        <a:xfrm>
                          <a:off x="0" y="0"/>
                          <a:ext cx="6480175" cy="79819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8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All Insiders are required to enter into Trading Plans for sales of Company Securities, but only if those Trading Plans are pre-approved in writing by our Chief Financial Officer or 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798195"/>
                <wp:effectExtent l="0" t="0" r="0" b="0"/>
                <wp:wrapNone/>
                <wp:docPr id="141" name="Frame139"/>
                <a:graphic xmlns:a="http://schemas.openxmlformats.org/drawingml/2006/main">
                  <a:graphicData uri="http://schemas.microsoft.com/office/word/2010/wordprocessingShape">
                    <wps:wsp>
                      <wps:cNvSpPr txBox="1"/>
                      <wps:spPr>
                        <a:xfrm>
                          <a:off x="0" y="0"/>
                          <a:ext cx="6480175" cy="79819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8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designee. You may also enter into a Trading Plan in compliance with this Policy in a form approved in advance by our Chief Financial Officer or a designee.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All Trading Plans (and any amendments or modifications) must comply with the Exchange Act and must meet the following minimum conditions:</w:t>
      </w:r>
    </w:p>
    <w:p>
      <w:pPr>
        <w:pStyle w:val="TextBody"/>
        <w:bidi w:val="0"/>
        <w:spacing w:before="88" w:after="283"/>
        <w:jc w:val="left"/>
        <w:rPr/>
      </w:pPr>
      <w:r>
        <w:rPr/>
      </w:r>
    </w:p>
    <w:p>
      <w:pPr>
        <w:pStyle w:val="TextBody"/>
        <w:bidi w:val="0"/>
        <w:spacing w:lineRule="auto" w:line="288" w:before="1" w:after="283"/>
        <w:ind w:left="0" w:right="0" w:hanging="720"/>
        <w:jc w:val="left"/>
        <w:rPr/>
      </w:pPr>
      <w:r>
        <w:rPr>
          <w:rFonts w:ascii="Times New Roman;sans-serif" w:hAnsi="Times New Roman;sans-serif"/>
          <w:b w:val="false"/>
          <w:color w:val="000000"/>
          <w:sz w:val="24"/>
        </w:rPr>
        <w:t>1.</w:t>
      </w:r>
      <w:r>
        <w:rPr>
          <w:rFonts w:ascii="Times New Roman;sans-serif" w:hAnsi="Times New Roman;sans-serif"/>
          <w:b/>
          <w:color w:val="000000"/>
          <w:sz w:val="24"/>
        </w:rPr>
        <w:t xml:space="preserve">Plan and Approval. </w:t>
      </w:r>
      <w:r>
        <w:rPr>
          <w:rFonts w:ascii="Times New Roman;sans-serif" w:hAnsi="Times New Roman;sans-serif"/>
          <w:b w:val="false"/>
          <w:color w:val="000000"/>
          <w:sz w:val="24"/>
        </w:rPr>
        <w:t>Each Trading Plan, amendment, and modification used by an Insider must be approved in writing by the Chief Financial Officer or a designee before the Insider enters into it. The Trading Plan must be in writing and signed by the Insider. The Trading Plan must include representations certifying that the Insider is (a) not aware of material nonpublic information at the time of adoption and (b) entering into the Trading Plan in good faith, and not as part of a plan or scheme to shield trades that would otherwise be considered violations of the insider trading laws. We will keep a copy of each Trading Plan in our files. The Insider must act in good faith with respect to the Trading Plan for the entire duration of the Trading Plan.</w:t>
      </w:r>
    </w:p>
    <w:p>
      <w:pPr>
        <w:pStyle w:val="TextBody"/>
        <w:bidi w:val="0"/>
        <w:spacing w:before="33" w:after="283"/>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24"/>
        </w:rPr>
        <w:t>2.</w:t>
      </w:r>
      <w:r>
        <w:rPr>
          <w:rFonts w:ascii="Times New Roman;sans-serif" w:hAnsi="Times New Roman;sans-serif"/>
          <w:b/>
          <w:color w:val="000000"/>
          <w:sz w:val="24"/>
        </w:rPr>
        <w:t xml:space="preserve">Timing of Plan Amendment and Modification. </w:t>
      </w:r>
      <w:r>
        <w:rPr>
          <w:rFonts w:ascii="Times New Roman;sans-serif" w:hAnsi="Times New Roman;sans-serif"/>
          <w:b w:val="false"/>
          <w:color w:val="000000"/>
          <w:sz w:val="24"/>
        </w:rPr>
        <w:t>Trading Plans may be amended or modified only (a) when the trading window for the Insider is open under this Insider Trading Compliance Policy and there is no special blackout period, except with the prior written approval of the Chief Financial Officer; (b) when the Insider does not possess material, nonpublic information about the Company (and the Trading Plan must include a representation to that effect); and (c) with the written approval of the Chief Financial Officer or his or her designee. Any amended or modified Trading Plan must comply with all requirements of Rule 10b5-1 as a newly adopted Trading Plan as if adopted on the date of modification, including the “cooling-off” periods further described below.</w:t>
      </w:r>
    </w:p>
    <w:p>
      <w:pPr>
        <w:pStyle w:val="TextBody"/>
        <w:bidi w:val="0"/>
        <w:spacing w:before="56" w:after="283"/>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24"/>
        </w:rPr>
        <w:t>3.</w:t>
      </w:r>
      <w:r>
        <w:rPr>
          <w:rFonts w:ascii="Times New Roman;sans-serif" w:hAnsi="Times New Roman;sans-serif"/>
          <w:b/>
          <w:color w:val="000000"/>
          <w:sz w:val="24"/>
        </w:rPr>
        <w:t xml:space="preserve">Termination. </w:t>
      </w:r>
      <w:r>
        <w:rPr>
          <w:rFonts w:ascii="Times New Roman;sans-serif" w:hAnsi="Times New Roman;sans-serif"/>
          <w:b w:val="false"/>
          <w:color w:val="000000"/>
          <w:sz w:val="24"/>
        </w:rPr>
        <w:t>If terminated before the end of its term and a new Trading Plan is put into place, the new Trading Plan may be implemented only (a) when the trading window for the Insider is open under this Insider Trading Compliance Policy and there is no special blackout period, except with the prior written approval of the Chief Compliance Officer; (b) when the Insider does not possess material, nonpublic information about the Company (and the Trading Plan must include a representation to that effect); and (c) with the written approval of the Chief Compliance Officer or his or her designee.</w:t>
      </w:r>
    </w:p>
    <w:p>
      <w:pPr>
        <w:pStyle w:val="TextBody"/>
        <w:bidi w:val="0"/>
        <w:spacing w:before="43" w:after="283"/>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24"/>
        </w:rPr>
        <w:t>4.</w:t>
      </w:r>
      <w:r>
        <w:rPr>
          <w:color w:val="000000"/>
        </w:rPr>
        <w:t>“</w:t>
      </w:r>
      <w:r>
        <w:rPr>
          <w:rFonts w:ascii="Times New Roman;sans-serif" w:hAnsi="Times New Roman;sans-serif"/>
          <w:b/>
          <w:color w:val="000000"/>
          <w:sz w:val="24"/>
        </w:rPr>
        <w:t xml:space="preserve">Cooling-off” Periods. </w:t>
      </w:r>
      <w:r>
        <w:rPr>
          <w:rFonts w:ascii="Times New Roman;sans-serif" w:hAnsi="Times New Roman;sans-serif"/>
          <w:b w:val="false"/>
          <w:color w:val="000000"/>
          <w:sz w:val="24"/>
        </w:rPr>
        <w:t xml:space="preserve">Each Trading Plan used by an Insider who is a director or Section 16 officer must provide that the first transaction executed pursuant to the Trading Plan may not occur until the later of (i) 90 days after the date of adoption of such Trading Plan or (ii) two business days after the filing of the Company’s Form 10-Q (or Form 10-K for any Trading Plan executed during the fourth fiscal quarter) for the fiscal quarter in which the Trading Plan was adopted, up to a maximum of </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798195"/>
                <wp:effectExtent l="0" t="0" r="0" b="0"/>
                <wp:wrapNone/>
                <wp:docPr id="142" name="Frame140"/>
                <a:graphic xmlns:a="http://schemas.openxmlformats.org/drawingml/2006/main">
                  <a:graphicData uri="http://schemas.microsoft.com/office/word/2010/wordprocessingShape">
                    <wps:wsp>
                      <wps:cNvSpPr txBox="1"/>
                      <wps:spPr>
                        <a:xfrm>
                          <a:off x="0" y="0"/>
                          <a:ext cx="6480175" cy="79819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8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120 days after adoption of the Trading Plan. Each Trading Plan used by an Insider who is not a director or Section 16 officer must provide that the first trade under such</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798195"/>
                <wp:effectExtent l="0" t="0" r="0" b="0"/>
                <wp:wrapNone/>
                <wp:docPr id="143" name="Frame141"/>
                <a:graphic xmlns:a="http://schemas.openxmlformats.org/drawingml/2006/main">
                  <a:graphicData uri="http://schemas.microsoft.com/office/word/2010/wordprocessingShape">
                    <wps:wsp>
                      <wps:cNvSpPr txBox="1"/>
                      <wps:spPr>
                        <a:xfrm>
                          <a:off x="0" y="0"/>
                          <a:ext cx="6480175" cy="79819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8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Trading Plan may not occur until 30 days after the date of adoption of such Trading Plan.</w:t>
      </w:r>
    </w:p>
    <w:p>
      <w:pPr>
        <w:pStyle w:val="TextBody"/>
        <w:bidi w:val="0"/>
        <w:spacing w:before="43" w:after="283"/>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24"/>
        </w:rPr>
        <w:t>5.</w:t>
      </w:r>
      <w:r>
        <w:rPr>
          <w:rFonts w:ascii="Times New Roman;sans-serif" w:hAnsi="Times New Roman;sans-serif"/>
          <w:b/>
          <w:color w:val="000000"/>
          <w:sz w:val="24"/>
        </w:rPr>
        <w:t xml:space="preserve">Relationships with Plan Broker; No Subsequent Influence. </w:t>
      </w:r>
      <w:r>
        <w:rPr>
          <w:rFonts w:ascii="Times New Roman;sans-serif" w:hAnsi="Times New Roman;sans-serif"/>
          <w:b w:val="false"/>
          <w:color w:val="000000"/>
          <w:sz w:val="24"/>
        </w:rPr>
        <w:t>Each Trading Plan used by an Insider must provide that such Insider must not communicate any material, nonpublic information about the Company to such broker, or attempt to influence how the broker exercises its discretion in executing orders under the Trading Plan in any way.</w:t>
      </w:r>
    </w:p>
    <w:p>
      <w:pPr>
        <w:pStyle w:val="TextBody"/>
        <w:bidi w:val="0"/>
        <w:spacing w:before="56" w:after="283"/>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24"/>
        </w:rPr>
        <w:t>6.</w:t>
      </w:r>
      <w:r>
        <w:rPr>
          <w:rFonts w:ascii="Times New Roman;sans-serif" w:hAnsi="Times New Roman;sans-serif"/>
          <w:b/>
          <w:color w:val="000000"/>
          <w:sz w:val="24"/>
        </w:rPr>
        <w:t xml:space="preserve">Plan Specifications; Discretion Regarding Trades. </w:t>
      </w:r>
      <w:r>
        <w:rPr>
          <w:rFonts w:ascii="Times New Roman;sans-serif" w:hAnsi="Times New Roman;sans-serif"/>
          <w:b w:val="false"/>
          <w:color w:val="000000"/>
          <w:sz w:val="24"/>
        </w:rPr>
        <w:t>The Trading Plan authorizes the broker to make purchase, sale or gifting decisions without any control or influence by the Insider. The Trading Plan must specify the price and amount of stock to be purchased or sold during specified time periods, or specify or set an objective formula (e.g., stock price thresholds) for determining the price and amount of stock to be purchased or sold during specified time periods. The Chief Financial Officer may request that the specified time periods contained in your Trading Plan during which sales or gifts could occur not coincide with the specified time periods in similar Trading Plans adopted by other insiders (e.g., to avoid a particular day of a month or a quarter when all insiders are scheduled to sell), or make other arrangements (such as sale volume limitations) to avoid a large number of sales occurring simultaneously.</w:t>
      </w:r>
    </w:p>
    <w:p>
      <w:pPr>
        <w:pStyle w:val="TextBody"/>
        <w:bidi w:val="0"/>
        <w:spacing w:before="43" w:after="283"/>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24"/>
        </w:rPr>
        <w:t>7.</w:t>
      </w:r>
      <w:r>
        <w:rPr>
          <w:rFonts w:ascii="Times New Roman;sans-serif" w:hAnsi="Times New Roman;sans-serif"/>
          <w:b/>
          <w:color w:val="000000"/>
          <w:sz w:val="24"/>
        </w:rPr>
        <w:t xml:space="preserve">Only One Plan in Effect at Any Time. </w:t>
      </w:r>
      <w:r>
        <w:rPr>
          <w:rFonts w:ascii="Times New Roman;sans-serif" w:hAnsi="Times New Roman;sans-serif"/>
          <w:b w:val="false"/>
          <w:color w:val="000000"/>
          <w:sz w:val="24"/>
        </w:rPr>
        <w:t>An Insider may have only one Trading Plan in effect at any time</w:t>
      </w:r>
      <w:r>
        <w:rPr>
          <w:rFonts w:ascii="Times New Roman;sans-serif" w:hAnsi="Times New Roman;sans-serif"/>
          <w:b/>
          <w:color w:val="000000"/>
          <w:sz w:val="24"/>
        </w:rPr>
        <w:t xml:space="preserve">, </w:t>
      </w:r>
      <w:r>
        <w:rPr>
          <w:rFonts w:ascii="Times New Roman;sans-serif" w:hAnsi="Times New Roman;sans-serif"/>
          <w:b w:val="false"/>
          <w:color w:val="000000"/>
          <w:sz w:val="24"/>
        </w:rPr>
        <w:t>unless an exception is approved in advance by the Company’s Chief Compliance Officer, after evaluating whether any such additional Trading Plan would be permitted by Rule 10b5-1. However, an Insider may adopt a new Trading Plan to replace an existing Trading Plan before the scheduled termination date of such existing Trading Plan so long as the first scheduled trade under the new Trading Plan does not occur prior to the expiration or termination of the existing Trading Plan.</w:t>
      </w:r>
    </w:p>
    <w:p>
      <w:pPr>
        <w:pStyle w:val="TextBody"/>
        <w:bidi w:val="0"/>
        <w:spacing w:before="43" w:after="283"/>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24"/>
        </w:rPr>
        <w:t>8.</w:t>
      </w:r>
      <w:r>
        <w:rPr>
          <w:rFonts w:ascii="Times New Roman;sans-serif" w:hAnsi="Times New Roman;sans-serif"/>
          <w:b/>
          <w:color w:val="000000"/>
          <w:sz w:val="24"/>
        </w:rPr>
        <w:t xml:space="preserve">Single-Trade Plan Limit. </w:t>
      </w:r>
      <w:r>
        <w:rPr>
          <w:rFonts w:ascii="Times New Roman;sans-serif" w:hAnsi="Times New Roman;sans-serif"/>
          <w:b w:val="false"/>
          <w:color w:val="000000"/>
          <w:sz w:val="24"/>
        </w:rPr>
        <w:t>If the Insider’s Trading Plan is a single-trade Trading Plan, the Insider can have only one single-trade Trading Plan within any consecutive 12-month period.</w:t>
      </w:r>
    </w:p>
    <w:p>
      <w:pPr>
        <w:pStyle w:val="TextBody"/>
        <w:bidi w:val="0"/>
        <w:spacing w:before="43" w:after="283"/>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24"/>
        </w:rPr>
        <w:t>9.</w:t>
      </w:r>
      <w:r>
        <w:rPr>
          <w:rFonts w:ascii="Times New Roman;sans-serif" w:hAnsi="Times New Roman;sans-serif"/>
          <w:b/>
          <w:color w:val="000000"/>
          <w:sz w:val="24"/>
        </w:rPr>
        <w:t xml:space="preserve">Suspensions. </w:t>
      </w:r>
      <w:r>
        <w:rPr>
          <w:rFonts w:ascii="Times New Roman;sans-serif" w:hAnsi="Times New Roman;sans-serif"/>
          <w:b w:val="false"/>
          <w:color w:val="000000"/>
          <w:sz w:val="24"/>
        </w:rPr>
        <w:t>Each Trading Plan used by an Insider must provide for suspension of trades under such Trading Plan if legal, regulatory, or contractual restrictions are imposed on the Insider, or other events occur that would prohibit sales or gifts under such Trading Plan. In addition, each Trading Plan must provide for suspension of trades upon notice by the Company to the broker such as in the event of a pending public offering, M&amp;A transaction or other similar activity.</w:t>
      </w:r>
    </w:p>
    <w:p>
      <w:pPr>
        <w:pStyle w:val="TextBody"/>
        <w:bidi w:val="0"/>
        <w:spacing w:before="42"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798195"/>
                <wp:effectExtent l="0" t="0" r="0" b="0"/>
                <wp:wrapNone/>
                <wp:docPr id="144" name="Frame142"/>
                <a:graphic xmlns:a="http://schemas.openxmlformats.org/drawingml/2006/main">
                  <a:graphicData uri="http://schemas.microsoft.com/office/word/2010/wordprocessingShape">
                    <wps:wsp>
                      <wps:cNvSpPr txBox="1"/>
                      <wps:spPr>
                        <a:xfrm>
                          <a:off x="0" y="0"/>
                          <a:ext cx="6480175" cy="79819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8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 w:after="283"/>
        <w:ind w:left="0" w:right="0" w:hanging="720"/>
        <w:jc w:val="left"/>
        <w:rPr/>
      </w:pPr>
      <w:r>
        <w:rPr>
          <w:rFonts w:ascii="Times New Roman;sans-serif" w:hAnsi="Times New Roman;sans-serif"/>
          <w:b w:val="false"/>
          <w:color w:val="000000"/>
          <w:sz w:val="24"/>
        </w:rPr>
        <w:t>10.</w:t>
      </w:r>
      <w:r>
        <w:rPr>
          <w:rFonts w:ascii="Times New Roman;sans-serif" w:hAnsi="Times New Roman;sans-serif"/>
          <w:b/>
          <w:color w:val="000000"/>
          <w:sz w:val="24"/>
        </w:rPr>
        <w:t xml:space="preserve">Compliance with Rule 144. </w:t>
      </w:r>
      <w:r>
        <w:rPr>
          <w:rFonts w:ascii="Times New Roman;sans-serif" w:hAnsi="Times New Roman;sans-serif"/>
          <w:b w:val="false"/>
          <w:color w:val="000000"/>
          <w:sz w:val="24"/>
        </w:rPr>
        <w:t>Each Trading Plan used by an Insider must provide for specific procedures to comply with Rule 144 under the Securities Act of 1933, as amended, including the filing of Forms 144.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798195"/>
                <wp:effectExtent l="0" t="0" r="0" b="0"/>
                <wp:wrapNone/>
                <wp:docPr id="145" name="Frame143"/>
                <a:graphic xmlns:a="http://schemas.openxmlformats.org/drawingml/2006/main">
                  <a:graphicData uri="http://schemas.microsoft.com/office/word/2010/wordprocessingShape">
                    <wps:wsp>
                      <wps:cNvSpPr txBox="1"/>
                      <wps:spPr>
                        <a:xfrm>
                          <a:off x="0" y="0"/>
                          <a:ext cx="6480175" cy="79819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8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9" w:after="283"/>
        <w:ind w:left="0" w:right="0" w:hanging="720"/>
        <w:jc w:val="left"/>
        <w:rPr/>
      </w:pPr>
      <w:r>
        <w:rPr>
          <w:rFonts w:ascii="Times New Roman;sans-serif" w:hAnsi="Times New Roman;sans-serif"/>
          <w:b w:val="false"/>
          <w:color w:val="000000"/>
          <w:sz w:val="24"/>
        </w:rPr>
        <w:t>11.</w:t>
      </w:r>
      <w:r>
        <w:rPr>
          <w:rFonts w:ascii="Times New Roman;sans-serif" w:hAnsi="Times New Roman;sans-serif"/>
          <w:b/>
          <w:color w:val="000000"/>
          <w:sz w:val="24"/>
        </w:rPr>
        <w:t xml:space="preserve">Broker Obligation to Provide Notice of Trades. </w:t>
      </w:r>
      <w:r>
        <w:rPr>
          <w:rFonts w:ascii="Times New Roman;sans-serif" w:hAnsi="Times New Roman;sans-serif"/>
          <w:b w:val="false"/>
          <w:color w:val="000000"/>
          <w:sz w:val="24"/>
        </w:rPr>
        <w:t>Each Trading Plan must provide that the broker will provide notice of any trades under the Trading Plan to the Insider and the Company no later than the close of business on the day of the trade.</w:t>
      </w:r>
    </w:p>
    <w:p>
      <w:pPr>
        <w:pStyle w:val="TextBody"/>
        <w:bidi w:val="0"/>
        <w:spacing w:before="43" w:after="283"/>
        <w:jc w:val="left"/>
        <w:rPr/>
      </w:pPr>
      <w:r>
        <w:rPr/>
      </w:r>
    </w:p>
    <w:p>
      <w:pPr>
        <w:pStyle w:val="TextBody"/>
        <w:bidi w:val="0"/>
        <w:spacing w:lineRule="auto" w:line="288" w:before="1" w:after="283"/>
        <w:ind w:left="0" w:right="0" w:hanging="720"/>
        <w:jc w:val="left"/>
        <w:rPr/>
      </w:pPr>
      <w:r>
        <w:rPr>
          <w:rFonts w:ascii="Times New Roman;sans-serif" w:hAnsi="Times New Roman;sans-serif"/>
          <w:b w:val="false"/>
          <w:color w:val="000000"/>
          <w:sz w:val="24"/>
        </w:rPr>
        <w:t>12.</w:t>
      </w:r>
      <w:r>
        <w:rPr>
          <w:rFonts w:ascii="Times New Roman;sans-serif" w:hAnsi="Times New Roman;sans-serif"/>
          <w:b/>
          <w:color w:val="000000"/>
          <w:sz w:val="24"/>
        </w:rPr>
        <w:t xml:space="preserve">Insider Obligation to Make Exchange Act Filings. </w:t>
      </w:r>
      <w:r>
        <w:rPr>
          <w:rFonts w:ascii="Times New Roman;sans-serif" w:hAnsi="Times New Roman;sans-serif"/>
          <w:b w:val="false"/>
          <w:color w:val="000000"/>
          <w:sz w:val="24"/>
        </w:rPr>
        <w:t>Each Trading Plan must contain an explicit acknowledgement by such Insider that all filings required by the Exchange Act, as a result of or in connection with trades under such Trading Plan, are the sole obligation of such Insider and not the Company.</w:t>
      </w:r>
    </w:p>
    <w:p>
      <w:pPr>
        <w:pStyle w:val="TextBody"/>
        <w:bidi w:val="0"/>
        <w:spacing w:before="41" w:after="283"/>
        <w:jc w:val="left"/>
        <w:rPr/>
      </w:pPr>
      <w:r>
        <w:rPr/>
      </w:r>
    </w:p>
    <w:p>
      <w:pPr>
        <w:pStyle w:val="TextBody"/>
        <w:bidi w:val="0"/>
        <w:spacing w:lineRule="auto" w:line="288" w:before="1" w:after="283"/>
        <w:ind w:left="0" w:right="0" w:hanging="720"/>
        <w:jc w:val="left"/>
        <w:rPr/>
      </w:pPr>
      <w:r>
        <w:rPr>
          <w:rFonts w:ascii="Times New Roman;sans-serif" w:hAnsi="Times New Roman;sans-serif"/>
          <w:b w:val="false"/>
          <w:color w:val="000000"/>
          <w:sz w:val="24"/>
        </w:rPr>
        <w:t>13.</w:t>
      </w:r>
      <w:r>
        <w:rPr>
          <w:rFonts w:ascii="Times New Roman;sans-serif" w:hAnsi="Times New Roman;sans-serif"/>
          <w:b/>
          <w:color w:val="000000"/>
          <w:sz w:val="24"/>
        </w:rPr>
        <w:t xml:space="preserve">Required Forms 4 and 144 Disclosure. </w:t>
      </w:r>
      <w:r>
        <w:rPr>
          <w:rFonts w:ascii="Times New Roman;sans-serif" w:hAnsi="Times New Roman;sans-serif"/>
          <w:b w:val="false"/>
          <w:color w:val="000000"/>
          <w:sz w:val="24"/>
        </w:rPr>
        <w:t>Insiders must provide all required disclosures regarding Trading Plans on Forms 4 (e.g., check box and date of adoption in the “Explanation of Responses” portion of the Form) and footnote all trades disclosed on Forms 144 to indicate that the trades were made pursuant to a Trading Plan.</w:t>
      </w:r>
    </w:p>
    <w:p>
      <w:pPr>
        <w:pStyle w:val="TextBody"/>
        <w:bidi w:val="0"/>
        <w:spacing w:before="43" w:after="283"/>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24"/>
        </w:rPr>
        <w:t>14.</w:t>
      </w:r>
      <w:r>
        <w:rPr>
          <w:rFonts w:ascii="Times New Roman;sans-serif" w:hAnsi="Times New Roman;sans-serif"/>
          <w:b/>
          <w:color w:val="000000"/>
          <w:sz w:val="24"/>
        </w:rPr>
        <w:t xml:space="preserve">Disclosure. </w:t>
      </w:r>
      <w:r>
        <w:rPr>
          <w:rFonts w:ascii="Times New Roman;sans-serif" w:hAnsi="Times New Roman;sans-serif"/>
          <w:b w:val="false"/>
          <w:color w:val="000000"/>
          <w:sz w:val="24"/>
        </w:rPr>
        <w:t>Insiders must acknowledge that the information provided pursuant to this Insider Trading Compliance Policy may be publicly disclosed, including in the Company’s filings with the SEC.</w:t>
      </w:r>
    </w:p>
    <w:p>
      <w:pPr>
        <w:pStyle w:val="TextBody"/>
        <w:bidi w:val="0"/>
        <w:spacing w:before="9" w:after="283"/>
        <w:jc w:val="left"/>
        <w:rPr/>
      </w:pPr>
      <w:r>
        <w:rPr/>
      </w:r>
    </w:p>
    <w:p>
      <w:pPr>
        <w:pStyle w:val="TextBody"/>
        <w:bidi w:val="0"/>
        <w:spacing w:lineRule="auto" w:line="288" w:before="1" w:after="283"/>
        <w:ind w:left="0" w:right="0" w:hanging="718"/>
        <w:jc w:val="left"/>
        <w:rPr>
          <w:rFonts w:ascii="Times New Roman;sans-serif" w:hAnsi="Times New Roman;sans-serif"/>
          <w:b/>
          <w:i/>
          <w:color w:val="000000"/>
          <w:sz w:val="24"/>
        </w:rPr>
      </w:pPr>
      <w:r>
        <w:rPr>
          <w:rFonts w:ascii="Times New Roman;sans-serif" w:hAnsi="Times New Roman;sans-serif"/>
          <w:b/>
          <w:i/>
          <w:color w:val="000000"/>
          <w:sz w:val="24"/>
        </w:rPr>
        <w:t>B.Employee Benefit Plans.</w:t>
      </w:r>
    </w:p>
    <w:p>
      <w:pPr>
        <w:pStyle w:val="TextBody"/>
        <w:bidi w:val="0"/>
        <w:spacing w:before="88" w:after="283"/>
        <w:jc w:val="left"/>
        <w:rPr/>
      </w:pPr>
      <w:r>
        <w:rPr/>
      </w:r>
    </w:p>
    <w:p>
      <w:pPr>
        <w:pStyle w:val="TextBody"/>
        <w:bidi w:val="0"/>
        <w:spacing w:lineRule="auto" w:line="288" w:before="1" w:after="283"/>
        <w:ind w:left="0" w:right="0" w:hanging="720"/>
        <w:jc w:val="left"/>
        <w:rPr/>
      </w:pPr>
      <w:r>
        <w:rPr>
          <w:rFonts w:ascii="Times New Roman;sans-serif" w:hAnsi="Times New Roman;sans-serif"/>
          <w:b w:val="false"/>
          <w:color w:val="000000"/>
          <w:sz w:val="24"/>
        </w:rPr>
        <w:t>1.</w:t>
      </w:r>
      <w:r>
        <w:rPr>
          <w:rFonts w:ascii="Times New Roman;sans-serif" w:hAnsi="Times New Roman;sans-serif"/>
          <w:b/>
          <w:i/>
          <w:color w:val="000000"/>
          <w:sz w:val="24"/>
        </w:rPr>
        <w:t>Exercise of Stock Options</w:t>
      </w:r>
      <w:r>
        <w:rPr>
          <w:rFonts w:ascii="Times New Roman;sans-serif" w:hAnsi="Times New Roman;sans-serif"/>
          <w:b/>
          <w:color w:val="000000"/>
          <w:sz w:val="24"/>
        </w:rPr>
        <w:t xml:space="preserve">. </w:t>
      </w:r>
      <w:r>
        <w:rPr>
          <w:rFonts w:ascii="Times New Roman;sans-serif" w:hAnsi="Times New Roman;sans-serif"/>
          <w:b w:val="false"/>
          <w:color w:val="000000"/>
          <w:sz w:val="24"/>
        </w:rPr>
        <w:t xml:space="preserve">The trading prohibitions and Insider Trading Procedures </w:t>
      </w:r>
      <w:r>
        <w:rPr>
          <w:rFonts w:ascii="Times New Roman;sans-serif" w:hAnsi="Times New Roman;sans-serif"/>
          <w:b w:val="false"/>
          <w:i/>
          <w:color w:val="000000"/>
          <w:sz w:val="24"/>
        </w:rPr>
        <w:t xml:space="preserve">do not </w:t>
      </w:r>
      <w:r>
        <w:rPr>
          <w:rFonts w:ascii="Times New Roman;sans-serif" w:hAnsi="Times New Roman;sans-serif"/>
          <w:b w:val="false"/>
          <w:color w:val="000000"/>
          <w:sz w:val="24"/>
        </w:rPr>
        <w:t xml:space="preserve">apply to the </w:t>
      </w:r>
      <w:r>
        <w:rPr>
          <w:rFonts w:ascii="Times New Roman;sans-serif" w:hAnsi="Times New Roman;sans-serif"/>
          <w:b w:val="false"/>
          <w:i/>
          <w:color w:val="000000"/>
          <w:sz w:val="24"/>
        </w:rPr>
        <w:t xml:space="preserve">exercise </w:t>
      </w:r>
      <w:r>
        <w:rPr>
          <w:rFonts w:ascii="Times New Roman;sans-serif" w:hAnsi="Times New Roman;sans-serif"/>
          <w:b w:val="false"/>
          <w:color w:val="000000"/>
          <w:sz w:val="24"/>
        </w:rPr>
        <w:t xml:space="preserve">of a stock option to purchase securities of the Company when payment of the exercise price is solely made in cash and the Securities are held, not sold. The trading prohibitions and Insider Trading Procedures </w:t>
      </w:r>
      <w:r>
        <w:rPr>
          <w:rFonts w:ascii="Times New Roman;sans-serif" w:hAnsi="Times New Roman;sans-serif"/>
          <w:b w:val="false"/>
          <w:i/>
          <w:color w:val="000000"/>
          <w:sz w:val="24"/>
        </w:rPr>
        <w:t xml:space="preserve">do apply </w:t>
      </w:r>
      <w:r>
        <w:rPr>
          <w:rFonts w:ascii="Times New Roman;sans-serif" w:hAnsi="Times New Roman;sans-serif"/>
          <w:b w:val="false"/>
          <w:color w:val="000000"/>
          <w:sz w:val="24"/>
        </w:rPr>
        <w:t>to:</w:t>
      </w:r>
    </w:p>
    <w:p>
      <w:pPr>
        <w:pStyle w:val="TextBody"/>
        <w:bidi w:val="0"/>
        <w:spacing w:before="10" w:after="283"/>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the same day or subsequent sale of the Securities acquired on the exercise of a stock option;</w:t>
      </w:r>
    </w:p>
    <w:p>
      <w:pPr>
        <w:pStyle w:val="TextBody"/>
        <w:bidi w:val="0"/>
        <w:spacing w:before="9" w:after="283"/>
        <w:jc w:val="left"/>
        <w:rPr/>
      </w:pPr>
      <w:r>
        <w:rPr/>
      </w:r>
    </w:p>
    <w:p>
      <w:pPr>
        <w:pStyle w:val="TextBody"/>
        <w:bidi w:val="0"/>
        <w:spacing w:lineRule="auto" w:line="288" w:before="1" w:after="283"/>
        <w:ind w:left="0" w:right="0" w:hanging="360"/>
        <w:jc w:val="left"/>
        <w:rPr/>
      </w:pPr>
      <w:r>
        <w:rPr>
          <w:color w:val="000000"/>
        </w:rPr>
        <w:t>•</w:t>
      </w:r>
      <w:r>
        <w:rPr>
          <w:rFonts w:ascii="Times New Roman;sans-serif" w:hAnsi="Times New Roman;sans-serif"/>
          <w:b w:val="false"/>
          <w:color w:val="000000"/>
          <w:sz w:val="24"/>
        </w:rPr>
        <w:t>the use of outstanding Company Securities to pay part or all of the exercise price of an option;</w:t>
      </w:r>
    </w:p>
    <w:p>
      <w:pPr>
        <w:pStyle w:val="TextBody"/>
        <w:bidi w:val="0"/>
        <w:spacing w:before="9" w:after="283"/>
        <w:jc w:val="left"/>
        <w:rPr/>
      </w:pPr>
      <w:r>
        <w:rPr/>
      </w:r>
    </w:p>
    <w:p>
      <w:pPr>
        <w:pStyle w:val="TextBody"/>
        <w:bidi w:val="0"/>
        <w:spacing w:lineRule="auto" w:line="288" w:before="0" w:after="0"/>
        <w:ind w:left="0" w:right="0" w:hanging="358"/>
        <w:jc w:val="left"/>
        <w:rPr/>
      </w:pPr>
      <w:r>
        <w:rPr>
          <w:color w:val="000000"/>
        </w:rPr>
        <w:t>•</w:t>
      </w:r>
      <w:r>
        <w:rPr>
          <w:rFonts w:ascii="Times New Roman;sans-serif" w:hAnsi="Times New Roman;sans-serif"/>
          <w:b w:val="false"/>
          <w:color w:val="000000"/>
          <w:sz w:val="24"/>
        </w:rPr>
        <w:t>any net option exercise;</w:t>
      </w:r>
    </w:p>
    <w:p>
      <w:pPr>
        <w:pStyle w:val="TextBody"/>
        <w:bidi w:val="0"/>
        <w:spacing w:before="2" w:after="283"/>
        <w:jc w:val="left"/>
        <w:rPr/>
      </w:pPr>
      <w:r>
        <w:rPr/>
      </w:r>
    </w:p>
    <w:p>
      <w:pPr>
        <w:pStyle w:val="TextBody"/>
        <w:bidi w:val="0"/>
        <w:spacing w:lineRule="auto" w:line="288" w:before="1" w:after="283"/>
        <w:ind w:left="0" w:right="0" w:hanging="358"/>
        <w:jc w:val="left"/>
        <w:rPr/>
      </w:pPr>
      <w:r>
        <w:rPr>
          <w:color w:val="000000"/>
        </w:rPr>
        <w:t>•</w:t>
      </w:r>
      <w:r>
        <w:rPr>
          <w:rFonts w:ascii="Times New Roman;sans-serif" w:hAnsi="Times New Roman;sans-serif"/>
          <w:b w:val="false"/>
          <w:color w:val="000000"/>
          <w:sz w:val="24"/>
        </w:rPr>
        <w:t>any exercise of a stock appreciation right;</w:t>
      </w:r>
    </w:p>
    <w:p>
      <w:pPr>
        <w:pStyle w:val="TextBody"/>
        <w:bidi w:val="0"/>
        <w:spacing w:before="2" w:after="283"/>
        <w:jc w:val="left"/>
        <w:rPr/>
      </w:pPr>
      <w:r>
        <w:rPr/>
      </w:r>
    </w:p>
    <w:p>
      <w:pPr>
        <w:pStyle w:val="TextBody"/>
        <w:bidi w:val="0"/>
        <w:spacing w:lineRule="auto" w:line="288" w:before="0" w:after="0"/>
        <w:ind w:left="0" w:right="0" w:hanging="358"/>
        <w:jc w:val="left"/>
        <w:rPr/>
      </w:pPr>
      <w:r>
        <w:rPr>
          <w:color w:val="000000"/>
        </w:rPr>
        <w:t>•</w:t>
      </w:r>
      <w:r>
        <w:rPr>
          <w:rFonts w:ascii="Times New Roman;sans-serif" w:hAnsi="Times New Roman;sans-serif"/>
          <w:b w:val="false"/>
          <w:color w:val="000000"/>
          <w:sz w:val="24"/>
        </w:rPr>
        <w:t>share withholding;</w:t>
      </w:r>
    </w:p>
    <w:p>
      <w:pPr>
        <w:pStyle w:val="TextBody"/>
        <w:bidi w:val="0"/>
        <w:spacing w:before="1" w:after="283"/>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any sale of stock as part of a broker-assisted cashless exercise of an option; or</w:t>
      </w:r>
    </w:p>
    <w:p>
      <w:pPr>
        <w:pStyle w:val="TextBody"/>
        <w:bidi w:val="0"/>
        <w:spacing w:before="3" w:after="283"/>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any other market sale for the purpose of generating the cash needed to pay the exercise price of an option.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798195"/>
                <wp:effectExtent l="0" t="0" r="0" b="0"/>
                <wp:wrapNone/>
                <wp:docPr id="146" name="Frame144"/>
                <a:graphic xmlns:a="http://schemas.openxmlformats.org/drawingml/2006/main">
                  <a:graphicData uri="http://schemas.microsoft.com/office/word/2010/wordprocessingShape">
                    <wps:wsp>
                      <wps:cNvSpPr txBox="1"/>
                      <wps:spPr>
                        <a:xfrm>
                          <a:off x="0" y="0"/>
                          <a:ext cx="6480175" cy="79819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8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76"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For directors and executive officers subject to the requirements of Section 16 of the Exchange Act, the exercise of an option to purchase securities of the Company (and any subsequent sale) each triggers the obligation to file a Form 4 within two business days. For this reason, Insiders must comply with the post-trade reporting requirement described in Section C above for any such transaction.</w:t>
      </w:r>
    </w:p>
    <w:p>
      <w:pPr>
        <w:pStyle w:val="TextBody"/>
        <w:bidi w:val="0"/>
        <w:spacing w:before="88" w:after="283"/>
        <w:jc w:val="left"/>
        <w:rPr/>
      </w:pPr>
      <w:r>
        <w:rPr/>
      </w:r>
    </w:p>
    <w:p>
      <w:pPr>
        <w:pStyle w:val="TextBody"/>
        <w:bidi w:val="0"/>
        <w:spacing w:lineRule="auto" w:line="288" w:before="1" w:after="283"/>
        <w:ind w:left="0" w:right="0" w:hanging="720"/>
        <w:jc w:val="left"/>
        <w:rPr/>
      </w:pPr>
      <w:r>
        <w:rPr>
          <w:rFonts w:ascii="Times New Roman;sans-serif" w:hAnsi="Times New Roman;sans-serif"/>
          <w:b w:val="false"/>
          <w:color w:val="000000"/>
          <w:sz w:val="24"/>
        </w:rPr>
        <w:t>2.</w:t>
      </w:r>
      <w:r>
        <w:rPr>
          <w:rFonts w:ascii="Times New Roman;sans-serif" w:hAnsi="Times New Roman;sans-serif"/>
          <w:b/>
          <w:i/>
          <w:color w:val="000000"/>
          <w:sz w:val="24"/>
        </w:rPr>
        <w:t>Tax Withholding on Restricted Stock/Units</w:t>
      </w:r>
      <w:r>
        <w:rPr>
          <w:rFonts w:ascii="Times New Roman;sans-serif" w:hAnsi="Times New Roman;sans-serif"/>
          <w:b/>
          <w:color w:val="000000"/>
          <w:sz w:val="24"/>
        </w:rPr>
        <w:t xml:space="preserve">. </w:t>
      </w:r>
      <w:r>
        <w:rPr>
          <w:rFonts w:ascii="Times New Roman;sans-serif" w:hAnsi="Times New Roman;sans-serif"/>
          <w:b w:val="false"/>
          <w:color w:val="000000"/>
          <w:sz w:val="24"/>
        </w:rPr>
        <w:t xml:space="preserve">The trading prohibitions and restrictions set forth in the Insider Trading Procedures </w:t>
      </w:r>
      <w:r>
        <w:rPr>
          <w:rFonts w:ascii="Times New Roman;sans-serif" w:hAnsi="Times New Roman;sans-serif"/>
          <w:b w:val="false"/>
          <w:i/>
          <w:color w:val="000000"/>
          <w:sz w:val="24"/>
        </w:rPr>
        <w:t xml:space="preserve">do not </w:t>
      </w:r>
      <w:r>
        <w:rPr>
          <w:rFonts w:ascii="Times New Roman;sans-serif" w:hAnsi="Times New Roman;sans-serif"/>
          <w:b w:val="false"/>
          <w:color w:val="000000"/>
          <w:sz w:val="24"/>
        </w:rPr>
        <w:t xml:space="preserve">apply to the </w:t>
      </w:r>
      <w:r>
        <w:rPr>
          <w:rFonts w:ascii="Times New Roman;sans-serif" w:hAnsi="Times New Roman;sans-serif"/>
          <w:b w:val="false"/>
          <w:i/>
          <w:color w:val="000000"/>
          <w:sz w:val="24"/>
        </w:rPr>
        <w:t xml:space="preserve">withholding </w:t>
      </w:r>
      <w:r>
        <w:rPr>
          <w:rFonts w:ascii="Times New Roman;sans-serif" w:hAnsi="Times New Roman;sans-serif"/>
          <w:b w:val="false"/>
          <w:color w:val="000000"/>
          <w:sz w:val="24"/>
        </w:rPr>
        <w:t>by the Company of shares of stock upon vesting of restricted stock or upon settlement of restricted stock units to satisfy applicable tax withholding requirements if (a) such withholding is required by the applicable plan or award agreement or (b) the election to exercise such tax withholding right was made by the director, officer or employee in compliance with the Insider Trading Procedures.</w:t>
      </w:r>
    </w:p>
    <w:p>
      <w:pPr>
        <w:pStyle w:val="TextBody"/>
        <w:bidi w:val="0"/>
        <w:spacing w:before="88" w:after="283"/>
        <w:jc w:val="left"/>
        <w:rPr/>
      </w:pPr>
      <w:r>
        <w:rPr/>
      </w:r>
    </w:p>
    <w:p>
      <w:pPr>
        <w:pStyle w:val="TextBody"/>
        <w:bidi w:val="0"/>
        <w:spacing w:lineRule="auto" w:line="288" w:before="1" w:after="283"/>
        <w:ind w:left="0" w:right="0" w:hanging="720"/>
        <w:jc w:val="left"/>
        <w:rPr/>
      </w:pPr>
      <w:r>
        <w:rPr>
          <w:rFonts w:ascii="Times New Roman;sans-serif" w:hAnsi="Times New Roman;sans-serif"/>
          <w:b w:val="false"/>
          <w:color w:val="000000"/>
          <w:sz w:val="24"/>
        </w:rPr>
        <w:t>3.</w:t>
      </w:r>
      <w:r>
        <w:rPr>
          <w:rFonts w:ascii="Times New Roman;sans-serif" w:hAnsi="Times New Roman;sans-serif"/>
          <w:b/>
          <w:i/>
          <w:color w:val="000000"/>
          <w:sz w:val="24"/>
        </w:rPr>
        <w:t>Employee Stock Purchase Plan</w:t>
      </w:r>
      <w:r>
        <w:rPr>
          <w:rFonts w:ascii="Times New Roman;sans-serif" w:hAnsi="Times New Roman;sans-serif"/>
          <w:b/>
          <w:color w:val="000000"/>
          <w:sz w:val="24"/>
        </w:rPr>
        <w:t xml:space="preserve">. </w:t>
      </w:r>
      <w:r>
        <w:rPr>
          <w:rFonts w:ascii="Times New Roman;sans-serif" w:hAnsi="Times New Roman;sans-serif"/>
          <w:b w:val="false"/>
          <w:color w:val="000000"/>
          <w:sz w:val="24"/>
        </w:rPr>
        <w:t>The trading prohibitions and restrictions set forth in the Insider Trading Procedures do not apply to periodic wage withholding contributions by the Company or employees of the Company which are used to purchase the Company’s Securities pursuant to the employees’ advance instructions under the Company’s 2020 Employee Stock Purchase Plan. However, no Insider may: (a) elect to participate in the plan or alter his or her instructions regarding the level of withholding or purchase by the Insider of Company Securities under such plan; or (b) make cash contributions to such plan (other than through periodic wage withholding) without complying with the Insider Trading Procedures. Any sale of Securities acquired under such plan is subject to the prohibition on insider trading and, for Insiders, the additional restrictions of the Insider Trading Procedures.</w:t>
      </w:r>
    </w:p>
    <w:p>
      <w:pPr>
        <w:pStyle w:val="TextBody"/>
        <w:bidi w:val="0"/>
        <w:spacing w:before="88" w:after="283"/>
        <w:jc w:val="left"/>
        <w:rPr/>
      </w:pPr>
      <w:r>
        <w:rPr/>
      </w:r>
    </w:p>
    <w:p>
      <w:pPr>
        <w:pStyle w:val="TextBody"/>
        <w:bidi w:val="0"/>
        <w:spacing w:lineRule="auto" w:line="288" w:before="1" w:after="283"/>
        <w:ind w:left="0" w:right="0" w:hanging="720"/>
        <w:jc w:val="left"/>
        <w:rPr/>
      </w:pPr>
      <w:r>
        <w:rPr>
          <w:rFonts w:ascii="Times New Roman;sans-serif" w:hAnsi="Times New Roman;sans-serif"/>
          <w:b w:val="false"/>
          <w:color w:val="000000"/>
          <w:sz w:val="24"/>
        </w:rPr>
        <w:t>4.</w:t>
      </w:r>
      <w:r>
        <w:rPr>
          <w:rFonts w:ascii="Times New Roman;sans-serif" w:hAnsi="Times New Roman;sans-serif"/>
          <w:b/>
          <w:i/>
          <w:color w:val="000000"/>
          <w:sz w:val="24"/>
        </w:rPr>
        <w:t>Retirement Plan</w:t>
      </w:r>
      <w:r>
        <w:rPr>
          <w:rFonts w:ascii="Times New Roman;sans-serif" w:hAnsi="Times New Roman;sans-serif"/>
          <w:b/>
          <w:color w:val="000000"/>
          <w:sz w:val="24"/>
        </w:rPr>
        <w:t xml:space="preserve">. </w:t>
      </w:r>
      <w:r>
        <w:rPr>
          <w:rFonts w:ascii="Times New Roman;sans-serif" w:hAnsi="Times New Roman;sans-serif"/>
          <w:b w:val="false"/>
          <w:color w:val="000000"/>
          <w:sz w:val="24"/>
        </w:rPr>
        <w:t>The trading prohibitions and restrictions set forth in the Insider Trading Procedures do not apply to purchases of Company Securities in any 401(k) Plan of the Company (the “</w:t>
      </w:r>
      <w:r>
        <w:rPr>
          <w:rFonts w:ascii="Times New Roman;sans-serif" w:hAnsi="Times New Roman;sans-serif"/>
          <w:b/>
          <w:color w:val="000000"/>
          <w:sz w:val="24"/>
        </w:rPr>
        <w:t>Retirement Plan</w:t>
      </w:r>
      <w:r>
        <w:rPr>
          <w:color w:val="000000"/>
        </w:rPr>
        <w:t>”</w:t>
      </w:r>
      <w:r>
        <w:rPr>
          <w:rFonts w:ascii="Times New Roman;sans-serif" w:hAnsi="Times New Roman;sans-serif"/>
          <w:b w:val="false"/>
          <w:color w:val="000000"/>
          <w:sz w:val="24"/>
        </w:rPr>
        <w:t>) resulting from periodic contributions by Insiders to the Retirement Plan pursuant to payroll deduction elections. Such prohibitions and restrictions do apply, however, to certain elections Insiders may make under the Retirement Plan, including: (a) an election to increase or decrease the percentage of periodic contributions that will be allocated to the Company stock fund; (b) an election to make an intra-plan transfer of an existing account balance into or out of the Company stock fund; (c) an election to borrow money against or receive a distribution from such Insider’s Retirement Plan account if the loan or distribution will result in a liquidation of some or all of such Insider’s Company stock fund balance; and (d) an election to pre-pay a plan loan if the pre-payment will result in an allocation of loan proceeds to the Company stock fund.</w:t>
      </w:r>
    </w:p>
    <w:p>
      <w:pPr>
        <w:pStyle w:val="TextBody"/>
        <w:bidi w:val="0"/>
        <w:spacing w:before="9" w:after="283"/>
        <w:jc w:val="left"/>
        <w:rPr/>
      </w:pPr>
      <w:r>
        <w:rPr/>
      </w:r>
    </w:p>
    <w:p>
      <w:pPr>
        <w:pStyle w:val="TextBody"/>
        <w:bidi w:val="0"/>
        <w:spacing w:lineRule="auto" w:line="288" w:before="1" w:after="283"/>
        <w:jc w:val="left"/>
        <w:rPr>
          <w:rFonts w:ascii="Times New Roman;sans-serif" w:hAnsi="Times New Roman;sans-serif"/>
          <w:b/>
          <w:color w:val="000000"/>
          <w:sz w:val="24"/>
        </w:rPr>
      </w:pPr>
      <w:r>
        <w:rPr>
          <w:rFonts w:ascii="Times New Roman;sans-serif" w:hAnsi="Times New Roman;sans-serif"/>
          <w:b/>
          <w:color w:val="000000"/>
          <w:sz w:val="24"/>
        </w:rPr>
        <w:t>PART IV. WAIVERS, ADMINISTRATION</w:t>
      </w:r>
    </w:p>
    <w:p>
      <w:pPr>
        <w:pStyle w:val="TextBody"/>
        <w:bidi w:val="0"/>
        <w:spacing w:before="1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798195"/>
                <wp:effectExtent l="0" t="0" r="0" b="0"/>
                <wp:wrapNone/>
                <wp:docPr id="147" name="Frame145"/>
                <a:graphic xmlns:a="http://schemas.openxmlformats.org/drawingml/2006/main">
                  <a:graphicData uri="http://schemas.microsoft.com/office/word/2010/wordprocessingShape">
                    <wps:wsp>
                      <wps:cNvSpPr txBox="1"/>
                      <wps:spPr>
                        <a:xfrm>
                          <a:off x="0" y="0"/>
                          <a:ext cx="6480175" cy="79819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8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 waiver of any provision of this Insider Trading Compliance Policy, or the Insider Trading Procedures contained herein, in a specific instance may be authorized in writing by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798195"/>
                <wp:effectExtent l="0" t="0" r="0" b="0"/>
                <wp:wrapNone/>
                <wp:docPr id="148" name="Frame146"/>
                <a:graphic xmlns:a="http://schemas.openxmlformats.org/drawingml/2006/main">
                  <a:graphicData uri="http://schemas.microsoft.com/office/word/2010/wordprocessingShape">
                    <wps:wsp>
                      <wps:cNvSpPr txBox="1"/>
                      <wps:spPr>
                        <a:xfrm>
                          <a:off x="0" y="0"/>
                          <a:ext cx="6480175" cy="79819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8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either the Chief Compliance Officer or the Audit Committee of the Board, and any such waiver shall be reported to the Audit Committee or the Board.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This Insider Trading Compliance Policy shall be administered by the Audit Committee. The Audit Committee shall review this Insider Trading Compliance Policy on at least an annual basis. This Insider Trading Compliance Policy may be amended by action of the Audit Committee, with amendments reported by the Audit Committee to the Board of Directors.</w:t>
      </w:r>
    </w:p>
    <w:p>
      <w:pPr>
        <w:pStyle w:val="TextBody"/>
        <w:bidi w:val="0"/>
        <w:spacing w:before="9" w:after="283"/>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PART V. ACKNOWLEDGEMENT</w:t>
      </w:r>
    </w:p>
    <w:p>
      <w:pPr>
        <w:pStyle w:val="TextBody"/>
        <w:bidi w:val="0"/>
        <w:spacing w:before="11" w:after="283"/>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This Insider Trading Compliance Policy will be delivered to all current Insiders and to all directors, officers, and employees and consultants following its adoption or thereafter at the start of their employment or relationship with the Company. Each individual must acknowledge that he or she has received a copy and agrees to comply with the terms of this Insider Trading Compliance Policy under the Company’s electronic training record system, and, if applicable, the Insider Trading Procedures contained herein.</w:t>
      </w:r>
    </w:p>
    <w:p>
      <w:pPr>
        <w:pStyle w:val="TextBody"/>
        <w:bidi w:val="0"/>
        <w:spacing w:before="10" w:after="283"/>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All directors, officers, and employees and consultants will be required upon the Company’s request to re-acknowledge and agree to comply with the Insider Trading Compliance Policy (including any amendments or modifications). For such purpose, an individual will be deemed to have acknowledged and agreed to comply with the Insider Trading Compliance Policy, as amended from time to time, when copies of such items have been delivered by regular or electronic mail (or other delivery option used by the Company) by the Chief Compliance Officer or a designee thereof.</w:t>
      </w:r>
    </w:p>
    <w:p>
      <w:pPr>
        <w:pStyle w:val="TextBody"/>
        <w:bidi w:val="0"/>
        <w:spacing w:before="100" w:after="283"/>
        <w:jc w:val="left"/>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    *</w:t>
      </w:r>
    </w:p>
    <w:p>
      <w:pPr>
        <w:pStyle w:val="TextBody"/>
        <w:bidi w:val="0"/>
        <w:spacing w:before="1" w:after="283"/>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Questions regarding this Insider Trading Compliance Policy are encouraged and may be directed to the Chief Compliance Officer.</w:t>
      </w:r>
    </w:p>
    <w:p>
      <w:pPr>
        <w:pStyle w:val="TextBody"/>
        <w:bidi w:val="0"/>
        <w:spacing w:before="156" w:after="283"/>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ADOPTED:    March 17, 2020</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EFFECTIVE: June 2, 2020</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AMENDED: October 27, 2020; October 4, 2021; August 4, 2023</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798195"/>
                <wp:effectExtent l="0" t="0" r="0" b="0"/>
                <wp:wrapNone/>
                <wp:docPr id="149" name="Frame147"/>
                <a:graphic xmlns:a="http://schemas.openxmlformats.org/drawingml/2006/main">
                  <a:graphicData uri="http://schemas.microsoft.com/office/word/2010/wordprocessingShape">
                    <wps:wsp>
                      <wps:cNvSpPr txBox="1"/>
                      <wps:spPr>
                        <a:xfrm>
                          <a:off x="0" y="0"/>
                          <a:ext cx="6480175" cy="79819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85pt;mso-wrap-distance-left:0pt;mso-wrap-distance-right:0pt;mso-wrap-distance-top:0pt;mso-wrap-distance-bottom:0pt;margin-top:0pt;mso-position-vertical:top;mso-position-vertical-relative:text;margin-left:-481.35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23.1</w:t>
      </w:r>
    </w:p>
    <w:p>
      <w:pPr>
        <w:pStyle w:val="TextBody"/>
        <w:bidi w:val="0"/>
        <w:spacing w:before="0" w:after="0"/>
        <w:jc w:val="left"/>
        <w:rPr/>
      </w:pPr>
      <w:r>
        <w:rPr/>
      </w:r>
    </w:p>
    <w:p>
      <w:pPr>
        <w:pStyle w:val="TextBody"/>
        <w:bidi w:val="0"/>
        <w:spacing w:lineRule="auto" w:line="333" w:before="240" w:after="283"/>
        <w:jc w:val="center"/>
        <w:rPr>
          <w:color w:val="000000"/>
        </w:rPr>
      </w:pPr>
      <w:r>
        <w:rPr>
          <w:color w:val="000000"/>
        </w:rPr>
        <w:t> </w:t>
      </w:r>
      <w:r>
        <w:rPr>
          <w:rFonts w:ascii="Times New Roman;sans-serif" w:hAnsi="Times New Roman;sans-serif"/>
          <w:b/>
          <w:color w:val="000000"/>
          <w:sz w:val="20"/>
        </w:rPr>
        <w:t xml:space="preserve">CONSENT OF INDEPENDENT REGISTERED PUBLIC ACCOUNTING FIRM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consent to the incorporation by reference in Registration Statement No.’s 333-238922, 333-254361, 333-263127, 333-270428 and 333-277398 on Form S-8, and Registration Statement No. 333-270862 on Form S-3 of our reports dated March 3, 2025, relating to the financial statements of Pliant Therapeutics, Inc. and the effectiveness of Pliant Therapeutics, Inc.’s internal control over financial reporting appearing in the Annual Report on Form 10-K of Pliant Therapeutics, Inc. for the year ended December 31, 2024. </w: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 Deloitte &amp; Touche LLP</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San Francisco, California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 2025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Bernard Coulie, certify that:</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Pliant Therapeutics, Inc.;</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90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90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90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90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90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90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398" w:type="dxa"/>
        <w:jc w:val="left"/>
        <w:tblInd w:w="0" w:type="dxa"/>
        <w:tblLayout w:type="fixed"/>
        <w:tblCellMar>
          <w:top w:w="28" w:type="dxa"/>
          <w:left w:w="28" w:type="dxa"/>
          <w:bottom w:w="28" w:type="dxa"/>
          <w:right w:w="28" w:type="dxa"/>
        </w:tblCellMar>
      </w:tblPr>
      <w:tblGrid>
        <w:gridCol w:w="645"/>
        <w:gridCol w:w="568"/>
        <w:gridCol w:w="571"/>
        <w:gridCol w:w="134"/>
        <w:gridCol w:w="134"/>
        <w:gridCol w:w="136"/>
        <w:gridCol w:w="936"/>
        <w:gridCol w:w="936"/>
        <w:gridCol w:w="1338"/>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March 3, 2025</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Bernard Coulie</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Bernard Coulie, M.D., Ph.D.</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Keith Cummings, certify that:</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Pliant Therapeutics, Inc.;</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484" w:type="dxa"/>
        <w:jc w:val="left"/>
        <w:tblInd w:w="0" w:type="dxa"/>
        <w:tblLayout w:type="fixed"/>
        <w:tblCellMar>
          <w:top w:w="28" w:type="dxa"/>
          <w:left w:w="28" w:type="dxa"/>
          <w:bottom w:w="28" w:type="dxa"/>
          <w:right w:w="28" w:type="dxa"/>
        </w:tblCellMar>
      </w:tblPr>
      <w:tblGrid>
        <w:gridCol w:w="645"/>
        <w:gridCol w:w="568"/>
        <w:gridCol w:w="571"/>
        <w:gridCol w:w="789"/>
        <w:gridCol w:w="789"/>
        <w:gridCol w:w="1122"/>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March 3, 2025</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Keith Cummings</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Keith Cummings, M.D., M.B.A.</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 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Pliant Therapeutics, Inc. (the “Company”) on Form 10-K for the period ended December 31, 2024, as filed with the Securities and Exchange Commission on the date hereof (the “Report”), I certify, pursuant to 18 U.S.C. § 1350, as adopted pursuant to § 906 of the Sarbanes-Oxley Act of 2002, that:</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5039" w:type="dxa"/>
        <w:jc w:val="left"/>
        <w:tblInd w:w="0" w:type="dxa"/>
        <w:tblLayout w:type="fixed"/>
        <w:tblCellMar>
          <w:top w:w="28" w:type="dxa"/>
          <w:left w:w="28" w:type="dxa"/>
          <w:bottom w:w="28" w:type="dxa"/>
          <w:right w:w="28" w:type="dxa"/>
        </w:tblCellMar>
      </w:tblPr>
      <w:tblGrid>
        <w:gridCol w:w="661"/>
        <w:gridCol w:w="582"/>
        <w:gridCol w:w="586"/>
        <w:gridCol w:w="936"/>
        <w:gridCol w:w="936"/>
        <w:gridCol w:w="1338"/>
      </w:tblGrid>
      <w:tr>
        <w:trPr/>
        <w:tc>
          <w:tcPr>
            <w:tcW w:w="66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 March 3, 2025</w:t>
            </w:r>
          </w:p>
        </w:tc>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Bernard Coulie</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Bernard Coulie, M.D., Ph.D.</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Keith Cummings</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Keith Cummings, M.D., M.B.A.</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Aptos">
    <w:altName w:val="san-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ix?doc=/Archives/edgar/data/1746473/000174647324000043/plrx-20231231.htm" TargetMode="External"/><Relationship Id="rId5" Type="http://schemas.openxmlformats.org/officeDocument/2006/relationships/hyperlink" Target="https://www.sec.gov/ix?doc=/Archives/edgar/data/1746473/000174647324000043/plrx-20231231.htm" TargetMode="External"/><Relationship Id="rId6" Type="http://schemas.openxmlformats.org/officeDocument/2006/relationships/hyperlink" Target="https://www.sec.gov/ix?doc=/Archives/edgar/data/1746473/000174647324000043/plrx-20231231.htm" TargetMode="External"/><Relationship Id="rId7" Type="http://schemas.openxmlformats.org/officeDocument/2006/relationships/hyperlink" Target="https://www.sec.gov/Archives/edgar/data/1746473/000156459020039327/plrx-ex31_301.htm" TargetMode="External"/><Relationship Id="rId8" Type="http://schemas.openxmlformats.org/officeDocument/2006/relationships/hyperlink" Target="https://www.sec.gov/Archives/edgar/data/1746473/000156459020039327/plrx-ex31_301.htm" TargetMode="External"/><Relationship Id="rId9" Type="http://schemas.openxmlformats.org/officeDocument/2006/relationships/hyperlink" Target="https://www.sec.gov/ix?doc=/Archives/edgar/data/0001746473/000174647324000153/plrx-20240924.htm" TargetMode="External"/><Relationship Id="rId10" Type="http://schemas.openxmlformats.org/officeDocument/2006/relationships/hyperlink" Target="https://www.sec.gov/ix?doc=/Archives/edgar/data/0001746473/000174647324000153/plrx-20240924.htm" TargetMode="External"/><Relationship Id="rId11" Type="http://schemas.openxmlformats.org/officeDocument/2006/relationships/hyperlink" Target="https://www.sec.gov/Archives/edgar/data/1746473/000119312520150643/d729258dex41.htm" TargetMode="External"/><Relationship Id="rId12" Type="http://schemas.openxmlformats.org/officeDocument/2006/relationships/hyperlink" Target="https://www.sec.gov/Archives/edgar/data/1746473/000119312520150643/d729258dex41.htm" TargetMode="External"/><Relationship Id="rId13" Type="http://schemas.openxmlformats.org/officeDocument/2006/relationships/hyperlink" Target="https://www.sec.gov/Archives/edgar/data/1746473/000156459021013589/plrx-ex43_1583.htm" TargetMode="External"/><Relationship Id="rId14" Type="http://schemas.openxmlformats.org/officeDocument/2006/relationships/hyperlink" Target="https://www.sec.gov/Archives/edgar/data/1746473/000156459021013589/plrx-ex43_1583.htm" TargetMode="External"/><Relationship Id="rId15" Type="http://schemas.openxmlformats.org/officeDocument/2006/relationships/hyperlink" Target="https://www.sec.gov/Archives/edgar/data/1746473/000119312520150643/d729258dex102.htm" TargetMode="External"/><Relationship Id="rId16" Type="http://schemas.openxmlformats.org/officeDocument/2006/relationships/hyperlink" Target="https://www.sec.gov/Archives/edgar/data/1746473/000119312520150643/d729258dex102.htm" TargetMode="External"/><Relationship Id="rId17" Type="http://schemas.openxmlformats.org/officeDocument/2006/relationships/hyperlink" Target="https://www.sec.gov/Archives/edgar/data/1746473/000119312520137876/d729258dex101.htm" TargetMode="External"/><Relationship Id="rId18" Type="http://schemas.openxmlformats.org/officeDocument/2006/relationships/hyperlink" Target="https://www.sec.gov/Archives/edgar/data/1746473/000119312520137876/d729258dex101.htm" TargetMode="External"/><Relationship Id="rId19" Type="http://schemas.openxmlformats.org/officeDocument/2006/relationships/hyperlink" Target="https://www.sec.gov/Archives/edgar/data/1746473/000119312520150643/d729258dex103.htm" TargetMode="External"/><Relationship Id="rId20" Type="http://schemas.openxmlformats.org/officeDocument/2006/relationships/hyperlink" Target="https://www.sec.gov/Archives/edgar/data/1746473/000119312520150643/d729258dex103.htm" TargetMode="External"/><Relationship Id="rId21" Type="http://schemas.openxmlformats.org/officeDocument/2006/relationships/hyperlink" Target="https://www.sec.gov/Archives/edgar/data/1746473/000119312520137876/d729258dex104.htm" TargetMode="External"/><Relationship Id="rId22" Type="http://schemas.openxmlformats.org/officeDocument/2006/relationships/hyperlink" Target="https://www.sec.gov/Archives/edgar/data/1746473/000119312520137876/d729258dex104.htm" TargetMode="External"/><Relationship Id="rId23" Type="http://schemas.openxmlformats.org/officeDocument/2006/relationships/hyperlink" Target="https://www.sec.gov/Archives/edgar/data/1746473/000119312520150643/d729258dex106.htm" TargetMode="External"/><Relationship Id="rId24" Type="http://schemas.openxmlformats.org/officeDocument/2006/relationships/hyperlink" Target="https://www.sec.gov/Archives/edgar/data/1746473/000119312520150643/d729258dex106.htm" TargetMode="External"/><Relationship Id="rId25" Type="http://schemas.openxmlformats.org/officeDocument/2006/relationships/hyperlink" Target="https://www.sec.gov/Archives/edgar/data/1746473/000119312520137876/d729258dex107.htm" TargetMode="External"/><Relationship Id="rId26" Type="http://schemas.openxmlformats.org/officeDocument/2006/relationships/hyperlink" Target="https://www.sec.gov/Archives/edgar/data/1746473/000119312520137876/d729258dex107.htm" TargetMode="External"/><Relationship Id="rId27" Type="http://schemas.openxmlformats.org/officeDocument/2006/relationships/hyperlink" Target="https://www.sec.gov/Archives/edgar/data/1746473/000156459020052990/plrx-ex101_224.htm" TargetMode="External"/><Relationship Id="rId28" Type="http://schemas.openxmlformats.org/officeDocument/2006/relationships/hyperlink" Target="https://www.sec.gov/Archives/edgar/data/1746473/000156459020052990/plrx-ex101_224.htm" TargetMode="External"/><Relationship Id="rId29" Type="http://schemas.openxmlformats.org/officeDocument/2006/relationships/hyperlink" Target="https://www.sec.gov/Archives/edgar/data/1746473/000119312520137876/d729258dex1011.htm" TargetMode="External"/><Relationship Id="rId30" Type="http://schemas.openxmlformats.org/officeDocument/2006/relationships/hyperlink" Target="https://www.sec.gov/Archives/edgar/data/1746473/000119312520137876/d729258dex1011.htm" TargetMode="External"/><Relationship Id="rId31" Type="http://schemas.openxmlformats.org/officeDocument/2006/relationships/hyperlink" Target="https://www.sec.gov/Archives/edgar/data/1746473/000119312520137876/d729258dex1010.htm" TargetMode="External"/><Relationship Id="rId32" Type="http://schemas.openxmlformats.org/officeDocument/2006/relationships/hyperlink" Target="https://www.sec.gov/Archives/edgar/data/1746473/000119312520137876/d729258dex1010.htm" TargetMode="External"/><Relationship Id="rId33" Type="http://schemas.openxmlformats.org/officeDocument/2006/relationships/hyperlink" Target="https://www.sec.gov/Archives/edgar/data/1746473/000119312520137876/d729258dex109.htm" TargetMode="External"/><Relationship Id="rId34" Type="http://schemas.openxmlformats.org/officeDocument/2006/relationships/hyperlink" Target="https://www.sec.gov/Archives/edgar/data/1746473/000119312520137876/d729258dex109.htm" TargetMode="External"/><Relationship Id="rId35" Type="http://schemas.openxmlformats.org/officeDocument/2006/relationships/hyperlink" Target="https://www.sec.gov/Archives/edgar/data/1746473/000119312520137876/d729258dex108.htm" TargetMode="External"/><Relationship Id="rId36" Type="http://schemas.openxmlformats.org/officeDocument/2006/relationships/hyperlink" Target="https://www.sec.gov/Archives/edgar/data/1746473/000119312520137876/d729258dex108.htm" TargetMode="External"/><Relationship Id="rId37" Type="http://schemas.openxmlformats.org/officeDocument/2006/relationships/hyperlink" Target="https://www.sec.gov/Archives/edgar/data/1746473/000119312520137876/d729258dex1013.htm" TargetMode="External"/><Relationship Id="rId38" Type="http://schemas.openxmlformats.org/officeDocument/2006/relationships/hyperlink" Target="https://www.sec.gov/Archives/edgar/data/1746473/000119312520137876/d729258dex1013.htm" TargetMode="External"/><Relationship Id="rId39" Type="http://schemas.openxmlformats.org/officeDocument/2006/relationships/hyperlink" Target="https://www.sec.gov/ix?doc=/Archives/edgar/data/1746473/000174647324000076/plrx-20240331.htm" TargetMode="External"/><Relationship Id="rId40" Type="http://schemas.openxmlformats.org/officeDocument/2006/relationships/hyperlink" Target="https://www.sec.gov/ix?doc=/Archives/edgar/data/1746473/000174647324000076/plrx-20240331.htm" TargetMode="External"/><Relationship Id="rId41" Type="http://schemas.openxmlformats.org/officeDocument/2006/relationships/hyperlink" Target="https://www.sec.gov/ix?doc=/Archives/edgar/data/1746473/000174647324000043/plrx-20231231.htm" TargetMode="External"/><Relationship Id="rId42" Type="http://schemas.openxmlformats.org/officeDocument/2006/relationships/hyperlink" Target="https://www.sec.gov/ix?doc=/Archives/edgar/data/1746473/000174647324000043/plrx-20231231.htm" TargetMode="External"/><Relationship Id="rId43" Type="http://schemas.openxmlformats.org/officeDocument/2006/relationships/hyperlink" Target="https://www.sec.gov/Archives/edgar/data/1746473/000174647323000008/offerletter-lilycheung.htm" TargetMode="External"/><Relationship Id="rId44" Type="http://schemas.openxmlformats.org/officeDocument/2006/relationships/hyperlink" Target="https://www.sec.gov/Archives/edgar/data/1746473/000174647323000008/offerletter-lilycheung.htm" TargetMode="External"/><Relationship Id="rId45" Type="http://schemas.openxmlformats.org/officeDocument/2006/relationships/hyperlink" Target="https://www.sec.gov/Archives/edgar/data/1746473/000174647323000062/lease-331oysterpoint.htm" TargetMode="External"/><Relationship Id="rId46" Type="http://schemas.openxmlformats.org/officeDocument/2006/relationships/hyperlink" Target="https://www.sec.gov/Archives/edgar/data/1746473/000174647323000062/lease-331oysterpoint.htm" TargetMode="External"/><Relationship Id="rId47" Type="http://schemas.openxmlformats.org/officeDocument/2006/relationships/hyperlink" Target="https://www.sec.gov/ix?doc=/Archives/edgar/data/1746473/000174647324000043/plrx-20231231.htm" TargetMode="External"/><Relationship Id="rId48" Type="http://schemas.openxmlformats.org/officeDocument/2006/relationships/hyperlink" Target="https://www.sec.gov/ix?doc=/Archives/edgar/data/1746473/000174647324000043/plrx-20231231.htm" TargetMode="External"/><Relationship Id="rId49" Type="http://schemas.openxmlformats.org/officeDocument/2006/relationships/fontTable" Target="fontTable.xml"/><Relationship Id="rId5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40</Pages>
  <Words>87694</Words>
  <Characters>492764</Characters>
  <CharactersWithSpaces>577857</CharactersWithSpaces>
  <Paragraphs>3561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